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3"/>
        <w:gridCol w:w="3678"/>
      </w:tblGrid>
      <w:tr w:rsidR="006B7DF3" w:rsidRPr="007A5CCA" w:rsidTr="00F009DE">
        <w:trPr>
          <w:trHeight w:hRule="exact" w:val="418"/>
          <w:jc w:val="center"/>
        </w:trPr>
        <w:tc>
          <w:tcPr>
            <w:tcW w:w="8721" w:type="dxa"/>
            <w:gridSpan w:val="2"/>
          </w:tcPr>
          <w:p w:rsidR="006B7DF3" w:rsidRPr="007A5CCA" w:rsidRDefault="006B7DF3" w:rsidP="00D02FD9">
            <w:pPr>
              <w:pStyle w:val="a3"/>
              <w:jc w:val="center"/>
              <w:rPr>
                <w:rFonts w:ascii="Tahoma" w:hAnsi="Tahoma" w:cs="Tahoma"/>
                <w:color w:val="000080"/>
                <w:rtl/>
              </w:rPr>
            </w:pPr>
            <w:r w:rsidRPr="007A5CCA">
              <w:rPr>
                <w:rFonts w:ascii="Tahoma" w:hAnsi="Tahoma" w:cs="Tahoma"/>
                <w:b/>
                <w:bCs/>
                <w:color w:val="000080"/>
                <w:rtl/>
              </w:rPr>
              <w:t>בית המשפט המחוזי בבאר שבע</w:t>
            </w:r>
          </w:p>
        </w:tc>
      </w:tr>
      <w:tr w:rsidR="006B7DF3" w:rsidRPr="007A5CCA" w:rsidTr="00F009DE">
        <w:trPr>
          <w:trHeight w:val="337"/>
          <w:jc w:val="center"/>
        </w:trPr>
        <w:tc>
          <w:tcPr>
            <w:tcW w:w="5043" w:type="dxa"/>
          </w:tcPr>
          <w:p w:rsidR="006B7DF3" w:rsidRPr="007A5CCA" w:rsidRDefault="006B7DF3" w:rsidP="00D02FD9">
            <w:pPr>
              <w:rPr>
                <w:rFonts w:ascii="David" w:hAnsi="David"/>
                <w:b/>
                <w:bCs/>
                <w:rtl/>
              </w:rPr>
            </w:pPr>
            <w:r w:rsidRPr="007A5CCA">
              <w:rPr>
                <w:rFonts w:ascii="David" w:hAnsi="David"/>
                <w:b/>
                <w:bCs/>
                <w:rtl/>
              </w:rPr>
              <w:t xml:space="preserve">לפני כבוד סגן הנשיאה, השופט אליהו ביתן </w:t>
            </w:r>
          </w:p>
        </w:tc>
        <w:tc>
          <w:tcPr>
            <w:tcW w:w="3678" w:type="dxa"/>
          </w:tcPr>
          <w:p w:rsidR="006B7DF3" w:rsidRPr="007A5CCA" w:rsidRDefault="006B7DF3" w:rsidP="00D02FD9">
            <w:pPr>
              <w:jc w:val="right"/>
              <w:rPr>
                <w:rFonts w:ascii="David" w:hAnsi="David"/>
                <w:b/>
                <w:bCs/>
                <w:rtl/>
              </w:rPr>
            </w:pPr>
            <w:r w:rsidRPr="007A5CCA">
              <w:rPr>
                <w:rFonts w:ascii="David" w:hAnsi="David"/>
                <w:b/>
                <w:bCs/>
                <w:rtl/>
              </w:rPr>
              <w:t>28 בדצמבר 2020</w:t>
            </w:r>
            <w:r w:rsidRPr="007A5CCA">
              <w:rPr>
                <w:rFonts w:ascii="David" w:hAnsi="David"/>
                <w:b/>
                <w:bCs/>
                <w:rtl/>
              </w:rPr>
              <w:br/>
            </w:r>
            <w:r w:rsidRPr="007A5CCA">
              <w:rPr>
                <w:rFonts w:ascii="David" w:hAnsi="David"/>
                <w:b/>
                <w:bCs/>
                <w:rtl/>
              </w:rPr>
              <w:br/>
              <w:t>ת"פ 40815-12-19 מדינת ישראל נ' סילוק(עציר)</w:t>
            </w:r>
          </w:p>
        </w:tc>
      </w:tr>
    </w:tbl>
    <w:p w:rsidR="006B7DF3" w:rsidRPr="007A5CCA" w:rsidRDefault="006B7DF3" w:rsidP="006B7DF3">
      <w:pPr>
        <w:pStyle w:val="a3"/>
        <w:rPr>
          <w:rtl/>
        </w:rPr>
      </w:pPr>
      <w:bookmarkStart w:id="0" w:name="LastJudge"/>
      <w:bookmarkEnd w:id="0"/>
      <w:r w:rsidRPr="007A5CCA">
        <w:rPr>
          <w:rFonts w:hint="cs"/>
          <w:rtl/>
        </w:rPr>
        <w:t xml:space="preserve"> </w:t>
      </w:r>
    </w:p>
    <w:p w:rsidR="006B7DF3" w:rsidRPr="007A5CCA" w:rsidRDefault="006B7DF3" w:rsidP="006B7DF3">
      <w:pPr>
        <w:rPr>
          <w:rFonts w:ascii="Arial" w:hAnsi="Arial"/>
          <w:b/>
          <w:bCs/>
          <w:sz w:val="26"/>
          <w:szCs w:val="26"/>
          <w:rtl/>
        </w:rPr>
      </w:pPr>
    </w:p>
    <w:p w:rsidR="006B7DF3" w:rsidRPr="007A5CCA" w:rsidRDefault="006B7DF3" w:rsidP="006B7DF3">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3590"/>
      </w:tblGrid>
      <w:tr w:rsidR="006B7DF3" w:rsidRPr="007A5CCA" w:rsidTr="006B7DF3">
        <w:trPr>
          <w:trHeight w:val="355"/>
          <w:jc w:val="center"/>
        </w:trPr>
        <w:tc>
          <w:tcPr>
            <w:tcW w:w="1332" w:type="dxa"/>
            <w:tcBorders>
              <w:top w:val="nil"/>
              <w:left w:val="nil"/>
              <w:bottom w:val="nil"/>
              <w:right w:val="nil"/>
            </w:tcBorders>
            <w:shd w:val="clear" w:color="auto" w:fill="auto"/>
          </w:tcPr>
          <w:p w:rsidR="006B7DF3" w:rsidRPr="007A5CCA" w:rsidRDefault="006B7DF3" w:rsidP="006B7DF3">
            <w:pPr>
              <w:jc w:val="both"/>
              <w:rPr>
                <w:rFonts w:ascii="Arial" w:hAnsi="Arial"/>
                <w:b/>
                <w:bCs/>
                <w:sz w:val="26"/>
                <w:szCs w:val="26"/>
              </w:rPr>
            </w:pPr>
            <w:r w:rsidRPr="007A5CCA">
              <w:rPr>
                <w:rFonts w:ascii="Arial" w:hAnsi="Arial" w:hint="cs"/>
                <w:b/>
                <w:bCs/>
                <w:sz w:val="26"/>
                <w:szCs w:val="26"/>
                <w:rtl/>
              </w:rPr>
              <w:t>בעניין:</w:t>
            </w:r>
          </w:p>
        </w:tc>
        <w:tc>
          <w:tcPr>
            <w:tcW w:w="3898" w:type="dxa"/>
            <w:tcBorders>
              <w:top w:val="nil"/>
              <w:left w:val="nil"/>
              <w:bottom w:val="nil"/>
              <w:right w:val="nil"/>
            </w:tcBorders>
            <w:shd w:val="clear" w:color="auto" w:fill="auto"/>
          </w:tcPr>
          <w:p w:rsidR="006B7DF3" w:rsidRPr="007A5CCA" w:rsidRDefault="006B7DF3" w:rsidP="00D02FD9">
            <w:pPr>
              <w:rPr>
                <w:rFonts w:ascii="Arial" w:hAnsi="Arial"/>
                <w:b/>
                <w:bCs/>
                <w:sz w:val="26"/>
                <w:szCs w:val="26"/>
              </w:rPr>
            </w:pPr>
            <w:r w:rsidRPr="007A5CCA">
              <w:rPr>
                <w:rFonts w:ascii="Arial" w:hAnsi="Arial"/>
                <w:b/>
                <w:bCs/>
                <w:sz w:val="26"/>
                <w:szCs w:val="26"/>
                <w:rtl/>
              </w:rPr>
              <w:t xml:space="preserve">     </w:t>
            </w:r>
          </w:p>
        </w:tc>
        <w:tc>
          <w:tcPr>
            <w:tcW w:w="3590" w:type="dxa"/>
            <w:tcBorders>
              <w:top w:val="nil"/>
              <w:left w:val="nil"/>
              <w:bottom w:val="nil"/>
              <w:right w:val="nil"/>
            </w:tcBorders>
            <w:shd w:val="clear" w:color="auto" w:fill="auto"/>
          </w:tcPr>
          <w:p w:rsidR="006B7DF3" w:rsidRPr="007A5CCA" w:rsidRDefault="006B7DF3" w:rsidP="006B7DF3">
            <w:pPr>
              <w:jc w:val="both"/>
              <w:rPr>
                <w:rFonts w:ascii="Arial" w:hAnsi="Arial"/>
                <w:b/>
                <w:bCs/>
                <w:sz w:val="26"/>
                <w:szCs w:val="26"/>
              </w:rPr>
            </w:pPr>
          </w:p>
        </w:tc>
      </w:tr>
      <w:tr w:rsidR="006B7DF3" w:rsidRPr="007A5CCA" w:rsidTr="006B7DF3">
        <w:trPr>
          <w:trHeight w:val="355"/>
          <w:jc w:val="center"/>
        </w:trPr>
        <w:tc>
          <w:tcPr>
            <w:tcW w:w="1332" w:type="dxa"/>
            <w:tcBorders>
              <w:top w:val="nil"/>
              <w:left w:val="nil"/>
              <w:bottom w:val="nil"/>
              <w:right w:val="nil"/>
            </w:tcBorders>
            <w:shd w:val="clear" w:color="auto" w:fill="auto"/>
          </w:tcPr>
          <w:p w:rsidR="006B7DF3" w:rsidRPr="007A5CCA" w:rsidRDefault="006B7DF3" w:rsidP="006B7DF3">
            <w:pPr>
              <w:jc w:val="both"/>
              <w:rPr>
                <w:rFonts w:ascii="Arial" w:hAnsi="Arial"/>
                <w:b/>
                <w:bCs/>
                <w:sz w:val="26"/>
                <w:szCs w:val="26"/>
                <w:rtl/>
              </w:rPr>
            </w:pPr>
            <w:bookmarkStart w:id="1" w:name="FirstAppellant"/>
            <w:r w:rsidRPr="007A5CCA">
              <w:rPr>
                <w:rFonts w:ascii="Arial" w:hAnsi="Arial" w:hint="cs"/>
                <w:b/>
                <w:bCs/>
                <w:sz w:val="26"/>
                <w:szCs w:val="26"/>
                <w:rtl/>
              </w:rPr>
              <w:t>המאשימה:</w:t>
            </w:r>
          </w:p>
        </w:tc>
        <w:tc>
          <w:tcPr>
            <w:tcW w:w="3898" w:type="dxa"/>
            <w:tcBorders>
              <w:top w:val="nil"/>
              <w:left w:val="nil"/>
              <w:bottom w:val="nil"/>
              <w:right w:val="nil"/>
            </w:tcBorders>
            <w:shd w:val="clear" w:color="auto" w:fill="auto"/>
          </w:tcPr>
          <w:p w:rsidR="006B7DF3" w:rsidRPr="007A5CCA" w:rsidRDefault="006B7DF3" w:rsidP="006B7DF3">
            <w:pPr>
              <w:jc w:val="both"/>
              <w:rPr>
                <w:rFonts w:ascii="Arial" w:hAnsi="Arial"/>
                <w:b/>
                <w:bCs/>
                <w:sz w:val="26"/>
                <w:szCs w:val="26"/>
                <w:rtl/>
              </w:rPr>
            </w:pPr>
            <w:r w:rsidRPr="007A5CCA">
              <w:rPr>
                <w:rFonts w:ascii="Arial" w:hAnsi="Arial" w:hint="cs"/>
                <w:b/>
                <w:bCs/>
                <w:sz w:val="26"/>
                <w:szCs w:val="26"/>
                <w:rtl/>
              </w:rPr>
              <w:t xml:space="preserve">מדינת ישראל </w:t>
            </w:r>
          </w:p>
        </w:tc>
        <w:tc>
          <w:tcPr>
            <w:tcW w:w="3590" w:type="dxa"/>
            <w:tcBorders>
              <w:top w:val="nil"/>
              <w:left w:val="nil"/>
              <w:bottom w:val="nil"/>
              <w:right w:val="nil"/>
            </w:tcBorders>
            <w:shd w:val="clear" w:color="auto" w:fill="auto"/>
          </w:tcPr>
          <w:p w:rsidR="006B7DF3" w:rsidRPr="007A5CCA" w:rsidRDefault="006B7DF3" w:rsidP="006B7DF3">
            <w:pPr>
              <w:jc w:val="right"/>
              <w:rPr>
                <w:rFonts w:ascii="Arial" w:hAnsi="Arial"/>
                <w:b/>
                <w:bCs/>
                <w:sz w:val="26"/>
                <w:szCs w:val="26"/>
                <w:rtl/>
              </w:rPr>
            </w:pPr>
          </w:p>
        </w:tc>
      </w:tr>
      <w:bookmarkEnd w:id="1"/>
      <w:tr w:rsidR="006B7DF3" w:rsidRPr="007A5CCA" w:rsidTr="006B7DF3">
        <w:trPr>
          <w:trHeight w:val="355"/>
          <w:jc w:val="center"/>
        </w:trPr>
        <w:tc>
          <w:tcPr>
            <w:tcW w:w="1332" w:type="dxa"/>
            <w:tcBorders>
              <w:top w:val="nil"/>
              <w:left w:val="nil"/>
              <w:bottom w:val="nil"/>
              <w:right w:val="nil"/>
            </w:tcBorders>
            <w:shd w:val="clear" w:color="auto" w:fill="auto"/>
          </w:tcPr>
          <w:p w:rsidR="006B7DF3" w:rsidRPr="007A5CCA" w:rsidRDefault="006B7DF3" w:rsidP="006B7DF3">
            <w:pPr>
              <w:jc w:val="both"/>
              <w:rPr>
                <w:rFonts w:ascii="Arial" w:hAnsi="Arial"/>
                <w:b/>
                <w:bCs/>
                <w:sz w:val="26"/>
                <w:szCs w:val="26"/>
                <w:rtl/>
              </w:rPr>
            </w:pPr>
          </w:p>
        </w:tc>
        <w:tc>
          <w:tcPr>
            <w:tcW w:w="7488" w:type="dxa"/>
            <w:gridSpan w:val="2"/>
            <w:tcBorders>
              <w:top w:val="nil"/>
              <w:left w:val="nil"/>
              <w:bottom w:val="nil"/>
              <w:right w:val="nil"/>
            </w:tcBorders>
            <w:shd w:val="clear" w:color="auto" w:fill="auto"/>
          </w:tcPr>
          <w:p w:rsidR="006B7DF3" w:rsidRPr="007A5CCA" w:rsidRDefault="006B7DF3" w:rsidP="006B7DF3">
            <w:pPr>
              <w:jc w:val="center"/>
              <w:rPr>
                <w:rFonts w:ascii="Arial" w:hAnsi="Arial"/>
                <w:b/>
                <w:bCs/>
                <w:sz w:val="26"/>
                <w:szCs w:val="26"/>
              </w:rPr>
            </w:pPr>
            <w:r w:rsidRPr="007A5CCA">
              <w:rPr>
                <w:rFonts w:ascii="Arial" w:hAnsi="Arial"/>
                <w:b/>
                <w:bCs/>
                <w:sz w:val="26"/>
                <w:szCs w:val="26"/>
                <w:rtl/>
              </w:rPr>
              <w:t>נגד</w:t>
            </w:r>
          </w:p>
        </w:tc>
      </w:tr>
      <w:tr w:rsidR="006B7DF3" w:rsidRPr="007A5CCA" w:rsidTr="006B7DF3">
        <w:trPr>
          <w:trHeight w:val="355"/>
          <w:jc w:val="center"/>
        </w:trPr>
        <w:tc>
          <w:tcPr>
            <w:tcW w:w="1332" w:type="dxa"/>
            <w:tcBorders>
              <w:top w:val="nil"/>
              <w:left w:val="nil"/>
              <w:bottom w:val="nil"/>
              <w:right w:val="nil"/>
            </w:tcBorders>
            <w:shd w:val="clear" w:color="auto" w:fill="auto"/>
          </w:tcPr>
          <w:p w:rsidR="006B7DF3" w:rsidRPr="007A5CCA" w:rsidRDefault="006B7DF3" w:rsidP="00D02FD9">
            <w:pPr>
              <w:rPr>
                <w:rFonts w:ascii="Arial" w:hAnsi="Arial"/>
                <w:b/>
                <w:bCs/>
                <w:sz w:val="26"/>
                <w:szCs w:val="26"/>
                <w:rtl/>
              </w:rPr>
            </w:pPr>
            <w:r w:rsidRPr="007A5CCA">
              <w:rPr>
                <w:rFonts w:ascii="Arial" w:hAnsi="Arial" w:hint="cs"/>
                <w:b/>
                <w:bCs/>
                <w:sz w:val="26"/>
                <w:szCs w:val="26"/>
                <w:rtl/>
              </w:rPr>
              <w:t>הנאשם:</w:t>
            </w:r>
          </w:p>
        </w:tc>
        <w:tc>
          <w:tcPr>
            <w:tcW w:w="3898" w:type="dxa"/>
            <w:tcBorders>
              <w:top w:val="nil"/>
              <w:left w:val="nil"/>
              <w:bottom w:val="nil"/>
              <w:right w:val="nil"/>
            </w:tcBorders>
            <w:shd w:val="clear" w:color="auto" w:fill="auto"/>
          </w:tcPr>
          <w:p w:rsidR="006B7DF3" w:rsidRPr="007A5CCA" w:rsidRDefault="006B7DF3" w:rsidP="00D02FD9">
            <w:pPr>
              <w:rPr>
                <w:rFonts w:ascii="Arial" w:hAnsi="Arial"/>
                <w:b/>
                <w:bCs/>
                <w:sz w:val="26"/>
                <w:szCs w:val="26"/>
                <w:rtl/>
              </w:rPr>
            </w:pPr>
            <w:r w:rsidRPr="007A5CCA">
              <w:rPr>
                <w:rFonts w:ascii="Arial" w:hAnsi="Arial"/>
                <w:b/>
                <w:bCs/>
                <w:sz w:val="26"/>
                <w:szCs w:val="26"/>
                <w:rtl/>
              </w:rPr>
              <w:t>שלומי סילוק (עציר)</w:t>
            </w:r>
          </w:p>
        </w:tc>
        <w:tc>
          <w:tcPr>
            <w:tcW w:w="3590" w:type="dxa"/>
            <w:tcBorders>
              <w:top w:val="nil"/>
              <w:left w:val="nil"/>
              <w:bottom w:val="nil"/>
              <w:right w:val="nil"/>
            </w:tcBorders>
            <w:shd w:val="clear" w:color="auto" w:fill="auto"/>
          </w:tcPr>
          <w:p w:rsidR="006B7DF3" w:rsidRPr="007A5CCA" w:rsidRDefault="006B7DF3" w:rsidP="006B7DF3">
            <w:pPr>
              <w:jc w:val="right"/>
              <w:rPr>
                <w:rFonts w:ascii="Arial" w:hAnsi="Arial"/>
                <w:b/>
                <w:bCs/>
                <w:sz w:val="26"/>
                <w:szCs w:val="26"/>
              </w:rPr>
            </w:pPr>
          </w:p>
        </w:tc>
      </w:tr>
    </w:tbl>
    <w:p w:rsidR="00F009DE" w:rsidRDefault="00F009DE" w:rsidP="006B7DF3">
      <w:pPr>
        <w:rPr>
          <w:rFonts w:ascii="Arial" w:hAnsi="Arial"/>
          <w:sz w:val="26"/>
          <w:szCs w:val="26"/>
          <w:rtl/>
        </w:rPr>
      </w:pPr>
      <w:bookmarkStart w:id="2" w:name="LawTable"/>
      <w:bookmarkEnd w:id="2"/>
    </w:p>
    <w:p w:rsidR="00F009DE" w:rsidRPr="00F009DE" w:rsidRDefault="00F009DE" w:rsidP="00F009DE">
      <w:pPr>
        <w:spacing w:after="120" w:line="240" w:lineRule="exact"/>
        <w:ind w:left="283" w:hanging="283"/>
        <w:jc w:val="both"/>
        <w:rPr>
          <w:rFonts w:ascii="FrankRuehl" w:hAnsi="FrankRuehl" w:cs="FrankRuehl"/>
          <w:rtl/>
        </w:rPr>
      </w:pPr>
    </w:p>
    <w:p w:rsidR="00F009DE" w:rsidRPr="00F009DE" w:rsidRDefault="00F009DE" w:rsidP="00F009DE">
      <w:pPr>
        <w:spacing w:after="120" w:line="240" w:lineRule="exact"/>
        <w:ind w:left="283" w:hanging="283"/>
        <w:jc w:val="both"/>
        <w:rPr>
          <w:rFonts w:ascii="FrankRuehl" w:hAnsi="FrankRuehl" w:cs="FrankRuehl"/>
          <w:rtl/>
        </w:rPr>
      </w:pPr>
      <w:r w:rsidRPr="00F009DE">
        <w:rPr>
          <w:rFonts w:ascii="FrankRuehl" w:hAnsi="FrankRuehl" w:cs="FrankRuehl"/>
          <w:rtl/>
        </w:rPr>
        <w:t xml:space="preserve">חקיקה שאוזכרה: </w:t>
      </w:r>
    </w:p>
    <w:p w:rsidR="00F009DE" w:rsidRPr="00F009DE" w:rsidRDefault="00F009DE" w:rsidP="00F009DE">
      <w:pPr>
        <w:spacing w:after="120" w:line="240" w:lineRule="exact"/>
        <w:ind w:left="283" w:hanging="283"/>
        <w:jc w:val="both"/>
        <w:rPr>
          <w:rFonts w:ascii="FrankRuehl" w:hAnsi="FrankRuehl" w:cs="FrankRuehl"/>
          <w:rtl/>
        </w:rPr>
      </w:pPr>
      <w:hyperlink r:id="rId6" w:history="1">
        <w:r w:rsidRPr="00F009DE">
          <w:rPr>
            <w:rFonts w:ascii="FrankRuehl" w:hAnsi="FrankRuehl" w:cs="FrankRuehl"/>
            <w:color w:val="0000FF"/>
            <w:u w:val="single"/>
            <w:rtl/>
          </w:rPr>
          <w:t>חוק העונשין, תשל"ז-1977</w:t>
        </w:r>
      </w:hyperlink>
      <w:r w:rsidRPr="00F009DE">
        <w:rPr>
          <w:rFonts w:ascii="FrankRuehl" w:hAnsi="FrankRuehl" w:cs="FrankRuehl"/>
          <w:rtl/>
        </w:rPr>
        <w:t xml:space="preserve">: סע'  </w:t>
      </w:r>
      <w:hyperlink r:id="rId7" w:history="1">
        <w:r w:rsidRPr="00F009DE">
          <w:rPr>
            <w:rFonts w:ascii="FrankRuehl" w:hAnsi="FrankRuehl" w:cs="FrankRuehl"/>
            <w:color w:val="0000FF"/>
            <w:u w:val="single"/>
            <w:rtl/>
          </w:rPr>
          <w:t>144(א)</w:t>
        </w:r>
      </w:hyperlink>
    </w:p>
    <w:p w:rsidR="00F009DE" w:rsidRPr="00F009DE" w:rsidRDefault="00F009DE" w:rsidP="00F009DE">
      <w:pPr>
        <w:spacing w:after="120" w:line="240" w:lineRule="exact"/>
        <w:ind w:left="283" w:hanging="283"/>
        <w:jc w:val="both"/>
        <w:rPr>
          <w:rFonts w:ascii="FrankRuehl" w:hAnsi="FrankRuehl" w:cs="FrankRuehl"/>
          <w:rtl/>
        </w:rPr>
      </w:pPr>
    </w:p>
    <w:p w:rsidR="00F009DE" w:rsidRPr="00F009DE" w:rsidRDefault="00F009DE" w:rsidP="006B7DF3">
      <w:pPr>
        <w:rPr>
          <w:rFonts w:ascii="Arial" w:hAnsi="Arial" w:hint="cs"/>
          <w:sz w:val="26"/>
          <w:szCs w:val="26"/>
          <w:rtl/>
        </w:rPr>
      </w:pPr>
      <w:bookmarkStart w:id="3" w:name="LawTable_End"/>
      <w:bookmarkEnd w:id="3"/>
    </w:p>
    <w:p w:rsidR="00F009DE" w:rsidRPr="00F009DE" w:rsidRDefault="00F009DE" w:rsidP="006B7DF3">
      <w:pPr>
        <w:rPr>
          <w:rFonts w:ascii="Arial" w:hAnsi="Arial"/>
          <w:b/>
          <w:bCs/>
          <w:sz w:val="26"/>
          <w:szCs w:val="26"/>
          <w:rtl/>
        </w:rPr>
      </w:pPr>
    </w:p>
    <w:p w:rsidR="007A5CCA" w:rsidRPr="007A5CCA" w:rsidRDefault="007A5CCA" w:rsidP="007A5CCA">
      <w:pPr>
        <w:rPr>
          <w:rFonts w:ascii="Arial" w:hAnsi="Arial" w:hint="cs"/>
          <w:rtl/>
        </w:rPr>
      </w:pPr>
    </w:p>
    <w:p w:rsidR="006B7DF3" w:rsidRPr="007A5CCA" w:rsidRDefault="006B7DF3" w:rsidP="006B7DF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7DF3" w:rsidRPr="004C04B9" w:rsidTr="006B7DF3">
        <w:trPr>
          <w:trHeight w:val="355"/>
          <w:jc w:val="center"/>
        </w:trPr>
        <w:tc>
          <w:tcPr>
            <w:tcW w:w="8820" w:type="dxa"/>
            <w:tcBorders>
              <w:top w:val="nil"/>
              <w:left w:val="nil"/>
              <w:bottom w:val="nil"/>
              <w:right w:val="nil"/>
            </w:tcBorders>
            <w:shd w:val="clear" w:color="auto" w:fill="auto"/>
          </w:tcPr>
          <w:p w:rsidR="007A5CCA" w:rsidRPr="007A5CCA" w:rsidRDefault="007A5CCA" w:rsidP="007A5CCA">
            <w:pPr>
              <w:jc w:val="center"/>
              <w:rPr>
                <w:rFonts w:ascii="Arial" w:hAnsi="Arial"/>
                <w:b/>
                <w:bCs/>
                <w:sz w:val="28"/>
                <w:szCs w:val="28"/>
                <w:u w:val="single"/>
                <w:rtl/>
              </w:rPr>
            </w:pPr>
            <w:bookmarkStart w:id="4" w:name="PsakDin" w:colFirst="0" w:colLast="0"/>
            <w:r w:rsidRPr="007A5CCA">
              <w:rPr>
                <w:rFonts w:ascii="Arial" w:hAnsi="Arial"/>
                <w:b/>
                <w:bCs/>
                <w:sz w:val="28"/>
                <w:szCs w:val="28"/>
                <w:u w:val="single"/>
                <w:rtl/>
              </w:rPr>
              <w:t>גזר דין</w:t>
            </w:r>
          </w:p>
          <w:p w:rsidR="006B7DF3" w:rsidRPr="007A5CCA" w:rsidRDefault="006B7DF3" w:rsidP="007A5CCA">
            <w:pPr>
              <w:jc w:val="center"/>
              <w:rPr>
                <w:rFonts w:ascii="Arial" w:hAnsi="Arial"/>
                <w:b/>
                <w:bCs/>
                <w:sz w:val="28"/>
                <w:szCs w:val="28"/>
                <w:u w:val="single"/>
                <w:rtl/>
              </w:rPr>
            </w:pPr>
          </w:p>
        </w:tc>
      </w:tr>
      <w:bookmarkEnd w:id="4"/>
    </w:tbl>
    <w:p w:rsidR="006B7DF3" w:rsidRPr="00B05847" w:rsidRDefault="006B7DF3" w:rsidP="006B7DF3">
      <w:pPr>
        <w:rPr>
          <w:rFonts w:ascii="Arial" w:hAnsi="Arial"/>
          <w:rtl/>
        </w:rPr>
      </w:pPr>
    </w:p>
    <w:p w:rsidR="006B7DF3" w:rsidRDefault="006B7DF3" w:rsidP="006B7DF3">
      <w:pPr>
        <w:rPr>
          <w:rtl/>
        </w:rPr>
      </w:pPr>
    </w:p>
    <w:p w:rsidR="006B7DF3" w:rsidRDefault="006B7DF3" w:rsidP="006B7DF3">
      <w:pPr>
        <w:rPr>
          <w:rtl/>
        </w:rPr>
      </w:pPr>
      <w:bookmarkStart w:id="5" w:name="ABSTRACT_START"/>
      <w:bookmarkEnd w:id="5"/>
    </w:p>
    <w:p w:rsidR="006B7DF3" w:rsidRDefault="006B7DF3" w:rsidP="006B7DF3">
      <w:pPr>
        <w:spacing w:line="360" w:lineRule="auto"/>
        <w:ind w:left="720" w:hanging="720"/>
        <w:rPr>
          <w:rtl/>
        </w:rPr>
      </w:pPr>
      <w:r>
        <w:rPr>
          <w:rtl/>
        </w:rPr>
        <w:t>1.</w:t>
      </w:r>
      <w:r>
        <w:rPr>
          <w:rtl/>
        </w:rPr>
        <w:tab/>
        <w:t>בטרם שמיעת הראיות, הגיעו הצדדים להסדר טיעון במסגרתו כתב האישום המקורי שהוגש נגד הנאשם תוקן והנאשם הודה בעובדות כתב האישום המתוקן, שאלה הם עיקריהן:</w:t>
      </w:r>
    </w:p>
    <w:p w:rsidR="006B7DF3" w:rsidRDefault="006B7DF3" w:rsidP="006B7DF3">
      <w:pPr>
        <w:spacing w:line="360" w:lineRule="auto"/>
        <w:ind w:left="720" w:hanging="720"/>
        <w:rPr>
          <w:rtl/>
        </w:rPr>
      </w:pPr>
      <w:r>
        <w:rPr>
          <w:rtl/>
        </w:rPr>
        <w:tab/>
        <w:t xml:space="preserve">בתאריך 01.12.19 הנאשם החזיק אקדח חצי אוטומטי </w:t>
      </w:r>
      <w:r>
        <w:t>CZ</w:t>
      </w:r>
      <w:r>
        <w:rPr>
          <w:rtl/>
        </w:rPr>
        <w:t xml:space="preserve"> מודל 83 שמספרו הסידורי מחוק ובתוכו מחסנית תואמת ובה 9 כדורים בקוטר 9 מ"מ קצר, שבכוחם להמית אדם. באותו מועד, שוטרים הגיעו לביתו של שגיא מדמון לצורך ביצוע חיפוש. בהגיעם בסמוך לביתו של שגיא הם הבחינו בשגיא ובנאשם  יושבים יחד ברכב של שגיא. הנאשם הבחין בשוטרים ויצא מהרכב כשהוא מחזיק באזור הבטן התחתונה את האקדח, המחסנית והכדורים, ונעצר על ידי השוטרים. </w:t>
      </w:r>
    </w:p>
    <w:p w:rsidR="006B7DF3" w:rsidRDefault="006B7DF3" w:rsidP="006B7DF3">
      <w:pPr>
        <w:spacing w:line="360" w:lineRule="auto"/>
        <w:ind w:left="720" w:hanging="720"/>
        <w:rPr>
          <w:rtl/>
        </w:rPr>
      </w:pPr>
      <w:bookmarkStart w:id="6" w:name="ABSTRACT_END"/>
      <w:bookmarkEnd w:id="6"/>
    </w:p>
    <w:p w:rsidR="006B7DF3" w:rsidRDefault="006B7DF3" w:rsidP="006B7DF3">
      <w:pPr>
        <w:spacing w:line="360" w:lineRule="auto"/>
        <w:ind w:left="720" w:hanging="720"/>
      </w:pPr>
      <w:r>
        <w:rPr>
          <w:rtl/>
        </w:rPr>
        <w:t>2.</w:t>
      </w:r>
      <w:r>
        <w:rPr>
          <w:rtl/>
        </w:rPr>
        <w:tab/>
        <w:t xml:space="preserve">על יסוד הודאת הנאשם בעובדות, כאמור, הוא הורשע בעבירה של החזקת נשק ותחמושת, לפי </w:t>
      </w:r>
      <w:hyperlink r:id="rId8" w:history="1">
        <w:r w:rsidR="00F009DE" w:rsidRPr="00F009DE">
          <w:rPr>
            <w:color w:val="0000FF"/>
            <w:u w:val="single"/>
            <w:rtl/>
          </w:rPr>
          <w:t>סעיף 144(א)</w:t>
        </w:r>
      </w:hyperlink>
      <w:r>
        <w:rPr>
          <w:rtl/>
        </w:rPr>
        <w:t xml:space="preserve"> רישא וסיפא ב</w:t>
      </w:r>
      <w:hyperlink r:id="rId9" w:history="1">
        <w:r w:rsidR="007A5CCA" w:rsidRPr="007A5CCA">
          <w:rPr>
            <w:color w:val="0000FF"/>
            <w:u w:val="single"/>
            <w:rtl/>
          </w:rPr>
          <w:t>חוק העונשין</w:t>
        </w:r>
      </w:hyperlink>
      <w:r>
        <w:rPr>
          <w:rtl/>
        </w:rPr>
        <w:t xml:space="preserve"> התשל"ז-1977.</w:t>
      </w:r>
    </w:p>
    <w:p w:rsidR="006B7DF3" w:rsidRPr="00FC5043" w:rsidRDefault="006B7DF3" w:rsidP="006B7DF3">
      <w:pPr>
        <w:spacing w:line="360" w:lineRule="auto"/>
      </w:pPr>
    </w:p>
    <w:p w:rsidR="006B7DF3" w:rsidRDefault="006B7DF3" w:rsidP="006B7DF3">
      <w:pPr>
        <w:spacing w:line="360" w:lineRule="auto"/>
        <w:ind w:left="720" w:hanging="720"/>
        <w:rPr>
          <w:rtl/>
        </w:rPr>
      </w:pPr>
      <w:r>
        <w:rPr>
          <w:rtl/>
        </w:rPr>
        <w:t>3.</w:t>
      </w:r>
      <w:r>
        <w:rPr>
          <w:rtl/>
        </w:rPr>
        <w:tab/>
        <w:t xml:space="preserve">במסגרת הסדר הטיעון, המליצו הצדדים לבית המשפט להטיל על הנאשם 16 חודשי מאסר בפועל מיום מעצרו, מאסר על תנאי וקנס לשיקול דעת בית המשפט. </w:t>
      </w:r>
    </w:p>
    <w:p w:rsidR="006B7DF3" w:rsidRDefault="006B7DF3" w:rsidP="006B7DF3">
      <w:pPr>
        <w:spacing w:line="360" w:lineRule="auto"/>
        <w:ind w:left="720"/>
        <w:rPr>
          <w:rtl/>
        </w:rPr>
      </w:pPr>
    </w:p>
    <w:p w:rsidR="006B7DF3" w:rsidRPr="00EB77FE" w:rsidRDefault="006B7DF3" w:rsidP="006B7DF3">
      <w:pPr>
        <w:spacing w:line="360" w:lineRule="auto"/>
        <w:ind w:left="720" w:hanging="720"/>
        <w:rPr>
          <w:rtl/>
        </w:rPr>
      </w:pPr>
      <w:r>
        <w:rPr>
          <w:rtl/>
        </w:rPr>
        <w:t>4.</w:t>
      </w:r>
      <w:r>
        <w:rPr>
          <w:rtl/>
        </w:rPr>
        <w:tab/>
        <w:t xml:space="preserve">ב"כ התביעה הציג את עברו הפלילי של הנאשם – בעבירות של סחר בסמים; החזקת סכין שלא כדין; הפרעה לשוטר; העלבת עובד ציבור ועוד.  טען כי </w:t>
      </w:r>
      <w:r w:rsidRPr="00EB77FE">
        <w:rPr>
          <w:rtl/>
        </w:rPr>
        <w:t>הסדר הטיעון נכרת לאחר משא ומתן בין הצדדים</w:t>
      </w:r>
      <w:r>
        <w:rPr>
          <w:rtl/>
        </w:rPr>
        <w:t xml:space="preserve">. ציין כי לאחר </w:t>
      </w:r>
      <w:r w:rsidRPr="00EB77FE">
        <w:rPr>
          <w:rtl/>
        </w:rPr>
        <w:t>דיון בעתירה לגילוי ראיה</w:t>
      </w:r>
      <w:r>
        <w:rPr>
          <w:rtl/>
        </w:rPr>
        <w:t>,</w:t>
      </w:r>
      <w:r w:rsidRPr="00EB77FE">
        <w:rPr>
          <w:rtl/>
        </w:rPr>
        <w:t xml:space="preserve"> </w:t>
      </w:r>
      <w:r>
        <w:rPr>
          <w:rtl/>
        </w:rPr>
        <w:t xml:space="preserve">התביעה שקלה את עמדתה וכתב האישום תוקן כך שתחת העבירה של הובלה ונשיאת נשק יוחסה לנאשם עבירת החזקת נשק והוסכם </w:t>
      </w:r>
      <w:r w:rsidRPr="00EB77FE">
        <w:rPr>
          <w:rtl/>
        </w:rPr>
        <w:t>ל</w:t>
      </w:r>
      <w:r>
        <w:rPr>
          <w:rtl/>
        </w:rPr>
        <w:t>המליץ לבית המשפט להטיל על הנאשם עונש מאסר המצוי</w:t>
      </w:r>
      <w:r w:rsidRPr="00EB77FE">
        <w:rPr>
          <w:rtl/>
        </w:rPr>
        <w:t xml:space="preserve"> בחלק האמצעי תחתון של </w:t>
      </w:r>
      <w:r>
        <w:rPr>
          <w:rtl/>
        </w:rPr>
        <w:t>מתחם העונש ההולם</w:t>
      </w:r>
      <w:r w:rsidRPr="00EB77FE">
        <w:rPr>
          <w:rtl/>
        </w:rPr>
        <w:t xml:space="preserve">. </w:t>
      </w:r>
      <w:r>
        <w:rPr>
          <w:rtl/>
        </w:rPr>
        <w:t xml:space="preserve">ועתר לכבד את הסדר הטיעון. </w:t>
      </w:r>
    </w:p>
    <w:p w:rsidR="006B7DF3" w:rsidRDefault="006B7DF3" w:rsidP="006B7DF3">
      <w:pPr>
        <w:spacing w:line="360" w:lineRule="auto"/>
        <w:ind w:left="720"/>
        <w:rPr>
          <w:rtl/>
        </w:rPr>
      </w:pPr>
    </w:p>
    <w:p w:rsidR="006B7DF3" w:rsidRPr="00EB77FE" w:rsidRDefault="006B7DF3" w:rsidP="006B7DF3">
      <w:pPr>
        <w:spacing w:line="360" w:lineRule="auto"/>
        <w:ind w:left="720"/>
        <w:rPr>
          <w:rtl/>
        </w:rPr>
      </w:pPr>
      <w:r>
        <w:rPr>
          <w:rtl/>
        </w:rPr>
        <w:t xml:space="preserve">ב"כ הנאשם הסביר כי </w:t>
      </w:r>
      <w:r w:rsidRPr="00EB77FE">
        <w:rPr>
          <w:rtl/>
        </w:rPr>
        <w:t xml:space="preserve">מלכתחילה המידע </w:t>
      </w:r>
      <w:r>
        <w:rPr>
          <w:rtl/>
        </w:rPr>
        <w:t xml:space="preserve">בנוגע לאקדח התייחס לשגיא, ופעילות המשטרה כוונה אליו. ומחומר </w:t>
      </w:r>
      <w:r w:rsidRPr="00EB77FE">
        <w:rPr>
          <w:rtl/>
        </w:rPr>
        <w:t>הראיות ע</w:t>
      </w:r>
      <w:r>
        <w:rPr>
          <w:rtl/>
        </w:rPr>
        <w:t>ו</w:t>
      </w:r>
      <w:r w:rsidRPr="00EB77FE">
        <w:rPr>
          <w:rtl/>
        </w:rPr>
        <w:t>לה ש</w:t>
      </w:r>
      <w:r>
        <w:rPr>
          <w:rtl/>
        </w:rPr>
        <w:t>הנאשם קיבל לרשותו את האקדח זמן קצר לפני שנעצר על ידי השוטרים, ו</w:t>
      </w:r>
      <w:r w:rsidRPr="00EB77FE">
        <w:rPr>
          <w:rtl/>
        </w:rPr>
        <w:t>לא הי</w:t>
      </w:r>
      <w:r>
        <w:rPr>
          <w:rtl/>
        </w:rPr>
        <w:t>ת</w:t>
      </w:r>
      <w:r w:rsidRPr="00EB77FE">
        <w:rPr>
          <w:rtl/>
        </w:rPr>
        <w:t xml:space="preserve">ה </w:t>
      </w:r>
      <w:r>
        <w:rPr>
          <w:rtl/>
        </w:rPr>
        <w:t xml:space="preserve">ראיה עצמאית הקושרת את האקדח לנאשם. טען שבנסיבות בכללן העונש המוצע סביר; ציין כי הנאשם עבד לפרנסתו לפני מעצרו וימים ספורים לאחר מעצרו נולדה לנאשם בת. וביקש </w:t>
      </w:r>
      <w:r w:rsidRPr="00EB77FE">
        <w:rPr>
          <w:rtl/>
        </w:rPr>
        <w:t xml:space="preserve">לכבד את הסדר הטיעון. </w:t>
      </w:r>
    </w:p>
    <w:p w:rsidR="006B7DF3" w:rsidRPr="00EB77FE" w:rsidRDefault="006B7DF3" w:rsidP="006B7DF3">
      <w:pPr>
        <w:spacing w:line="360" w:lineRule="auto"/>
        <w:ind w:left="720"/>
        <w:rPr>
          <w:rtl/>
        </w:rPr>
      </w:pPr>
    </w:p>
    <w:p w:rsidR="006B7DF3" w:rsidRPr="00EB77FE" w:rsidRDefault="006B7DF3" w:rsidP="006B7DF3">
      <w:pPr>
        <w:spacing w:line="360" w:lineRule="auto"/>
        <w:ind w:left="720"/>
        <w:rPr>
          <w:rtl/>
        </w:rPr>
      </w:pPr>
      <w:r>
        <w:rPr>
          <w:rtl/>
        </w:rPr>
        <w:t>הנאשם הביע צער על מעשיו ואמר כי בכוונתו לשקם את עצמו למען בתו הקטנה.</w:t>
      </w:r>
      <w:r w:rsidRPr="00EB77FE">
        <w:rPr>
          <w:rtl/>
        </w:rPr>
        <w:t xml:space="preserve"> </w:t>
      </w:r>
    </w:p>
    <w:p w:rsidR="006B7DF3" w:rsidRDefault="006B7DF3" w:rsidP="006B7DF3">
      <w:pPr>
        <w:spacing w:line="360" w:lineRule="auto"/>
        <w:ind w:left="720"/>
      </w:pPr>
    </w:p>
    <w:p w:rsidR="006B7DF3" w:rsidRDefault="006B7DF3" w:rsidP="006B7DF3">
      <w:pPr>
        <w:spacing w:line="360" w:lineRule="auto"/>
        <w:ind w:left="720" w:hanging="720"/>
        <w:rPr>
          <w:rtl/>
        </w:rPr>
      </w:pPr>
      <w:r>
        <w:rPr>
          <w:rtl/>
        </w:rPr>
        <w:t>5.</w:t>
      </w:r>
      <w:r>
        <w:rPr>
          <w:rtl/>
        </w:rPr>
        <w:tab/>
      </w:r>
      <w:r w:rsidRPr="00646F6D">
        <w:rPr>
          <w:rtl/>
        </w:rPr>
        <w:t>נשק הוא כלי מסוכן</w:t>
      </w:r>
      <w:r>
        <w:rPr>
          <w:rtl/>
        </w:rPr>
        <w:t xml:space="preserve">. החזקתו מחייבת רישיון. הגעתו לידי מי שאינו מורשה לכך,  כרוכה בעבירה. והחזקתו בידי עבריינים, מוכוונת להוצאה לפועל של עבירות חמורות אחרות. נוכח מאפיינים אלה, האינטרס הציבורי מחייב להעניש בחומרה על עצם ההחזקה העבריינית שלו. ואכן, מגמת הפסיקה בשנים האחרונות היא של החמרה ממשית בענישת עבירות הנשק. </w:t>
      </w:r>
    </w:p>
    <w:p w:rsidR="006B7DF3" w:rsidRDefault="006B7DF3" w:rsidP="006B7DF3">
      <w:pPr>
        <w:spacing w:line="360" w:lineRule="auto"/>
        <w:ind w:left="720" w:hanging="720"/>
        <w:rPr>
          <w:rtl/>
        </w:rPr>
      </w:pPr>
    </w:p>
    <w:p w:rsidR="006B7DF3" w:rsidRDefault="006B7DF3" w:rsidP="006B7DF3">
      <w:pPr>
        <w:spacing w:line="360" w:lineRule="auto"/>
        <w:ind w:left="720" w:hanging="720"/>
        <w:rPr>
          <w:rtl/>
        </w:rPr>
      </w:pPr>
      <w:r>
        <w:rPr>
          <w:rtl/>
        </w:rPr>
        <w:t>6.</w:t>
      </w:r>
      <w:r>
        <w:rPr>
          <w:rtl/>
        </w:rPr>
        <w:tab/>
        <w:t xml:space="preserve">לצד האמור, הענישה הקונקרטית מושפעת מנסיבות ביצוע העבירה ועל העונש לעמוד בהלימה לחומרת המעשה בנסיבותיו ולמידת אשמו של הנאשם. </w:t>
      </w:r>
    </w:p>
    <w:p w:rsidR="006B7DF3" w:rsidRDefault="006B7DF3" w:rsidP="006B7DF3">
      <w:pPr>
        <w:spacing w:line="360" w:lineRule="auto"/>
        <w:ind w:left="720" w:hanging="720"/>
        <w:rPr>
          <w:rtl/>
        </w:rPr>
      </w:pPr>
    </w:p>
    <w:p w:rsidR="006B7DF3" w:rsidRDefault="006B7DF3" w:rsidP="006B7DF3">
      <w:pPr>
        <w:spacing w:line="360" w:lineRule="auto"/>
        <w:ind w:left="720" w:hanging="720"/>
        <w:rPr>
          <w:rtl/>
        </w:rPr>
      </w:pPr>
      <w:r>
        <w:rPr>
          <w:rtl/>
        </w:rPr>
        <w:t>7.</w:t>
      </w:r>
      <w:r>
        <w:rPr>
          <w:rtl/>
        </w:rPr>
        <w:tab/>
        <w:t xml:space="preserve">העובדה שהודאת הנאשם ניתנה במסגרת הסדר טיעון הכולל המלצה משותפת לעונש, הינה בעלת משמעות רבה, והכלל הוא שבתי המשפט מכבדים הסדרי טיעון. </w:t>
      </w:r>
    </w:p>
    <w:p w:rsidR="006B7DF3" w:rsidRDefault="006B7DF3" w:rsidP="006B7DF3">
      <w:pPr>
        <w:spacing w:line="360" w:lineRule="auto"/>
        <w:ind w:left="720" w:hanging="720"/>
        <w:rPr>
          <w:rtl/>
        </w:rPr>
      </w:pPr>
    </w:p>
    <w:p w:rsidR="006B7DF3" w:rsidRDefault="006B7DF3" w:rsidP="006B7DF3">
      <w:pPr>
        <w:spacing w:line="360" w:lineRule="auto"/>
        <w:ind w:left="720" w:hanging="720"/>
        <w:rPr>
          <w:rtl/>
        </w:rPr>
      </w:pPr>
      <w:r>
        <w:rPr>
          <w:rtl/>
        </w:rPr>
        <w:t>8.</w:t>
      </w:r>
      <w:r>
        <w:rPr>
          <w:rtl/>
        </w:rPr>
        <w:tab/>
        <w:t xml:space="preserve">במקרה זה, הסכמת התביעה לתיקון כתב האישום התבססה על מכלול הראיות שהיו ברשותה, כולל מידע מודיעיני, והיא נראית עניינית וסבירה. וההקלה העונשית הגלומה בעונש המומלץ על ידי הצדדים, מותאמת לנסיבות. </w:t>
      </w:r>
    </w:p>
    <w:p w:rsidR="006B7DF3" w:rsidRDefault="006B7DF3" w:rsidP="006B7DF3">
      <w:pPr>
        <w:spacing w:line="360" w:lineRule="auto"/>
        <w:ind w:left="720" w:hanging="720"/>
        <w:rPr>
          <w:rtl/>
        </w:rPr>
      </w:pPr>
    </w:p>
    <w:p w:rsidR="006B7DF3" w:rsidRDefault="006B7DF3" w:rsidP="006B7DF3">
      <w:pPr>
        <w:spacing w:line="360" w:lineRule="auto"/>
        <w:ind w:left="720" w:hanging="720"/>
        <w:rPr>
          <w:rtl/>
        </w:rPr>
      </w:pPr>
      <w:r>
        <w:rPr>
          <w:rtl/>
        </w:rPr>
        <w:t>9.</w:t>
      </w:r>
      <w:r>
        <w:rPr>
          <w:rtl/>
        </w:rPr>
        <w:tab/>
        <w:t xml:space="preserve">הנאשם הודה במיוחס לו, חסך משאבים הכרוכים בניהול המשפט עד תום, והביע צער על מעשיו, ואין להתייאש מהאפשרות שהוא יתעשת ויזנח את הדרך העבריינית. </w:t>
      </w:r>
    </w:p>
    <w:p w:rsidR="006B7DF3" w:rsidRDefault="006B7DF3" w:rsidP="006B7DF3">
      <w:pPr>
        <w:spacing w:line="360" w:lineRule="auto"/>
        <w:ind w:left="720" w:hanging="720"/>
        <w:rPr>
          <w:rtl/>
        </w:rPr>
      </w:pPr>
    </w:p>
    <w:p w:rsidR="006B7DF3" w:rsidRDefault="006B7DF3" w:rsidP="006B7DF3">
      <w:pPr>
        <w:spacing w:line="360" w:lineRule="auto"/>
        <w:ind w:left="720" w:hanging="720"/>
      </w:pPr>
      <w:r>
        <w:rPr>
          <w:rtl/>
        </w:rPr>
        <w:lastRenderedPageBreak/>
        <w:t>10.</w:t>
      </w:r>
      <w:r>
        <w:rPr>
          <w:rtl/>
        </w:rPr>
        <w:tab/>
        <w:t xml:space="preserve"> הנאשם אמנם בחור צעיר, אולם לחובתו הרשעות קודמות בעבירות חמורות ונשיאת מאסר של 30 חודשים, וקיים חשש שהוא ישוב ויפשע. על העונש לכלול מאסר על תנאי משמעותי שיהיה בו כדי להרתיע את הנאשם מחזרה על ביצוע עבירות.</w:t>
      </w:r>
    </w:p>
    <w:p w:rsidR="006B7DF3" w:rsidRPr="006B7DF3" w:rsidRDefault="006B7DF3" w:rsidP="006B7DF3">
      <w:pPr>
        <w:spacing w:line="360" w:lineRule="auto"/>
        <w:ind w:left="720" w:hanging="720"/>
        <w:rPr>
          <w:rFonts w:ascii="Calibri" w:hAnsi="Calibri"/>
          <w:color w:val="000000"/>
        </w:rPr>
      </w:pPr>
    </w:p>
    <w:p w:rsidR="006B7DF3" w:rsidRPr="006B7DF3" w:rsidRDefault="006B7DF3" w:rsidP="006B7DF3">
      <w:pPr>
        <w:spacing w:line="360" w:lineRule="auto"/>
        <w:ind w:left="720" w:hanging="720"/>
        <w:rPr>
          <w:rFonts w:ascii="Calibri" w:hAnsi="Calibri"/>
          <w:color w:val="000000"/>
        </w:rPr>
      </w:pPr>
    </w:p>
    <w:p w:rsidR="006B7DF3" w:rsidRPr="006B7DF3" w:rsidRDefault="006B7DF3" w:rsidP="006B7DF3">
      <w:pPr>
        <w:spacing w:line="360" w:lineRule="auto"/>
        <w:ind w:left="720" w:hanging="720"/>
        <w:rPr>
          <w:rFonts w:ascii="Calibri" w:hAnsi="Calibri"/>
          <w:color w:val="000000"/>
        </w:rPr>
      </w:pPr>
    </w:p>
    <w:p w:rsidR="006B7DF3" w:rsidRPr="006B7DF3" w:rsidRDefault="006B7DF3" w:rsidP="006B7DF3">
      <w:pPr>
        <w:spacing w:line="360" w:lineRule="auto"/>
        <w:ind w:left="720" w:hanging="720"/>
        <w:rPr>
          <w:rFonts w:ascii="Calibri" w:hAnsi="Calibri"/>
          <w:color w:val="000000"/>
        </w:rPr>
      </w:pPr>
    </w:p>
    <w:p w:rsidR="006B7DF3" w:rsidRPr="006B7DF3" w:rsidRDefault="006B7DF3" w:rsidP="006B7DF3">
      <w:pPr>
        <w:spacing w:line="360" w:lineRule="auto"/>
        <w:ind w:left="720" w:hanging="720"/>
        <w:rPr>
          <w:rFonts w:ascii="Calibri" w:hAnsi="Calibri"/>
          <w:color w:val="000000"/>
        </w:rPr>
      </w:pPr>
    </w:p>
    <w:p w:rsidR="006B7DF3" w:rsidRPr="00E11011" w:rsidRDefault="006B7DF3" w:rsidP="006B7DF3">
      <w:pPr>
        <w:spacing w:line="360" w:lineRule="auto"/>
        <w:ind w:left="720" w:hanging="720"/>
        <w:rPr>
          <w:rFonts w:ascii="FrankRuehl" w:hAnsi="FrankRuehl"/>
          <w:color w:val="000000"/>
        </w:rPr>
      </w:pPr>
      <w:r w:rsidRPr="00E11011">
        <w:rPr>
          <w:rFonts w:ascii="FrankRuehl" w:hAnsi="FrankRuehl"/>
          <w:color w:val="000000"/>
        </w:rPr>
        <w:t xml:space="preserve"> </w:t>
      </w:r>
    </w:p>
    <w:p w:rsidR="006B7DF3" w:rsidRDefault="006B7DF3" w:rsidP="006B7DF3">
      <w:pPr>
        <w:spacing w:line="360" w:lineRule="auto"/>
        <w:rPr>
          <w:rFonts w:ascii="FrankRuehl" w:hAnsi="FrankRuehl"/>
          <w:color w:val="000000"/>
          <w:rtl/>
        </w:rPr>
      </w:pPr>
      <w:r>
        <w:rPr>
          <w:rtl/>
        </w:rPr>
        <w:t>11.</w:t>
      </w:r>
      <w:r>
        <w:rPr>
          <w:rtl/>
        </w:rPr>
        <w:tab/>
      </w:r>
      <w:r>
        <w:rPr>
          <w:rFonts w:ascii="FrankRuehl" w:hAnsi="FrankRuehl" w:hint="eastAsia"/>
          <w:color w:val="000000"/>
          <w:rtl/>
        </w:rPr>
        <w:t>נוכח</w:t>
      </w:r>
      <w:r>
        <w:rPr>
          <w:rFonts w:ascii="FrankRuehl" w:hAnsi="FrankRuehl"/>
          <w:color w:val="000000"/>
          <w:rtl/>
        </w:rPr>
        <w:t xml:space="preserve"> </w:t>
      </w:r>
      <w:r>
        <w:rPr>
          <w:rFonts w:ascii="FrankRuehl" w:hAnsi="FrankRuehl" w:hint="eastAsia"/>
          <w:color w:val="000000"/>
          <w:rtl/>
        </w:rPr>
        <w:t>האמור</w:t>
      </w:r>
      <w:r>
        <w:rPr>
          <w:rFonts w:ascii="FrankRuehl" w:hAnsi="FrankRuehl"/>
          <w:color w:val="000000"/>
          <w:rtl/>
        </w:rPr>
        <w:t xml:space="preserve">, </w:t>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דן</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לעונשים</w:t>
      </w:r>
      <w:r>
        <w:rPr>
          <w:rFonts w:ascii="FrankRuehl" w:hAnsi="FrankRuehl"/>
          <w:color w:val="000000"/>
          <w:rtl/>
        </w:rPr>
        <w:t xml:space="preserve"> </w:t>
      </w:r>
      <w:r>
        <w:rPr>
          <w:rFonts w:ascii="FrankRuehl" w:hAnsi="FrankRuehl" w:hint="eastAsia"/>
          <w:color w:val="000000"/>
          <w:rtl/>
        </w:rPr>
        <w:t>הבאים</w:t>
      </w:r>
      <w:r>
        <w:rPr>
          <w:rFonts w:ascii="FrankRuehl" w:hAnsi="FrankRuehl"/>
          <w:color w:val="000000"/>
          <w:rtl/>
        </w:rPr>
        <w:t>:</w:t>
      </w:r>
    </w:p>
    <w:p w:rsidR="006B7DF3" w:rsidRDefault="006B7DF3" w:rsidP="006B7DF3">
      <w:pPr>
        <w:spacing w:line="360" w:lineRule="auto"/>
        <w:rPr>
          <w:rFonts w:ascii="FrankRuehl" w:hAnsi="FrankRuehl"/>
          <w:color w:val="000000"/>
          <w:rtl/>
        </w:rPr>
      </w:pPr>
    </w:p>
    <w:p w:rsidR="006B7DF3" w:rsidRDefault="006B7DF3" w:rsidP="006B7DF3">
      <w:pPr>
        <w:spacing w:line="360" w:lineRule="auto"/>
        <w:ind w:left="1440" w:hanging="720"/>
        <w:rPr>
          <w:rFonts w:ascii="FrankRuehl" w:hAnsi="FrankRuehl"/>
          <w:color w:val="000000"/>
          <w:rtl/>
        </w:rPr>
      </w:pPr>
      <w:r>
        <w:rPr>
          <w:rFonts w:ascii="FrankRuehl" w:hAnsi="FrankRuehl"/>
          <w:color w:val="000000"/>
          <w:rtl/>
        </w:rPr>
        <w:t>1.</w:t>
      </w:r>
      <w:r>
        <w:rPr>
          <w:rFonts w:ascii="FrankRuehl" w:hAnsi="FrankRuehl"/>
          <w:color w:val="000000"/>
          <w:rtl/>
        </w:rPr>
        <w:tab/>
        <w:t xml:space="preserve">16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מעצרו</w:t>
      </w:r>
      <w:r>
        <w:rPr>
          <w:rFonts w:ascii="FrankRuehl" w:hAnsi="FrankRuehl"/>
          <w:color w:val="000000"/>
          <w:rtl/>
        </w:rPr>
        <w:t>.</w:t>
      </w:r>
    </w:p>
    <w:p w:rsidR="006B7DF3" w:rsidRDefault="006B7DF3" w:rsidP="006B7DF3">
      <w:pPr>
        <w:spacing w:line="360" w:lineRule="auto"/>
        <w:ind w:left="1440" w:hanging="720"/>
        <w:rPr>
          <w:rFonts w:ascii="FrankRuehl" w:hAnsi="FrankRuehl"/>
          <w:color w:val="000000"/>
          <w:rtl/>
        </w:rPr>
      </w:pPr>
      <w:r>
        <w:rPr>
          <w:rFonts w:ascii="FrankRuehl" w:hAnsi="FrankRuehl"/>
          <w:color w:val="000000"/>
          <w:rtl/>
        </w:rPr>
        <w:t>2.</w:t>
      </w:r>
      <w:r>
        <w:rPr>
          <w:rFonts w:ascii="FrankRuehl" w:hAnsi="FrankRuehl"/>
          <w:color w:val="000000"/>
          <w:rtl/>
        </w:rPr>
        <w:tab/>
        <w:t xml:space="preserve">12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נשק</w:t>
      </w:r>
      <w:r>
        <w:rPr>
          <w:rFonts w:ascii="FrankRuehl" w:hAnsi="FrankRuehl"/>
          <w:color w:val="000000"/>
          <w:rtl/>
        </w:rPr>
        <w:t xml:space="preserve"> </w:t>
      </w:r>
      <w:r>
        <w:rPr>
          <w:rFonts w:ascii="FrankRuehl" w:hAnsi="FrankRuehl" w:hint="eastAsia"/>
          <w:color w:val="000000"/>
          <w:rtl/>
        </w:rPr>
        <w:t>שהיא</w:t>
      </w:r>
      <w:r>
        <w:rPr>
          <w:rFonts w:ascii="FrankRuehl" w:hAnsi="FrankRuehl"/>
          <w:color w:val="000000"/>
          <w:rtl/>
        </w:rPr>
        <w:t xml:space="preserve"> </w:t>
      </w:r>
      <w:r>
        <w:rPr>
          <w:rFonts w:ascii="FrankRuehl" w:hAnsi="FrankRuehl" w:hint="eastAsia"/>
          <w:color w:val="000000"/>
          <w:rtl/>
        </w:rPr>
        <w:t>פשע</w:t>
      </w:r>
      <w:r>
        <w:rPr>
          <w:rFonts w:ascii="FrankRuehl" w:hAnsi="FrankRuehl"/>
          <w:color w:val="000000"/>
          <w:rtl/>
        </w:rPr>
        <w:t>.</w:t>
      </w:r>
    </w:p>
    <w:p w:rsidR="006B7DF3" w:rsidRDefault="006B7DF3" w:rsidP="006B7DF3">
      <w:pPr>
        <w:spacing w:line="360" w:lineRule="auto"/>
        <w:ind w:left="1440" w:hanging="720"/>
        <w:rPr>
          <w:rFonts w:ascii="FrankRuehl" w:hAnsi="FrankRuehl"/>
          <w:color w:val="000000"/>
        </w:rPr>
      </w:pPr>
      <w:r>
        <w:rPr>
          <w:rFonts w:ascii="FrankRuehl" w:hAnsi="FrankRuehl"/>
          <w:color w:val="000000"/>
          <w:rtl/>
        </w:rPr>
        <w:t>3.</w:t>
      </w:r>
      <w:r>
        <w:rPr>
          <w:rFonts w:ascii="FrankRuehl" w:hAnsi="FrankRuehl"/>
          <w:color w:val="000000"/>
          <w:rtl/>
        </w:rPr>
        <w:tab/>
        <w:t xml:space="preserve">8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נשק</w:t>
      </w:r>
      <w:r>
        <w:rPr>
          <w:rFonts w:ascii="FrankRuehl" w:hAnsi="FrankRuehl"/>
          <w:color w:val="000000"/>
          <w:rtl/>
        </w:rPr>
        <w:t xml:space="preserve"> </w:t>
      </w:r>
      <w:r>
        <w:rPr>
          <w:rFonts w:ascii="FrankRuehl" w:hAnsi="FrankRuehl" w:hint="eastAsia"/>
          <w:color w:val="000000"/>
          <w:rtl/>
        </w:rPr>
        <w:t>שהיא</w:t>
      </w:r>
      <w:r>
        <w:rPr>
          <w:rFonts w:ascii="FrankRuehl" w:hAnsi="FrankRuehl"/>
          <w:color w:val="000000"/>
          <w:rtl/>
        </w:rPr>
        <w:t xml:space="preserve"> </w:t>
      </w:r>
      <w:r>
        <w:rPr>
          <w:rFonts w:ascii="FrankRuehl" w:hAnsi="FrankRuehl" w:hint="eastAsia"/>
          <w:color w:val="000000"/>
          <w:rtl/>
        </w:rPr>
        <w:t>עוון</w:t>
      </w:r>
      <w:r>
        <w:rPr>
          <w:rFonts w:ascii="FrankRuehl" w:hAnsi="FrankRuehl"/>
          <w:color w:val="000000"/>
          <w:rtl/>
        </w:rPr>
        <w:t xml:space="preserve">. </w:t>
      </w:r>
    </w:p>
    <w:p w:rsidR="006B7DF3" w:rsidRDefault="006B7DF3" w:rsidP="006B7DF3">
      <w:pPr>
        <w:spacing w:line="360" w:lineRule="auto"/>
        <w:ind w:left="1440" w:hanging="720"/>
        <w:rPr>
          <w:rFonts w:ascii="FrankRuehl" w:hAnsi="FrankRuehl"/>
          <w:color w:val="000000"/>
          <w:rtl/>
        </w:rPr>
      </w:pPr>
      <w:r>
        <w:rPr>
          <w:rFonts w:ascii="FrankRuehl" w:hAnsi="FrankRuehl"/>
          <w:color w:val="000000"/>
          <w:rtl/>
        </w:rPr>
        <w:t>4.</w:t>
      </w:r>
      <w:r>
        <w:rPr>
          <w:rFonts w:ascii="FrankRuehl" w:hAnsi="FrankRuehl"/>
          <w:color w:val="000000"/>
          <w:rtl/>
        </w:rPr>
        <w:tab/>
      </w:r>
      <w:r>
        <w:rPr>
          <w:rFonts w:ascii="FrankRuehl" w:hAnsi="FrankRuehl" w:hint="eastAsia"/>
          <w:color w:val="000000"/>
          <w:rtl/>
        </w:rPr>
        <w:t>קנס</w:t>
      </w:r>
      <w:r>
        <w:rPr>
          <w:rFonts w:ascii="FrankRuehl" w:hAnsi="FrankRuehl"/>
          <w:color w:val="000000"/>
          <w:rtl/>
        </w:rPr>
        <w:t xml:space="preserve"> </w:t>
      </w:r>
      <w:r>
        <w:rPr>
          <w:rFonts w:ascii="FrankRuehl" w:hAnsi="FrankRuehl" w:hint="eastAsia"/>
          <w:color w:val="000000"/>
          <w:rtl/>
        </w:rPr>
        <w:t>בסך</w:t>
      </w:r>
      <w:r>
        <w:rPr>
          <w:rFonts w:ascii="FrankRuehl" w:hAnsi="FrankRuehl"/>
          <w:color w:val="000000"/>
          <w:rtl/>
        </w:rPr>
        <w:t xml:space="preserve"> 7,500 </w:t>
      </w:r>
      <w:r>
        <w:rPr>
          <w:rFonts w:ascii="FrankRuehl" w:hAnsi="FrankRuehl" w:hint="eastAsia"/>
          <w:color w:val="000000"/>
          <w:rtl/>
        </w:rPr>
        <w:t>₪</w:t>
      </w:r>
      <w:r>
        <w:rPr>
          <w:rFonts w:ascii="FrankRuehl" w:hAnsi="FrankRuehl"/>
          <w:color w:val="000000"/>
          <w:rtl/>
        </w:rPr>
        <w:t xml:space="preserve"> </w:t>
      </w:r>
      <w:r>
        <w:rPr>
          <w:rFonts w:ascii="FrankRuehl" w:hAnsi="FrankRuehl" w:hint="eastAsia"/>
          <w:color w:val="000000"/>
          <w:rtl/>
        </w:rPr>
        <w:t>או</w:t>
      </w:r>
      <w:r>
        <w:rPr>
          <w:rFonts w:ascii="FrankRuehl" w:hAnsi="FrankRuehl"/>
          <w:color w:val="000000"/>
          <w:rtl/>
        </w:rPr>
        <w:t xml:space="preserve">  30 </w:t>
      </w:r>
      <w:r>
        <w:rPr>
          <w:rFonts w:ascii="FrankRuehl" w:hAnsi="FrankRuehl" w:hint="eastAsia"/>
          <w:color w:val="000000"/>
          <w:rtl/>
        </w:rPr>
        <w:t>ימי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תחתיו</w:t>
      </w:r>
      <w:r>
        <w:rPr>
          <w:rFonts w:ascii="FrankRuehl" w:hAnsi="FrankRuehl"/>
          <w:color w:val="000000"/>
          <w:rtl/>
        </w:rPr>
        <w:t xml:space="preserve">. </w:t>
      </w:r>
    </w:p>
    <w:p w:rsidR="006B7DF3" w:rsidRDefault="006B7DF3" w:rsidP="006B7DF3">
      <w:pPr>
        <w:spacing w:line="360" w:lineRule="auto"/>
        <w:ind w:left="720"/>
        <w:rPr>
          <w:rFonts w:ascii="FrankRuehl" w:hAnsi="FrankRuehl"/>
          <w:b/>
          <w:bCs/>
          <w:color w:val="000000"/>
          <w:rtl/>
        </w:rPr>
      </w:pPr>
    </w:p>
    <w:p w:rsidR="006B7DF3" w:rsidRDefault="006B7DF3" w:rsidP="006B7DF3">
      <w:pPr>
        <w:spacing w:line="360" w:lineRule="auto"/>
        <w:ind w:left="720"/>
        <w:rPr>
          <w:rFonts w:ascii="FrankRuehl" w:hAnsi="FrankRuehl"/>
          <w:b/>
          <w:bCs/>
          <w:color w:val="000000"/>
          <w:rtl/>
        </w:rPr>
      </w:pPr>
    </w:p>
    <w:p w:rsidR="006B7DF3" w:rsidRDefault="006B7DF3" w:rsidP="006B7DF3">
      <w:pPr>
        <w:spacing w:line="360" w:lineRule="auto"/>
        <w:ind w:left="720"/>
        <w:rPr>
          <w:rFonts w:ascii="FrankRuehl" w:hAnsi="FrankRuehl"/>
          <w:b/>
          <w:bCs/>
          <w:color w:val="000000"/>
          <w:rtl/>
        </w:rPr>
      </w:pPr>
    </w:p>
    <w:p w:rsidR="006B7DF3" w:rsidRDefault="006B7DF3" w:rsidP="006B7DF3">
      <w:pPr>
        <w:spacing w:line="360" w:lineRule="auto"/>
        <w:ind w:left="720"/>
        <w:rPr>
          <w:rFonts w:ascii="FrankRuehl" w:hAnsi="FrankRuehl"/>
          <w:b/>
          <w:bCs/>
          <w:color w:val="000000"/>
          <w:rtl/>
        </w:rPr>
      </w:pPr>
      <w:r w:rsidRPr="00297B93">
        <w:rPr>
          <w:rFonts w:ascii="FrankRuehl" w:hAnsi="FrankRuehl" w:hint="eastAsia"/>
          <w:b/>
          <w:bCs/>
          <w:color w:val="000000"/>
          <w:rtl/>
        </w:rPr>
        <w:t>זכות</w:t>
      </w:r>
      <w:r w:rsidRPr="00297B93">
        <w:rPr>
          <w:rFonts w:ascii="FrankRuehl" w:hAnsi="FrankRuehl"/>
          <w:b/>
          <w:bCs/>
          <w:color w:val="000000"/>
          <w:rtl/>
        </w:rPr>
        <w:t xml:space="preserve"> </w:t>
      </w:r>
      <w:r w:rsidRPr="00297B93">
        <w:rPr>
          <w:rFonts w:ascii="FrankRuehl" w:hAnsi="FrankRuehl" w:hint="eastAsia"/>
          <w:b/>
          <w:bCs/>
          <w:color w:val="000000"/>
          <w:rtl/>
        </w:rPr>
        <w:t>ערעור</w:t>
      </w:r>
      <w:r w:rsidRPr="00297B93">
        <w:rPr>
          <w:rFonts w:ascii="FrankRuehl" w:hAnsi="FrankRuehl"/>
          <w:b/>
          <w:bCs/>
          <w:color w:val="000000"/>
          <w:rtl/>
        </w:rPr>
        <w:t xml:space="preserve"> </w:t>
      </w:r>
      <w:r w:rsidRPr="00297B93">
        <w:rPr>
          <w:rFonts w:ascii="FrankRuehl" w:hAnsi="FrankRuehl" w:hint="eastAsia"/>
          <w:b/>
          <w:bCs/>
          <w:color w:val="000000"/>
          <w:rtl/>
        </w:rPr>
        <w:t>תוך</w:t>
      </w:r>
      <w:r w:rsidRPr="00297B93">
        <w:rPr>
          <w:rFonts w:ascii="FrankRuehl" w:hAnsi="FrankRuehl"/>
          <w:b/>
          <w:bCs/>
          <w:color w:val="000000"/>
          <w:rtl/>
        </w:rPr>
        <w:t xml:space="preserve"> 45 </w:t>
      </w:r>
      <w:r w:rsidRPr="00297B93">
        <w:rPr>
          <w:rFonts w:ascii="FrankRuehl" w:hAnsi="FrankRuehl" w:hint="eastAsia"/>
          <w:b/>
          <w:bCs/>
          <w:color w:val="000000"/>
          <w:rtl/>
        </w:rPr>
        <w:t>יום</w:t>
      </w:r>
      <w:r w:rsidRPr="00297B93">
        <w:rPr>
          <w:rFonts w:ascii="FrankRuehl" w:hAnsi="FrankRuehl"/>
          <w:b/>
          <w:bCs/>
          <w:color w:val="000000"/>
          <w:rtl/>
        </w:rPr>
        <w:t>.</w:t>
      </w:r>
    </w:p>
    <w:p w:rsidR="006B7DF3" w:rsidRDefault="006B7DF3" w:rsidP="006B7DF3">
      <w:pPr>
        <w:spacing w:line="360" w:lineRule="auto"/>
        <w:ind w:left="720"/>
        <w:rPr>
          <w:rFonts w:ascii="FrankRuehl" w:hAnsi="FrankRuehl"/>
          <w:b/>
          <w:bCs/>
          <w:color w:val="000000"/>
          <w:rtl/>
        </w:rPr>
      </w:pPr>
    </w:p>
    <w:p w:rsidR="006B7DF3" w:rsidRDefault="006B7DF3" w:rsidP="006B7DF3">
      <w:pPr>
        <w:spacing w:line="360" w:lineRule="auto"/>
        <w:ind w:left="720"/>
        <w:rPr>
          <w:rFonts w:ascii="FrankRuehl" w:hAnsi="FrankRuehl"/>
          <w:b/>
          <w:bCs/>
          <w:color w:val="000000"/>
          <w:rtl/>
        </w:rPr>
      </w:pPr>
    </w:p>
    <w:p w:rsidR="006B7DF3" w:rsidRDefault="007A5CCA" w:rsidP="006B7DF3">
      <w:pPr>
        <w:jc w:val="center"/>
        <w:rPr>
          <w:rtl/>
        </w:rPr>
      </w:pPr>
      <w:bookmarkStart w:id="7" w:name="Nitan"/>
      <w:r w:rsidRPr="007A5CCA">
        <w:rPr>
          <w:b/>
          <w:bCs/>
          <w:color w:val="FFFFFF"/>
          <w:sz w:val="2"/>
          <w:szCs w:val="2"/>
          <w:rtl/>
        </w:rPr>
        <w:t>5129371</w:t>
      </w:r>
      <w:r>
        <w:rPr>
          <w:b/>
          <w:bCs/>
          <w:rtl/>
        </w:rPr>
        <w:t xml:space="preserve">ניתנה והודעה היום י"ג טבת תשפ"א, 28/12/2020 במעמד הנוכחים. </w:t>
      </w:r>
      <w:bookmarkEnd w:id="7"/>
    </w:p>
    <w:tbl>
      <w:tblPr>
        <w:bidiVisual/>
        <w:tblW w:w="3267" w:type="dxa"/>
        <w:tblInd w:w="5381" w:type="dxa"/>
        <w:tblBorders>
          <w:insideH w:val="single" w:sz="4" w:space="0" w:color="auto"/>
          <w:insideV w:val="single" w:sz="4" w:space="0" w:color="auto"/>
        </w:tblBorders>
        <w:tblLook w:val="01E0" w:firstRow="1" w:lastRow="1" w:firstColumn="1" w:lastColumn="1" w:noHBand="0" w:noVBand="0"/>
      </w:tblPr>
      <w:tblGrid>
        <w:gridCol w:w="3267"/>
      </w:tblGrid>
      <w:tr w:rsidR="006B7DF3" w:rsidTr="006B7DF3">
        <w:trPr>
          <w:trHeight w:val="316"/>
        </w:trPr>
        <w:tc>
          <w:tcPr>
            <w:tcW w:w="3267" w:type="dxa"/>
            <w:tcBorders>
              <w:top w:val="nil"/>
              <w:left w:val="nil"/>
              <w:bottom w:val="single" w:sz="4" w:space="0" w:color="auto"/>
              <w:right w:val="nil"/>
            </w:tcBorders>
            <w:shd w:val="clear" w:color="auto" w:fill="auto"/>
          </w:tcPr>
          <w:p w:rsidR="006B7DF3" w:rsidRPr="007A5CCA" w:rsidRDefault="007A5CCA" w:rsidP="006B7DF3">
            <w:pPr>
              <w:jc w:val="center"/>
              <w:rPr>
                <w:color w:val="FFFFFF"/>
                <w:sz w:val="2"/>
                <w:szCs w:val="2"/>
                <w:rtl/>
              </w:rPr>
            </w:pPr>
            <w:r w:rsidRPr="007A5CCA">
              <w:rPr>
                <w:color w:val="FFFFFF"/>
                <w:sz w:val="2"/>
                <w:szCs w:val="2"/>
                <w:rtl/>
              </w:rPr>
              <w:t>54678313</w:t>
            </w:r>
          </w:p>
          <w:p w:rsidR="006B7DF3" w:rsidRDefault="006B7DF3" w:rsidP="006B7DF3">
            <w:pPr>
              <w:jc w:val="center"/>
            </w:pPr>
          </w:p>
        </w:tc>
      </w:tr>
      <w:tr w:rsidR="006B7DF3" w:rsidTr="006B7DF3">
        <w:trPr>
          <w:trHeight w:val="361"/>
        </w:trPr>
        <w:tc>
          <w:tcPr>
            <w:tcW w:w="3267" w:type="dxa"/>
            <w:tcBorders>
              <w:top w:val="single" w:sz="4" w:space="0" w:color="auto"/>
              <w:left w:val="nil"/>
              <w:bottom w:val="nil"/>
              <w:right w:val="nil"/>
            </w:tcBorders>
            <w:shd w:val="clear" w:color="auto" w:fill="auto"/>
          </w:tcPr>
          <w:p w:rsidR="006B7DF3" w:rsidRPr="006B7DF3" w:rsidRDefault="006B7DF3" w:rsidP="006B7DF3">
            <w:pPr>
              <w:jc w:val="center"/>
              <w:rPr>
                <w:b/>
                <w:bCs/>
                <w:rtl/>
              </w:rPr>
            </w:pPr>
            <w:r w:rsidRPr="006B7DF3">
              <w:rPr>
                <w:rFonts w:hint="cs"/>
                <w:b/>
                <w:bCs/>
                <w:rtl/>
              </w:rPr>
              <w:t>אליהו ביתן, שופט</w:t>
            </w:r>
          </w:p>
          <w:p w:rsidR="006B7DF3" w:rsidRPr="006B7DF3" w:rsidRDefault="006B7DF3" w:rsidP="006B7DF3">
            <w:pPr>
              <w:jc w:val="center"/>
              <w:rPr>
                <w:b/>
                <w:bCs/>
                <w:rtl/>
              </w:rPr>
            </w:pPr>
            <w:r w:rsidRPr="006B7DF3">
              <w:rPr>
                <w:rFonts w:hint="cs"/>
                <w:b/>
                <w:bCs/>
                <w:rtl/>
              </w:rPr>
              <w:t>סגן הנשיאה</w:t>
            </w:r>
          </w:p>
        </w:tc>
      </w:tr>
    </w:tbl>
    <w:p w:rsidR="006B7DF3" w:rsidRDefault="006B7DF3" w:rsidP="006B7DF3">
      <w:pPr>
        <w:jc w:val="right"/>
        <w:rPr>
          <w:rFonts w:ascii="David" w:hAnsi="David"/>
          <w:rtl/>
        </w:rPr>
      </w:pPr>
    </w:p>
    <w:p w:rsidR="00A77070" w:rsidRPr="007A5CCA" w:rsidRDefault="00A77070" w:rsidP="007A5CCA">
      <w:pPr>
        <w:keepNext/>
        <w:rPr>
          <w:rFonts w:ascii="David" w:hAnsi="David"/>
          <w:color w:val="000000"/>
          <w:sz w:val="22"/>
          <w:szCs w:val="22"/>
          <w:rtl/>
        </w:rPr>
      </w:pPr>
    </w:p>
    <w:p w:rsidR="007A5CCA" w:rsidRPr="007A5CCA" w:rsidRDefault="007A5CCA" w:rsidP="007A5CCA">
      <w:pPr>
        <w:keepNext/>
        <w:rPr>
          <w:rFonts w:ascii="David" w:hAnsi="David"/>
          <w:color w:val="000000"/>
          <w:sz w:val="22"/>
          <w:szCs w:val="22"/>
          <w:rtl/>
        </w:rPr>
      </w:pPr>
      <w:r w:rsidRPr="007A5CCA">
        <w:rPr>
          <w:rFonts w:ascii="David" w:hAnsi="David"/>
          <w:color w:val="000000"/>
          <w:sz w:val="22"/>
          <w:szCs w:val="22"/>
          <w:rtl/>
        </w:rPr>
        <w:t>אליהו ביתן 54678313</w:t>
      </w:r>
    </w:p>
    <w:p w:rsidR="007A5CCA" w:rsidRDefault="007A5CCA" w:rsidP="007A5CCA">
      <w:r w:rsidRPr="007A5CCA">
        <w:rPr>
          <w:color w:val="000000"/>
          <w:rtl/>
        </w:rPr>
        <w:t>נוסח מסמך זה כפוף לשינויי ניסוח ועריכה</w:t>
      </w:r>
    </w:p>
    <w:p w:rsidR="007A5CCA" w:rsidRDefault="007A5CCA" w:rsidP="007A5CCA">
      <w:pPr>
        <w:rPr>
          <w:rtl/>
        </w:rPr>
      </w:pPr>
    </w:p>
    <w:p w:rsidR="007A5CCA" w:rsidRDefault="007A5CCA" w:rsidP="007A5CCA">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rsidR="007A5CCA" w:rsidRPr="007A5CCA" w:rsidRDefault="007A5CCA" w:rsidP="007A5CCA">
      <w:pPr>
        <w:jc w:val="center"/>
        <w:rPr>
          <w:color w:val="0000FF"/>
          <w:u w:val="single"/>
        </w:rPr>
      </w:pPr>
    </w:p>
    <w:sectPr w:rsidR="007A5CCA" w:rsidRPr="007A5CCA" w:rsidSect="007A5CCA">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12C" w:rsidRDefault="00FA512C" w:rsidP="001A2500">
      <w:r>
        <w:separator/>
      </w:r>
    </w:p>
  </w:endnote>
  <w:endnote w:type="continuationSeparator" w:id="0">
    <w:p w:rsidR="00FA512C" w:rsidRDefault="00FA512C" w:rsidP="001A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CCA" w:rsidRDefault="007A5CCA" w:rsidP="007A5C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D02FD9" w:rsidRPr="007A5CCA" w:rsidRDefault="007A5CCA" w:rsidP="007A5C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CCA" w:rsidRDefault="007A5CCA" w:rsidP="007A5C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4D7A">
      <w:rPr>
        <w:rFonts w:ascii="FrankRuehl" w:hAnsi="FrankRuehl" w:cs="FrankRuehl"/>
        <w:noProof/>
        <w:rtl/>
      </w:rPr>
      <w:t>1</w:t>
    </w:r>
    <w:r>
      <w:rPr>
        <w:rFonts w:ascii="FrankRuehl" w:hAnsi="FrankRuehl" w:cs="FrankRuehl"/>
        <w:rtl/>
      </w:rPr>
      <w:fldChar w:fldCharType="end"/>
    </w:r>
  </w:p>
  <w:p w:rsidR="00D02FD9" w:rsidRPr="007A5CCA" w:rsidRDefault="007A5CCA" w:rsidP="007A5C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12C" w:rsidRDefault="00FA512C" w:rsidP="001A2500">
      <w:r>
        <w:separator/>
      </w:r>
    </w:p>
  </w:footnote>
  <w:footnote w:type="continuationSeparator" w:id="0">
    <w:p w:rsidR="00FA512C" w:rsidRDefault="00FA512C" w:rsidP="001A2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CCA" w:rsidRPr="007A5CCA" w:rsidRDefault="007A5CCA" w:rsidP="007A5C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40815-12-19</w:t>
    </w:r>
    <w:r>
      <w:rPr>
        <w:rFonts w:ascii="David" w:hAnsi="David"/>
        <w:color w:val="000000"/>
        <w:sz w:val="22"/>
        <w:szCs w:val="22"/>
        <w:rtl/>
      </w:rPr>
      <w:tab/>
      <w:t xml:space="preserve"> מדינת ישראל נ' שלומי סילוק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CCA" w:rsidRPr="007A5CCA" w:rsidRDefault="007A5CCA" w:rsidP="007A5C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40815-12-19</w:t>
    </w:r>
    <w:r>
      <w:rPr>
        <w:rFonts w:ascii="David" w:hAnsi="David"/>
        <w:color w:val="000000"/>
        <w:sz w:val="22"/>
        <w:szCs w:val="22"/>
        <w:rtl/>
      </w:rPr>
      <w:tab/>
      <w:t xml:space="preserve"> מדינת ישראל נ' שלומי סילוק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7DF3"/>
    <w:rsid w:val="001A2500"/>
    <w:rsid w:val="002A4D7A"/>
    <w:rsid w:val="003A33AF"/>
    <w:rsid w:val="006B7DF3"/>
    <w:rsid w:val="007A5CCA"/>
    <w:rsid w:val="00A77070"/>
    <w:rsid w:val="00BF249E"/>
    <w:rsid w:val="00D02FD9"/>
    <w:rsid w:val="00F009DE"/>
    <w:rsid w:val="00F80B14"/>
    <w:rsid w:val="00FA5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A4168D7-5E28-463F-8CA2-2B72D6EE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7D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7DF3"/>
    <w:pPr>
      <w:tabs>
        <w:tab w:val="center" w:pos="4153"/>
        <w:tab w:val="right" w:pos="8306"/>
      </w:tabs>
    </w:pPr>
  </w:style>
  <w:style w:type="character" w:customStyle="1" w:styleId="a4">
    <w:name w:val="כותרת עליונה תו"/>
    <w:link w:val="a3"/>
    <w:rsid w:val="006B7DF3"/>
    <w:rPr>
      <w:rFonts w:ascii="Times New Roman" w:eastAsia="Times New Roman" w:hAnsi="Times New Roman" w:cs="David"/>
      <w:sz w:val="24"/>
      <w:szCs w:val="24"/>
    </w:rPr>
  </w:style>
  <w:style w:type="paragraph" w:styleId="a5">
    <w:name w:val="footer"/>
    <w:basedOn w:val="a"/>
    <w:link w:val="a6"/>
    <w:rsid w:val="006B7DF3"/>
    <w:pPr>
      <w:tabs>
        <w:tab w:val="center" w:pos="4153"/>
        <w:tab w:val="right" w:pos="8306"/>
      </w:tabs>
    </w:pPr>
  </w:style>
  <w:style w:type="character" w:customStyle="1" w:styleId="a6">
    <w:name w:val="כותרת תחתונה תו"/>
    <w:link w:val="a5"/>
    <w:rsid w:val="006B7DF3"/>
    <w:rPr>
      <w:rFonts w:ascii="Times New Roman" w:eastAsia="Times New Roman" w:hAnsi="Times New Roman" w:cs="David"/>
      <w:sz w:val="24"/>
      <w:szCs w:val="24"/>
    </w:rPr>
  </w:style>
  <w:style w:type="table" w:styleId="a7">
    <w:name w:val="Table Grid"/>
    <w:basedOn w:val="a1"/>
    <w:rsid w:val="006B7D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7DF3"/>
  </w:style>
  <w:style w:type="character" w:styleId="Hyperlink">
    <w:name w:val="Hyperlink"/>
    <w:rsid w:val="007A5C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3931</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40815</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שלומי סילוק</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20201228</vt:lpwstr>
  </property>
  <property fmtid="{D5CDD505-2E9C-101B-9397-08002B2CF9AE}" pid="13" name="TYPE_N_DATE">
    <vt:lpwstr>39020201228</vt:lpwstr>
  </property>
  <property fmtid="{D5CDD505-2E9C-101B-9397-08002B2CF9AE}" pid="14" name="WORDNUMPAGES">
    <vt:lpwstr>3</vt:lpwstr>
  </property>
  <property fmtid="{D5CDD505-2E9C-101B-9397-08002B2CF9AE}" pid="15" name="TYPE_ABS_DATE">
    <vt:lpwstr>390020201228</vt:lpwstr>
  </property>
  <property fmtid="{D5CDD505-2E9C-101B-9397-08002B2CF9AE}" pid="16" name="ISABSTRACT">
    <vt:lpwstr>Y</vt:lpwstr>
  </property>
  <property fmtid="{D5CDD505-2E9C-101B-9397-08002B2CF9AE}" pid="17" name="LAWLISTTMP1">
    <vt:lpwstr>70301/144.a</vt:lpwstr>
  </property>
</Properties>
</file>