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452A18" w:rsidRPr="00642540" w14:paraId="5114D567" w14:textId="77777777" w:rsidTr="00C55BEE">
        <w:trPr>
          <w:trHeight w:hRule="exact" w:val="418"/>
          <w:jc w:val="center"/>
        </w:trPr>
        <w:tc>
          <w:tcPr>
            <w:tcW w:w="8721" w:type="dxa"/>
            <w:gridSpan w:val="2"/>
          </w:tcPr>
          <w:p w14:paraId="1034B51D" w14:textId="77777777" w:rsidR="00452A18" w:rsidRPr="00642540" w:rsidRDefault="00452A18" w:rsidP="004E646B">
            <w:pPr>
              <w:pStyle w:val="a3"/>
              <w:jc w:val="center"/>
              <w:rPr>
                <w:rFonts w:ascii="Tahoma" w:hAnsi="Tahoma" w:cs="Tahoma"/>
                <w:color w:val="000080"/>
                <w:rtl/>
              </w:rPr>
            </w:pPr>
            <w:bookmarkStart w:id="0" w:name="FirstLawyer"/>
            <w:bookmarkStart w:id="1" w:name="LastJudge"/>
            <w:r w:rsidRPr="00642540">
              <w:rPr>
                <w:rFonts w:ascii="Tahoma" w:hAnsi="Tahoma" w:cs="Tahoma"/>
                <w:b/>
                <w:bCs/>
                <w:color w:val="000080"/>
                <w:rtl/>
              </w:rPr>
              <w:t>בית המשפט המחוזי בירושלים</w:t>
            </w:r>
          </w:p>
        </w:tc>
      </w:tr>
      <w:tr w:rsidR="00452A18" w:rsidRPr="00642540" w14:paraId="010A1C7B" w14:textId="77777777" w:rsidTr="00C55BEE">
        <w:trPr>
          <w:trHeight w:val="337"/>
          <w:jc w:val="center"/>
        </w:trPr>
        <w:tc>
          <w:tcPr>
            <w:tcW w:w="5057" w:type="dxa"/>
          </w:tcPr>
          <w:p w14:paraId="274BAF47" w14:textId="77777777" w:rsidR="00452A18" w:rsidRPr="00642540" w:rsidRDefault="00452A18" w:rsidP="004E646B">
            <w:pPr>
              <w:rPr>
                <w:rFonts w:cs="FrankRuehl"/>
                <w:sz w:val="28"/>
                <w:szCs w:val="28"/>
                <w:rtl/>
              </w:rPr>
            </w:pPr>
            <w:r w:rsidRPr="00642540">
              <w:rPr>
                <w:rFonts w:cs="FrankRuehl"/>
                <w:sz w:val="28"/>
                <w:szCs w:val="28"/>
                <w:rtl/>
              </w:rPr>
              <w:t>ת"פ</w:t>
            </w:r>
            <w:r w:rsidRPr="00642540">
              <w:rPr>
                <w:rFonts w:cs="FrankRuehl" w:hint="cs"/>
                <w:sz w:val="28"/>
                <w:szCs w:val="28"/>
                <w:rtl/>
              </w:rPr>
              <w:t xml:space="preserve"> </w:t>
            </w:r>
            <w:r w:rsidRPr="00642540">
              <w:rPr>
                <w:rFonts w:cs="FrankRuehl"/>
                <w:sz w:val="28"/>
                <w:szCs w:val="28"/>
                <w:rtl/>
              </w:rPr>
              <w:t>48867-03-20</w:t>
            </w:r>
            <w:r w:rsidRPr="00642540">
              <w:rPr>
                <w:rFonts w:cs="FrankRuehl" w:hint="cs"/>
                <w:sz w:val="28"/>
                <w:szCs w:val="28"/>
                <w:rtl/>
              </w:rPr>
              <w:t xml:space="preserve"> </w:t>
            </w:r>
            <w:r w:rsidRPr="00642540">
              <w:rPr>
                <w:rFonts w:cs="FrankRuehl"/>
                <w:sz w:val="28"/>
                <w:szCs w:val="28"/>
                <w:rtl/>
              </w:rPr>
              <w:t>מדינת ישראל נ' ביאע(עציר)</w:t>
            </w:r>
          </w:p>
          <w:p w14:paraId="1D900EFC" w14:textId="77777777" w:rsidR="00452A18" w:rsidRPr="00642540" w:rsidRDefault="00452A18" w:rsidP="004E646B">
            <w:pPr>
              <w:pStyle w:val="a3"/>
              <w:rPr>
                <w:rFonts w:cs="FrankRuehl"/>
                <w:sz w:val="28"/>
                <w:szCs w:val="28"/>
                <w:rtl/>
              </w:rPr>
            </w:pPr>
          </w:p>
        </w:tc>
        <w:tc>
          <w:tcPr>
            <w:tcW w:w="3664" w:type="dxa"/>
          </w:tcPr>
          <w:p w14:paraId="3A9BAB5F" w14:textId="77777777" w:rsidR="00452A18" w:rsidRPr="00642540" w:rsidRDefault="00452A18" w:rsidP="004E646B">
            <w:pPr>
              <w:pStyle w:val="a3"/>
              <w:jc w:val="right"/>
              <w:rPr>
                <w:rFonts w:cs="FrankRuehl"/>
                <w:sz w:val="28"/>
                <w:szCs w:val="28"/>
                <w:rtl/>
              </w:rPr>
            </w:pPr>
          </w:p>
        </w:tc>
      </w:tr>
    </w:tbl>
    <w:p w14:paraId="7BF33A4D" w14:textId="77777777" w:rsidR="00452A18" w:rsidRPr="00642540" w:rsidRDefault="00452A18" w:rsidP="00452A18">
      <w:pPr>
        <w:pStyle w:val="a3"/>
        <w:rPr>
          <w:rtl/>
        </w:rPr>
      </w:pPr>
      <w:r w:rsidRPr="00642540">
        <w:rPr>
          <w:rFonts w:hint="cs"/>
          <w:rtl/>
        </w:rPr>
        <w:t xml:space="preserve"> </w:t>
      </w:r>
    </w:p>
    <w:p w14:paraId="3D108ED7" w14:textId="77777777" w:rsidR="00452A18" w:rsidRPr="00642540" w:rsidRDefault="00452A18" w:rsidP="00452A18">
      <w:pPr>
        <w:rPr>
          <w:rFonts w:ascii="David" w:hAnsi="David"/>
          <w:b/>
          <w:bCs/>
          <w:rtl/>
        </w:rPr>
      </w:pPr>
    </w:p>
    <w:p w14:paraId="3F449EA7" w14:textId="77777777" w:rsidR="00452A18" w:rsidRPr="00642540" w:rsidRDefault="00452A18" w:rsidP="00452A18">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52A18" w:rsidRPr="00642540" w14:paraId="6234BFA5" w14:textId="77777777" w:rsidTr="00452A18">
        <w:trPr>
          <w:trHeight w:val="295"/>
          <w:jc w:val="center"/>
        </w:trPr>
        <w:tc>
          <w:tcPr>
            <w:tcW w:w="923" w:type="dxa"/>
            <w:tcBorders>
              <w:top w:val="nil"/>
              <w:left w:val="nil"/>
              <w:bottom w:val="nil"/>
              <w:right w:val="nil"/>
            </w:tcBorders>
            <w:shd w:val="clear" w:color="auto" w:fill="auto"/>
          </w:tcPr>
          <w:p w14:paraId="4687509F" w14:textId="77777777" w:rsidR="00452A18" w:rsidRPr="00642540" w:rsidRDefault="00452A18" w:rsidP="00452A18">
            <w:pPr>
              <w:jc w:val="both"/>
              <w:rPr>
                <w:rFonts w:ascii="David" w:hAnsi="David"/>
                <w:b/>
                <w:bCs/>
                <w:sz w:val="28"/>
                <w:szCs w:val="28"/>
              </w:rPr>
            </w:pPr>
            <w:r w:rsidRPr="00642540">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502CC970" w14:textId="77777777" w:rsidR="00452A18" w:rsidRPr="00642540" w:rsidRDefault="00452A18" w:rsidP="004E646B">
            <w:pPr>
              <w:rPr>
                <w:rFonts w:ascii="David" w:hAnsi="David"/>
                <w:b/>
                <w:bCs/>
                <w:rtl/>
              </w:rPr>
            </w:pPr>
            <w:r w:rsidRPr="00642540">
              <w:rPr>
                <w:rFonts w:ascii="David" w:hAnsi="David"/>
                <w:b/>
                <w:bCs/>
                <w:sz w:val="26"/>
                <w:szCs w:val="26"/>
                <w:rtl/>
              </w:rPr>
              <w:t>כבוד השופטת  חגית מאק-קלמנוביץ</w:t>
            </w:r>
          </w:p>
          <w:p w14:paraId="6138BA2F" w14:textId="77777777" w:rsidR="00452A18" w:rsidRPr="00642540" w:rsidRDefault="00452A18" w:rsidP="004E646B">
            <w:pPr>
              <w:rPr>
                <w:rFonts w:ascii="David" w:hAnsi="David"/>
                <w:b/>
                <w:bCs/>
                <w:rtl/>
              </w:rPr>
            </w:pPr>
          </w:p>
          <w:p w14:paraId="584B7783" w14:textId="77777777" w:rsidR="00452A18" w:rsidRPr="00642540" w:rsidRDefault="00452A18" w:rsidP="00452A18">
            <w:pPr>
              <w:jc w:val="both"/>
              <w:rPr>
                <w:rFonts w:ascii="David" w:hAnsi="David"/>
                <w:b/>
                <w:bCs/>
                <w:sz w:val="28"/>
                <w:szCs w:val="28"/>
              </w:rPr>
            </w:pPr>
          </w:p>
        </w:tc>
      </w:tr>
      <w:tr w:rsidR="00452A18" w:rsidRPr="00642540" w14:paraId="06CAFAE5" w14:textId="77777777" w:rsidTr="00452A18">
        <w:trPr>
          <w:trHeight w:val="355"/>
          <w:jc w:val="center"/>
        </w:trPr>
        <w:tc>
          <w:tcPr>
            <w:tcW w:w="923" w:type="dxa"/>
            <w:tcBorders>
              <w:top w:val="nil"/>
              <w:left w:val="nil"/>
              <w:bottom w:val="nil"/>
              <w:right w:val="nil"/>
            </w:tcBorders>
            <w:shd w:val="clear" w:color="auto" w:fill="auto"/>
          </w:tcPr>
          <w:p w14:paraId="1CA8FBBA" w14:textId="77777777" w:rsidR="00452A18" w:rsidRPr="00642540" w:rsidRDefault="00452A18" w:rsidP="00452A18">
            <w:pPr>
              <w:jc w:val="both"/>
              <w:rPr>
                <w:rFonts w:ascii="David" w:hAnsi="David"/>
                <w:b/>
                <w:bCs/>
                <w:sz w:val="28"/>
                <w:szCs w:val="28"/>
              </w:rPr>
            </w:pPr>
            <w:bookmarkStart w:id="2" w:name="FirstAppellant"/>
            <w:r w:rsidRPr="00642540">
              <w:rPr>
                <w:rFonts w:ascii="David" w:hAnsi="David"/>
                <w:b/>
                <w:bCs/>
                <w:sz w:val="28"/>
                <w:szCs w:val="28"/>
                <w:rtl/>
              </w:rPr>
              <w:t>בעניין:</w:t>
            </w:r>
          </w:p>
        </w:tc>
        <w:tc>
          <w:tcPr>
            <w:tcW w:w="4126" w:type="dxa"/>
            <w:tcBorders>
              <w:top w:val="nil"/>
              <w:left w:val="nil"/>
              <w:bottom w:val="nil"/>
              <w:right w:val="nil"/>
            </w:tcBorders>
            <w:shd w:val="clear" w:color="auto" w:fill="auto"/>
          </w:tcPr>
          <w:p w14:paraId="19CDDFCC" w14:textId="77777777" w:rsidR="00452A18" w:rsidRPr="00642540" w:rsidRDefault="00452A18" w:rsidP="004E646B">
            <w:pPr>
              <w:rPr>
                <w:rFonts w:ascii="David" w:hAnsi="David"/>
                <w:b/>
                <w:bCs/>
              </w:rPr>
            </w:pPr>
            <w:r w:rsidRPr="00642540">
              <w:rPr>
                <w:rFonts w:ascii="David" w:hAnsi="David"/>
                <w:b/>
                <w:bCs/>
                <w:sz w:val="28"/>
                <w:szCs w:val="28"/>
                <w:rtl/>
              </w:rPr>
              <w:t>מדינת ישראל</w:t>
            </w:r>
            <w:r w:rsidRPr="00642540">
              <w:rPr>
                <w:rFonts w:ascii="David" w:hAnsi="David"/>
                <w:b/>
                <w:bCs/>
                <w:sz w:val="28"/>
                <w:szCs w:val="28"/>
                <w:rtl/>
              </w:rPr>
              <w:br/>
            </w:r>
            <w:r w:rsidRPr="00642540">
              <w:rPr>
                <w:rFonts w:ascii="David" w:hAnsi="David" w:hint="cs"/>
                <w:b/>
                <w:bCs/>
                <w:rtl/>
              </w:rPr>
              <w:t>ע"י פרקליטות מחוז ירושלים (פלילי)</w:t>
            </w:r>
          </w:p>
        </w:tc>
        <w:tc>
          <w:tcPr>
            <w:tcW w:w="3771" w:type="dxa"/>
            <w:tcBorders>
              <w:top w:val="nil"/>
              <w:left w:val="nil"/>
              <w:bottom w:val="nil"/>
              <w:right w:val="nil"/>
            </w:tcBorders>
            <w:shd w:val="clear" w:color="auto" w:fill="auto"/>
          </w:tcPr>
          <w:p w14:paraId="0A0F44B1" w14:textId="77777777" w:rsidR="00452A18" w:rsidRPr="00642540" w:rsidRDefault="00452A18" w:rsidP="00452A18">
            <w:pPr>
              <w:jc w:val="both"/>
              <w:rPr>
                <w:rFonts w:ascii="David" w:hAnsi="David"/>
                <w:b/>
                <w:bCs/>
                <w:sz w:val="28"/>
                <w:szCs w:val="28"/>
              </w:rPr>
            </w:pPr>
          </w:p>
        </w:tc>
      </w:tr>
      <w:bookmarkEnd w:id="2"/>
      <w:tr w:rsidR="00452A18" w:rsidRPr="00642540" w14:paraId="1DFEB8BD" w14:textId="77777777" w:rsidTr="00452A18">
        <w:trPr>
          <w:trHeight w:val="355"/>
          <w:jc w:val="center"/>
        </w:trPr>
        <w:tc>
          <w:tcPr>
            <w:tcW w:w="923" w:type="dxa"/>
            <w:tcBorders>
              <w:top w:val="nil"/>
              <w:left w:val="nil"/>
              <w:bottom w:val="nil"/>
              <w:right w:val="nil"/>
            </w:tcBorders>
            <w:shd w:val="clear" w:color="auto" w:fill="auto"/>
          </w:tcPr>
          <w:p w14:paraId="3407C655" w14:textId="77777777" w:rsidR="00452A18" w:rsidRPr="00642540" w:rsidRDefault="00452A18" w:rsidP="00452A18">
            <w:pPr>
              <w:jc w:val="both"/>
              <w:rPr>
                <w:rFonts w:ascii="David" w:hAnsi="David"/>
                <w:b/>
                <w:bCs/>
                <w:sz w:val="28"/>
                <w:szCs w:val="28"/>
                <w:rtl/>
              </w:rPr>
            </w:pPr>
          </w:p>
        </w:tc>
        <w:tc>
          <w:tcPr>
            <w:tcW w:w="4126" w:type="dxa"/>
            <w:tcBorders>
              <w:top w:val="nil"/>
              <w:left w:val="nil"/>
              <w:bottom w:val="nil"/>
              <w:right w:val="nil"/>
            </w:tcBorders>
            <w:shd w:val="clear" w:color="auto" w:fill="auto"/>
          </w:tcPr>
          <w:p w14:paraId="29508BFD" w14:textId="77777777" w:rsidR="00452A18" w:rsidRPr="00642540" w:rsidRDefault="00452A18" w:rsidP="00452A18">
            <w:pPr>
              <w:jc w:val="both"/>
              <w:rPr>
                <w:rFonts w:ascii="David" w:hAnsi="David"/>
                <w:b/>
                <w:bCs/>
                <w:rtl/>
              </w:rPr>
            </w:pPr>
          </w:p>
        </w:tc>
        <w:tc>
          <w:tcPr>
            <w:tcW w:w="3771" w:type="dxa"/>
            <w:tcBorders>
              <w:top w:val="nil"/>
              <w:left w:val="nil"/>
              <w:bottom w:val="nil"/>
              <w:right w:val="nil"/>
            </w:tcBorders>
            <w:shd w:val="clear" w:color="auto" w:fill="auto"/>
          </w:tcPr>
          <w:p w14:paraId="12172BF9" w14:textId="77777777" w:rsidR="00452A18" w:rsidRPr="00642540" w:rsidRDefault="00452A18" w:rsidP="00452A18">
            <w:pPr>
              <w:jc w:val="right"/>
              <w:rPr>
                <w:rFonts w:ascii="David" w:hAnsi="David"/>
                <w:b/>
                <w:bCs/>
                <w:sz w:val="28"/>
                <w:szCs w:val="28"/>
                <w:rtl/>
              </w:rPr>
            </w:pPr>
            <w:r w:rsidRPr="00642540">
              <w:rPr>
                <w:rFonts w:ascii="David" w:hAnsi="David"/>
                <w:b/>
                <w:bCs/>
                <w:sz w:val="28"/>
                <w:szCs w:val="28"/>
                <w:rtl/>
              </w:rPr>
              <w:t>המאשימה</w:t>
            </w:r>
          </w:p>
        </w:tc>
      </w:tr>
      <w:tr w:rsidR="00452A18" w:rsidRPr="00642540" w14:paraId="5B733DE9" w14:textId="77777777" w:rsidTr="00452A18">
        <w:trPr>
          <w:trHeight w:val="355"/>
          <w:jc w:val="center"/>
        </w:trPr>
        <w:tc>
          <w:tcPr>
            <w:tcW w:w="923" w:type="dxa"/>
            <w:tcBorders>
              <w:top w:val="nil"/>
              <w:left w:val="nil"/>
              <w:bottom w:val="nil"/>
              <w:right w:val="nil"/>
            </w:tcBorders>
            <w:shd w:val="clear" w:color="auto" w:fill="auto"/>
          </w:tcPr>
          <w:p w14:paraId="5001F6DD" w14:textId="77777777" w:rsidR="00452A18" w:rsidRPr="00642540" w:rsidRDefault="00452A18" w:rsidP="00452A18">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76684BB5" w14:textId="77777777" w:rsidR="00452A18" w:rsidRPr="00642540" w:rsidRDefault="00452A18" w:rsidP="00452A18">
            <w:pPr>
              <w:jc w:val="center"/>
              <w:rPr>
                <w:rFonts w:ascii="David" w:hAnsi="David"/>
                <w:b/>
                <w:bCs/>
                <w:sz w:val="28"/>
                <w:szCs w:val="28"/>
                <w:rtl/>
              </w:rPr>
            </w:pPr>
          </w:p>
          <w:p w14:paraId="1A2D4D47" w14:textId="77777777" w:rsidR="00452A18" w:rsidRPr="00642540" w:rsidRDefault="00452A18" w:rsidP="00452A18">
            <w:pPr>
              <w:jc w:val="center"/>
              <w:rPr>
                <w:rFonts w:ascii="David" w:hAnsi="David"/>
                <w:b/>
                <w:bCs/>
                <w:sz w:val="28"/>
                <w:szCs w:val="28"/>
                <w:rtl/>
              </w:rPr>
            </w:pPr>
            <w:r w:rsidRPr="00642540">
              <w:rPr>
                <w:rFonts w:ascii="David" w:hAnsi="David"/>
                <w:b/>
                <w:bCs/>
                <w:sz w:val="28"/>
                <w:szCs w:val="28"/>
                <w:rtl/>
              </w:rPr>
              <w:t>נגד</w:t>
            </w:r>
          </w:p>
          <w:p w14:paraId="56FA4D45" w14:textId="77777777" w:rsidR="00452A18" w:rsidRPr="00642540" w:rsidRDefault="00452A18" w:rsidP="00452A18">
            <w:pPr>
              <w:jc w:val="both"/>
              <w:rPr>
                <w:rFonts w:ascii="David" w:hAnsi="David"/>
                <w:b/>
                <w:bCs/>
                <w:sz w:val="28"/>
                <w:szCs w:val="28"/>
              </w:rPr>
            </w:pPr>
          </w:p>
        </w:tc>
      </w:tr>
      <w:tr w:rsidR="00452A18" w:rsidRPr="00642540" w14:paraId="79F67CB3" w14:textId="77777777" w:rsidTr="00452A18">
        <w:trPr>
          <w:trHeight w:val="355"/>
          <w:jc w:val="center"/>
        </w:trPr>
        <w:tc>
          <w:tcPr>
            <w:tcW w:w="923" w:type="dxa"/>
            <w:tcBorders>
              <w:top w:val="nil"/>
              <w:left w:val="nil"/>
              <w:bottom w:val="nil"/>
              <w:right w:val="nil"/>
            </w:tcBorders>
            <w:shd w:val="clear" w:color="auto" w:fill="auto"/>
          </w:tcPr>
          <w:p w14:paraId="6F1AF86C" w14:textId="77777777" w:rsidR="00452A18" w:rsidRPr="00642540" w:rsidRDefault="00452A18" w:rsidP="004E646B">
            <w:pPr>
              <w:rPr>
                <w:rFonts w:ascii="David" w:hAnsi="David"/>
                <w:b/>
                <w:bCs/>
                <w:sz w:val="28"/>
                <w:szCs w:val="28"/>
                <w:rtl/>
              </w:rPr>
            </w:pPr>
          </w:p>
        </w:tc>
        <w:tc>
          <w:tcPr>
            <w:tcW w:w="4126" w:type="dxa"/>
            <w:tcBorders>
              <w:top w:val="nil"/>
              <w:left w:val="nil"/>
              <w:bottom w:val="nil"/>
              <w:right w:val="nil"/>
            </w:tcBorders>
            <w:shd w:val="clear" w:color="auto" w:fill="auto"/>
          </w:tcPr>
          <w:p w14:paraId="78B92CD6" w14:textId="77777777" w:rsidR="00452A18" w:rsidRPr="00642540" w:rsidRDefault="00452A18" w:rsidP="004E646B">
            <w:pPr>
              <w:rPr>
                <w:rFonts w:ascii="David" w:hAnsi="David"/>
                <w:b/>
                <w:bCs/>
                <w:rtl/>
              </w:rPr>
            </w:pPr>
            <w:r w:rsidRPr="00642540">
              <w:rPr>
                <w:rFonts w:ascii="David" w:hAnsi="David"/>
                <w:b/>
                <w:bCs/>
                <w:sz w:val="28"/>
                <w:szCs w:val="28"/>
                <w:rtl/>
              </w:rPr>
              <w:t>מחמד ביאע (עציר)</w:t>
            </w:r>
            <w:r w:rsidRPr="00642540">
              <w:rPr>
                <w:rFonts w:ascii="David" w:hAnsi="David"/>
                <w:b/>
                <w:bCs/>
                <w:rtl/>
              </w:rPr>
              <w:br/>
            </w:r>
            <w:r w:rsidRPr="00642540">
              <w:rPr>
                <w:rFonts w:ascii="David" w:hAnsi="David" w:hint="cs"/>
                <w:b/>
                <w:bCs/>
                <w:rtl/>
              </w:rPr>
              <w:t>ע"י ב"כ עו"ד רמי עותמאן</w:t>
            </w:r>
          </w:p>
        </w:tc>
        <w:tc>
          <w:tcPr>
            <w:tcW w:w="3771" w:type="dxa"/>
            <w:tcBorders>
              <w:top w:val="nil"/>
              <w:left w:val="nil"/>
              <w:bottom w:val="nil"/>
              <w:right w:val="nil"/>
            </w:tcBorders>
            <w:shd w:val="clear" w:color="auto" w:fill="auto"/>
          </w:tcPr>
          <w:p w14:paraId="72F9F344" w14:textId="77777777" w:rsidR="00452A18" w:rsidRPr="00642540" w:rsidRDefault="00452A18" w:rsidP="00452A18">
            <w:pPr>
              <w:jc w:val="right"/>
              <w:rPr>
                <w:rFonts w:ascii="David" w:hAnsi="David"/>
                <w:b/>
                <w:bCs/>
                <w:sz w:val="28"/>
                <w:szCs w:val="28"/>
              </w:rPr>
            </w:pPr>
          </w:p>
        </w:tc>
      </w:tr>
      <w:tr w:rsidR="00452A18" w:rsidRPr="00642540" w14:paraId="27932B34" w14:textId="77777777" w:rsidTr="00452A18">
        <w:trPr>
          <w:trHeight w:val="355"/>
          <w:jc w:val="center"/>
        </w:trPr>
        <w:tc>
          <w:tcPr>
            <w:tcW w:w="923" w:type="dxa"/>
            <w:tcBorders>
              <w:top w:val="nil"/>
              <w:left w:val="nil"/>
              <w:bottom w:val="nil"/>
              <w:right w:val="nil"/>
            </w:tcBorders>
            <w:shd w:val="clear" w:color="auto" w:fill="auto"/>
          </w:tcPr>
          <w:p w14:paraId="001AC8C1" w14:textId="77777777" w:rsidR="00452A18" w:rsidRPr="00642540" w:rsidRDefault="00452A18" w:rsidP="00452A18">
            <w:pPr>
              <w:jc w:val="both"/>
              <w:rPr>
                <w:rFonts w:ascii="David" w:hAnsi="David"/>
                <w:b/>
                <w:bCs/>
                <w:sz w:val="28"/>
                <w:szCs w:val="28"/>
                <w:rtl/>
              </w:rPr>
            </w:pPr>
          </w:p>
        </w:tc>
        <w:tc>
          <w:tcPr>
            <w:tcW w:w="4126" w:type="dxa"/>
            <w:tcBorders>
              <w:top w:val="nil"/>
              <w:left w:val="nil"/>
              <w:bottom w:val="nil"/>
              <w:right w:val="nil"/>
            </w:tcBorders>
            <w:shd w:val="clear" w:color="auto" w:fill="auto"/>
          </w:tcPr>
          <w:p w14:paraId="1E9452FB" w14:textId="77777777" w:rsidR="00452A18" w:rsidRPr="00642540" w:rsidRDefault="00452A18" w:rsidP="00452A18">
            <w:pPr>
              <w:jc w:val="both"/>
              <w:rPr>
                <w:rFonts w:ascii="David" w:hAnsi="David"/>
                <w:b/>
                <w:bCs/>
                <w:rtl/>
              </w:rPr>
            </w:pPr>
          </w:p>
        </w:tc>
        <w:tc>
          <w:tcPr>
            <w:tcW w:w="3771" w:type="dxa"/>
            <w:tcBorders>
              <w:top w:val="nil"/>
              <w:left w:val="nil"/>
              <w:bottom w:val="nil"/>
              <w:right w:val="nil"/>
            </w:tcBorders>
            <w:shd w:val="clear" w:color="auto" w:fill="auto"/>
          </w:tcPr>
          <w:p w14:paraId="3B4029DF" w14:textId="77777777" w:rsidR="00452A18" w:rsidRPr="00642540" w:rsidRDefault="00452A18" w:rsidP="00452A18">
            <w:pPr>
              <w:jc w:val="right"/>
              <w:rPr>
                <w:rFonts w:ascii="David" w:hAnsi="David"/>
                <w:b/>
                <w:bCs/>
                <w:sz w:val="28"/>
                <w:szCs w:val="28"/>
              </w:rPr>
            </w:pPr>
            <w:r w:rsidRPr="00642540">
              <w:rPr>
                <w:rFonts w:ascii="David" w:hAnsi="David"/>
                <w:b/>
                <w:bCs/>
                <w:sz w:val="28"/>
                <w:szCs w:val="28"/>
                <w:rtl/>
              </w:rPr>
              <w:t>הנאשם</w:t>
            </w:r>
          </w:p>
        </w:tc>
      </w:tr>
    </w:tbl>
    <w:p w14:paraId="53ED1F8A" w14:textId="77777777" w:rsidR="00452A18" w:rsidRPr="00642540" w:rsidRDefault="00452A18" w:rsidP="00452A18">
      <w:pPr>
        <w:rPr>
          <w:rFonts w:ascii="David" w:hAnsi="David"/>
          <w:b/>
          <w:bCs/>
          <w:rtl/>
        </w:rPr>
      </w:pPr>
    </w:p>
    <w:p w14:paraId="4ADFCD12" w14:textId="77777777" w:rsidR="005B23EB" w:rsidRDefault="005B23EB" w:rsidP="005B23EB">
      <w:pPr>
        <w:rPr>
          <w:rFonts w:ascii="David" w:hAnsi="David"/>
          <w:rtl/>
        </w:rPr>
      </w:pPr>
      <w:bookmarkStart w:id="3" w:name="LawTable"/>
      <w:bookmarkEnd w:id="3"/>
    </w:p>
    <w:p w14:paraId="06CB0083" w14:textId="77777777" w:rsidR="005B23EB" w:rsidRPr="005B23EB" w:rsidRDefault="005B23EB" w:rsidP="005B23EB">
      <w:pPr>
        <w:spacing w:before="120" w:after="120" w:line="240" w:lineRule="exact"/>
        <w:ind w:left="283" w:hanging="283"/>
        <w:jc w:val="both"/>
        <w:rPr>
          <w:rFonts w:ascii="FrankRuehl" w:hAnsi="FrankRuehl" w:cs="FrankRuehl"/>
          <w:rtl/>
        </w:rPr>
      </w:pPr>
    </w:p>
    <w:p w14:paraId="34DF5451" w14:textId="77777777" w:rsidR="005B23EB" w:rsidRPr="005B23EB" w:rsidRDefault="005B23EB" w:rsidP="005B23EB">
      <w:pPr>
        <w:spacing w:before="120" w:after="120" w:line="240" w:lineRule="exact"/>
        <w:ind w:left="283" w:hanging="283"/>
        <w:jc w:val="both"/>
        <w:rPr>
          <w:rFonts w:ascii="FrankRuehl" w:hAnsi="FrankRuehl" w:cs="FrankRuehl"/>
          <w:rtl/>
        </w:rPr>
      </w:pPr>
    </w:p>
    <w:p w14:paraId="76B28023" w14:textId="77777777" w:rsidR="005B23EB" w:rsidRPr="005B23EB" w:rsidRDefault="005B23EB" w:rsidP="005B23EB">
      <w:pPr>
        <w:spacing w:before="120" w:after="120" w:line="240" w:lineRule="exact"/>
        <w:ind w:left="283" w:hanging="283"/>
        <w:jc w:val="both"/>
        <w:rPr>
          <w:rFonts w:ascii="FrankRuehl" w:hAnsi="FrankRuehl" w:cs="FrankRuehl"/>
          <w:rtl/>
        </w:rPr>
      </w:pPr>
      <w:r w:rsidRPr="005B23EB">
        <w:rPr>
          <w:rFonts w:ascii="FrankRuehl" w:hAnsi="FrankRuehl" w:cs="FrankRuehl"/>
          <w:rtl/>
        </w:rPr>
        <w:t xml:space="preserve">חקיקה שאוזכרה: </w:t>
      </w:r>
    </w:p>
    <w:p w14:paraId="38EAC151" w14:textId="77777777" w:rsidR="005B23EB" w:rsidRPr="005B23EB" w:rsidRDefault="005B23EB" w:rsidP="005B23EB">
      <w:pPr>
        <w:spacing w:before="120" w:after="120" w:line="240" w:lineRule="exact"/>
        <w:ind w:left="283" w:hanging="283"/>
        <w:jc w:val="both"/>
        <w:rPr>
          <w:rFonts w:ascii="FrankRuehl" w:hAnsi="FrankRuehl" w:cs="FrankRuehl"/>
          <w:rtl/>
        </w:rPr>
      </w:pPr>
      <w:hyperlink r:id="rId6" w:history="1">
        <w:r w:rsidRPr="005B23EB">
          <w:rPr>
            <w:rFonts w:ascii="FrankRuehl" w:hAnsi="FrankRuehl" w:cs="FrankRuehl"/>
            <w:color w:val="0000FF"/>
            <w:rtl/>
          </w:rPr>
          <w:t>חוק העונשין, תשל"ז-1977</w:t>
        </w:r>
      </w:hyperlink>
      <w:r w:rsidRPr="005B23EB">
        <w:rPr>
          <w:rFonts w:ascii="FrankRuehl" w:hAnsi="FrankRuehl" w:cs="FrankRuehl"/>
          <w:rtl/>
        </w:rPr>
        <w:t xml:space="preserve">: סע'  </w:t>
      </w:r>
      <w:hyperlink r:id="rId7" w:history="1">
        <w:r w:rsidRPr="005B23EB">
          <w:rPr>
            <w:rFonts w:ascii="FrankRuehl" w:hAnsi="FrankRuehl" w:cs="FrankRuehl"/>
            <w:color w:val="0000FF"/>
            <w:rtl/>
          </w:rPr>
          <w:t>144</w:t>
        </w:r>
      </w:hyperlink>
      <w:r w:rsidRPr="005B23EB">
        <w:rPr>
          <w:rFonts w:ascii="FrankRuehl" w:hAnsi="FrankRuehl" w:cs="FrankRuehl"/>
          <w:rtl/>
        </w:rPr>
        <w:t xml:space="preserve">, </w:t>
      </w:r>
      <w:hyperlink r:id="rId8" w:history="1">
        <w:r w:rsidRPr="005B23EB">
          <w:rPr>
            <w:rFonts w:ascii="FrankRuehl" w:hAnsi="FrankRuehl" w:cs="FrankRuehl"/>
            <w:color w:val="0000FF"/>
            <w:rtl/>
          </w:rPr>
          <w:t>144(א)</w:t>
        </w:r>
      </w:hyperlink>
      <w:r w:rsidRPr="005B23EB">
        <w:rPr>
          <w:rFonts w:ascii="FrankRuehl" w:hAnsi="FrankRuehl" w:cs="FrankRuehl"/>
          <w:rtl/>
        </w:rPr>
        <w:t xml:space="preserve">, </w:t>
      </w:r>
      <w:hyperlink r:id="rId9" w:history="1">
        <w:r w:rsidRPr="005B23EB">
          <w:rPr>
            <w:rFonts w:ascii="FrankRuehl" w:hAnsi="FrankRuehl" w:cs="FrankRuehl"/>
            <w:color w:val="0000FF"/>
            <w:rtl/>
          </w:rPr>
          <w:t>334</w:t>
        </w:r>
      </w:hyperlink>
      <w:r w:rsidRPr="005B23EB">
        <w:rPr>
          <w:rFonts w:ascii="FrankRuehl" w:hAnsi="FrankRuehl" w:cs="FrankRuehl"/>
          <w:rtl/>
        </w:rPr>
        <w:t xml:space="preserve">, </w:t>
      </w:r>
      <w:hyperlink r:id="rId10" w:history="1">
        <w:r w:rsidRPr="005B23EB">
          <w:rPr>
            <w:rFonts w:ascii="FrankRuehl" w:hAnsi="FrankRuehl" w:cs="FrankRuehl"/>
            <w:color w:val="0000FF"/>
            <w:rtl/>
          </w:rPr>
          <w:t>335(א)(1)</w:t>
        </w:r>
      </w:hyperlink>
      <w:r w:rsidRPr="005B23EB">
        <w:rPr>
          <w:rFonts w:ascii="FrankRuehl" w:hAnsi="FrankRuehl" w:cs="FrankRuehl"/>
          <w:rtl/>
        </w:rPr>
        <w:t xml:space="preserve">, </w:t>
      </w:r>
      <w:hyperlink r:id="rId11" w:history="1">
        <w:r w:rsidRPr="005B23EB">
          <w:rPr>
            <w:rFonts w:ascii="FrankRuehl" w:hAnsi="FrankRuehl" w:cs="FrankRuehl"/>
            <w:color w:val="0000FF"/>
            <w:rtl/>
          </w:rPr>
          <w:t>340א(ב)(1)</w:t>
        </w:r>
      </w:hyperlink>
      <w:r w:rsidRPr="005B23EB">
        <w:rPr>
          <w:rFonts w:ascii="FrankRuehl" w:hAnsi="FrankRuehl" w:cs="FrankRuehl"/>
          <w:rtl/>
        </w:rPr>
        <w:t xml:space="preserve">, </w:t>
      </w:r>
      <w:hyperlink r:id="rId12" w:history="1">
        <w:r w:rsidRPr="005B23EB">
          <w:rPr>
            <w:rFonts w:ascii="FrankRuehl" w:hAnsi="FrankRuehl" w:cs="FrankRuehl"/>
            <w:color w:val="0000FF"/>
            <w:rtl/>
          </w:rPr>
          <w:t>340א(ב)(2)</w:t>
        </w:r>
      </w:hyperlink>
    </w:p>
    <w:p w14:paraId="21070AFB" w14:textId="77777777" w:rsidR="005B23EB" w:rsidRPr="005B23EB" w:rsidRDefault="005B23EB" w:rsidP="005B23EB">
      <w:pPr>
        <w:rPr>
          <w:rFonts w:ascii="David" w:hAnsi="David"/>
          <w:rtl/>
        </w:rPr>
      </w:pPr>
      <w:bookmarkStart w:id="4" w:name="LawTable_End"/>
      <w:bookmarkEnd w:id="4"/>
    </w:p>
    <w:p w14:paraId="263D0EC2" w14:textId="77777777" w:rsidR="00452A18" w:rsidRPr="00C55BEE" w:rsidRDefault="00452A18" w:rsidP="00C55BEE">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2A18" w:rsidRPr="00940B5A" w14:paraId="75067CEF" w14:textId="77777777" w:rsidTr="00452A18">
        <w:trPr>
          <w:trHeight w:val="355"/>
          <w:jc w:val="center"/>
        </w:trPr>
        <w:tc>
          <w:tcPr>
            <w:tcW w:w="8820" w:type="dxa"/>
            <w:tcBorders>
              <w:top w:val="nil"/>
              <w:left w:val="nil"/>
              <w:bottom w:val="nil"/>
              <w:right w:val="nil"/>
            </w:tcBorders>
            <w:shd w:val="clear" w:color="auto" w:fill="auto"/>
          </w:tcPr>
          <w:p w14:paraId="0F6BFE93" w14:textId="77777777" w:rsidR="00642540" w:rsidRPr="00642540" w:rsidRDefault="00642540" w:rsidP="00642540">
            <w:pPr>
              <w:jc w:val="center"/>
              <w:rPr>
                <w:rFonts w:ascii="David" w:hAnsi="David"/>
                <w:b/>
                <w:bCs/>
                <w:sz w:val="32"/>
                <w:szCs w:val="32"/>
                <w:u w:val="single"/>
                <w:rtl/>
              </w:rPr>
            </w:pPr>
            <w:bookmarkStart w:id="5" w:name="PsakDin" w:colFirst="0" w:colLast="0"/>
            <w:bookmarkEnd w:id="0"/>
            <w:bookmarkEnd w:id="1"/>
            <w:r w:rsidRPr="00642540">
              <w:rPr>
                <w:rFonts w:ascii="David" w:hAnsi="David"/>
                <w:b/>
                <w:bCs/>
                <w:sz w:val="32"/>
                <w:szCs w:val="32"/>
                <w:u w:val="single"/>
                <w:rtl/>
              </w:rPr>
              <w:t>גזר דין</w:t>
            </w:r>
          </w:p>
          <w:p w14:paraId="3D11F590" w14:textId="77777777" w:rsidR="00452A18" w:rsidRPr="00642540" w:rsidRDefault="00452A18" w:rsidP="00642540">
            <w:pPr>
              <w:jc w:val="center"/>
              <w:rPr>
                <w:rFonts w:ascii="David" w:hAnsi="David"/>
                <w:b/>
                <w:bCs/>
                <w:sz w:val="32"/>
                <w:szCs w:val="32"/>
                <w:u w:val="single"/>
                <w:rtl/>
              </w:rPr>
            </w:pPr>
          </w:p>
        </w:tc>
      </w:tr>
      <w:bookmarkEnd w:id="5"/>
    </w:tbl>
    <w:p w14:paraId="14F3E50C" w14:textId="77777777" w:rsidR="00452A18" w:rsidRPr="00940B5A" w:rsidRDefault="00452A18" w:rsidP="00452A18">
      <w:pPr>
        <w:rPr>
          <w:rFonts w:ascii="David" w:hAnsi="David"/>
          <w:b/>
          <w:bCs/>
          <w:rtl/>
        </w:rPr>
      </w:pPr>
    </w:p>
    <w:p w14:paraId="6BA6B986" w14:textId="77777777" w:rsidR="00452A18" w:rsidRDefault="00452A18" w:rsidP="00452A18">
      <w:pPr>
        <w:spacing w:after="240" w:line="360" w:lineRule="auto"/>
        <w:jc w:val="both"/>
        <w:rPr>
          <w:rFonts w:ascii="Arial" w:hAnsi="Arial"/>
          <w:rtl/>
        </w:rPr>
      </w:pPr>
    </w:p>
    <w:p w14:paraId="76284469" w14:textId="77777777" w:rsidR="00452A18" w:rsidRPr="00940B5A" w:rsidRDefault="00452A18" w:rsidP="00452A18">
      <w:pPr>
        <w:spacing w:after="240" w:line="360" w:lineRule="auto"/>
        <w:jc w:val="both"/>
        <w:rPr>
          <w:rFonts w:ascii="Arial" w:hAnsi="Arial"/>
          <w:b/>
          <w:bCs/>
          <w:u w:val="single"/>
          <w:rtl/>
        </w:rPr>
      </w:pPr>
      <w:r>
        <w:rPr>
          <w:rFonts w:ascii="Arial" w:hAnsi="Arial" w:hint="cs"/>
          <w:b/>
          <w:bCs/>
          <w:u w:val="single"/>
          <w:rtl/>
        </w:rPr>
        <w:t>העובדות והטענות</w:t>
      </w:r>
    </w:p>
    <w:p w14:paraId="01D55E5E" w14:textId="77777777" w:rsidR="00452A18" w:rsidRDefault="00452A18" w:rsidP="00452A18">
      <w:pPr>
        <w:spacing w:after="240" w:line="360" w:lineRule="auto"/>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הודה והורשע במסגרת הסדר טיעון בעבירות של החזקת נשק </w:t>
      </w:r>
      <w:r>
        <w:rPr>
          <w:rFonts w:ascii="Arial" w:hAnsi="Arial"/>
          <w:rtl/>
        </w:rPr>
        <w:t>–</w:t>
      </w:r>
      <w:r>
        <w:rPr>
          <w:rFonts w:ascii="Arial" w:hAnsi="Arial" w:hint="cs"/>
          <w:rtl/>
        </w:rPr>
        <w:t xml:space="preserve"> עבירה לפי </w:t>
      </w:r>
      <w:hyperlink r:id="rId13" w:history="1">
        <w:r w:rsidR="00C55BEE" w:rsidRPr="00C55BEE">
          <w:rPr>
            <w:rStyle w:val="Hyperlink"/>
            <w:rFonts w:ascii="Arial" w:hAnsi="Arial" w:hint="eastAsia"/>
            <w:rtl/>
          </w:rPr>
          <w:t>סעיף</w:t>
        </w:r>
        <w:r w:rsidR="00C55BEE" w:rsidRPr="00C55BEE">
          <w:rPr>
            <w:rStyle w:val="Hyperlink"/>
            <w:rFonts w:ascii="Arial" w:hAnsi="Arial"/>
            <w:rtl/>
          </w:rPr>
          <w:t xml:space="preserve"> 144(א)</w:t>
        </w:r>
      </w:hyperlink>
      <w:r>
        <w:rPr>
          <w:rFonts w:ascii="Arial" w:hAnsi="Arial" w:hint="cs"/>
          <w:rtl/>
        </w:rPr>
        <w:t xml:space="preserve"> רישא ל</w:t>
      </w:r>
      <w:hyperlink r:id="rId14" w:history="1">
        <w:r w:rsidR="00642540" w:rsidRPr="00642540">
          <w:rPr>
            <w:rFonts w:ascii="Arial" w:hAnsi="Arial"/>
            <w:color w:val="0000FF"/>
            <w:u w:val="single"/>
            <w:rtl/>
          </w:rPr>
          <w:t>חוק העונשין</w:t>
        </w:r>
      </w:hyperlink>
      <w:r>
        <w:rPr>
          <w:rFonts w:ascii="Arial" w:hAnsi="Arial" w:hint="cs"/>
          <w:rtl/>
        </w:rPr>
        <w:t xml:space="preserve"> תשל"ז-1977 (להלן: החוק), ירי מנשק חם </w:t>
      </w:r>
      <w:r>
        <w:rPr>
          <w:rFonts w:ascii="Arial" w:hAnsi="Arial"/>
          <w:rtl/>
        </w:rPr>
        <w:t>–</w:t>
      </w:r>
      <w:r>
        <w:rPr>
          <w:rFonts w:ascii="Arial" w:hAnsi="Arial" w:hint="cs"/>
          <w:rtl/>
        </w:rPr>
        <w:t xml:space="preserve"> עבירה לפי </w:t>
      </w:r>
      <w:hyperlink r:id="rId15" w:history="1">
        <w:r w:rsidR="00C55BEE" w:rsidRPr="00C55BEE">
          <w:rPr>
            <w:rStyle w:val="Hyperlink"/>
            <w:rFonts w:ascii="Arial" w:hAnsi="Arial" w:hint="eastAsia"/>
            <w:rtl/>
          </w:rPr>
          <w:t>סעיף</w:t>
        </w:r>
        <w:r w:rsidR="00C55BEE" w:rsidRPr="00C55BEE">
          <w:rPr>
            <w:rStyle w:val="Hyperlink"/>
            <w:rFonts w:ascii="Arial" w:hAnsi="Arial"/>
            <w:rtl/>
          </w:rPr>
          <w:t xml:space="preserve"> 340א(ב)(1)</w:t>
        </w:r>
      </w:hyperlink>
      <w:r>
        <w:rPr>
          <w:rFonts w:ascii="Arial" w:hAnsi="Arial" w:hint="cs"/>
          <w:rtl/>
        </w:rPr>
        <w:t xml:space="preserve"> בצירוף </w:t>
      </w:r>
      <w:hyperlink r:id="rId16" w:history="1">
        <w:r w:rsidR="00C55BEE" w:rsidRPr="00C55BEE">
          <w:rPr>
            <w:rStyle w:val="Hyperlink"/>
            <w:rFonts w:ascii="Arial" w:hAnsi="Arial" w:hint="eastAsia"/>
            <w:rtl/>
          </w:rPr>
          <w:t>סעיף</w:t>
        </w:r>
        <w:r w:rsidR="00C55BEE" w:rsidRPr="00C55BEE">
          <w:rPr>
            <w:rStyle w:val="Hyperlink"/>
            <w:rFonts w:ascii="Arial" w:hAnsi="Arial"/>
            <w:rtl/>
          </w:rPr>
          <w:t xml:space="preserve"> 340א(ב)(2)</w:t>
        </w:r>
      </w:hyperlink>
      <w:r>
        <w:rPr>
          <w:rFonts w:ascii="Arial" w:hAnsi="Arial" w:hint="cs"/>
          <w:rtl/>
        </w:rPr>
        <w:t xml:space="preserve"> לחוק ופציעה בנסיבות מחמירות </w:t>
      </w:r>
      <w:r>
        <w:rPr>
          <w:rFonts w:ascii="Arial" w:hAnsi="Arial"/>
          <w:rtl/>
        </w:rPr>
        <w:t>–</w:t>
      </w:r>
      <w:r>
        <w:rPr>
          <w:rFonts w:ascii="Arial" w:hAnsi="Arial" w:hint="cs"/>
          <w:rtl/>
        </w:rPr>
        <w:t xml:space="preserve"> עבירה לפי </w:t>
      </w:r>
      <w:hyperlink r:id="rId17" w:history="1">
        <w:r w:rsidR="00C55BEE" w:rsidRPr="00C55BEE">
          <w:rPr>
            <w:rStyle w:val="Hyperlink"/>
            <w:rFonts w:ascii="Arial" w:hAnsi="Arial" w:hint="eastAsia"/>
            <w:rtl/>
          </w:rPr>
          <w:t>סעיף</w:t>
        </w:r>
        <w:r w:rsidR="00C55BEE" w:rsidRPr="00C55BEE">
          <w:rPr>
            <w:rStyle w:val="Hyperlink"/>
            <w:rFonts w:ascii="Arial" w:hAnsi="Arial"/>
            <w:rtl/>
          </w:rPr>
          <w:t xml:space="preserve"> 334</w:t>
        </w:r>
      </w:hyperlink>
      <w:r>
        <w:rPr>
          <w:rFonts w:ascii="Arial" w:hAnsi="Arial" w:hint="cs"/>
          <w:rtl/>
        </w:rPr>
        <w:t xml:space="preserve"> בנסיבות </w:t>
      </w:r>
      <w:hyperlink r:id="rId18" w:history="1">
        <w:r w:rsidR="00C55BEE" w:rsidRPr="00C55BEE">
          <w:rPr>
            <w:rStyle w:val="Hyperlink"/>
            <w:rFonts w:ascii="Arial" w:hAnsi="Arial" w:hint="eastAsia"/>
            <w:rtl/>
          </w:rPr>
          <w:t>סעיף</w:t>
        </w:r>
        <w:r w:rsidR="00C55BEE" w:rsidRPr="00C55BEE">
          <w:rPr>
            <w:rStyle w:val="Hyperlink"/>
            <w:rFonts w:ascii="Arial" w:hAnsi="Arial"/>
            <w:rtl/>
          </w:rPr>
          <w:t xml:space="preserve"> 335(א)(1)</w:t>
        </w:r>
      </w:hyperlink>
      <w:r>
        <w:rPr>
          <w:rFonts w:ascii="Arial" w:hAnsi="Arial" w:hint="cs"/>
          <w:rtl/>
        </w:rPr>
        <w:t xml:space="preserve"> לחוק. בהתאם להסדר בין הצדדים, המאשימה הגבילה עצמה בטיעוניה לעונש הכולל 13 חודשי מאסר בפועל, מאסר על תנאי ופיצוי למתלונן, והנאשם חופשי בטיעוניו.  </w:t>
      </w:r>
    </w:p>
    <w:p w14:paraId="7191F71D" w14:textId="77777777" w:rsidR="00452A18" w:rsidRPr="00B05847" w:rsidRDefault="00452A18" w:rsidP="00452A18">
      <w:pPr>
        <w:spacing w:after="240" w:line="360" w:lineRule="auto"/>
        <w:jc w:val="both"/>
        <w:rPr>
          <w:rtl/>
        </w:rPr>
      </w:pPr>
      <w:bookmarkStart w:id="7" w:name="ABSTRACT_END"/>
      <w:bookmarkEnd w:id="7"/>
      <w:r>
        <w:rPr>
          <w:rFonts w:ascii="Arial" w:hAnsi="Arial" w:hint="cs"/>
          <w:rtl/>
        </w:rPr>
        <w:t>2.</w:t>
      </w:r>
      <w:r>
        <w:rPr>
          <w:rFonts w:ascii="Arial" w:hAnsi="Arial"/>
          <w:rtl/>
        </w:rPr>
        <w:tab/>
      </w:r>
      <w:r w:rsidRPr="00B9626F">
        <w:rPr>
          <w:rFonts w:ascii="Arial" w:hAnsi="Arial" w:hint="cs"/>
          <w:b/>
          <w:bCs/>
          <w:rtl/>
        </w:rPr>
        <w:t>על פי עובדות כתב האישום המתוקן</w:t>
      </w:r>
      <w:r>
        <w:rPr>
          <w:rFonts w:ascii="Arial" w:hAnsi="Arial" w:hint="cs"/>
          <w:rtl/>
        </w:rPr>
        <w:t xml:space="preserve"> ביום 19.3.20 נפגשו הנאשם, עבד אלעזיז בחרי והקטין א.ח. יליד 2004 (להלן הקטין), והלכו יחד לבית דודו של אלעזיז. בעת שישבו בדירה הנאשם נטל לידיו אקדח שפרטיו אינם ידועים למאשימה, אשר החזיק ללא היתר כדין. בשלב מסויים לחץ </w:t>
      </w:r>
      <w:r>
        <w:rPr>
          <w:rFonts w:ascii="Arial" w:hAnsi="Arial" w:hint="cs"/>
          <w:rtl/>
        </w:rPr>
        <w:lastRenderedPageBreak/>
        <w:t xml:space="preserve">הנאשם על הדק האקדח, וכתוצאה מכך נורה קליע אל עבר הקטין. הקליע חדר לגופו של הקטין בדופן הבטן השמאלית העליונה ויצא דרך מותן שמאל, תוך שהוא מסב לקטין פגיעה שטחית. הנאשם ואלעזיז פינו את הקטין מיד לטיפול רפואי. </w:t>
      </w:r>
    </w:p>
    <w:p w14:paraId="07C211DF" w14:textId="77777777" w:rsidR="00452A18" w:rsidRDefault="00452A18" w:rsidP="00452A18">
      <w:pPr>
        <w:spacing w:after="240" w:line="360" w:lineRule="auto"/>
        <w:jc w:val="both"/>
        <w:rPr>
          <w:rtl/>
        </w:rPr>
      </w:pPr>
      <w:r>
        <w:rPr>
          <w:rtl/>
        </w:rPr>
        <w:tab/>
      </w:r>
      <w:r>
        <w:rPr>
          <w:rFonts w:hint="cs"/>
          <w:rtl/>
        </w:rPr>
        <w:t xml:space="preserve">אין מחלוקת בין הצדדים על כך שהירי לא בוצע בכוונה לפגוע. </w:t>
      </w:r>
      <w:r>
        <w:rPr>
          <w:rtl/>
        </w:rPr>
        <w:tab/>
      </w:r>
    </w:p>
    <w:p w14:paraId="3B3445A5" w14:textId="77777777" w:rsidR="00452A18" w:rsidRDefault="00452A18" w:rsidP="00452A18">
      <w:pPr>
        <w:spacing w:after="240" w:line="360" w:lineRule="auto"/>
        <w:jc w:val="both"/>
        <w:rPr>
          <w:rtl/>
        </w:rPr>
      </w:pPr>
      <w:r>
        <w:rPr>
          <w:rFonts w:hint="cs"/>
          <w:rtl/>
        </w:rPr>
        <w:t>3.</w:t>
      </w:r>
      <w:r>
        <w:rPr>
          <w:rtl/>
        </w:rPr>
        <w:tab/>
      </w:r>
      <w:r w:rsidRPr="00B9626F">
        <w:rPr>
          <w:rFonts w:hint="cs"/>
          <w:b/>
          <w:bCs/>
          <w:rtl/>
        </w:rPr>
        <w:t>בטיעוניה לעונש ציינה ב"כ המאשימה</w:t>
      </w:r>
      <w:r>
        <w:rPr>
          <w:rFonts w:hint="cs"/>
          <w:rtl/>
        </w:rPr>
        <w:t xml:space="preserve"> את הערכים של קדושת החיים, הביטחון האישי ושלמות גופו של אדם, אשר נפגעו כתוצאה ממעשי הנאשם. היא הוסיפה כי בעבירות נשק טמון פוטנציאל סיכון הרסני לפגיעה בשלום הציבור ובטחונו, גם כאשר אין כל מטרה או כוונה לבצע עבירה נוספת. במקרה זה פוטנציאל הנזק של פגיעה בשלמות הגוש אכן התממש, גם אם ברף התחתון. ב"כ המאשימה הוסיפה וטענה כי גם אם הירי לא בוצע בכוונה לפגוע, מדובר בירי באקדח באזור בנוי וצפוף בקרבת בני אדם, אשר גרם פגיעה בנער תמים בן 16, ואך בנס לא נגרמה תוצאה טרגית וקטלנית. </w:t>
      </w:r>
    </w:p>
    <w:p w14:paraId="5F60962B" w14:textId="77777777" w:rsidR="00452A18" w:rsidRDefault="00452A18" w:rsidP="00452A18">
      <w:pPr>
        <w:spacing w:after="240" w:line="360" w:lineRule="auto"/>
        <w:jc w:val="both"/>
        <w:rPr>
          <w:rtl/>
        </w:rPr>
      </w:pPr>
      <w:r>
        <w:rPr>
          <w:rFonts w:hint="cs"/>
          <w:rtl/>
        </w:rPr>
        <w:t>4.</w:t>
      </w:r>
      <w:r>
        <w:rPr>
          <w:rtl/>
        </w:rPr>
        <w:tab/>
      </w:r>
      <w:r>
        <w:rPr>
          <w:rFonts w:hint="cs"/>
          <w:rtl/>
        </w:rPr>
        <w:t>לעניין מדינית הענישה הפנתה ב"כ המאשימה לפסק הדין ב</w:t>
      </w:r>
      <w:hyperlink r:id="rId19" w:history="1">
        <w:r w:rsidR="00642540" w:rsidRPr="00642540">
          <w:rPr>
            <w:color w:val="0000FF"/>
            <w:u w:val="single"/>
            <w:rtl/>
          </w:rPr>
          <w:t>ע"פ 5646/15</w:t>
        </w:r>
      </w:hyperlink>
      <w:r w:rsidRPr="004A374D">
        <w:rPr>
          <w:rtl/>
        </w:rPr>
        <w:t xml:space="preserve"> </w:t>
      </w:r>
      <w:r w:rsidRPr="004A374D">
        <w:rPr>
          <w:b/>
          <w:bCs/>
          <w:rtl/>
        </w:rPr>
        <w:t>סאמח תיהאווי</w:t>
      </w:r>
      <w:r w:rsidRPr="004A374D">
        <w:rPr>
          <w:rtl/>
        </w:rPr>
        <w:t xml:space="preserve"> </w:t>
      </w:r>
      <w:r w:rsidRPr="004A374D">
        <w:rPr>
          <w:b/>
          <w:bCs/>
          <w:rtl/>
        </w:rPr>
        <w:t>נ' מדינת ישראל</w:t>
      </w:r>
      <w:r w:rsidRPr="004A374D">
        <w:rPr>
          <w:rtl/>
        </w:rPr>
        <w:t xml:space="preserve"> (14.2.16</w:t>
      </w:r>
      <w:r>
        <w:rPr>
          <w:rFonts w:hint="cs"/>
          <w:rtl/>
        </w:rPr>
        <w:t xml:space="preserve">, להלן: </w:t>
      </w:r>
      <w:r w:rsidRPr="00B3076E">
        <w:rPr>
          <w:rFonts w:hint="cs"/>
          <w:b/>
          <w:bCs/>
          <w:rtl/>
        </w:rPr>
        <w:t>עניין תיהאווי</w:t>
      </w:r>
      <w:r w:rsidRPr="004A374D">
        <w:rPr>
          <w:rtl/>
        </w:rPr>
        <w:t xml:space="preserve">). </w:t>
      </w:r>
      <w:r>
        <w:rPr>
          <w:rFonts w:hint="cs"/>
          <w:rtl/>
        </w:rPr>
        <w:t xml:space="preserve">שם נדחה ערעור על עונש של 15 חודשי מאסר על עבירה של החזקת נשק בלבד, כאשר הנאשם שבפני מואשם בעבירות נוספות וחמורות יותר. </w:t>
      </w:r>
    </w:p>
    <w:p w14:paraId="176DD78D" w14:textId="77777777" w:rsidR="00452A18" w:rsidRDefault="00452A18" w:rsidP="00452A18">
      <w:pPr>
        <w:spacing w:after="240" w:line="360" w:lineRule="auto"/>
        <w:jc w:val="both"/>
        <w:rPr>
          <w:rtl/>
        </w:rPr>
      </w:pPr>
      <w:r>
        <w:rPr>
          <w:rtl/>
        </w:rPr>
        <w:tab/>
      </w:r>
      <w:r>
        <w:rPr>
          <w:rFonts w:hint="cs"/>
          <w:rtl/>
        </w:rPr>
        <w:t xml:space="preserve">המאשימה ביקשה לקבוע מתחם ענישה הנע בין 13-24 חודשי מאסר בפועל. </w:t>
      </w:r>
    </w:p>
    <w:p w14:paraId="6BF2ED39" w14:textId="77777777" w:rsidR="00452A18" w:rsidRDefault="00452A18" w:rsidP="00452A18">
      <w:pPr>
        <w:spacing w:after="240" w:line="360" w:lineRule="auto"/>
        <w:jc w:val="both"/>
        <w:rPr>
          <w:rtl/>
        </w:rPr>
      </w:pPr>
      <w:r>
        <w:rPr>
          <w:rFonts w:hint="cs"/>
          <w:rtl/>
        </w:rPr>
        <w:t>5.</w:t>
      </w:r>
      <w:r>
        <w:rPr>
          <w:rtl/>
        </w:rPr>
        <w:tab/>
      </w:r>
      <w:r>
        <w:rPr>
          <w:rFonts w:hint="cs"/>
          <w:rtl/>
        </w:rPr>
        <w:t xml:space="preserve">באשר לעונשו של הנאשם, ב"כ המאשימה ביקשה להביא בחשבון את חומרת העבירה, ומנגד את היות הנאשם צעיר ללא עבר פלילי, את הודאתו שחסכה זמן שיפוטי רב ואת סיועו לפינוי הנפגע לקבלת טיפול רפואי מיד לאחר האירוע. היא הוסיפה כי על פי האמור בתסקיר הנאשם שילם פיצוי למתלונן. לפיכך ביקשה למקם את הנאשם בחלקו התחתון של המתחם ולגזור עליו 13 חודשי מאסר בפועל ומאסר על תנאי. </w:t>
      </w:r>
    </w:p>
    <w:p w14:paraId="61839BF7" w14:textId="77777777" w:rsidR="00452A18" w:rsidRDefault="00452A18" w:rsidP="00452A18">
      <w:pPr>
        <w:spacing w:after="240" w:line="360" w:lineRule="auto"/>
        <w:jc w:val="both"/>
        <w:rPr>
          <w:rtl/>
        </w:rPr>
      </w:pPr>
      <w:r>
        <w:rPr>
          <w:rFonts w:hint="cs"/>
          <w:rtl/>
        </w:rPr>
        <w:t>6.</w:t>
      </w:r>
      <w:r>
        <w:rPr>
          <w:rtl/>
        </w:rPr>
        <w:tab/>
      </w:r>
      <w:r w:rsidRPr="00B9626F">
        <w:rPr>
          <w:rFonts w:hint="cs"/>
          <w:b/>
          <w:bCs/>
          <w:rtl/>
        </w:rPr>
        <w:t>ב"כ הנ</w:t>
      </w:r>
      <w:r>
        <w:rPr>
          <w:rFonts w:hint="cs"/>
          <w:b/>
          <w:bCs/>
          <w:rtl/>
        </w:rPr>
        <w:t xml:space="preserve">אשם הדגיש בטיעוניו </w:t>
      </w:r>
      <w:r>
        <w:rPr>
          <w:rFonts w:hint="cs"/>
          <w:rtl/>
        </w:rPr>
        <w:t xml:space="preserve"> את העובדה שהירי לא היה מכוון. הוא תיאר כי הנאשם שהה בדירה שאינה מוכרת לו עם שני חבריו הטובים, מצא את האקדח וירה בו. הסניגור הוסיף כי הפצע שנגרם לקטין שטחי, הנאשם לקח אותו למרפאה סמוכה, הוא טופל והועבר לבית חולים אך שוחרר באותו יום. </w:t>
      </w:r>
    </w:p>
    <w:p w14:paraId="1103411A" w14:textId="77777777" w:rsidR="00452A18" w:rsidRDefault="00452A18" w:rsidP="00452A18">
      <w:pPr>
        <w:spacing w:after="240" w:line="360" w:lineRule="auto"/>
        <w:jc w:val="both"/>
        <w:rPr>
          <w:rtl/>
        </w:rPr>
      </w:pPr>
      <w:r>
        <w:rPr>
          <w:rtl/>
        </w:rPr>
        <w:tab/>
      </w:r>
      <w:r>
        <w:rPr>
          <w:rFonts w:hint="cs"/>
          <w:rtl/>
        </w:rPr>
        <w:t>הסניגור הוסיף כי הנאשם הסגיר עצמו מיוזמתו למשטרה מיד לאחר האירוע. הנאשם הכחיש את המיוחס לו בחקירה, מאחר שהואשם בנסיון לרצח ובשל החשש מכך שהגיע לראשונה בחייו לחקירת משטרה, בתקופת חוסר הבהירות בשל פרוץ מגיפת הקורונה. עם זאת, הנאשם ביקש לחזור ולמסור גרסה, אולם בהמלצת בית המשפט הוסכם שיעלה את גרסתו בבית המשפט.</w:t>
      </w:r>
    </w:p>
    <w:p w14:paraId="44E54B47" w14:textId="77777777" w:rsidR="00452A18" w:rsidRDefault="00452A18" w:rsidP="00452A18">
      <w:pPr>
        <w:spacing w:after="240" w:line="360" w:lineRule="auto"/>
        <w:jc w:val="both"/>
        <w:rPr>
          <w:rtl/>
        </w:rPr>
      </w:pPr>
      <w:r>
        <w:rPr>
          <w:rFonts w:hint="cs"/>
          <w:rtl/>
        </w:rPr>
        <w:t>7.</w:t>
      </w:r>
      <w:r>
        <w:rPr>
          <w:rtl/>
        </w:rPr>
        <w:tab/>
      </w:r>
      <w:r>
        <w:rPr>
          <w:rFonts w:hint="cs"/>
          <w:rtl/>
        </w:rPr>
        <w:t xml:space="preserve">ב"כ הנאשם ציין כי הנאשם לקח אחריות מלאה על מעשיו, והפנה לתסקיר שהוגש. הוא תיאר כי הקטין הוא שכנו של הנאשם וחברו הטוב מזה שנים רבות. לדבריו נערכה סולחה בין </w:t>
      </w:r>
      <w:r>
        <w:rPr>
          <w:rFonts w:hint="cs"/>
          <w:rtl/>
        </w:rPr>
        <w:lastRenderedPageBreak/>
        <w:t xml:space="preserve">המשפחות ואף שולם פיצוי בסך 10,000 ₪. לדבריו אין מקום למצות את הדין עם הנאשם, ויש להעדיף שיקום ופיקוח על ידי שירות המבחן. הסניגור ביקש, איפוא, להסתפק בתקופת מעצרו של הנאשם. </w:t>
      </w:r>
    </w:p>
    <w:p w14:paraId="2B85AB8D" w14:textId="77777777" w:rsidR="00452A18" w:rsidRPr="00EB5175" w:rsidRDefault="00452A18" w:rsidP="00452A18">
      <w:pPr>
        <w:spacing w:after="240" w:line="360" w:lineRule="auto"/>
        <w:jc w:val="both"/>
        <w:rPr>
          <w:rtl/>
        </w:rPr>
      </w:pPr>
      <w:r>
        <w:rPr>
          <w:rFonts w:hint="cs"/>
          <w:rtl/>
        </w:rPr>
        <w:t>8.</w:t>
      </w:r>
      <w:r>
        <w:rPr>
          <w:rtl/>
        </w:rPr>
        <w:tab/>
      </w:r>
      <w:r w:rsidRPr="00BF7E63">
        <w:rPr>
          <w:rFonts w:hint="cs"/>
          <w:b/>
          <w:bCs/>
          <w:rtl/>
        </w:rPr>
        <w:t>הנאשם עצמו</w:t>
      </w:r>
      <w:r>
        <w:rPr>
          <w:rFonts w:hint="cs"/>
          <w:rtl/>
        </w:rPr>
        <w:t xml:space="preserve"> הודה בטעותו ואמר כי למד ממנה לקח. הוא סיפר כי מצא את הנשק בתוך הבית, לא התכוון לגרום נזק לאף אחר ולקח את הקטין לרופא. </w:t>
      </w:r>
    </w:p>
    <w:p w14:paraId="42130203" w14:textId="77777777" w:rsidR="00452A18" w:rsidRDefault="00452A18" w:rsidP="00452A18">
      <w:pPr>
        <w:spacing w:after="240" w:line="360" w:lineRule="auto"/>
        <w:jc w:val="both"/>
        <w:rPr>
          <w:rtl/>
        </w:rPr>
      </w:pPr>
      <w:r>
        <w:rPr>
          <w:rFonts w:hint="cs"/>
          <w:rtl/>
        </w:rPr>
        <w:t>9.</w:t>
      </w:r>
      <w:r>
        <w:rPr>
          <w:rtl/>
        </w:rPr>
        <w:tab/>
      </w:r>
      <w:r w:rsidRPr="00B9626F">
        <w:rPr>
          <w:rFonts w:hint="cs"/>
          <w:b/>
          <w:bCs/>
          <w:rtl/>
        </w:rPr>
        <w:t>שירות המבחן הגיש תסקיר</w:t>
      </w:r>
      <w:r>
        <w:rPr>
          <w:rFonts w:hint="cs"/>
          <w:rtl/>
        </w:rPr>
        <w:t xml:space="preserve"> בעניינו של הנאשם. מהתסקיר עולה כי הנאשם כבן 20, בן למשפחה המונה 8 אחים ואחיות. על אף קשיים כלכליים, המשפחה מתפקדת ותומכת. עובר למעצרו עבד הנאשם בעירית ירושלים במקביל ללימודים במכללה מקצועית. </w:t>
      </w:r>
    </w:p>
    <w:p w14:paraId="6E40F2FF" w14:textId="77777777" w:rsidR="00452A18" w:rsidRDefault="00452A18" w:rsidP="00452A18">
      <w:pPr>
        <w:spacing w:after="240" w:line="360" w:lineRule="auto"/>
        <w:jc w:val="both"/>
        <w:rPr>
          <w:rtl/>
        </w:rPr>
      </w:pPr>
      <w:r>
        <w:rPr>
          <w:rtl/>
        </w:rPr>
        <w:tab/>
      </w:r>
      <w:r>
        <w:rPr>
          <w:rFonts w:hint="cs"/>
          <w:rtl/>
        </w:rPr>
        <w:t xml:space="preserve">מהתסקיר עולה כי הנאשם עורך חשבון נפש וחושב על עתידו. הוא תיאר כי בזמן האירוע חשב שמדובר במשחק, ופעל בפזיזות, מתוך סקרנות וללא מחשבה על השלכות המעשה. הנאשם הביע רצון וצורך לשלם על הנזק ולרצות את עונשו, ואכן התקיים הליך סולחה ושולם פיצוי לקטין.  קצינת המבחן התרשמה כי הנאשם הושפע מהמעצר וההליכים המשפטיים, עבר הליך של התבוננות וחשבון נפש והוא חווה בושה בשל מעשיו. הנאשם קיבל אחריות מלאה למעשים. </w:t>
      </w:r>
    </w:p>
    <w:p w14:paraId="4CB70C88" w14:textId="77777777" w:rsidR="00452A18" w:rsidRDefault="00452A18" w:rsidP="00452A18">
      <w:pPr>
        <w:spacing w:after="240" w:line="360" w:lineRule="auto"/>
        <w:jc w:val="both"/>
        <w:rPr>
          <w:rtl/>
        </w:rPr>
      </w:pPr>
      <w:r>
        <w:rPr>
          <w:rFonts w:hint="cs"/>
          <w:rtl/>
        </w:rPr>
        <w:t>10.</w:t>
      </w:r>
      <w:r>
        <w:rPr>
          <w:rtl/>
        </w:rPr>
        <w:tab/>
      </w:r>
      <w:r>
        <w:rPr>
          <w:rFonts w:hint="cs"/>
          <w:rtl/>
        </w:rPr>
        <w:t xml:space="preserve">באשר להמלצה, קצינת המבחן ביקשה להביא בחשבון את גילו הצעיר של הנאשם ואת החשיפה לגורמים שליליים, העלולה להגביר את הסיכון בעניינו. היא ביקשה כי אם בית המשפט יראה לנכון להטיל על הנאשם עונש של מאסר בעבודות שירות, יוטל גם צו מבחן במקביל. </w:t>
      </w:r>
    </w:p>
    <w:p w14:paraId="2568ACD4" w14:textId="77777777" w:rsidR="00452A18" w:rsidRDefault="00452A18" w:rsidP="00452A18">
      <w:pPr>
        <w:spacing w:after="240" w:line="360" w:lineRule="auto"/>
        <w:jc w:val="both"/>
        <w:rPr>
          <w:rtl/>
        </w:rPr>
      </w:pPr>
    </w:p>
    <w:p w14:paraId="3BBAF850" w14:textId="77777777" w:rsidR="00452A18" w:rsidRPr="00940B5A" w:rsidRDefault="00452A18" w:rsidP="00452A18">
      <w:pPr>
        <w:spacing w:after="240" w:line="360" w:lineRule="auto"/>
        <w:jc w:val="both"/>
        <w:rPr>
          <w:b/>
          <w:bCs/>
          <w:u w:val="single"/>
          <w:rtl/>
        </w:rPr>
      </w:pPr>
      <w:r>
        <w:rPr>
          <w:rFonts w:hint="cs"/>
          <w:b/>
          <w:bCs/>
          <w:u w:val="single"/>
          <w:rtl/>
        </w:rPr>
        <w:t>דיון והכרעה</w:t>
      </w:r>
    </w:p>
    <w:p w14:paraId="0ED4F0DA" w14:textId="77777777" w:rsidR="00452A18" w:rsidRDefault="00452A18" w:rsidP="00452A18">
      <w:pPr>
        <w:spacing w:after="240" w:line="360" w:lineRule="auto"/>
        <w:jc w:val="both"/>
        <w:rPr>
          <w:rtl/>
        </w:rPr>
      </w:pPr>
      <w:r>
        <w:rPr>
          <w:rFonts w:hint="cs"/>
          <w:rtl/>
        </w:rPr>
        <w:t>11.</w:t>
      </w:r>
      <w:r>
        <w:rPr>
          <w:rFonts w:hint="cs"/>
          <w:rtl/>
        </w:rPr>
        <w:tab/>
        <w:t xml:space="preserve">הנאשם הורשע באירוע קשה בו פגע בחברו בשגגה באמצעות אקדח שהגיע לידיו. אין מחלוקת על כך שהירי נעשה בשגגה, לנאשם לא היתה כוונה לפגוע בחברו, והוא אף מיהר לסייע לו לקבל עזרה רפואית מיד לאחר שנפגע. </w:t>
      </w:r>
    </w:p>
    <w:p w14:paraId="1A28A23B" w14:textId="77777777" w:rsidR="00452A18" w:rsidRDefault="00452A18" w:rsidP="00452A18">
      <w:pPr>
        <w:spacing w:after="240" w:line="360" w:lineRule="auto"/>
        <w:jc w:val="both"/>
        <w:rPr>
          <w:rtl/>
        </w:rPr>
      </w:pPr>
      <w:r>
        <w:rPr>
          <w:rtl/>
        </w:rPr>
        <w:tab/>
      </w:r>
      <w:r>
        <w:rPr>
          <w:rFonts w:hint="cs"/>
          <w:rtl/>
        </w:rPr>
        <w:t xml:space="preserve">הנאשם פעל בניגוד לחובה לנהוג זהירות יתרה בכל מה שעלול לסכן את חייו או שלומו של אדם. מעשיו של הנאשם פגעו בערכים של שלומו ושלמות גופו של האדם. </w:t>
      </w:r>
    </w:p>
    <w:p w14:paraId="23E46C67" w14:textId="77777777" w:rsidR="00452A18" w:rsidRPr="004A374D" w:rsidRDefault="00452A18" w:rsidP="00452A18">
      <w:pPr>
        <w:spacing w:after="240" w:line="360" w:lineRule="auto"/>
        <w:jc w:val="both"/>
        <w:rPr>
          <w:rtl/>
        </w:rPr>
      </w:pPr>
      <w:r>
        <w:rPr>
          <w:rFonts w:hint="cs"/>
          <w:rtl/>
        </w:rPr>
        <w:t>12.</w:t>
      </w:r>
      <w:r>
        <w:rPr>
          <w:rFonts w:hint="cs"/>
          <w:rtl/>
        </w:rPr>
        <w:tab/>
      </w:r>
      <w:r w:rsidRPr="004A374D">
        <w:rPr>
          <w:rFonts w:hint="cs"/>
          <w:rtl/>
        </w:rPr>
        <w:t>בעבירות נשק חומרה רבה בשל פוטנציאל הנזק שיש בהן. השימוש בנשק חם עלו לגרום בקלות לפגיעה בגופו של האדם ואף לקיפ</w:t>
      </w:r>
      <w:r>
        <w:rPr>
          <w:rFonts w:hint="cs"/>
          <w:rtl/>
        </w:rPr>
        <w:t>ו</w:t>
      </w:r>
      <w:r w:rsidRPr="004A374D">
        <w:rPr>
          <w:rFonts w:hint="cs"/>
          <w:rtl/>
        </w:rPr>
        <w:t>ח חייו. במקרה זה הסכנה אכן התממשה, אולם למרבה המזל הנזק הממשי שנגרם למתלונן מצומצם יחסית, והפציעה בו שטחית. גורם משמעותי נוסף הוא מידת הפגיעה בקטין, הוא טופל במרפאה ובבית חולים ושוחרר באותו יום, ללא נזקים ארוכי טווח.</w:t>
      </w:r>
    </w:p>
    <w:p w14:paraId="0D1F8363" w14:textId="77777777" w:rsidR="00452A18" w:rsidRDefault="00452A18" w:rsidP="00452A18">
      <w:pPr>
        <w:spacing w:after="240" w:line="360" w:lineRule="auto"/>
        <w:jc w:val="both"/>
        <w:rPr>
          <w:rtl/>
        </w:rPr>
      </w:pPr>
      <w:r>
        <w:rPr>
          <w:rFonts w:hint="cs"/>
          <w:rtl/>
        </w:rPr>
        <w:t>13.</w:t>
      </w:r>
      <w:r>
        <w:rPr>
          <w:rFonts w:hint="cs"/>
          <w:rtl/>
        </w:rPr>
        <w:tab/>
        <w:t xml:space="preserve">עיון בפסיקה הנוהגת בעבירות מסוג זה מעלה כי חלק ניכר מפסקי הדין עוסקים בתאונות ירי בין חיילים ובנשק השייך לצה"ל. קיים שוני מהותי בין נסיבות האירוע שבפני לבין שימוש רשלני בנשק ע"י חיילים, מבחינות רבות, כאשר חלק מהשיקולים פועלים לחומרה וחלק לקולה. כך, לדוגמא, בשונה מהאירוע שבפני, חיילים מחזיקים בנשק כדין במסגרת תפקידם. מאידך גיסא, כמי שהוכשרו לשאת נשק, הם מודעים יותר לכלי הזהירות וחובת ההקפדה עליהם. על חיילים חלה גם ענישה משמעתית בנוסף לפלילית, ועוד. עם זאת, ולאחר שנתתי דעתי להבחנות, אפנה גם לפסקי דין אלו אשר עודם רלוונטיים. </w:t>
      </w:r>
    </w:p>
    <w:p w14:paraId="0D0029E3" w14:textId="77777777" w:rsidR="00452A18" w:rsidRDefault="00452A18" w:rsidP="00452A18">
      <w:pPr>
        <w:spacing w:after="240" w:line="360" w:lineRule="auto"/>
        <w:jc w:val="both"/>
        <w:rPr>
          <w:rtl/>
        </w:rPr>
      </w:pPr>
      <w:r>
        <w:rPr>
          <w:rFonts w:hint="cs"/>
          <w:rtl/>
        </w:rPr>
        <w:t>14.</w:t>
      </w:r>
      <w:r>
        <w:rPr>
          <w:rFonts w:hint="cs"/>
          <w:rtl/>
        </w:rPr>
        <w:tab/>
        <w:t xml:space="preserve">אני מפנה, איפוא, לפסקי דין של בית המשפט העליון: </w:t>
      </w:r>
      <w:hyperlink r:id="rId20" w:history="1">
        <w:r w:rsidR="00642540" w:rsidRPr="00642540">
          <w:rPr>
            <w:color w:val="0000FF"/>
            <w:u w:val="single"/>
            <w:rtl/>
          </w:rPr>
          <w:t>ע"פ 3778/00</w:t>
        </w:r>
      </w:hyperlink>
      <w:r w:rsidRPr="00A75B16">
        <w:rPr>
          <w:rtl/>
        </w:rPr>
        <w:t xml:space="preserve"> </w:t>
      </w:r>
      <w:r w:rsidRPr="00A75B16">
        <w:rPr>
          <w:b/>
          <w:bCs/>
          <w:rtl/>
        </w:rPr>
        <w:t>עודה אשרף נ' מדינת ישראל</w:t>
      </w:r>
      <w:r w:rsidRPr="00A75B16">
        <w:rPr>
          <w:rtl/>
        </w:rPr>
        <w:t xml:space="preserve"> (2.5.01)</w:t>
      </w:r>
      <w:r>
        <w:rPr>
          <w:rFonts w:hint="cs"/>
          <w:rtl/>
        </w:rPr>
        <w:t xml:space="preserve">; </w:t>
      </w:r>
      <w:hyperlink r:id="rId21" w:history="1">
        <w:r w:rsidR="00642540" w:rsidRPr="00642540">
          <w:rPr>
            <w:color w:val="0000FF"/>
            <w:u w:val="single"/>
            <w:rtl/>
          </w:rPr>
          <w:t>ע"פ 5982/08</w:t>
        </w:r>
      </w:hyperlink>
      <w:r w:rsidRPr="00A75B16">
        <w:rPr>
          <w:rtl/>
        </w:rPr>
        <w:t xml:space="preserve"> </w:t>
      </w:r>
      <w:r w:rsidRPr="00A75B16">
        <w:rPr>
          <w:b/>
          <w:bCs/>
          <w:rtl/>
        </w:rPr>
        <w:t xml:space="preserve">יותם כהן נ' מדינת ישראל </w:t>
      </w:r>
      <w:r w:rsidRPr="00A75B16">
        <w:rPr>
          <w:rtl/>
        </w:rPr>
        <w:t>(22.4.09)</w:t>
      </w:r>
      <w:r>
        <w:rPr>
          <w:rFonts w:hint="cs"/>
          <w:rtl/>
        </w:rPr>
        <w:t xml:space="preserve">; </w:t>
      </w:r>
      <w:hyperlink r:id="rId22" w:history="1">
        <w:r w:rsidR="00642540" w:rsidRPr="00642540">
          <w:rPr>
            <w:color w:val="0000FF"/>
            <w:u w:val="single"/>
            <w:rtl/>
          </w:rPr>
          <w:t>ע"פ 10843/07</w:t>
        </w:r>
      </w:hyperlink>
      <w:r w:rsidRPr="00A75B16">
        <w:rPr>
          <w:rtl/>
        </w:rPr>
        <w:t xml:space="preserve"> </w:t>
      </w:r>
      <w:r w:rsidRPr="00A75B16">
        <w:rPr>
          <w:b/>
          <w:bCs/>
          <w:rtl/>
        </w:rPr>
        <w:t>אביחי דהן נ'</w:t>
      </w:r>
      <w:r w:rsidRPr="00A75B16">
        <w:rPr>
          <w:rtl/>
        </w:rPr>
        <w:t xml:space="preserve"> </w:t>
      </w:r>
      <w:r w:rsidRPr="00A75B16">
        <w:rPr>
          <w:b/>
          <w:bCs/>
          <w:rtl/>
        </w:rPr>
        <w:t>מדינת ישראל</w:t>
      </w:r>
      <w:r w:rsidRPr="00A75B16">
        <w:rPr>
          <w:rtl/>
        </w:rPr>
        <w:t xml:space="preserve"> (9.4.08)</w:t>
      </w:r>
      <w:r>
        <w:rPr>
          <w:rFonts w:hint="cs"/>
          <w:rtl/>
        </w:rPr>
        <w:t>.</w:t>
      </w:r>
    </w:p>
    <w:p w14:paraId="5A53906D" w14:textId="77777777" w:rsidR="00452A18" w:rsidRDefault="00452A18" w:rsidP="00452A18">
      <w:pPr>
        <w:spacing w:after="240" w:line="360" w:lineRule="auto"/>
        <w:jc w:val="both"/>
        <w:rPr>
          <w:rtl/>
        </w:rPr>
      </w:pPr>
      <w:r>
        <w:rPr>
          <w:rtl/>
        </w:rPr>
        <w:tab/>
      </w:r>
      <w:r>
        <w:rPr>
          <w:rFonts w:hint="cs"/>
          <w:rtl/>
        </w:rPr>
        <w:t xml:space="preserve">כמו כן אפנה לפסיקת בתי הדין הצבאיים: </w:t>
      </w:r>
      <w:hyperlink r:id="rId23" w:history="1">
        <w:r w:rsidR="00642540" w:rsidRPr="00642540">
          <w:rPr>
            <w:color w:val="0000FF"/>
            <w:u w:val="single"/>
            <w:rtl/>
          </w:rPr>
          <w:t>מטכ"ל (מרכז) 595/17</w:t>
        </w:r>
      </w:hyperlink>
      <w:r w:rsidRPr="00373C70">
        <w:rPr>
          <w:rtl/>
        </w:rPr>
        <w:t xml:space="preserve"> </w:t>
      </w:r>
      <w:r w:rsidRPr="00373C70">
        <w:rPr>
          <w:b/>
          <w:bCs/>
          <w:rtl/>
        </w:rPr>
        <w:t>התובע הצבאי נ' סמל אלמוג כהן</w:t>
      </w:r>
      <w:r w:rsidRPr="00373C70">
        <w:rPr>
          <w:rtl/>
        </w:rPr>
        <w:t xml:space="preserve"> (24.9.17)</w:t>
      </w:r>
      <w:r>
        <w:rPr>
          <w:rFonts w:hint="cs"/>
          <w:rtl/>
        </w:rPr>
        <w:t xml:space="preserve">; </w:t>
      </w:r>
      <w:hyperlink r:id="rId24" w:history="1">
        <w:r w:rsidR="00CB0167" w:rsidRPr="00CB0167">
          <w:rPr>
            <w:color w:val="0000FF"/>
            <w:u w:val="single"/>
            <w:rtl/>
          </w:rPr>
          <w:t xml:space="preserve">צפון (מחוזי) 798/10 </w:t>
        </w:r>
      </w:hyperlink>
      <w:r w:rsidRPr="00373C70">
        <w:rPr>
          <w:rtl/>
        </w:rPr>
        <w:t xml:space="preserve"> </w:t>
      </w:r>
      <w:r w:rsidRPr="00373C70">
        <w:rPr>
          <w:b/>
          <w:bCs/>
          <w:rtl/>
        </w:rPr>
        <w:t>התובע הצבאי נ' רב"ט סווה מיקיטס</w:t>
      </w:r>
      <w:r w:rsidRPr="00373C70">
        <w:rPr>
          <w:rtl/>
        </w:rPr>
        <w:t xml:space="preserve"> (7.3.11)</w:t>
      </w:r>
      <w:r>
        <w:rPr>
          <w:rFonts w:hint="cs"/>
          <w:rtl/>
        </w:rPr>
        <w:t xml:space="preserve">; </w:t>
      </w:r>
      <w:hyperlink r:id="rId25" w:history="1">
        <w:r w:rsidR="00CB0167" w:rsidRPr="00CB0167">
          <w:rPr>
            <w:color w:val="0000FF"/>
            <w:u w:val="single"/>
            <w:rtl/>
          </w:rPr>
          <w:t>ערעור (מחוזי) 163/10</w:t>
        </w:r>
      </w:hyperlink>
      <w:r w:rsidRPr="00373C70">
        <w:rPr>
          <w:rtl/>
        </w:rPr>
        <w:t xml:space="preserve"> </w:t>
      </w:r>
      <w:r w:rsidRPr="00373C70">
        <w:rPr>
          <w:b/>
          <w:bCs/>
          <w:rtl/>
        </w:rPr>
        <w:t>התובע הצבאי הראשי ‏ נ' טור' אלכסיי מרטיננקו</w:t>
      </w:r>
      <w:r w:rsidRPr="00373C70">
        <w:rPr>
          <w:rtl/>
        </w:rPr>
        <w:t xml:space="preserve"> (5.11.11)</w:t>
      </w:r>
      <w:r>
        <w:rPr>
          <w:rFonts w:hint="cs"/>
          <w:rtl/>
        </w:rPr>
        <w:t xml:space="preserve">; מרכז </w:t>
      </w:r>
      <w:r w:rsidRPr="00373C70">
        <w:rPr>
          <w:rtl/>
        </w:rPr>
        <w:t>(</w:t>
      </w:r>
      <w:r>
        <w:rPr>
          <w:rFonts w:hint="cs"/>
          <w:rtl/>
        </w:rPr>
        <w:t>מחוזי</w:t>
      </w:r>
      <w:r w:rsidRPr="00373C70">
        <w:rPr>
          <w:rtl/>
        </w:rPr>
        <w:t xml:space="preserve">) 218/17 </w:t>
      </w:r>
      <w:r w:rsidRPr="00373C70">
        <w:rPr>
          <w:b/>
          <w:bCs/>
          <w:rtl/>
        </w:rPr>
        <w:t>התובע הצבאי נ' טוראי לירון פארי</w:t>
      </w:r>
      <w:r w:rsidRPr="00373C70">
        <w:rPr>
          <w:rtl/>
        </w:rPr>
        <w:t xml:space="preserve"> (1.1.18)</w:t>
      </w:r>
      <w:r>
        <w:rPr>
          <w:rFonts w:hint="cs"/>
          <w:rtl/>
        </w:rPr>
        <w:t>.</w:t>
      </w:r>
    </w:p>
    <w:p w14:paraId="52D890D2" w14:textId="77777777" w:rsidR="00452A18" w:rsidRDefault="00452A18" w:rsidP="00452A18">
      <w:pPr>
        <w:spacing w:after="240" w:line="360" w:lineRule="auto"/>
        <w:jc w:val="both"/>
        <w:rPr>
          <w:rtl/>
        </w:rPr>
      </w:pPr>
      <w:r>
        <w:rPr>
          <w:rFonts w:hint="cs"/>
          <w:rtl/>
        </w:rPr>
        <w:t>15.</w:t>
      </w:r>
      <w:r>
        <w:rPr>
          <w:rFonts w:hint="cs"/>
          <w:rtl/>
        </w:rPr>
        <w:tab/>
        <w:t xml:space="preserve">מכל אלה עולה כי במקרים בהם גרם הירי לפגישות קשות </w:t>
      </w:r>
      <w:r>
        <w:rPr>
          <w:rtl/>
        </w:rPr>
        <w:t>–</w:t>
      </w:r>
      <w:r>
        <w:rPr>
          <w:rFonts w:hint="cs"/>
          <w:rtl/>
        </w:rPr>
        <w:t xml:space="preserve"> מוות או פגיעה חמורה, הכוללת נכות וכדו', נגזרו על היורים עונשי מאסר בפועל לתקופות שהגיעו עד שנה. ואילו במקרים קלים יותר עומדת הענישה על מאסר לתקופות קצרות של מספר חודשים, ובחלק מהמקרים אף מאסר בעבודות שירות, אם כי עונש זה נתפס כמקל (ראו לדוגמא פסק הדין של בית המשפט העליון בעניין יותם כהן הנ"ל). </w:t>
      </w:r>
    </w:p>
    <w:p w14:paraId="59389F5B" w14:textId="77777777" w:rsidR="00452A18" w:rsidRDefault="00452A18" w:rsidP="00452A18">
      <w:pPr>
        <w:spacing w:after="240" w:line="360" w:lineRule="auto"/>
        <w:jc w:val="both"/>
        <w:rPr>
          <w:rtl/>
        </w:rPr>
      </w:pPr>
      <w:r>
        <w:rPr>
          <w:rFonts w:hint="cs"/>
          <w:rtl/>
        </w:rPr>
        <w:t>16.</w:t>
      </w:r>
      <w:r>
        <w:rPr>
          <w:rFonts w:hint="cs"/>
          <w:rtl/>
        </w:rPr>
        <w:tab/>
        <w:t xml:space="preserve">בקביעת רמת הענישה בעבירות נשק, על בית המשפט להביא בחשבון גם את הצורך להילחם בתופעת הסחר והשימוש בנשק בלתי חוקי, תופעה שפשתה במקומותינו ותוצאותיה קשות, ולמרבה הצער היא נפוצה במיוחד במגזר הערבי. עם זאת, במקרה זה הנאשם לא היה מעורב כלל בהשגת הנשק, אלא בשימוש בו בלבד, וגם השימוש בנשק לא נעשה במטרה לפגוע. כך שהמגמה של החמרת הענישה בעבירות נשק משפיעה באופן מצומצם במקרה זה. </w:t>
      </w:r>
    </w:p>
    <w:p w14:paraId="6C464271" w14:textId="77777777" w:rsidR="00452A18" w:rsidRDefault="00452A18" w:rsidP="00452A18">
      <w:pPr>
        <w:spacing w:after="240" w:line="360" w:lineRule="auto"/>
        <w:jc w:val="both"/>
        <w:rPr>
          <w:rtl/>
        </w:rPr>
      </w:pPr>
      <w:r>
        <w:rPr>
          <w:rFonts w:hint="cs"/>
          <w:rtl/>
        </w:rPr>
        <w:t>17.</w:t>
      </w:r>
      <w:r>
        <w:rPr>
          <w:rFonts w:hint="cs"/>
          <w:rtl/>
        </w:rPr>
        <w:tab/>
        <w:t xml:space="preserve">לנוכח האמור אני קובעת מתחם ענישה הנע בין מספר חודשי מאסר בפועל אשר במקרים נדירים יתכן אף שירוצו בעבודות שירות, לבין מאסר בפועל לתקופה של שנה וחצי, בצירוף עונשים נלווים. </w:t>
      </w:r>
    </w:p>
    <w:p w14:paraId="5E6FE7D4" w14:textId="77777777" w:rsidR="00452A18" w:rsidRDefault="00452A18" w:rsidP="00452A18">
      <w:pPr>
        <w:spacing w:after="240" w:line="360" w:lineRule="auto"/>
        <w:jc w:val="both"/>
        <w:rPr>
          <w:rtl/>
        </w:rPr>
      </w:pPr>
      <w:r>
        <w:rPr>
          <w:rFonts w:hint="cs"/>
          <w:rtl/>
        </w:rPr>
        <w:t>18.</w:t>
      </w:r>
      <w:r>
        <w:rPr>
          <w:rFonts w:hint="cs"/>
          <w:rtl/>
        </w:rPr>
        <w:tab/>
        <w:t xml:space="preserve">הגם שאין ספק שהקרבן הראשון והעיקרי ממעשיו של הנאשם הוא הקטין שנפגע, אולם גם הנאשם שילם וישלם מחיר כבד על מעשיו, ועל כך שברגע של פזיזות גרם הן לפציעת חברו והן לקטיעת מסלול חייו שלו עצמו. </w:t>
      </w:r>
    </w:p>
    <w:p w14:paraId="061D96BF" w14:textId="77777777" w:rsidR="00452A18" w:rsidRDefault="00452A18" w:rsidP="00452A18">
      <w:pPr>
        <w:spacing w:after="240" w:line="360" w:lineRule="auto"/>
        <w:jc w:val="both"/>
        <w:rPr>
          <w:rtl/>
        </w:rPr>
      </w:pPr>
      <w:r>
        <w:rPr>
          <w:rFonts w:hint="cs"/>
          <w:rtl/>
        </w:rPr>
        <w:t>19.</w:t>
      </w:r>
      <w:r>
        <w:rPr>
          <w:rtl/>
        </w:rPr>
        <w:tab/>
      </w:r>
      <w:r>
        <w:rPr>
          <w:rFonts w:hint="cs"/>
          <w:rtl/>
        </w:rPr>
        <w:t xml:space="preserve">התסקיר שהוגש בעניינו של הנאשם מצביע על קבלת אחריות מלאה, כנה ועמוקה מצד הנאשם. המעשים גרמו לנאשם לעריכת חשבון נפש, ולהכרה בכך שפעל בפזיזות וללא מחשבה. הוא הודה באחריותו ובחובתו המוסרית לשלם פיצוי ולרצות עונש. קבלת אחריות מלאה כפי שנעשה במקרה זה, אשר החלה מיד לאחר האירוע בדאגה לכך שהקטין יקבל מיד טיפול רפואי, ונמשכה בתהליך התבוננות פנימית בתקופת המעצר, אינה מובנת מאליה, ובמקרה זה היא מהווה גורם משמעותי ומשפיע לזכותו של הנאשם. </w:t>
      </w:r>
    </w:p>
    <w:p w14:paraId="382CD1FD" w14:textId="77777777" w:rsidR="00452A18" w:rsidRDefault="00452A18" w:rsidP="00452A18">
      <w:pPr>
        <w:spacing w:after="240" w:line="360" w:lineRule="auto"/>
        <w:jc w:val="both"/>
        <w:rPr>
          <w:rtl/>
        </w:rPr>
      </w:pPr>
      <w:r>
        <w:rPr>
          <w:rFonts w:hint="cs"/>
          <w:rtl/>
        </w:rPr>
        <w:t>20.</w:t>
      </w:r>
      <w:r>
        <w:rPr>
          <w:rFonts w:hint="cs"/>
          <w:rtl/>
        </w:rPr>
        <w:tab/>
        <w:t xml:space="preserve">לאור כל האמור אני סבורה שהעונש הראוי במקרה זה מצוי בתחתית מתחם הענישה. הנאשם נתון במעצר מיום האירוע ועד עתה כמעט שישה חודשים תמימים, ונראה כי ניתן להסתפק בתקופה זו. </w:t>
      </w:r>
    </w:p>
    <w:p w14:paraId="2A809E05" w14:textId="77777777" w:rsidR="00452A18" w:rsidRDefault="00452A18" w:rsidP="00452A18">
      <w:pPr>
        <w:spacing w:after="240" w:line="360" w:lineRule="auto"/>
        <w:jc w:val="both"/>
        <w:rPr>
          <w:rtl/>
        </w:rPr>
      </w:pPr>
      <w:r>
        <w:rPr>
          <w:rFonts w:hint="cs"/>
          <w:rtl/>
        </w:rPr>
        <w:t xml:space="preserve">לאור האמור אני דנה את הנאשם לעונש כמפורט להלן: </w:t>
      </w:r>
    </w:p>
    <w:p w14:paraId="233AE7C1" w14:textId="77777777" w:rsidR="00452A18" w:rsidRDefault="00452A18" w:rsidP="00452A18">
      <w:pPr>
        <w:spacing w:after="240" w:line="360" w:lineRule="auto"/>
        <w:jc w:val="both"/>
        <w:rPr>
          <w:rtl/>
        </w:rPr>
      </w:pPr>
      <w:r>
        <w:rPr>
          <w:rFonts w:hint="cs"/>
          <w:rtl/>
        </w:rPr>
        <w:t xml:space="preserve">1. </w:t>
      </w:r>
      <w:r>
        <w:rPr>
          <w:rtl/>
        </w:rPr>
        <w:tab/>
      </w:r>
      <w:r>
        <w:rPr>
          <w:rFonts w:hint="cs"/>
          <w:rtl/>
        </w:rPr>
        <w:t xml:space="preserve">מאסר בפועל ל-6 חודשים בניכוי ימי מעצרו של הנאשם. </w:t>
      </w:r>
    </w:p>
    <w:p w14:paraId="25D9AAF6" w14:textId="77777777" w:rsidR="00452A18" w:rsidRDefault="00452A18" w:rsidP="00452A18">
      <w:pPr>
        <w:spacing w:after="240" w:line="360" w:lineRule="auto"/>
        <w:jc w:val="both"/>
        <w:rPr>
          <w:rtl/>
        </w:rPr>
      </w:pPr>
      <w:r>
        <w:rPr>
          <w:rFonts w:hint="cs"/>
          <w:rtl/>
        </w:rPr>
        <w:t xml:space="preserve">2. </w:t>
      </w:r>
      <w:r>
        <w:rPr>
          <w:rtl/>
        </w:rPr>
        <w:tab/>
      </w:r>
      <w:r>
        <w:rPr>
          <w:rFonts w:hint="cs"/>
          <w:rtl/>
        </w:rPr>
        <w:t xml:space="preserve">מאסר על תנאי ל-4 חודשים למשך 3 שנים על כל עבירה על </w:t>
      </w:r>
      <w:hyperlink r:id="rId26" w:history="1">
        <w:r w:rsidR="00C55BEE" w:rsidRPr="00C55BEE">
          <w:rPr>
            <w:rStyle w:val="Hyperlink"/>
            <w:rFonts w:hint="eastAsia"/>
            <w:rtl/>
          </w:rPr>
          <w:t>סעיף</w:t>
        </w:r>
        <w:r w:rsidR="00C55BEE" w:rsidRPr="00C55BEE">
          <w:rPr>
            <w:rStyle w:val="Hyperlink"/>
            <w:rtl/>
          </w:rPr>
          <w:t xml:space="preserve"> 144</w:t>
        </w:r>
      </w:hyperlink>
      <w:r>
        <w:rPr>
          <w:rFonts w:hint="cs"/>
          <w:rtl/>
        </w:rPr>
        <w:t xml:space="preserve"> ל</w:t>
      </w:r>
      <w:hyperlink r:id="rId27" w:history="1">
        <w:r w:rsidR="00642540" w:rsidRPr="00642540">
          <w:rPr>
            <w:color w:val="0000FF"/>
            <w:u w:val="single"/>
            <w:rtl/>
          </w:rPr>
          <w:t>חוק העונשין</w:t>
        </w:r>
      </w:hyperlink>
      <w:r>
        <w:rPr>
          <w:rFonts w:hint="cs"/>
          <w:rtl/>
        </w:rPr>
        <w:t xml:space="preserve">, או ניסיון </w:t>
      </w:r>
      <w:r>
        <w:rPr>
          <w:rtl/>
        </w:rPr>
        <w:tab/>
      </w:r>
      <w:r>
        <w:rPr>
          <w:rFonts w:hint="cs"/>
          <w:rtl/>
        </w:rPr>
        <w:t xml:space="preserve">לעבירה כזו. </w:t>
      </w:r>
    </w:p>
    <w:p w14:paraId="2A805CA9" w14:textId="77777777" w:rsidR="00452A18" w:rsidRPr="00B05847" w:rsidRDefault="00452A18" w:rsidP="00452A18">
      <w:pPr>
        <w:spacing w:after="240" w:line="360" w:lineRule="auto"/>
        <w:jc w:val="both"/>
        <w:rPr>
          <w:rtl/>
        </w:rPr>
      </w:pPr>
    </w:p>
    <w:p w14:paraId="196F8934" w14:textId="77777777" w:rsidR="00452A18" w:rsidRPr="00B05847" w:rsidRDefault="00452A18" w:rsidP="00452A18">
      <w:pPr>
        <w:rPr>
          <w:rtl/>
        </w:rPr>
      </w:pPr>
    </w:p>
    <w:p w14:paraId="66EF4024" w14:textId="77777777" w:rsidR="00452A18" w:rsidRPr="00B05847" w:rsidRDefault="00642540" w:rsidP="00452A18">
      <w:pPr>
        <w:rPr>
          <w:rtl/>
        </w:rPr>
      </w:pPr>
      <w:r w:rsidRPr="00642540">
        <w:rPr>
          <w:color w:val="FFFFFF"/>
          <w:sz w:val="2"/>
          <w:szCs w:val="2"/>
          <w:rtl/>
        </w:rPr>
        <w:t>5129371</w:t>
      </w:r>
      <w:r w:rsidR="00452A18">
        <w:rPr>
          <w:rFonts w:hint="cs"/>
          <w:rtl/>
        </w:rPr>
        <w:t xml:space="preserve">זכות ערעור לבית המשפט העליון תוך 45 יום. </w:t>
      </w:r>
    </w:p>
    <w:p w14:paraId="037CA463" w14:textId="77777777" w:rsidR="00452A18" w:rsidRPr="00642540" w:rsidRDefault="00642540" w:rsidP="00452A18">
      <w:pPr>
        <w:rPr>
          <w:color w:val="FFFFFF"/>
          <w:sz w:val="2"/>
          <w:szCs w:val="2"/>
          <w:rtl/>
        </w:rPr>
      </w:pPr>
      <w:r w:rsidRPr="00642540">
        <w:rPr>
          <w:color w:val="FFFFFF"/>
          <w:sz w:val="2"/>
          <w:szCs w:val="2"/>
          <w:rtl/>
        </w:rPr>
        <w:t>54678313</w:t>
      </w:r>
    </w:p>
    <w:p w14:paraId="5FBB0E61" w14:textId="77777777" w:rsidR="00452A18" w:rsidRDefault="00642540" w:rsidP="00452A18">
      <w:pPr>
        <w:rPr>
          <w:rFonts w:cs="FrankRuehl"/>
          <w:sz w:val="28"/>
          <w:szCs w:val="28"/>
          <w:rtl/>
        </w:rPr>
      </w:pPr>
      <w:bookmarkStart w:id="8" w:name="Nitan"/>
      <w:r>
        <w:rPr>
          <w:rFonts w:ascii="Arial" w:hAnsi="Arial"/>
          <w:rtl/>
        </w:rPr>
        <w:t xml:space="preserve">ניתן היום,  כ"ז אלול תש"פ, 16 ספטמבר 2020, בנוכחות הצדדים. </w:t>
      </w:r>
      <w:bookmarkEnd w:id="8"/>
    </w:p>
    <w:p w14:paraId="262383B8" w14:textId="77777777" w:rsidR="00452A18" w:rsidRDefault="00452A18" w:rsidP="006425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B80F393" w14:textId="77777777" w:rsidR="00452A18" w:rsidRDefault="00452A18" w:rsidP="00452A18">
      <w:pPr>
        <w:jc w:val="center"/>
        <w:rPr>
          <w:rFonts w:ascii="Arial" w:hAnsi="Arial" w:cs="FrankRuehl"/>
          <w:sz w:val="28"/>
          <w:szCs w:val="28"/>
          <w:rtl/>
        </w:rPr>
      </w:pPr>
    </w:p>
    <w:p w14:paraId="5D0D1E0D" w14:textId="77777777" w:rsidR="00452A18" w:rsidRPr="00C55BEE" w:rsidRDefault="00C55BEE" w:rsidP="00452A18">
      <w:pPr>
        <w:jc w:val="center"/>
        <w:rPr>
          <w:rFonts w:ascii="Arial" w:hAnsi="Arial" w:cs="FrankRuehl"/>
          <w:color w:val="FFFFFF"/>
          <w:sz w:val="2"/>
          <w:szCs w:val="2"/>
          <w:rtl/>
        </w:rPr>
      </w:pPr>
      <w:r w:rsidRPr="00C55BEE">
        <w:rPr>
          <w:rFonts w:ascii="Arial" w:hAnsi="Arial" w:cs="FrankRuehl"/>
          <w:color w:val="FFFFFF"/>
          <w:sz w:val="2"/>
          <w:szCs w:val="2"/>
          <w:rtl/>
        </w:rPr>
        <w:t>5129371</w:t>
      </w:r>
    </w:p>
    <w:p w14:paraId="5B46B5C8" w14:textId="77777777" w:rsidR="008F1803" w:rsidRPr="00C55BEE" w:rsidRDefault="00C55BEE" w:rsidP="00642540">
      <w:pPr>
        <w:keepNext/>
        <w:rPr>
          <w:rFonts w:ascii="David" w:hAnsi="David"/>
          <w:color w:val="FFFFFF"/>
          <w:sz w:val="2"/>
          <w:szCs w:val="2"/>
          <w:rtl/>
        </w:rPr>
      </w:pPr>
      <w:r w:rsidRPr="00C55BEE">
        <w:rPr>
          <w:rFonts w:ascii="David" w:hAnsi="David"/>
          <w:color w:val="FFFFFF"/>
          <w:sz w:val="2"/>
          <w:szCs w:val="2"/>
          <w:rtl/>
        </w:rPr>
        <w:t>54678313</w:t>
      </w:r>
    </w:p>
    <w:p w14:paraId="42B8AA6C" w14:textId="77777777" w:rsidR="00642540" w:rsidRPr="00642540" w:rsidRDefault="00642540" w:rsidP="00642540">
      <w:pPr>
        <w:keepNext/>
        <w:rPr>
          <w:rFonts w:ascii="David" w:hAnsi="David"/>
          <w:color w:val="000000"/>
          <w:sz w:val="22"/>
          <w:szCs w:val="22"/>
          <w:rtl/>
        </w:rPr>
      </w:pPr>
      <w:r w:rsidRPr="00642540">
        <w:rPr>
          <w:rFonts w:ascii="David" w:hAnsi="David"/>
          <w:color w:val="000000"/>
          <w:sz w:val="22"/>
          <w:szCs w:val="22"/>
          <w:rtl/>
        </w:rPr>
        <w:t>חגית מאק קלמנוביץ 54678313</w:t>
      </w:r>
    </w:p>
    <w:p w14:paraId="416ED93C" w14:textId="77777777" w:rsidR="00642540" w:rsidRDefault="00642540" w:rsidP="00642540">
      <w:r w:rsidRPr="00642540">
        <w:rPr>
          <w:color w:val="000000"/>
          <w:rtl/>
        </w:rPr>
        <w:t>נוסח מסמך זה כפוף לשינויי ניסוח ועריכה</w:t>
      </w:r>
    </w:p>
    <w:p w14:paraId="5490B121" w14:textId="77777777" w:rsidR="00642540" w:rsidRDefault="00642540" w:rsidP="00642540">
      <w:pPr>
        <w:rPr>
          <w:rtl/>
        </w:rPr>
      </w:pPr>
    </w:p>
    <w:p w14:paraId="4DE83320" w14:textId="77777777" w:rsidR="00642540" w:rsidRDefault="00642540" w:rsidP="00642540">
      <w:pPr>
        <w:jc w:val="center"/>
        <w:rPr>
          <w:rFonts w:hint="cs"/>
          <w:color w:val="0000FF"/>
          <w:u w:val="single"/>
        </w:rPr>
      </w:pPr>
      <w:hyperlink r:id="rId28" w:history="1">
        <w:r>
          <w:rPr>
            <w:color w:val="0000FF"/>
            <w:u w:val="single"/>
            <w:rtl/>
          </w:rPr>
          <w:t>בעניין עריכה ושינויים במסמכי פסיקה, חקיקה ועוד באתר נבו – הקש כאן</w:t>
        </w:r>
      </w:hyperlink>
      <w:r w:rsidR="00CB0167">
        <w:rPr>
          <w:rFonts w:hint="cs"/>
          <w:color w:val="0000FF"/>
          <w:u w:val="single"/>
          <w:rtl/>
        </w:rPr>
        <w:t xml:space="preserve"> </w:t>
      </w:r>
    </w:p>
    <w:p w14:paraId="5FFE414B" w14:textId="77777777" w:rsidR="00C55BEE" w:rsidRPr="00C55BEE" w:rsidRDefault="00C55BEE" w:rsidP="00C55BEE">
      <w:pPr>
        <w:keepNext/>
        <w:rPr>
          <w:rFonts w:ascii="David" w:hAnsi="David"/>
          <w:color w:val="000000"/>
          <w:sz w:val="22"/>
          <w:szCs w:val="22"/>
          <w:rtl/>
        </w:rPr>
      </w:pPr>
    </w:p>
    <w:sectPr w:rsidR="00C55BEE" w:rsidRPr="00C55BEE" w:rsidSect="00C55BEE">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BACF" w14:textId="77777777" w:rsidR="007B5976" w:rsidRDefault="007B5976" w:rsidP="00727476">
      <w:r>
        <w:separator/>
      </w:r>
    </w:p>
  </w:endnote>
  <w:endnote w:type="continuationSeparator" w:id="0">
    <w:p w14:paraId="15AC8EEF" w14:textId="77777777" w:rsidR="007B5976" w:rsidRDefault="007B5976" w:rsidP="0072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13F4" w14:textId="77777777" w:rsidR="00C55BEE" w:rsidRDefault="00C55BEE" w:rsidP="00C55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EC480B" w14:textId="77777777" w:rsidR="004E646B" w:rsidRPr="00C55BEE" w:rsidRDefault="00C55BEE" w:rsidP="00C55BEE">
    <w:pPr>
      <w:pStyle w:val="a5"/>
      <w:pBdr>
        <w:top w:val="single" w:sz="4" w:space="1" w:color="auto"/>
        <w:between w:val="single" w:sz="4" w:space="0" w:color="auto"/>
      </w:pBdr>
      <w:spacing w:after="60"/>
      <w:jc w:val="center"/>
      <w:rPr>
        <w:rFonts w:ascii="FrankRuehl" w:hAnsi="FrankRuehl" w:cs="FrankRuehl"/>
        <w:color w:val="000000"/>
      </w:rPr>
    </w:pPr>
    <w:r w:rsidRPr="00C55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373A" w14:textId="77777777" w:rsidR="00C55BEE" w:rsidRDefault="00C55BEE" w:rsidP="00C55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565F">
      <w:rPr>
        <w:rFonts w:ascii="FrankRuehl" w:hAnsi="FrankRuehl" w:cs="FrankRuehl"/>
        <w:noProof/>
        <w:rtl/>
      </w:rPr>
      <w:t>1</w:t>
    </w:r>
    <w:r>
      <w:rPr>
        <w:rFonts w:ascii="FrankRuehl" w:hAnsi="FrankRuehl" w:cs="FrankRuehl"/>
        <w:rtl/>
      </w:rPr>
      <w:fldChar w:fldCharType="end"/>
    </w:r>
  </w:p>
  <w:p w14:paraId="44447174" w14:textId="77777777" w:rsidR="004E646B" w:rsidRPr="00C55BEE" w:rsidRDefault="00C55BEE" w:rsidP="00C55BEE">
    <w:pPr>
      <w:pStyle w:val="a5"/>
      <w:pBdr>
        <w:top w:val="single" w:sz="4" w:space="1" w:color="auto"/>
        <w:between w:val="single" w:sz="4" w:space="0" w:color="auto"/>
      </w:pBdr>
      <w:spacing w:after="60"/>
      <w:jc w:val="center"/>
      <w:rPr>
        <w:rFonts w:ascii="FrankRuehl" w:hAnsi="FrankRuehl" w:cs="FrankRuehl"/>
        <w:color w:val="000000"/>
      </w:rPr>
    </w:pPr>
    <w:r w:rsidRPr="00C55BEE">
      <w:rPr>
        <w:rFonts w:ascii="FrankRuehl" w:hAnsi="FrankRuehl" w:cs="FrankRuehl"/>
        <w:color w:val="000000"/>
      </w:rPr>
      <w:pict w14:anchorId="7ACB5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4EEA" w14:textId="77777777" w:rsidR="007B5976" w:rsidRDefault="007B5976" w:rsidP="00727476">
      <w:r>
        <w:separator/>
      </w:r>
    </w:p>
  </w:footnote>
  <w:footnote w:type="continuationSeparator" w:id="0">
    <w:p w14:paraId="67C45D6E" w14:textId="77777777" w:rsidR="007B5976" w:rsidRDefault="007B5976" w:rsidP="00727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344D" w14:textId="77777777" w:rsidR="00642540" w:rsidRPr="00C55BEE" w:rsidRDefault="00C55BEE" w:rsidP="00C55B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48867-03-20</w:t>
    </w:r>
    <w:r>
      <w:rPr>
        <w:rFonts w:ascii="David" w:hAnsi="David"/>
        <w:color w:val="000000"/>
        <w:sz w:val="22"/>
        <w:szCs w:val="22"/>
        <w:rtl/>
      </w:rPr>
      <w:tab/>
      <w:t xml:space="preserve"> מדינת ישראל נ' מחמד ביאע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4ED8" w14:textId="77777777" w:rsidR="00642540" w:rsidRPr="00C55BEE" w:rsidRDefault="00C55BEE" w:rsidP="00C55B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48867-03-20</w:t>
    </w:r>
    <w:r>
      <w:rPr>
        <w:rFonts w:ascii="David" w:hAnsi="David"/>
        <w:color w:val="000000"/>
        <w:sz w:val="22"/>
        <w:szCs w:val="22"/>
        <w:rtl/>
      </w:rPr>
      <w:tab/>
      <w:t xml:space="preserve"> מדינת ישראל נ' מחמד ביאע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2A18"/>
    <w:rsid w:val="000C4948"/>
    <w:rsid w:val="00116430"/>
    <w:rsid w:val="00452A18"/>
    <w:rsid w:val="004E646B"/>
    <w:rsid w:val="005B23EB"/>
    <w:rsid w:val="00642540"/>
    <w:rsid w:val="00727476"/>
    <w:rsid w:val="007B5976"/>
    <w:rsid w:val="008F1803"/>
    <w:rsid w:val="00997AE2"/>
    <w:rsid w:val="00C501AB"/>
    <w:rsid w:val="00C55BEE"/>
    <w:rsid w:val="00CB0167"/>
    <w:rsid w:val="00CD33F9"/>
    <w:rsid w:val="00D05620"/>
    <w:rsid w:val="00DB75D7"/>
    <w:rsid w:val="00DE56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73B067"/>
  <w15:chartTrackingRefBased/>
  <w15:docId w15:val="{5AF94EB6-1FA9-4E08-8A82-CB51D55B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A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2A18"/>
    <w:pPr>
      <w:tabs>
        <w:tab w:val="center" w:pos="4153"/>
        <w:tab w:val="right" w:pos="8306"/>
      </w:tabs>
    </w:pPr>
  </w:style>
  <w:style w:type="character" w:customStyle="1" w:styleId="a4">
    <w:name w:val="כותרת עליונה תו"/>
    <w:link w:val="a3"/>
    <w:rsid w:val="00452A18"/>
    <w:rPr>
      <w:rFonts w:ascii="Times New Roman" w:eastAsia="Times New Roman" w:hAnsi="Times New Roman" w:cs="David"/>
      <w:sz w:val="24"/>
      <w:szCs w:val="24"/>
    </w:rPr>
  </w:style>
  <w:style w:type="paragraph" w:styleId="a5">
    <w:name w:val="footer"/>
    <w:basedOn w:val="a"/>
    <w:link w:val="a6"/>
    <w:rsid w:val="00452A18"/>
    <w:pPr>
      <w:tabs>
        <w:tab w:val="center" w:pos="4153"/>
        <w:tab w:val="right" w:pos="8306"/>
      </w:tabs>
    </w:pPr>
  </w:style>
  <w:style w:type="character" w:customStyle="1" w:styleId="a6">
    <w:name w:val="כותרת תחתונה תו"/>
    <w:link w:val="a5"/>
    <w:rsid w:val="00452A18"/>
    <w:rPr>
      <w:rFonts w:ascii="Times New Roman" w:eastAsia="Times New Roman" w:hAnsi="Times New Roman" w:cs="David"/>
      <w:sz w:val="24"/>
      <w:szCs w:val="24"/>
    </w:rPr>
  </w:style>
  <w:style w:type="table" w:styleId="a7">
    <w:name w:val="Table Grid"/>
    <w:basedOn w:val="a1"/>
    <w:rsid w:val="00452A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2A18"/>
  </w:style>
  <w:style w:type="character" w:styleId="Hyperlink">
    <w:name w:val="Hyperlink"/>
    <w:rsid w:val="00642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law/70301/144" TargetMode="External"/><Relationship Id="rId3" Type="http://schemas.openxmlformats.org/officeDocument/2006/relationships/webSettings" Target="webSettings.xml"/><Relationship Id="rId21" Type="http://schemas.openxmlformats.org/officeDocument/2006/relationships/hyperlink" Target="http://www.nevo.co.il/case/6043271" TargetMode="External"/><Relationship Id="rId34" Type="http://schemas.openxmlformats.org/officeDocument/2006/relationships/theme" Target="theme/theme1.xml"/><Relationship Id="rId7" Type="http://schemas.openxmlformats.org/officeDocument/2006/relationships/hyperlink" Target="http://www.nevo.co.il/law/70301/144" TargetMode="External"/><Relationship Id="rId12" Type="http://schemas.openxmlformats.org/officeDocument/2006/relationships/hyperlink" Target="http://www.nevo.co.il/law/70301/340a.b.2" TargetMode="External"/><Relationship Id="rId17" Type="http://schemas.openxmlformats.org/officeDocument/2006/relationships/hyperlink" Target="http://www.nevo.co.il/law/70301/334" TargetMode="External"/><Relationship Id="rId25" Type="http://schemas.openxmlformats.org/officeDocument/2006/relationships/hyperlink" Target="http://www.nevo.co.il/case/25380358"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40a.b.2" TargetMode="External"/><Relationship Id="rId20" Type="http://schemas.openxmlformats.org/officeDocument/2006/relationships/hyperlink" Target="http://www.nevo.co.il/case/591540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case/2538094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case/2536660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35.a.1" TargetMode="External"/><Relationship Id="rId19" Type="http://schemas.openxmlformats.org/officeDocument/2006/relationships/hyperlink" Target="http://www.nevo.co.il/case/20531134"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3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170318"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1582</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9479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3407994</vt:i4>
      </vt:variant>
      <vt:variant>
        <vt:i4>57</vt:i4>
      </vt:variant>
      <vt:variant>
        <vt:i4>0</vt:i4>
      </vt:variant>
      <vt:variant>
        <vt:i4>5</vt:i4>
      </vt:variant>
      <vt:variant>
        <vt:lpwstr>http://www.nevo.co.il/case/25380358</vt:lpwstr>
      </vt:variant>
      <vt:variant>
        <vt:lpwstr/>
      </vt:variant>
      <vt:variant>
        <vt:i4>3473520</vt:i4>
      </vt:variant>
      <vt:variant>
        <vt:i4>54</vt:i4>
      </vt:variant>
      <vt:variant>
        <vt:i4>0</vt:i4>
      </vt:variant>
      <vt:variant>
        <vt:i4>5</vt:i4>
      </vt:variant>
      <vt:variant>
        <vt:lpwstr>http://www.nevo.co.il/case/25380941</vt:lpwstr>
      </vt:variant>
      <vt:variant>
        <vt:lpwstr/>
      </vt:variant>
      <vt:variant>
        <vt:i4>3604593</vt:i4>
      </vt:variant>
      <vt:variant>
        <vt:i4>51</vt:i4>
      </vt:variant>
      <vt:variant>
        <vt:i4>0</vt:i4>
      </vt:variant>
      <vt:variant>
        <vt:i4>5</vt:i4>
      </vt:variant>
      <vt:variant>
        <vt:lpwstr>http://www.nevo.co.il/case/25366609</vt:lpwstr>
      </vt:variant>
      <vt:variant>
        <vt:lpwstr/>
      </vt:variant>
      <vt:variant>
        <vt:i4>3801204</vt:i4>
      </vt:variant>
      <vt:variant>
        <vt:i4>48</vt:i4>
      </vt:variant>
      <vt:variant>
        <vt:i4>0</vt:i4>
      </vt:variant>
      <vt:variant>
        <vt:i4>5</vt:i4>
      </vt:variant>
      <vt:variant>
        <vt:lpwstr>http://www.nevo.co.il/case/6170318</vt:lpwstr>
      </vt:variant>
      <vt:variant>
        <vt:lpwstr/>
      </vt:variant>
      <vt:variant>
        <vt:i4>3211376</vt:i4>
      </vt:variant>
      <vt:variant>
        <vt:i4>45</vt:i4>
      </vt:variant>
      <vt:variant>
        <vt:i4>0</vt:i4>
      </vt:variant>
      <vt:variant>
        <vt:i4>5</vt:i4>
      </vt:variant>
      <vt:variant>
        <vt:lpwstr>http://www.nevo.co.il/case/6043271</vt:lpwstr>
      </vt:variant>
      <vt:variant>
        <vt:lpwstr/>
      </vt:variant>
      <vt:variant>
        <vt:i4>3407992</vt:i4>
      </vt:variant>
      <vt:variant>
        <vt:i4>42</vt:i4>
      </vt:variant>
      <vt:variant>
        <vt:i4>0</vt:i4>
      </vt:variant>
      <vt:variant>
        <vt:i4>5</vt:i4>
      </vt:variant>
      <vt:variant>
        <vt:lpwstr>http://www.nevo.co.il/case/5915404</vt:lpwstr>
      </vt:variant>
      <vt:variant>
        <vt:lpwstr/>
      </vt:variant>
      <vt:variant>
        <vt:i4>3473526</vt:i4>
      </vt:variant>
      <vt:variant>
        <vt:i4>39</vt:i4>
      </vt:variant>
      <vt:variant>
        <vt:i4>0</vt:i4>
      </vt:variant>
      <vt:variant>
        <vt:i4>5</vt:i4>
      </vt:variant>
      <vt:variant>
        <vt:lpwstr>http://www.nevo.co.il/case/20531134</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5242966</vt:i4>
      </vt:variant>
      <vt:variant>
        <vt:i4>30</vt:i4>
      </vt:variant>
      <vt:variant>
        <vt:i4>0</vt:i4>
      </vt:variant>
      <vt:variant>
        <vt:i4>5</vt:i4>
      </vt:variant>
      <vt:variant>
        <vt:lpwstr>http://www.nevo.co.il/law/70301/340a.b.2</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2023-12-07T12:31:00Z</dcterms:created>
  <dcterms:modified xsi:type="dcterms:W3CDTF">2023-12-07T12:31:00Z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48867</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מחמד ביאע</vt:lpwstr>
  </property>
  <property fmtid="{D5CDD505-2E9C-101B-9397-08002B2CF9AE}" pid="10" name="LAWYER">
    <vt:lpwstr>רמי עותמאן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20200916</vt:lpwstr>
  </property>
  <property fmtid="{D5CDD505-2E9C-101B-9397-08002B2CF9AE}" pid="14" name="TYPE_N_DATE">
    <vt:lpwstr>39020200916</vt:lpwstr>
  </property>
  <property fmtid="{D5CDD505-2E9C-101B-9397-08002B2CF9AE}" pid="15" name="WORDNUMPAGES">
    <vt:lpwstr>5</vt:lpwstr>
  </property>
  <property fmtid="{D5CDD505-2E9C-101B-9397-08002B2CF9AE}" pid="16" name="TYPE_ABS_DATE">
    <vt:lpwstr>390020200916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20531134;5915404;6043271;6170318;25366609;25380941;25380358</vt:lpwstr>
  </property>
  <property fmtid="{D5CDD505-2E9C-101B-9397-08002B2CF9AE}" pid="36" name="LAWLISTTMP1">
    <vt:lpwstr>70301/144.a;340a.b.1;340a.b.2;334;335.a.1;144</vt:lpwstr>
  </property>
</Properties>
</file>