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4A7E13" w:rsidRPr="0002135F" w14:paraId="5F563438" w14:textId="77777777" w:rsidTr="00AC187F">
        <w:trPr>
          <w:trHeight w:hRule="exact" w:val="418"/>
          <w:jc w:val="center"/>
        </w:trPr>
        <w:tc>
          <w:tcPr>
            <w:tcW w:w="8721" w:type="dxa"/>
            <w:gridSpan w:val="2"/>
          </w:tcPr>
          <w:p w14:paraId="080FC070" w14:textId="77777777" w:rsidR="004A7E13" w:rsidRPr="0002135F" w:rsidRDefault="004A7E13" w:rsidP="00077871">
            <w:pPr>
              <w:pStyle w:val="a3"/>
              <w:jc w:val="center"/>
              <w:rPr>
                <w:rFonts w:ascii="Tahoma" w:hAnsi="Tahoma" w:cs="Tahoma"/>
                <w:color w:val="000080"/>
                <w:rtl/>
              </w:rPr>
            </w:pPr>
            <w:r w:rsidRPr="0002135F">
              <w:rPr>
                <w:rFonts w:ascii="Tahoma" w:hAnsi="Tahoma" w:cs="Tahoma"/>
                <w:b/>
                <w:bCs/>
                <w:color w:val="000080"/>
                <w:rtl/>
              </w:rPr>
              <w:t>בית המשפט המחוזי בחיפה</w:t>
            </w:r>
          </w:p>
        </w:tc>
      </w:tr>
      <w:tr w:rsidR="004A7E13" w:rsidRPr="0002135F" w14:paraId="739725DF" w14:textId="77777777" w:rsidTr="00AC187F">
        <w:trPr>
          <w:trHeight w:val="337"/>
          <w:jc w:val="center"/>
        </w:trPr>
        <w:tc>
          <w:tcPr>
            <w:tcW w:w="5054" w:type="dxa"/>
          </w:tcPr>
          <w:p w14:paraId="091E36A4" w14:textId="77777777" w:rsidR="004A7E13" w:rsidRPr="0002135F" w:rsidRDefault="004A7E13" w:rsidP="00077871">
            <w:pPr>
              <w:rPr>
                <w:rFonts w:cs="FrankRuehl"/>
                <w:sz w:val="28"/>
                <w:szCs w:val="28"/>
                <w:rtl/>
              </w:rPr>
            </w:pPr>
            <w:r w:rsidRPr="0002135F">
              <w:rPr>
                <w:rFonts w:cs="FrankRuehl"/>
                <w:sz w:val="28"/>
                <w:szCs w:val="28"/>
                <w:rtl/>
              </w:rPr>
              <w:t>ת"פ</w:t>
            </w:r>
            <w:r w:rsidRPr="0002135F">
              <w:rPr>
                <w:rFonts w:cs="FrankRuehl" w:hint="cs"/>
                <w:sz w:val="28"/>
                <w:szCs w:val="28"/>
                <w:rtl/>
              </w:rPr>
              <w:t xml:space="preserve"> </w:t>
            </w:r>
            <w:r w:rsidRPr="0002135F">
              <w:rPr>
                <w:rFonts w:cs="FrankRuehl"/>
                <w:sz w:val="28"/>
                <w:szCs w:val="28"/>
                <w:rtl/>
              </w:rPr>
              <w:t>54308-12-18</w:t>
            </w:r>
            <w:r w:rsidRPr="0002135F">
              <w:rPr>
                <w:rFonts w:cs="FrankRuehl" w:hint="cs"/>
                <w:sz w:val="28"/>
                <w:szCs w:val="28"/>
                <w:rtl/>
              </w:rPr>
              <w:t xml:space="preserve"> </w:t>
            </w:r>
            <w:r w:rsidRPr="0002135F">
              <w:rPr>
                <w:rFonts w:cs="FrankRuehl"/>
                <w:sz w:val="28"/>
                <w:szCs w:val="28"/>
                <w:rtl/>
              </w:rPr>
              <w:t>מדינת ישראל נ' סועאד</w:t>
            </w:r>
          </w:p>
          <w:p w14:paraId="6722F370" w14:textId="77777777" w:rsidR="004A7E13" w:rsidRPr="0002135F" w:rsidRDefault="004A7E13" w:rsidP="00077871">
            <w:pPr>
              <w:pStyle w:val="a3"/>
              <w:rPr>
                <w:rFonts w:cs="FrankRuehl"/>
                <w:sz w:val="28"/>
                <w:szCs w:val="28"/>
                <w:rtl/>
              </w:rPr>
            </w:pPr>
          </w:p>
        </w:tc>
        <w:tc>
          <w:tcPr>
            <w:tcW w:w="3667" w:type="dxa"/>
          </w:tcPr>
          <w:p w14:paraId="42E202ED" w14:textId="77777777" w:rsidR="004A7E13" w:rsidRPr="0002135F" w:rsidRDefault="004A7E13" w:rsidP="00077871">
            <w:pPr>
              <w:pStyle w:val="a3"/>
              <w:jc w:val="right"/>
              <w:rPr>
                <w:rFonts w:cs="FrankRuehl"/>
                <w:sz w:val="28"/>
                <w:szCs w:val="28"/>
                <w:rtl/>
              </w:rPr>
            </w:pPr>
          </w:p>
        </w:tc>
      </w:tr>
    </w:tbl>
    <w:p w14:paraId="0894CBCF" w14:textId="77777777" w:rsidR="004A7E13" w:rsidRPr="0002135F" w:rsidRDefault="004A7E13" w:rsidP="004A7E13">
      <w:pPr>
        <w:pStyle w:val="a3"/>
        <w:rPr>
          <w:rtl/>
        </w:rPr>
      </w:pPr>
      <w:r w:rsidRPr="0002135F">
        <w:rPr>
          <w:rFonts w:hint="cs"/>
          <w:rtl/>
        </w:rPr>
        <w:t xml:space="preserve"> </w:t>
      </w:r>
    </w:p>
    <w:p w14:paraId="4F5B77F9" w14:textId="77777777" w:rsidR="004A7E13" w:rsidRPr="0002135F" w:rsidRDefault="004A7E13" w:rsidP="004A7E13">
      <w:pPr>
        <w:rPr>
          <w:b/>
          <w:bCs/>
          <w:rtl/>
        </w:rPr>
      </w:pPr>
    </w:p>
    <w:p w14:paraId="03167902" w14:textId="77777777" w:rsidR="004A7E13" w:rsidRPr="0002135F" w:rsidRDefault="004A7E13" w:rsidP="004A7E1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A7E13" w:rsidRPr="0002135F" w14:paraId="6A8E5016" w14:textId="77777777" w:rsidTr="004A7E13">
        <w:trPr>
          <w:trHeight w:val="295"/>
          <w:jc w:val="center"/>
        </w:trPr>
        <w:tc>
          <w:tcPr>
            <w:tcW w:w="923" w:type="dxa"/>
            <w:tcBorders>
              <w:top w:val="nil"/>
              <w:left w:val="nil"/>
              <w:bottom w:val="nil"/>
              <w:right w:val="nil"/>
            </w:tcBorders>
            <w:shd w:val="clear" w:color="auto" w:fill="auto"/>
          </w:tcPr>
          <w:p w14:paraId="102CE446" w14:textId="77777777" w:rsidR="004A7E13" w:rsidRPr="0002135F" w:rsidRDefault="004A7E13" w:rsidP="00077871">
            <w:pPr>
              <w:rPr>
                <w:rFonts w:ascii="David" w:hAnsi="David"/>
                <w:b/>
                <w:bCs/>
                <w:sz w:val="26"/>
                <w:szCs w:val="26"/>
                <w:rtl/>
              </w:rPr>
            </w:pPr>
            <w:r w:rsidRPr="0002135F">
              <w:rPr>
                <w:rFonts w:ascii="David" w:hAnsi="David"/>
                <w:b/>
                <w:bCs/>
                <w:sz w:val="26"/>
                <w:szCs w:val="26"/>
                <w:rtl/>
              </w:rPr>
              <w:t xml:space="preserve">בפני </w:t>
            </w:r>
          </w:p>
          <w:p w14:paraId="253DFACB" w14:textId="77777777" w:rsidR="004A7E13" w:rsidRPr="0002135F" w:rsidRDefault="004A7E13" w:rsidP="00077871">
            <w:pPr>
              <w:rPr>
                <w:rFonts w:ascii="David" w:hAnsi="David"/>
                <w:b/>
                <w:bCs/>
                <w:sz w:val="28"/>
                <w:szCs w:val="28"/>
              </w:rPr>
            </w:pPr>
          </w:p>
        </w:tc>
        <w:tc>
          <w:tcPr>
            <w:tcW w:w="7897" w:type="dxa"/>
            <w:gridSpan w:val="2"/>
            <w:tcBorders>
              <w:top w:val="nil"/>
              <w:left w:val="nil"/>
              <w:bottom w:val="nil"/>
              <w:right w:val="nil"/>
            </w:tcBorders>
            <w:shd w:val="clear" w:color="auto" w:fill="auto"/>
          </w:tcPr>
          <w:p w14:paraId="55CB126A" w14:textId="77777777" w:rsidR="004A7E13" w:rsidRPr="0002135F" w:rsidRDefault="004A7E13" w:rsidP="00077871">
            <w:pPr>
              <w:rPr>
                <w:rFonts w:ascii="David" w:hAnsi="David"/>
                <w:b/>
                <w:bCs/>
                <w:sz w:val="28"/>
                <w:szCs w:val="28"/>
              </w:rPr>
            </w:pPr>
            <w:r w:rsidRPr="0002135F">
              <w:rPr>
                <w:rFonts w:ascii="David" w:hAnsi="David"/>
                <w:b/>
                <w:bCs/>
                <w:rtl/>
              </w:rPr>
              <w:t>כב' השופט אברהם אליקים, סגן נשיא</w:t>
            </w:r>
          </w:p>
        </w:tc>
      </w:tr>
      <w:tr w:rsidR="004A7E13" w:rsidRPr="0002135F" w14:paraId="0A19CA34" w14:textId="77777777" w:rsidTr="004A7E13">
        <w:trPr>
          <w:trHeight w:val="355"/>
          <w:jc w:val="center"/>
        </w:trPr>
        <w:tc>
          <w:tcPr>
            <w:tcW w:w="923" w:type="dxa"/>
            <w:tcBorders>
              <w:top w:val="nil"/>
              <w:left w:val="nil"/>
              <w:bottom w:val="nil"/>
              <w:right w:val="nil"/>
            </w:tcBorders>
            <w:shd w:val="clear" w:color="auto" w:fill="auto"/>
          </w:tcPr>
          <w:p w14:paraId="70A34530" w14:textId="77777777" w:rsidR="004A7E13" w:rsidRPr="0002135F" w:rsidRDefault="004A7E13" w:rsidP="00077871">
            <w:pPr>
              <w:rPr>
                <w:rFonts w:ascii="Arial" w:hAnsi="Arial" w:cs="FrankRuehl"/>
                <w:b/>
                <w:bCs/>
                <w:sz w:val="28"/>
                <w:szCs w:val="28"/>
              </w:rPr>
            </w:pPr>
            <w:bookmarkStart w:id="0" w:name="FirstAppellant"/>
            <w:bookmarkStart w:id="1" w:name="LastJudge"/>
            <w:bookmarkEnd w:id="1"/>
            <w:r w:rsidRPr="0002135F">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2A2438A" w14:textId="77777777" w:rsidR="004A7E13" w:rsidRPr="0002135F" w:rsidRDefault="004A7E13" w:rsidP="00077871">
            <w:pPr>
              <w:rPr>
                <w:b/>
                <w:bCs/>
              </w:rPr>
            </w:pPr>
            <w:r w:rsidRPr="0002135F">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6605DDC5" w14:textId="77777777" w:rsidR="004A7E13" w:rsidRPr="0002135F" w:rsidRDefault="004A7E13" w:rsidP="00077871">
            <w:pPr>
              <w:rPr>
                <w:rFonts w:ascii="Arial" w:hAnsi="Arial" w:cs="FrankRuehl"/>
                <w:b/>
                <w:bCs/>
                <w:sz w:val="28"/>
                <w:szCs w:val="28"/>
              </w:rPr>
            </w:pPr>
            <w:r w:rsidRPr="0002135F">
              <w:rPr>
                <w:rFonts w:ascii="Arial" w:hAnsi="Arial" w:cs="FrankRuehl" w:hint="cs"/>
                <w:b/>
                <w:bCs/>
                <w:sz w:val="28"/>
                <w:szCs w:val="28"/>
                <w:rtl/>
              </w:rPr>
              <w:t>המאשימה</w:t>
            </w:r>
          </w:p>
        </w:tc>
      </w:tr>
      <w:bookmarkEnd w:id="0"/>
      <w:tr w:rsidR="004A7E13" w:rsidRPr="0002135F" w14:paraId="79A11C16" w14:textId="77777777" w:rsidTr="004A7E13">
        <w:trPr>
          <w:trHeight w:val="355"/>
          <w:jc w:val="center"/>
        </w:trPr>
        <w:tc>
          <w:tcPr>
            <w:tcW w:w="923" w:type="dxa"/>
            <w:tcBorders>
              <w:top w:val="nil"/>
              <w:left w:val="nil"/>
              <w:bottom w:val="nil"/>
              <w:right w:val="nil"/>
            </w:tcBorders>
            <w:shd w:val="clear" w:color="auto" w:fill="auto"/>
          </w:tcPr>
          <w:p w14:paraId="1A6ED521" w14:textId="77777777" w:rsidR="004A7E13" w:rsidRPr="0002135F" w:rsidRDefault="004A7E13" w:rsidP="00077871">
            <w:pPr>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8F31B39" w14:textId="77777777" w:rsidR="004A7E13" w:rsidRPr="0002135F" w:rsidRDefault="004A7E13" w:rsidP="00077871">
            <w:pPr>
              <w:rPr>
                <w:rFonts w:ascii="Arial" w:hAnsi="Arial" w:cs="FrankRuehl"/>
                <w:b/>
                <w:bCs/>
                <w:sz w:val="28"/>
                <w:szCs w:val="28"/>
                <w:rtl/>
              </w:rPr>
            </w:pPr>
          </w:p>
          <w:p w14:paraId="11681115" w14:textId="77777777" w:rsidR="004A7E13" w:rsidRPr="0002135F" w:rsidRDefault="004A7E13" w:rsidP="004A7E13">
            <w:pPr>
              <w:jc w:val="center"/>
              <w:rPr>
                <w:rFonts w:ascii="Arial" w:hAnsi="Arial" w:cs="FrankRuehl"/>
                <w:b/>
                <w:bCs/>
                <w:sz w:val="28"/>
                <w:szCs w:val="28"/>
                <w:rtl/>
              </w:rPr>
            </w:pPr>
            <w:r w:rsidRPr="0002135F">
              <w:rPr>
                <w:rFonts w:ascii="Arial" w:hAnsi="Arial" w:cs="FrankRuehl"/>
                <w:b/>
                <w:bCs/>
                <w:sz w:val="28"/>
                <w:szCs w:val="28"/>
                <w:rtl/>
              </w:rPr>
              <w:t>נגד</w:t>
            </w:r>
          </w:p>
          <w:p w14:paraId="60640F05" w14:textId="77777777" w:rsidR="004A7E13" w:rsidRPr="0002135F" w:rsidRDefault="004A7E13" w:rsidP="00077871">
            <w:pPr>
              <w:rPr>
                <w:rFonts w:ascii="Arial" w:hAnsi="Arial" w:cs="FrankRuehl"/>
                <w:b/>
                <w:bCs/>
                <w:sz w:val="28"/>
                <w:szCs w:val="28"/>
              </w:rPr>
            </w:pPr>
          </w:p>
        </w:tc>
      </w:tr>
      <w:tr w:rsidR="004A7E13" w:rsidRPr="0002135F" w14:paraId="375489DE" w14:textId="77777777" w:rsidTr="004A7E13">
        <w:trPr>
          <w:trHeight w:val="355"/>
          <w:jc w:val="center"/>
        </w:trPr>
        <w:tc>
          <w:tcPr>
            <w:tcW w:w="923" w:type="dxa"/>
            <w:tcBorders>
              <w:top w:val="nil"/>
              <w:left w:val="nil"/>
              <w:bottom w:val="nil"/>
              <w:right w:val="nil"/>
            </w:tcBorders>
            <w:shd w:val="clear" w:color="auto" w:fill="auto"/>
          </w:tcPr>
          <w:p w14:paraId="34BF8010" w14:textId="77777777" w:rsidR="004A7E13" w:rsidRPr="0002135F" w:rsidRDefault="004A7E13" w:rsidP="00077871">
            <w:pPr>
              <w:rPr>
                <w:rFonts w:ascii="Arial" w:hAnsi="Arial" w:cs="FrankRuehl"/>
                <w:b/>
                <w:bCs/>
                <w:sz w:val="28"/>
                <w:szCs w:val="28"/>
                <w:rtl/>
              </w:rPr>
            </w:pPr>
          </w:p>
        </w:tc>
        <w:tc>
          <w:tcPr>
            <w:tcW w:w="4126" w:type="dxa"/>
            <w:tcBorders>
              <w:top w:val="nil"/>
              <w:left w:val="nil"/>
              <w:bottom w:val="nil"/>
              <w:right w:val="nil"/>
            </w:tcBorders>
            <w:shd w:val="clear" w:color="auto" w:fill="auto"/>
          </w:tcPr>
          <w:p w14:paraId="31A0BA42" w14:textId="77777777" w:rsidR="004A7E13" w:rsidRPr="0002135F" w:rsidRDefault="004A7E13" w:rsidP="00077871">
            <w:pPr>
              <w:rPr>
                <w:b/>
                <w:bCs/>
                <w:rtl/>
              </w:rPr>
            </w:pPr>
            <w:r w:rsidRPr="0002135F">
              <w:rPr>
                <w:rFonts w:ascii="Arial" w:hAnsi="Arial" w:cs="FrankRuehl"/>
                <w:b/>
                <w:bCs/>
                <w:sz w:val="28"/>
                <w:szCs w:val="28"/>
                <w:rtl/>
              </w:rPr>
              <w:t>אחמד סועאד</w:t>
            </w:r>
          </w:p>
        </w:tc>
        <w:tc>
          <w:tcPr>
            <w:tcW w:w="3771" w:type="dxa"/>
            <w:tcBorders>
              <w:top w:val="nil"/>
              <w:left w:val="nil"/>
              <w:bottom w:val="nil"/>
              <w:right w:val="nil"/>
            </w:tcBorders>
            <w:shd w:val="clear" w:color="auto" w:fill="auto"/>
          </w:tcPr>
          <w:p w14:paraId="7E1644A6" w14:textId="77777777" w:rsidR="004A7E13" w:rsidRPr="0002135F" w:rsidRDefault="004A7E13" w:rsidP="00077871">
            <w:pPr>
              <w:rPr>
                <w:rFonts w:ascii="Arial" w:hAnsi="Arial" w:cs="FrankRuehl"/>
                <w:b/>
                <w:bCs/>
                <w:sz w:val="28"/>
                <w:szCs w:val="28"/>
              </w:rPr>
            </w:pPr>
            <w:r w:rsidRPr="0002135F">
              <w:rPr>
                <w:rFonts w:ascii="Arial" w:hAnsi="Arial" w:cs="FrankRuehl" w:hint="cs"/>
                <w:b/>
                <w:bCs/>
                <w:sz w:val="28"/>
                <w:szCs w:val="28"/>
                <w:rtl/>
              </w:rPr>
              <w:t>הנאשם</w:t>
            </w:r>
          </w:p>
        </w:tc>
      </w:tr>
    </w:tbl>
    <w:p w14:paraId="4139E356" w14:textId="77777777" w:rsidR="004A7E13" w:rsidRPr="0002135F" w:rsidRDefault="004A7E13" w:rsidP="004A7E13">
      <w:pPr>
        <w:rPr>
          <w:b/>
          <w:bCs/>
          <w:rtl/>
        </w:rPr>
      </w:pPr>
    </w:p>
    <w:p w14:paraId="64D34457" w14:textId="77777777" w:rsidR="004A7E13" w:rsidRPr="0002135F" w:rsidRDefault="004A7E13" w:rsidP="004A7E13">
      <w:pPr>
        <w:rPr>
          <w:b/>
          <w:bCs/>
        </w:rPr>
      </w:pPr>
    </w:p>
    <w:p w14:paraId="17F19F3D" w14:textId="77777777" w:rsidR="0002135F" w:rsidRPr="0002135F" w:rsidRDefault="0002135F" w:rsidP="0002135F">
      <w:pPr>
        <w:spacing w:before="120" w:after="120" w:line="240" w:lineRule="exact"/>
        <w:ind w:left="283" w:hanging="283"/>
        <w:jc w:val="both"/>
        <w:rPr>
          <w:rFonts w:ascii="FrankRuehl" w:hAnsi="FrankRuehl" w:cs="FrankRuehl"/>
          <w:rtl/>
        </w:rPr>
      </w:pPr>
    </w:p>
    <w:p w14:paraId="2B76B4A3" w14:textId="77777777" w:rsidR="0002135F" w:rsidRPr="0002135F" w:rsidRDefault="0002135F" w:rsidP="0002135F">
      <w:pPr>
        <w:rPr>
          <w:rFonts w:ascii="Arial" w:hAnsi="Arial"/>
          <w:rtl/>
        </w:rPr>
      </w:pPr>
    </w:p>
    <w:p w14:paraId="03FCA404" w14:textId="77777777" w:rsidR="00AC187F" w:rsidRPr="00AC187F" w:rsidRDefault="00AC187F" w:rsidP="00AC187F">
      <w:pPr>
        <w:spacing w:before="120" w:after="120" w:line="240" w:lineRule="exact"/>
        <w:ind w:left="283" w:hanging="283"/>
        <w:jc w:val="both"/>
        <w:rPr>
          <w:rFonts w:ascii="FrankRuehl" w:hAnsi="FrankRuehl" w:cs="FrankRuehl"/>
          <w:rtl/>
        </w:rPr>
      </w:pPr>
      <w:bookmarkStart w:id="2" w:name="LawTable"/>
      <w:bookmarkEnd w:id="2"/>
      <w:r w:rsidRPr="00AC187F">
        <w:rPr>
          <w:rFonts w:ascii="FrankRuehl" w:hAnsi="FrankRuehl" w:cs="FrankRuehl"/>
          <w:rtl/>
        </w:rPr>
        <w:t xml:space="preserve">חקיקה שאוזכרה: </w:t>
      </w:r>
    </w:p>
    <w:p w14:paraId="0E2CD5EB" w14:textId="77777777" w:rsidR="00AC187F" w:rsidRPr="00AC187F" w:rsidRDefault="00AC187F" w:rsidP="00AC187F">
      <w:pPr>
        <w:spacing w:before="120" w:after="120" w:line="240" w:lineRule="exact"/>
        <w:ind w:left="283" w:hanging="283"/>
        <w:jc w:val="both"/>
        <w:rPr>
          <w:rFonts w:ascii="FrankRuehl" w:hAnsi="FrankRuehl" w:cs="FrankRuehl"/>
          <w:rtl/>
        </w:rPr>
      </w:pPr>
      <w:hyperlink r:id="rId7" w:history="1">
        <w:r w:rsidRPr="00AC187F">
          <w:rPr>
            <w:rFonts w:ascii="FrankRuehl" w:hAnsi="FrankRuehl" w:cs="FrankRuehl"/>
            <w:color w:val="0000FF"/>
            <w:u w:val="single"/>
            <w:rtl/>
          </w:rPr>
          <w:t>חוק העונשין, תשל"ז-1977</w:t>
        </w:r>
      </w:hyperlink>
      <w:r w:rsidRPr="00AC187F">
        <w:rPr>
          <w:rFonts w:ascii="FrankRuehl" w:hAnsi="FrankRuehl" w:cs="FrankRuehl"/>
          <w:rtl/>
        </w:rPr>
        <w:t xml:space="preserve">: סע'  </w:t>
      </w:r>
      <w:hyperlink r:id="rId8" w:history="1">
        <w:r w:rsidRPr="00AC187F">
          <w:rPr>
            <w:rFonts w:ascii="FrankRuehl" w:hAnsi="FrankRuehl" w:cs="FrankRuehl"/>
            <w:color w:val="0000FF"/>
            <w:u w:val="single"/>
            <w:rtl/>
          </w:rPr>
          <w:t>25</w:t>
        </w:r>
      </w:hyperlink>
      <w:r w:rsidRPr="00AC187F">
        <w:rPr>
          <w:rFonts w:ascii="FrankRuehl" w:hAnsi="FrankRuehl" w:cs="FrankRuehl"/>
          <w:rtl/>
        </w:rPr>
        <w:t xml:space="preserve">, </w:t>
      </w:r>
      <w:hyperlink r:id="rId9" w:history="1">
        <w:r w:rsidRPr="00AC187F">
          <w:rPr>
            <w:rFonts w:ascii="FrankRuehl" w:hAnsi="FrankRuehl" w:cs="FrankRuehl"/>
            <w:color w:val="0000FF"/>
            <w:u w:val="single"/>
            <w:rtl/>
          </w:rPr>
          <w:t>29</w:t>
        </w:r>
      </w:hyperlink>
      <w:r w:rsidRPr="00AC187F">
        <w:rPr>
          <w:rFonts w:ascii="FrankRuehl" w:hAnsi="FrankRuehl" w:cs="FrankRuehl"/>
          <w:rtl/>
        </w:rPr>
        <w:t xml:space="preserve">, </w:t>
      </w:r>
      <w:hyperlink r:id="rId10" w:history="1">
        <w:r w:rsidRPr="00AC187F">
          <w:rPr>
            <w:rFonts w:ascii="FrankRuehl" w:hAnsi="FrankRuehl" w:cs="FrankRuehl"/>
            <w:color w:val="0000FF"/>
            <w:u w:val="single"/>
            <w:rtl/>
          </w:rPr>
          <w:t>40ב'</w:t>
        </w:r>
      </w:hyperlink>
      <w:r w:rsidRPr="00AC187F">
        <w:rPr>
          <w:rFonts w:ascii="FrankRuehl" w:hAnsi="FrankRuehl" w:cs="FrankRuehl"/>
          <w:rtl/>
        </w:rPr>
        <w:t xml:space="preserve">, </w:t>
      </w:r>
      <w:hyperlink r:id="rId11" w:history="1">
        <w:r w:rsidRPr="00AC187F">
          <w:rPr>
            <w:rFonts w:ascii="FrankRuehl" w:hAnsi="FrankRuehl" w:cs="FrankRuehl"/>
            <w:color w:val="0000FF"/>
            <w:u w:val="single"/>
            <w:rtl/>
          </w:rPr>
          <w:t>40ט'</w:t>
        </w:r>
      </w:hyperlink>
      <w:r w:rsidRPr="00AC187F">
        <w:rPr>
          <w:rFonts w:ascii="FrankRuehl" w:hAnsi="FrankRuehl" w:cs="FrankRuehl"/>
          <w:rtl/>
        </w:rPr>
        <w:t xml:space="preserve">, </w:t>
      </w:r>
      <w:hyperlink r:id="rId12" w:history="1">
        <w:r w:rsidRPr="00AC187F">
          <w:rPr>
            <w:rFonts w:ascii="FrankRuehl" w:hAnsi="FrankRuehl" w:cs="FrankRuehl"/>
            <w:color w:val="0000FF"/>
            <w:u w:val="single"/>
            <w:rtl/>
          </w:rPr>
          <w:t>144.ב</w:t>
        </w:r>
      </w:hyperlink>
      <w:r w:rsidRPr="00AC187F">
        <w:rPr>
          <w:rFonts w:ascii="FrankRuehl" w:hAnsi="FrankRuehl" w:cs="FrankRuehl"/>
          <w:rtl/>
        </w:rPr>
        <w:t xml:space="preserve">, </w:t>
      </w:r>
      <w:hyperlink r:id="rId13" w:history="1">
        <w:r w:rsidRPr="00AC187F">
          <w:rPr>
            <w:rFonts w:ascii="FrankRuehl" w:hAnsi="FrankRuehl" w:cs="FrankRuehl"/>
            <w:color w:val="0000FF"/>
            <w:u w:val="single"/>
            <w:rtl/>
          </w:rPr>
          <w:t>333</w:t>
        </w:r>
      </w:hyperlink>
      <w:r w:rsidRPr="00AC187F">
        <w:rPr>
          <w:rFonts w:ascii="FrankRuehl" w:hAnsi="FrankRuehl" w:cs="FrankRuehl"/>
          <w:rtl/>
        </w:rPr>
        <w:t xml:space="preserve">, </w:t>
      </w:r>
      <w:hyperlink r:id="rId14" w:history="1">
        <w:r w:rsidRPr="00AC187F">
          <w:rPr>
            <w:rFonts w:ascii="FrankRuehl" w:hAnsi="FrankRuehl" w:cs="FrankRuehl"/>
            <w:color w:val="0000FF"/>
            <w:u w:val="single"/>
            <w:rtl/>
          </w:rPr>
          <w:t>333.א.1</w:t>
        </w:r>
      </w:hyperlink>
      <w:r w:rsidRPr="00AC187F">
        <w:rPr>
          <w:rFonts w:ascii="FrankRuehl" w:hAnsi="FrankRuehl" w:cs="FrankRuehl"/>
          <w:rtl/>
        </w:rPr>
        <w:t xml:space="preserve">, </w:t>
      </w:r>
      <w:hyperlink r:id="rId15" w:history="1">
        <w:r w:rsidRPr="00AC187F">
          <w:rPr>
            <w:rFonts w:ascii="FrankRuehl" w:hAnsi="FrankRuehl" w:cs="FrankRuehl"/>
            <w:color w:val="0000FF"/>
            <w:u w:val="single"/>
            <w:rtl/>
          </w:rPr>
          <w:t>335</w:t>
        </w:r>
      </w:hyperlink>
      <w:r w:rsidRPr="00AC187F">
        <w:rPr>
          <w:rFonts w:ascii="FrankRuehl" w:hAnsi="FrankRuehl" w:cs="FrankRuehl"/>
          <w:rtl/>
        </w:rPr>
        <w:t xml:space="preserve">, </w:t>
      </w:r>
      <w:hyperlink r:id="rId16" w:history="1">
        <w:r w:rsidRPr="00AC187F">
          <w:rPr>
            <w:rFonts w:ascii="FrankRuehl" w:hAnsi="FrankRuehl" w:cs="FrankRuehl"/>
            <w:color w:val="0000FF"/>
            <w:u w:val="single"/>
            <w:rtl/>
          </w:rPr>
          <w:t>335.א.1.2</w:t>
        </w:r>
      </w:hyperlink>
      <w:r w:rsidRPr="00AC187F">
        <w:rPr>
          <w:rFonts w:ascii="FrankRuehl" w:hAnsi="FrankRuehl" w:cs="FrankRuehl"/>
          <w:rtl/>
        </w:rPr>
        <w:t xml:space="preserve">, </w:t>
      </w:r>
      <w:hyperlink r:id="rId17" w:history="1">
        <w:r w:rsidRPr="00AC187F">
          <w:rPr>
            <w:rFonts w:ascii="FrankRuehl" w:hAnsi="FrankRuehl" w:cs="FrankRuehl"/>
            <w:color w:val="0000FF"/>
            <w:u w:val="single"/>
            <w:rtl/>
          </w:rPr>
          <w:t>40יא'</w:t>
        </w:r>
      </w:hyperlink>
      <w:r w:rsidRPr="00AC187F">
        <w:rPr>
          <w:rFonts w:ascii="FrankRuehl" w:hAnsi="FrankRuehl" w:cs="FrankRuehl"/>
          <w:rtl/>
        </w:rPr>
        <w:t xml:space="preserve">, </w:t>
      </w:r>
      <w:hyperlink r:id="rId18" w:history="1">
        <w:r w:rsidRPr="00AC187F">
          <w:rPr>
            <w:rFonts w:ascii="FrankRuehl" w:hAnsi="FrankRuehl" w:cs="FrankRuehl"/>
            <w:color w:val="0000FF"/>
            <w:u w:val="single"/>
            <w:rtl/>
          </w:rPr>
          <w:t>448</w:t>
        </w:r>
      </w:hyperlink>
    </w:p>
    <w:p w14:paraId="69174F24" w14:textId="77777777" w:rsidR="004A7E13" w:rsidRDefault="004A7E13" w:rsidP="00AC187F">
      <w:pPr>
        <w:rPr>
          <w:rFonts w:ascii="Arial" w:hAnsi="Arial" w:hint="cs"/>
          <w:rtl/>
        </w:rPr>
      </w:pPr>
      <w:bookmarkStart w:id="3" w:name="LawTable_End"/>
      <w:bookmarkEnd w:id="3"/>
    </w:p>
    <w:p w14:paraId="3E440FD0" w14:textId="77777777" w:rsidR="00AC187F" w:rsidRDefault="00AC187F" w:rsidP="00AC187F">
      <w:pPr>
        <w:rPr>
          <w:rFonts w:ascii="Arial" w:hAnsi="Arial" w:hint="cs"/>
          <w:rtl/>
        </w:rPr>
      </w:pPr>
    </w:p>
    <w:p w14:paraId="541F8271" w14:textId="77777777" w:rsidR="00AC187F" w:rsidRDefault="00AC187F" w:rsidP="00AC187F">
      <w:pPr>
        <w:rPr>
          <w:rFonts w:ascii="Arial" w:hAnsi="Arial" w:hint="cs"/>
          <w:rtl/>
        </w:rPr>
      </w:pPr>
    </w:p>
    <w:p w14:paraId="57DC07C2" w14:textId="77777777" w:rsidR="00AC187F" w:rsidRPr="00AC187F" w:rsidRDefault="00AC187F" w:rsidP="00AC187F">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7E13" w14:paraId="5807C73B" w14:textId="77777777" w:rsidTr="004A7E13">
        <w:trPr>
          <w:trHeight w:val="355"/>
          <w:jc w:val="center"/>
        </w:trPr>
        <w:tc>
          <w:tcPr>
            <w:tcW w:w="8820" w:type="dxa"/>
            <w:tcBorders>
              <w:top w:val="nil"/>
              <w:left w:val="nil"/>
              <w:bottom w:val="nil"/>
              <w:right w:val="nil"/>
            </w:tcBorders>
            <w:shd w:val="clear" w:color="auto" w:fill="auto"/>
          </w:tcPr>
          <w:p w14:paraId="2F228E18" w14:textId="77777777" w:rsidR="0002135F" w:rsidRPr="0002135F" w:rsidRDefault="0002135F" w:rsidP="0002135F">
            <w:pPr>
              <w:jc w:val="center"/>
              <w:rPr>
                <w:rFonts w:ascii="Arial" w:hAnsi="Arial" w:cs="FrankRuehl"/>
                <w:b/>
                <w:bCs/>
                <w:sz w:val="32"/>
                <w:szCs w:val="32"/>
                <w:u w:val="single"/>
                <w:rtl/>
              </w:rPr>
            </w:pPr>
            <w:bookmarkStart w:id="4" w:name="PsakDin" w:colFirst="0" w:colLast="0"/>
            <w:r w:rsidRPr="0002135F">
              <w:rPr>
                <w:rFonts w:ascii="Arial" w:hAnsi="Arial" w:cs="FrankRuehl"/>
                <w:b/>
                <w:bCs/>
                <w:sz w:val="32"/>
                <w:szCs w:val="32"/>
                <w:u w:val="single"/>
                <w:rtl/>
              </w:rPr>
              <w:t>גזר דין</w:t>
            </w:r>
          </w:p>
          <w:p w14:paraId="5BB208C8" w14:textId="77777777" w:rsidR="004A7E13" w:rsidRPr="0002135F" w:rsidRDefault="004A7E13" w:rsidP="0002135F">
            <w:pPr>
              <w:jc w:val="center"/>
              <w:rPr>
                <w:rFonts w:ascii="Arial" w:hAnsi="Arial" w:cs="FrankRuehl"/>
                <w:bCs/>
                <w:sz w:val="32"/>
                <w:szCs w:val="32"/>
                <w:u w:val="single"/>
                <w:rtl/>
              </w:rPr>
            </w:pPr>
          </w:p>
        </w:tc>
      </w:tr>
      <w:bookmarkEnd w:id="4"/>
    </w:tbl>
    <w:p w14:paraId="3D7315D3" w14:textId="77777777" w:rsidR="004A7E13" w:rsidRPr="00B05847" w:rsidRDefault="004A7E13" w:rsidP="004A7E13">
      <w:pPr>
        <w:rPr>
          <w:rFonts w:ascii="Arial" w:hAnsi="Arial"/>
          <w:rtl/>
        </w:rPr>
      </w:pPr>
    </w:p>
    <w:p w14:paraId="03190F01" w14:textId="77777777" w:rsidR="004A7E13" w:rsidRPr="00B05847" w:rsidRDefault="004A7E13" w:rsidP="004A7E13">
      <w:pPr>
        <w:rPr>
          <w:rFonts w:ascii="Arial" w:hAnsi="Arial"/>
          <w:rtl/>
        </w:rPr>
      </w:pPr>
    </w:p>
    <w:p w14:paraId="73615A8C"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מבוא</w:t>
      </w:r>
    </w:p>
    <w:p w14:paraId="78DBAE1C" w14:textId="77777777" w:rsidR="004A7E13" w:rsidRDefault="004A7E13" w:rsidP="004A7E13">
      <w:pPr>
        <w:pStyle w:val="a9"/>
        <w:numPr>
          <w:ilvl w:val="0"/>
          <w:numId w:val="2"/>
        </w:numPr>
        <w:spacing w:line="360" w:lineRule="auto"/>
        <w:ind w:left="368"/>
        <w:jc w:val="both"/>
        <w:rPr>
          <w:rFonts w:ascii="FrankRuehl" w:hAnsi="FrankRuehl"/>
          <w:sz w:val="28"/>
          <w:u w:val="single"/>
        </w:rPr>
      </w:pPr>
      <w:bookmarkStart w:id="5" w:name="ABSTRACT_START"/>
      <w:bookmarkEnd w:id="5"/>
      <w:r>
        <w:rPr>
          <w:rFonts w:ascii="FrankRuehl" w:hAnsi="FrankRuehl"/>
          <w:sz w:val="28"/>
          <w:rtl/>
        </w:rPr>
        <w:t>הנאשם הורשע על פי הודאתו בעובדות כתב אישום שתוקן במסגרת  הסדר טיעון (ההסדר סומן א וכתב האישום המתוקן סומן ב), בין הצדדים  אין הסכמה לעניין העונש.</w:t>
      </w:r>
    </w:p>
    <w:p w14:paraId="1EB365AE" w14:textId="77777777" w:rsidR="004A7E13" w:rsidRPr="00DA3D83" w:rsidRDefault="004A7E13" w:rsidP="004A7E13">
      <w:pPr>
        <w:pStyle w:val="a9"/>
        <w:spacing w:line="360" w:lineRule="auto"/>
        <w:ind w:left="368"/>
        <w:jc w:val="both"/>
        <w:rPr>
          <w:rFonts w:ascii="FrankRuehl" w:hAnsi="FrankRuehl"/>
          <w:sz w:val="28"/>
          <w:u w:val="single"/>
        </w:rPr>
      </w:pPr>
    </w:p>
    <w:p w14:paraId="63508147" w14:textId="77777777" w:rsidR="004A7E13" w:rsidRPr="004860E5" w:rsidRDefault="004A7E13" w:rsidP="004A7E13">
      <w:pPr>
        <w:pStyle w:val="a9"/>
        <w:numPr>
          <w:ilvl w:val="0"/>
          <w:numId w:val="2"/>
        </w:numPr>
        <w:spacing w:line="360" w:lineRule="auto"/>
        <w:ind w:left="368"/>
        <w:jc w:val="both"/>
        <w:rPr>
          <w:rFonts w:ascii="FrankRuehl" w:hAnsi="FrankRuehl"/>
          <w:sz w:val="28"/>
          <w:u w:val="single"/>
        </w:rPr>
      </w:pPr>
      <w:r>
        <w:rPr>
          <w:rFonts w:ascii="FrankRuehl" w:hAnsi="FrankRuehl"/>
          <w:sz w:val="28"/>
          <w:rtl/>
        </w:rPr>
        <w:t xml:space="preserve">על פי עובדות כתב האישום המתוקן, בין הנאשם לבין בנו של המתלונן היה סכסוך, הנאשם חשד כי בנו של המתלונן ירה על רכבו ולכן החליט לנקום במשפחת המתלונן.  </w:t>
      </w:r>
    </w:p>
    <w:p w14:paraId="227C5C0F" w14:textId="77777777" w:rsidR="004A7E13" w:rsidRDefault="004A7E13" w:rsidP="004A7E13">
      <w:pPr>
        <w:pStyle w:val="a9"/>
        <w:spacing w:line="360" w:lineRule="auto"/>
        <w:ind w:left="368"/>
        <w:jc w:val="both"/>
        <w:rPr>
          <w:rFonts w:ascii="FrankRuehl" w:hAnsi="FrankRuehl"/>
          <w:sz w:val="28"/>
          <w:u w:val="single"/>
        </w:rPr>
      </w:pPr>
      <w:bookmarkStart w:id="6" w:name="ABSTRACT_END"/>
      <w:bookmarkEnd w:id="6"/>
    </w:p>
    <w:p w14:paraId="17E46812"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 xml:space="preserve">הנאשם קשר קשר עם אחר שזהותו לא ידועה כדי לבצע ירי בסמוך לבית משפחת המתלונן, להשליך על הבית רימון הלם בזמן שבני המשפחה נמצאים בבית ולהצית את רכבי המשפחה. בהתאם לכך הצטיידו השניים באקדח, מחסנית וכדורים, רמון הלם ומיכל בנזין. </w:t>
      </w:r>
    </w:p>
    <w:p w14:paraId="30792BFE" w14:textId="77777777" w:rsidR="004A7E13" w:rsidRDefault="004A7E13" w:rsidP="004A7E13">
      <w:pPr>
        <w:pStyle w:val="a9"/>
        <w:spacing w:line="360" w:lineRule="auto"/>
        <w:ind w:left="368"/>
        <w:jc w:val="both"/>
        <w:rPr>
          <w:rFonts w:ascii="FrankRuehl" w:hAnsi="FrankRuehl"/>
          <w:sz w:val="28"/>
          <w:u w:val="single"/>
          <w:rtl/>
        </w:rPr>
      </w:pPr>
    </w:p>
    <w:p w14:paraId="3399849E"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lastRenderedPageBreak/>
        <w:t>בתאריך 5.12.2018 סמוך לשעה 00:00 הגיעו השניים לביתו של המתלונן. הם שפכו בנזין על רכבו של המתלונן ועל רכבה של בת המתלונן ש</w:t>
      </w:r>
      <w:r>
        <w:rPr>
          <w:rFonts w:ascii="FrankRuehl" w:hAnsi="FrankRuehl" w:hint="cs"/>
          <w:sz w:val="28"/>
          <w:rtl/>
        </w:rPr>
        <w:t>עמדו</w:t>
      </w:r>
      <w:r>
        <w:rPr>
          <w:rFonts w:ascii="FrankRuehl" w:hAnsi="FrankRuehl"/>
          <w:sz w:val="28"/>
          <w:rtl/>
        </w:rPr>
        <w:t xml:space="preserve"> בצמוד לגדר המקיפה את חצר הבית, לאחר מכן הציתו את רכבו של המתלונן וניסו ללא הצלחה להצית את רכבה של הבת.</w:t>
      </w:r>
    </w:p>
    <w:p w14:paraId="238176F8" w14:textId="77777777" w:rsidR="004A7E13" w:rsidRDefault="004A7E13" w:rsidP="004A7E13">
      <w:pPr>
        <w:pStyle w:val="a9"/>
        <w:spacing w:line="360" w:lineRule="auto"/>
        <w:ind w:left="368"/>
        <w:jc w:val="both"/>
        <w:rPr>
          <w:rFonts w:ascii="FrankRuehl" w:hAnsi="FrankRuehl"/>
          <w:sz w:val="28"/>
          <w:u w:val="single"/>
        </w:rPr>
      </w:pPr>
    </w:p>
    <w:p w14:paraId="38BDCC34"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 xml:space="preserve">מיד לאחר מכן ירה האחר מספר כדורים לעבר ביתו של המתלונן שם שהו המתלונן ובני משפחתו באופן שיש בו כדי לסכן חיי אדם, שני כדורים חדרו לבית ופגעו בחלון המטבח, ארון המטבח, חלון חדר השינה  ומשקוף דלת חדר השינה, שם ישנה אשתו של המתלונן באותה עת.  הנאשם </w:t>
      </w:r>
      <w:r>
        <w:rPr>
          <w:rFonts w:ascii="FrankRuehl" w:hAnsi="FrankRuehl" w:hint="cs"/>
          <w:sz w:val="28"/>
          <w:rtl/>
        </w:rPr>
        <w:t>וה</w:t>
      </w:r>
      <w:r>
        <w:rPr>
          <w:rFonts w:ascii="FrankRuehl" w:hAnsi="FrankRuehl"/>
          <w:sz w:val="28"/>
          <w:rtl/>
        </w:rPr>
        <w:t>אחר אספו חלק מהתרמילים שנפלו על הקרקע ובסיום ביצוע הירי יידו השניים רימון הלם לעבר הכניסה לחצר הבית, הרימון גרם לקול נפץ עז.</w:t>
      </w:r>
    </w:p>
    <w:p w14:paraId="644FC500"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 xml:space="preserve">בהתאם לכך הורשע הנאשם בעבירה של ניסיון לחבלה חמורה בצוותא- עבירה לפי סעיפים: </w:t>
      </w:r>
      <w:hyperlink r:id="rId19" w:history="1">
        <w:r w:rsidR="00AC187F" w:rsidRPr="00AC187F">
          <w:rPr>
            <w:rFonts w:ascii="FrankRuehl" w:hAnsi="FrankRuehl"/>
            <w:color w:val="0000FF"/>
            <w:sz w:val="28"/>
            <w:u w:val="single"/>
            <w:rtl/>
          </w:rPr>
          <w:t>25, 29, 333 ו-335 (א)(1)(2)</w:t>
        </w:r>
      </w:hyperlink>
      <w:r>
        <w:rPr>
          <w:rFonts w:ascii="FrankRuehl" w:hAnsi="FrankRuehl"/>
          <w:sz w:val="28"/>
          <w:rtl/>
        </w:rPr>
        <w:t xml:space="preserve"> </w:t>
      </w:r>
      <w:r w:rsidRPr="004860E5">
        <w:rPr>
          <w:rFonts w:ascii="Miriam" w:hAnsi="Miriam" w:cs="Miriam"/>
          <w:szCs w:val="24"/>
          <w:rtl/>
        </w:rPr>
        <w:t>ל</w:t>
      </w:r>
      <w:hyperlink r:id="rId20" w:history="1">
        <w:r w:rsidR="0002135F" w:rsidRPr="0002135F">
          <w:rPr>
            <w:rFonts w:ascii="Miriam" w:hAnsi="Miriam" w:cs="Miriam"/>
            <w:color w:val="0000FF"/>
            <w:szCs w:val="24"/>
            <w:u w:val="single"/>
            <w:rtl/>
          </w:rPr>
          <w:t>חוק העונשין</w:t>
        </w:r>
      </w:hyperlink>
      <w:r w:rsidRPr="004860E5">
        <w:rPr>
          <w:rFonts w:ascii="Miriam" w:hAnsi="Miriam" w:cs="Miriam"/>
          <w:szCs w:val="24"/>
          <w:rtl/>
        </w:rPr>
        <w:t>, התשל"ז- 1977</w:t>
      </w:r>
      <w:r>
        <w:rPr>
          <w:rFonts w:ascii="FrankRuehl" w:hAnsi="FrankRuehl"/>
          <w:sz w:val="28"/>
          <w:rtl/>
        </w:rPr>
        <w:t xml:space="preserve"> (להלן-החוק), הצתה בצוותא עבירה לפי סעיפים 29 ו-448 רישא לחוק,  ניסיון הצתה בצוותא עבירה לפי סעיפים: 448(ריש</w:t>
      </w:r>
      <w:r>
        <w:rPr>
          <w:rFonts w:ascii="FrankRuehl" w:hAnsi="FrankRuehl" w:hint="cs"/>
          <w:sz w:val="28"/>
          <w:rtl/>
        </w:rPr>
        <w:t>ה</w:t>
      </w:r>
      <w:r>
        <w:rPr>
          <w:rFonts w:ascii="FrankRuehl" w:hAnsi="FrankRuehl"/>
          <w:sz w:val="28"/>
          <w:rtl/>
        </w:rPr>
        <w:t>) 25 ו-29 לחוק ועבירה של נשיאה והובלה של נשק שלא כדין בצוותא –עבירה לפי סעיפים</w:t>
      </w:r>
      <w:r>
        <w:rPr>
          <w:rFonts w:ascii="FrankRuehl" w:hAnsi="FrankRuehl" w:hint="cs"/>
          <w:sz w:val="28"/>
          <w:rtl/>
        </w:rPr>
        <w:t xml:space="preserve">       </w:t>
      </w:r>
      <w:r>
        <w:rPr>
          <w:rFonts w:ascii="FrankRuehl" w:hAnsi="FrankRuehl"/>
          <w:sz w:val="28"/>
          <w:rtl/>
        </w:rPr>
        <w:t xml:space="preserve"> </w:t>
      </w:r>
      <w:hyperlink r:id="rId21" w:history="1">
        <w:r w:rsidR="00AC187F" w:rsidRPr="00AC187F">
          <w:rPr>
            <w:rFonts w:ascii="FrankRuehl" w:hAnsi="FrankRuehl"/>
            <w:color w:val="0000FF"/>
            <w:sz w:val="28"/>
            <w:u w:val="single"/>
            <w:rtl/>
          </w:rPr>
          <w:t>29 ו-144(ב)</w:t>
        </w:r>
      </w:hyperlink>
      <w:r>
        <w:rPr>
          <w:rFonts w:ascii="FrankRuehl" w:hAnsi="FrankRuehl"/>
          <w:sz w:val="28"/>
          <w:rtl/>
        </w:rPr>
        <w:t xml:space="preserve"> רישה וסיפה לחוק.</w:t>
      </w:r>
    </w:p>
    <w:p w14:paraId="6345703B" w14:textId="77777777" w:rsidR="004A7E13" w:rsidRDefault="004A7E13" w:rsidP="004A7E13">
      <w:pPr>
        <w:pStyle w:val="a9"/>
        <w:spacing w:line="360" w:lineRule="auto"/>
        <w:ind w:left="368"/>
        <w:jc w:val="both"/>
        <w:rPr>
          <w:rFonts w:ascii="FrankRuehl" w:hAnsi="FrankRuehl"/>
          <w:sz w:val="28"/>
          <w:u w:val="single"/>
        </w:rPr>
      </w:pPr>
    </w:p>
    <w:p w14:paraId="79EF8276" w14:textId="77777777" w:rsidR="004A7E13" w:rsidRDefault="004A7E13" w:rsidP="004A7E13">
      <w:pPr>
        <w:pStyle w:val="a9"/>
        <w:numPr>
          <w:ilvl w:val="0"/>
          <w:numId w:val="2"/>
        </w:numPr>
        <w:spacing w:line="360" w:lineRule="auto"/>
        <w:ind w:left="368"/>
        <w:jc w:val="both"/>
        <w:rPr>
          <w:rFonts w:ascii="FrankRuehl" w:hAnsi="FrankRuehl"/>
          <w:sz w:val="28"/>
          <w:u w:val="single"/>
        </w:rPr>
      </w:pPr>
      <w:r>
        <w:rPr>
          <w:rFonts w:ascii="FrankRuehl" w:hAnsi="FrankRuehl"/>
          <w:sz w:val="28"/>
          <w:rtl/>
        </w:rPr>
        <w:t>כחלק מהסדר הטיעון  ובשל גילו של הנאשם שירות המבחן התבקש להכין תסקיר לעניין  העונש, בנוס</w:t>
      </w:r>
      <w:r>
        <w:rPr>
          <w:rFonts w:ascii="FrankRuehl" w:hAnsi="FrankRuehl" w:hint="cs"/>
          <w:sz w:val="28"/>
          <w:rtl/>
        </w:rPr>
        <w:t>ף</w:t>
      </w:r>
      <w:r>
        <w:rPr>
          <w:rFonts w:ascii="FrankRuehl" w:hAnsi="FrankRuehl"/>
          <w:sz w:val="28"/>
          <w:rtl/>
        </w:rPr>
        <w:t xml:space="preserve"> הוכן תסקיר נפגע העבירה.  </w:t>
      </w:r>
    </w:p>
    <w:p w14:paraId="746CF2CF" w14:textId="77777777" w:rsidR="004A7E13" w:rsidRDefault="004A7E13" w:rsidP="004A7E13">
      <w:pPr>
        <w:pStyle w:val="a9"/>
        <w:spacing w:line="360" w:lineRule="auto"/>
        <w:ind w:left="368"/>
        <w:jc w:val="both"/>
        <w:rPr>
          <w:rFonts w:ascii="FrankRuehl" w:hAnsi="FrankRuehl"/>
          <w:sz w:val="28"/>
          <w:u w:val="single"/>
        </w:rPr>
      </w:pPr>
    </w:p>
    <w:p w14:paraId="12ABD87A"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לנאשם אין הרשעות קודמות והצדדים לא הציגו ראיות לעניין העונש למעט הסכם סולחה שנערך בין משפחת הנאשם לבין משפחת המתלונן (ס/1).</w:t>
      </w:r>
    </w:p>
    <w:p w14:paraId="659C7BBD" w14:textId="77777777" w:rsidR="004A7E13" w:rsidRDefault="004A7E13" w:rsidP="004A7E13">
      <w:pPr>
        <w:pStyle w:val="a9"/>
        <w:spacing w:line="360" w:lineRule="auto"/>
        <w:ind w:left="368"/>
        <w:jc w:val="both"/>
        <w:rPr>
          <w:rFonts w:ascii="FrankRuehl" w:hAnsi="FrankRuehl"/>
          <w:sz w:val="28"/>
          <w:u w:val="single"/>
        </w:rPr>
      </w:pPr>
    </w:p>
    <w:p w14:paraId="3F43DD13"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תסקיר שירות המבחן.</w:t>
      </w:r>
    </w:p>
    <w:p w14:paraId="2984EC75" w14:textId="77777777" w:rsidR="004A7E13" w:rsidRDefault="004A7E13" w:rsidP="004A7E13">
      <w:pPr>
        <w:pStyle w:val="a9"/>
        <w:numPr>
          <w:ilvl w:val="0"/>
          <w:numId w:val="2"/>
        </w:numPr>
        <w:spacing w:line="360" w:lineRule="auto"/>
        <w:ind w:left="368"/>
        <w:jc w:val="both"/>
        <w:rPr>
          <w:rFonts w:ascii="FrankRuehl" w:hAnsi="FrankRuehl"/>
          <w:sz w:val="28"/>
          <w:u w:val="single"/>
        </w:rPr>
      </w:pPr>
      <w:r>
        <w:rPr>
          <w:rFonts w:ascii="FrankRuehl" w:hAnsi="FrankRuehl"/>
          <w:sz w:val="28"/>
          <w:rtl/>
        </w:rPr>
        <w:t xml:space="preserve">קצינת המבחן  התרשמה כי הליך טיפולי לא יביא להפחתת מסוכנותו של הנאשם,  וכי יש סיכון משמעותי להישנות התנהגות פורצת חוק מצדו.  להערכתה הנאשם מתקשה לקבל אחריות מלאה על הבעייתיות שבהתנהגותו, הוא נתון ללחצים חברתיים ומתקשה לזהות מצבי סיכון.  מאחר ובפני קצינת המבחן חזר בו הנאשם מהודאתו בקיום </w:t>
      </w:r>
      <w:r>
        <w:rPr>
          <w:rFonts w:ascii="FrankRuehl" w:hAnsi="FrankRuehl" w:hint="cs"/>
          <w:sz w:val="28"/>
          <w:rtl/>
        </w:rPr>
        <w:t xml:space="preserve">רצון מראש </w:t>
      </w:r>
      <w:r>
        <w:rPr>
          <w:rFonts w:ascii="FrankRuehl" w:hAnsi="FrankRuehl"/>
          <w:sz w:val="28"/>
          <w:rtl/>
        </w:rPr>
        <w:t>לירות  לעבר בית המתלונן, בפתח הדיון האחרון קראתי בפניו את סעיף 4 לכתב האישום המתוקן והוא שב והודה בכל המיוחס לו בכתב האישום המתוקן.</w:t>
      </w:r>
    </w:p>
    <w:p w14:paraId="6B701413" w14:textId="77777777" w:rsidR="004A7E13" w:rsidRDefault="004A7E13" w:rsidP="004A7E13">
      <w:pPr>
        <w:pStyle w:val="a9"/>
        <w:spacing w:line="360" w:lineRule="auto"/>
        <w:ind w:left="368"/>
        <w:jc w:val="both"/>
        <w:rPr>
          <w:rFonts w:ascii="FrankRuehl" w:hAnsi="FrankRuehl"/>
          <w:sz w:val="28"/>
          <w:u w:val="single"/>
        </w:rPr>
      </w:pPr>
    </w:p>
    <w:p w14:paraId="45BF195C"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תסקיר נפגע העבירה והסכם הסולחה (ס/1)</w:t>
      </w:r>
    </w:p>
    <w:p w14:paraId="4F3CAD05" w14:textId="77777777" w:rsidR="004A7E13" w:rsidRPr="00E44509" w:rsidRDefault="004A7E13" w:rsidP="004A7E13">
      <w:pPr>
        <w:pStyle w:val="a9"/>
        <w:numPr>
          <w:ilvl w:val="0"/>
          <w:numId w:val="2"/>
        </w:numPr>
        <w:spacing w:line="360" w:lineRule="auto"/>
        <w:ind w:left="368"/>
        <w:jc w:val="both"/>
        <w:rPr>
          <w:rFonts w:ascii="FrankRuehl" w:hAnsi="FrankRuehl"/>
          <w:sz w:val="28"/>
          <w:u w:val="single"/>
        </w:rPr>
      </w:pPr>
      <w:r w:rsidRPr="00E44509">
        <w:rPr>
          <w:rFonts w:ascii="FrankRuehl" w:hAnsi="FrankRuehl"/>
          <w:sz w:val="28"/>
          <w:rtl/>
        </w:rPr>
        <w:lastRenderedPageBreak/>
        <w:t xml:space="preserve"> המתלונן תאר באריכות את הפגיעות שנפגעו הוא ובני משפחתו, לרבות נזקים כספיים שנגרמו להם. הוא הסביר כי כיום אינו חש כעס כלפי הנאשם, נערך הסכם סולחה בין המשפחות והוא הדגיש כי ויתר על פיצוי כספי בגין הנזקים שגרם הנאשם (תוכן הסכם הסולחה  ס/1 תואם את דבריו).  המתלונן הבהיר כי הוא מייחס משמעות להסכם הסולחה בשל ההכרה בפגיעה בו ומתן כבוד לו ולמשפחתו.   </w:t>
      </w:r>
    </w:p>
    <w:p w14:paraId="65C68769" w14:textId="77777777" w:rsidR="004A7E13" w:rsidRDefault="004A7E13" w:rsidP="004A7E13">
      <w:pPr>
        <w:pStyle w:val="a9"/>
        <w:spacing w:line="360" w:lineRule="auto"/>
        <w:ind w:left="368"/>
        <w:jc w:val="both"/>
        <w:rPr>
          <w:rFonts w:ascii="FrankRuehl" w:hAnsi="FrankRuehl"/>
          <w:sz w:val="28"/>
          <w:rtl/>
        </w:rPr>
      </w:pPr>
    </w:p>
    <w:p w14:paraId="0C45A4E2" w14:textId="77777777" w:rsidR="004A7E13" w:rsidRPr="00E44509" w:rsidRDefault="004A7E13" w:rsidP="004A7E13">
      <w:pPr>
        <w:pStyle w:val="a9"/>
        <w:spacing w:line="360" w:lineRule="auto"/>
        <w:ind w:left="368"/>
        <w:jc w:val="both"/>
        <w:rPr>
          <w:rFonts w:ascii="FrankRuehl" w:hAnsi="FrankRuehl"/>
          <w:sz w:val="28"/>
          <w:u w:val="single"/>
          <w:rtl/>
        </w:rPr>
      </w:pPr>
      <w:r w:rsidRPr="00E44509">
        <w:rPr>
          <w:rFonts w:ascii="FrankRuehl" w:hAnsi="FrankRuehl"/>
          <w:sz w:val="28"/>
          <w:rtl/>
        </w:rPr>
        <w:t xml:space="preserve">עורכת התסקיר המליצה שבין יתר רכיבי הענישה יוטל על הנאשם פיצוי כספי משמעותי. </w:t>
      </w:r>
    </w:p>
    <w:p w14:paraId="66D32E7E" w14:textId="77777777" w:rsidR="004A7E13" w:rsidRDefault="004A7E13" w:rsidP="004A7E13">
      <w:pPr>
        <w:pStyle w:val="a9"/>
        <w:spacing w:line="360" w:lineRule="auto"/>
        <w:ind w:left="368"/>
        <w:jc w:val="both"/>
        <w:rPr>
          <w:rFonts w:ascii="FrankRuehl" w:hAnsi="FrankRuehl"/>
          <w:sz w:val="28"/>
          <w:u w:val="single"/>
        </w:rPr>
      </w:pPr>
    </w:p>
    <w:p w14:paraId="4EAB810C"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תמצית טענות הצדדים</w:t>
      </w:r>
    </w:p>
    <w:p w14:paraId="24828B11" w14:textId="77777777" w:rsidR="004A7E13" w:rsidRPr="00E44509" w:rsidRDefault="004A7E13" w:rsidP="004A7E13">
      <w:pPr>
        <w:pStyle w:val="a9"/>
        <w:numPr>
          <w:ilvl w:val="0"/>
          <w:numId w:val="2"/>
        </w:numPr>
        <w:spacing w:line="360" w:lineRule="auto"/>
        <w:ind w:left="368"/>
        <w:jc w:val="both"/>
        <w:rPr>
          <w:rFonts w:ascii="FrankRuehl" w:hAnsi="FrankRuehl"/>
          <w:sz w:val="28"/>
          <w:rtl/>
        </w:rPr>
      </w:pPr>
      <w:r w:rsidRPr="00E44509">
        <w:rPr>
          <w:rFonts w:ascii="FrankRuehl" w:hAnsi="FrankRuehl"/>
          <w:sz w:val="28"/>
          <w:rtl/>
        </w:rPr>
        <w:t xml:space="preserve">ב"כ המאשימה בטיעוניו בכתב (ט/1) ובעל פה ביקש לראות במעשים אירוע אחד, לקבוע מתחם עונש הולם שבין 6 ל-9 שנות מאסר בפועל,  להטיל על הנאשם עונש  מאסר בפועל בתוך המתחם, ביחד עם מאסר מותנה ופיצוי למתלוננים. בטיעוניו הפנה לפסקי דין שונים של בית משפט מחוזי ובית המשפט העליון, הן באשר למדיניות הענישה בעבירות  בנשק </w:t>
      </w:r>
      <w:r w:rsidRPr="00E44509">
        <w:rPr>
          <w:rFonts w:ascii="FrankRuehl" w:hAnsi="FrankRuehl" w:hint="cs"/>
          <w:sz w:val="28"/>
          <w:rtl/>
        </w:rPr>
        <w:t xml:space="preserve">ובכלל זה  </w:t>
      </w:r>
      <w:r w:rsidRPr="00E44509">
        <w:rPr>
          <w:rFonts w:ascii="FrankRuehl" w:hAnsi="FrankRuehl"/>
          <w:sz w:val="28"/>
          <w:rtl/>
        </w:rPr>
        <w:t>ירי באזור מגורים והן באשר לעבירות הצתה.  חלק</w:t>
      </w:r>
      <w:r w:rsidRPr="00E44509">
        <w:rPr>
          <w:rFonts w:ascii="FrankRuehl" w:hAnsi="FrankRuehl" w:hint="cs"/>
          <w:sz w:val="28"/>
          <w:rtl/>
        </w:rPr>
        <w:t xml:space="preserve"> מפסקי הדין התייחסו </w:t>
      </w:r>
      <w:r w:rsidRPr="00E44509">
        <w:rPr>
          <w:rFonts w:ascii="FrankRuehl" w:hAnsi="FrankRuehl"/>
          <w:sz w:val="28"/>
          <w:rtl/>
        </w:rPr>
        <w:t>לעבירות חמורות יותר, העונשים שנגזרו במקרים המתאימים לטענת ב"כ המאשימ</w:t>
      </w:r>
      <w:r w:rsidRPr="00E44509">
        <w:rPr>
          <w:rFonts w:ascii="FrankRuehl" w:hAnsi="FrankRuehl" w:hint="cs"/>
          <w:sz w:val="28"/>
          <w:rtl/>
        </w:rPr>
        <w:t>ה</w:t>
      </w:r>
      <w:r w:rsidRPr="00E44509">
        <w:rPr>
          <w:rFonts w:ascii="FrankRuehl" w:hAnsi="FrankRuehl"/>
          <w:sz w:val="28"/>
          <w:rtl/>
        </w:rPr>
        <w:t xml:space="preserve"> </w:t>
      </w:r>
      <w:r w:rsidRPr="00E44509">
        <w:rPr>
          <w:rFonts w:ascii="FrankRuehl" w:hAnsi="FrankRuehl" w:hint="cs"/>
          <w:sz w:val="28"/>
          <w:rtl/>
        </w:rPr>
        <w:t xml:space="preserve">עמדו </w:t>
      </w:r>
      <w:r w:rsidRPr="00E44509">
        <w:rPr>
          <w:rFonts w:ascii="FrankRuehl" w:hAnsi="FrankRuehl"/>
          <w:sz w:val="28"/>
          <w:rtl/>
        </w:rPr>
        <w:t xml:space="preserve">על 4 או 5 שנות מאסר בפועל. </w:t>
      </w:r>
      <w:r>
        <w:rPr>
          <w:rFonts w:ascii="FrankRuehl" w:hAnsi="FrankRuehl" w:hint="cs"/>
          <w:sz w:val="28"/>
          <w:rtl/>
        </w:rPr>
        <w:t xml:space="preserve"> </w:t>
      </w:r>
      <w:r w:rsidRPr="00E44509">
        <w:rPr>
          <w:rFonts w:ascii="FrankRuehl" w:hAnsi="FrankRuehl"/>
          <w:sz w:val="28"/>
          <w:rtl/>
        </w:rPr>
        <w:t>עוד  הפנה לתסקיר נפגעי העבירה לפיו בנוסף למתלונן נפגעו אשתו</w:t>
      </w:r>
      <w:r>
        <w:rPr>
          <w:rFonts w:ascii="FrankRuehl" w:hAnsi="FrankRuehl" w:hint="cs"/>
          <w:sz w:val="28"/>
          <w:rtl/>
        </w:rPr>
        <w:t>,</w:t>
      </w:r>
      <w:r w:rsidRPr="00E44509">
        <w:rPr>
          <w:rFonts w:ascii="FrankRuehl" w:hAnsi="FrankRuehl"/>
          <w:sz w:val="28"/>
          <w:rtl/>
        </w:rPr>
        <w:t xml:space="preserve"> בנותיו ונכדיו</w:t>
      </w:r>
      <w:r w:rsidRPr="00E44509">
        <w:rPr>
          <w:rFonts w:ascii="FrankRuehl" w:hAnsi="FrankRuehl" w:hint="cs"/>
          <w:sz w:val="28"/>
          <w:rtl/>
        </w:rPr>
        <w:t>.</w:t>
      </w:r>
    </w:p>
    <w:p w14:paraId="3F1DDF9F" w14:textId="77777777" w:rsidR="004A7E13" w:rsidRDefault="004A7E13" w:rsidP="004A7E13">
      <w:pPr>
        <w:pStyle w:val="a9"/>
        <w:spacing w:line="360" w:lineRule="auto"/>
        <w:ind w:left="368"/>
        <w:jc w:val="both"/>
        <w:rPr>
          <w:rFonts w:ascii="FrankRuehl" w:hAnsi="FrankRuehl"/>
          <w:sz w:val="28"/>
        </w:rPr>
      </w:pPr>
    </w:p>
    <w:p w14:paraId="7818A56F"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 הסנגור ביקש  לראות בכל המעשים אירוע אחד, לקבוע מתחם עונש הולם שמתחיל בעונש מאסר לביצוע בעבודות שירות ולהסתפק במקרה זה בתקופת מעצרו של הנאשם ולא להטיל עליו עונש נוסף של מאסר מאחורי סו</w:t>
      </w:r>
      <w:r>
        <w:rPr>
          <w:rFonts w:ascii="FrankRuehl" w:hAnsi="FrankRuehl" w:hint="cs"/>
          <w:sz w:val="28"/>
          <w:rtl/>
        </w:rPr>
        <w:t>ר</w:t>
      </w:r>
      <w:r>
        <w:rPr>
          <w:rFonts w:ascii="FrankRuehl" w:hAnsi="FrankRuehl"/>
          <w:sz w:val="28"/>
          <w:rtl/>
        </w:rPr>
        <w:t>ג ובריח. בפתח טיעוניו הפנה להסכם הסולחה שנערך בין המשפחות ו</w:t>
      </w:r>
      <w:r>
        <w:rPr>
          <w:rFonts w:ascii="FrankRuehl" w:hAnsi="FrankRuehl" w:hint="cs"/>
          <w:sz w:val="28"/>
          <w:rtl/>
        </w:rPr>
        <w:t>ל</w:t>
      </w:r>
      <w:r>
        <w:rPr>
          <w:rFonts w:ascii="FrankRuehl" w:hAnsi="FrankRuehl"/>
          <w:sz w:val="28"/>
          <w:rtl/>
        </w:rPr>
        <w:t>הסכמת המתלונן שלא לקבל פיצוי נוסף.  עוד ב</w:t>
      </w:r>
      <w:r>
        <w:rPr>
          <w:rFonts w:ascii="FrankRuehl" w:hAnsi="FrankRuehl" w:hint="cs"/>
          <w:sz w:val="28"/>
          <w:rtl/>
        </w:rPr>
        <w:t>י</w:t>
      </w:r>
      <w:r>
        <w:rPr>
          <w:rFonts w:ascii="FrankRuehl" w:hAnsi="FrankRuehl"/>
          <w:sz w:val="28"/>
          <w:rtl/>
        </w:rPr>
        <w:t>קש להתחשב בעובדה כי הנאשם  בעת ביצוע העבירות היה מתחת ל</w:t>
      </w:r>
      <w:r>
        <w:rPr>
          <w:rFonts w:ascii="FrankRuehl" w:hAnsi="FrankRuehl" w:hint="cs"/>
          <w:sz w:val="28"/>
          <w:rtl/>
        </w:rPr>
        <w:t xml:space="preserve">גיל </w:t>
      </w:r>
      <w:r>
        <w:rPr>
          <w:rFonts w:ascii="FrankRuehl" w:hAnsi="FrankRuehl"/>
          <w:sz w:val="28"/>
          <w:rtl/>
        </w:rPr>
        <w:t xml:space="preserve">21 שנים, בגיר צעיר ללא עבר פלילי.  הוא הודה בהזדמנות הראשונה מיד לאחר תיקון כתב האישום </w:t>
      </w:r>
      <w:r>
        <w:rPr>
          <w:rFonts w:ascii="FrankRuehl" w:hAnsi="FrankRuehl" w:hint="cs"/>
          <w:sz w:val="28"/>
          <w:rtl/>
        </w:rPr>
        <w:t xml:space="preserve">והדגיש כי  </w:t>
      </w:r>
      <w:r>
        <w:rPr>
          <w:rFonts w:ascii="FrankRuehl" w:hAnsi="FrankRuehl"/>
          <w:sz w:val="28"/>
          <w:rtl/>
        </w:rPr>
        <w:t xml:space="preserve">עבירות הנשק ביצע האדם האחר, אמנם הנאשם הורשע בביצוע בצוותא אבל הוא לא אחז בנשק ולא ירה בעצמו. </w:t>
      </w:r>
    </w:p>
    <w:p w14:paraId="648F88E3"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לטענתו יש לזקוף לזכות</w:t>
      </w:r>
      <w:r>
        <w:rPr>
          <w:rFonts w:ascii="FrankRuehl" w:hAnsi="FrankRuehl" w:hint="cs"/>
          <w:sz w:val="28"/>
          <w:rtl/>
        </w:rPr>
        <w:t xml:space="preserve"> הנאשם </w:t>
      </w:r>
      <w:r>
        <w:rPr>
          <w:rFonts w:ascii="FrankRuehl" w:hAnsi="FrankRuehl"/>
          <w:sz w:val="28"/>
          <w:rtl/>
        </w:rPr>
        <w:t xml:space="preserve">את הודאתו שהביאה לחסכון זמן שיפוטי יקר ואת רצונו להביא את הסכסוך לכדי סיום בהסכם סולחה. </w:t>
      </w:r>
    </w:p>
    <w:p w14:paraId="71834627" w14:textId="77777777" w:rsidR="004A7E13" w:rsidRDefault="004A7E13" w:rsidP="004A7E13">
      <w:pPr>
        <w:pStyle w:val="a9"/>
        <w:spacing w:line="360" w:lineRule="auto"/>
        <w:ind w:left="368"/>
        <w:jc w:val="both"/>
        <w:rPr>
          <w:rFonts w:ascii="FrankRuehl" w:hAnsi="FrankRuehl"/>
          <w:sz w:val="28"/>
        </w:rPr>
      </w:pPr>
    </w:p>
    <w:p w14:paraId="54273044"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לעניין מדיניות הענישה איבחן הסנגור את פסקי הדין אליהם הפנה ב"כ המאשימה וטען כי הם התייחסו  לעבירות חמורות יותר.  לתמיכה בטענותיו הפנה למקרה חמור יותר לטענתו בו נקבע מתחם ענישה שבין 10 לבין 30 חודשי מאסר בפועל בעבירות בנשק, למקרה בו בגין עבירת הצתה נגזר על ידי בית המשפט המחוזי בחיפה עונש של 9 חודשי </w:t>
      </w:r>
      <w:r>
        <w:rPr>
          <w:rFonts w:ascii="FrankRuehl" w:hAnsi="FrankRuehl" w:hint="cs"/>
          <w:sz w:val="28"/>
          <w:rtl/>
        </w:rPr>
        <w:t>מאסר לביצוע ב</w:t>
      </w:r>
      <w:r>
        <w:rPr>
          <w:rFonts w:ascii="FrankRuehl" w:hAnsi="FrankRuehl"/>
          <w:sz w:val="28"/>
          <w:rtl/>
        </w:rPr>
        <w:t xml:space="preserve">עבודות שירות ולסדרת מקרי אלימות בהם הסתפקו בתי משפט מחוזי בעונש של עבודות שירות. </w:t>
      </w:r>
    </w:p>
    <w:p w14:paraId="7E738255" w14:textId="77777777" w:rsidR="004A7E13" w:rsidRDefault="004A7E13" w:rsidP="004A7E13">
      <w:pPr>
        <w:pStyle w:val="a9"/>
        <w:spacing w:line="360" w:lineRule="auto"/>
        <w:ind w:left="368"/>
        <w:jc w:val="both"/>
        <w:rPr>
          <w:rFonts w:ascii="FrankRuehl" w:hAnsi="FrankRuehl"/>
          <w:sz w:val="28"/>
        </w:rPr>
      </w:pPr>
    </w:p>
    <w:p w14:paraId="305BEAB8"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עוד ביקש להתייחס לפגיעה של העונש בנאשם ובמשפחתו, בתקופה הארוכה בה היה הנאשם מורחק מביתו, </w:t>
      </w:r>
      <w:r>
        <w:rPr>
          <w:rFonts w:ascii="FrankRuehl" w:hAnsi="FrankRuehl" w:hint="cs"/>
          <w:sz w:val="28"/>
          <w:rtl/>
        </w:rPr>
        <w:t xml:space="preserve">הנאשם </w:t>
      </w:r>
      <w:r>
        <w:rPr>
          <w:rFonts w:ascii="FrankRuehl" w:hAnsi="FrankRuehl"/>
          <w:sz w:val="28"/>
          <w:rtl/>
        </w:rPr>
        <w:t>התארס ו</w:t>
      </w:r>
      <w:r>
        <w:rPr>
          <w:rFonts w:ascii="FrankRuehl" w:hAnsi="FrankRuehl" w:hint="cs"/>
          <w:sz w:val="28"/>
          <w:rtl/>
        </w:rPr>
        <w:t xml:space="preserve">הוא עתיד </w:t>
      </w:r>
      <w:r>
        <w:rPr>
          <w:rFonts w:ascii="FrankRuehl" w:hAnsi="FrankRuehl"/>
          <w:sz w:val="28"/>
          <w:rtl/>
        </w:rPr>
        <w:t xml:space="preserve">להתחתן בחודש ספטמבר. לנאשם לא היה עבר פלילי וממועד ביצוע העבירה (לפני </w:t>
      </w:r>
      <w:r>
        <w:rPr>
          <w:rFonts w:ascii="FrankRuehl" w:hAnsi="FrankRuehl" w:hint="cs"/>
          <w:sz w:val="28"/>
          <w:rtl/>
        </w:rPr>
        <w:t xml:space="preserve">למעלה </w:t>
      </w:r>
      <w:r>
        <w:rPr>
          <w:rFonts w:ascii="FrankRuehl" w:hAnsi="FrankRuehl"/>
          <w:sz w:val="28"/>
          <w:rtl/>
        </w:rPr>
        <w:t>משנה) הוא</w:t>
      </w:r>
      <w:r>
        <w:rPr>
          <w:rFonts w:ascii="FrankRuehl" w:hAnsi="FrankRuehl" w:hint="cs"/>
          <w:sz w:val="28"/>
          <w:rtl/>
        </w:rPr>
        <w:t xml:space="preserve"> לא</w:t>
      </w:r>
      <w:r>
        <w:rPr>
          <w:rFonts w:ascii="FrankRuehl" w:hAnsi="FrankRuehl"/>
          <w:sz w:val="28"/>
          <w:rtl/>
        </w:rPr>
        <w:t xml:space="preserve"> ביצע עבירות אחרות.  </w:t>
      </w:r>
      <w:r>
        <w:rPr>
          <w:rFonts w:ascii="FrankRuehl" w:hAnsi="FrankRuehl" w:hint="cs"/>
          <w:sz w:val="28"/>
          <w:rtl/>
        </w:rPr>
        <w:t xml:space="preserve">ולסיום ביקש לתת לנאשם </w:t>
      </w:r>
      <w:r>
        <w:rPr>
          <w:rFonts w:ascii="FrankRuehl" w:hAnsi="FrankRuehl"/>
          <w:sz w:val="28"/>
          <w:rtl/>
        </w:rPr>
        <w:t>הזדמנות להשתקם</w:t>
      </w:r>
      <w:r>
        <w:rPr>
          <w:rFonts w:ascii="FrankRuehl" w:hAnsi="FrankRuehl" w:hint="cs"/>
          <w:sz w:val="28"/>
          <w:rtl/>
        </w:rPr>
        <w:t xml:space="preserve"> ולא להכניסו לבית סוהר, שם קיים חשש להשפעה רעה עליו. </w:t>
      </w:r>
    </w:p>
    <w:p w14:paraId="514867CA" w14:textId="77777777" w:rsidR="004A7E13" w:rsidRDefault="004A7E13" w:rsidP="004A7E13">
      <w:pPr>
        <w:pStyle w:val="a9"/>
        <w:spacing w:line="360" w:lineRule="auto"/>
        <w:ind w:left="368"/>
        <w:jc w:val="both"/>
        <w:rPr>
          <w:rFonts w:ascii="FrankRuehl" w:hAnsi="FrankRuehl"/>
          <w:sz w:val="28"/>
        </w:rPr>
      </w:pPr>
    </w:p>
    <w:p w14:paraId="61C28D24"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בתום הטיעונים  הנאשם הביע צער וחרטה על מעשיו, ביקש שתינתן לו הזדמנות לבנות את עתידו עם ארוסתו איתה הוא </w:t>
      </w:r>
      <w:r>
        <w:rPr>
          <w:rFonts w:ascii="FrankRuehl" w:hAnsi="FrankRuehl" w:hint="cs"/>
          <w:sz w:val="28"/>
          <w:rtl/>
        </w:rPr>
        <w:t xml:space="preserve">עתיד </w:t>
      </w:r>
      <w:r>
        <w:rPr>
          <w:rFonts w:ascii="FrankRuehl" w:hAnsi="FrankRuehl"/>
          <w:sz w:val="28"/>
          <w:rtl/>
        </w:rPr>
        <w:t xml:space="preserve">להתחתן. </w:t>
      </w:r>
    </w:p>
    <w:p w14:paraId="7FAD9955" w14:textId="77777777" w:rsidR="004A7E13" w:rsidRDefault="004A7E13" w:rsidP="004A7E13">
      <w:pPr>
        <w:pStyle w:val="a9"/>
        <w:spacing w:line="360" w:lineRule="auto"/>
        <w:ind w:left="368"/>
        <w:jc w:val="both"/>
        <w:rPr>
          <w:rFonts w:ascii="FrankRuehl" w:hAnsi="FrankRuehl"/>
          <w:sz w:val="28"/>
        </w:rPr>
      </w:pPr>
    </w:p>
    <w:p w14:paraId="41E04A5D"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דיון</w:t>
      </w:r>
    </w:p>
    <w:p w14:paraId="5491AE9F" w14:textId="77777777" w:rsidR="004A7E13" w:rsidRPr="004860E5"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העיקרון המנחה בקביעת מתחם העונש הוא עיקרון ההלימה, שמשמעותו </w:t>
      </w:r>
      <w:r>
        <w:rPr>
          <w:rFonts w:ascii="FrankRuehl" w:hAnsi="FrankRuehl"/>
          <w:b/>
          <w:sz w:val="28"/>
          <w:rtl/>
        </w:rPr>
        <w:t xml:space="preserve">"קיומו של יחס הולם בין חומרת מעשה העבירה בנסיבותיו ומידת אשמו של הנאשם ובין סוג ומידת העונש המוטל </w:t>
      </w:r>
      <w:r w:rsidRPr="004860E5">
        <w:rPr>
          <w:rFonts w:ascii="FrankRuehl" w:hAnsi="FrankRuehl"/>
          <w:b/>
          <w:sz w:val="28"/>
          <w:rtl/>
        </w:rPr>
        <w:t>עליו"</w:t>
      </w:r>
      <w:r w:rsidRPr="004860E5">
        <w:rPr>
          <w:rFonts w:ascii="FrankRuehl" w:hAnsi="FrankRuehl"/>
          <w:sz w:val="28"/>
          <w:rtl/>
        </w:rPr>
        <w:t xml:space="preserve"> (</w:t>
      </w:r>
      <w:hyperlink r:id="rId22" w:history="1">
        <w:r w:rsidR="00AC187F" w:rsidRPr="00AC187F">
          <w:rPr>
            <w:rFonts w:ascii="FrankRuehl" w:hAnsi="FrankRuehl"/>
            <w:color w:val="0000FF"/>
            <w:sz w:val="28"/>
            <w:u w:val="single"/>
            <w:rtl/>
          </w:rPr>
          <w:t>סעיף 40ב'</w:t>
        </w:r>
      </w:hyperlink>
      <w:r w:rsidRPr="004860E5">
        <w:rPr>
          <w:rFonts w:ascii="FrankRuehl" w:hAnsi="FrankRuehl"/>
          <w:sz w:val="28"/>
          <w:rtl/>
        </w:rPr>
        <w:t xml:space="preserve"> לחוק).</w:t>
      </w:r>
    </w:p>
    <w:p w14:paraId="73E4E59F" w14:textId="77777777" w:rsidR="004A7E13" w:rsidRDefault="004A7E13" w:rsidP="004A7E13">
      <w:pPr>
        <w:pStyle w:val="a9"/>
        <w:spacing w:line="360" w:lineRule="auto"/>
        <w:ind w:left="368"/>
        <w:jc w:val="both"/>
        <w:rPr>
          <w:rFonts w:ascii="FrankRuehl" w:hAnsi="FrankRuehl"/>
          <w:sz w:val="28"/>
        </w:rPr>
      </w:pPr>
    </w:p>
    <w:p w14:paraId="2F49F920"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מקובלת עליי עמדת שני הצדדים כי מדובר באירוע אח</w:t>
      </w:r>
      <w:r>
        <w:rPr>
          <w:rFonts w:ascii="FrankRuehl" w:hAnsi="FrankRuehl" w:hint="cs"/>
          <w:sz w:val="28"/>
          <w:rtl/>
        </w:rPr>
        <w:t>ד</w:t>
      </w:r>
      <w:r>
        <w:rPr>
          <w:rFonts w:ascii="FrankRuehl" w:hAnsi="FrankRuehl"/>
          <w:sz w:val="28"/>
          <w:rtl/>
        </w:rPr>
        <w:t xml:space="preserve">. על פי עובדות כתב האישום המתוקן הנאשם קשר קשר עם אחר ובמהלך לילה בצעו השניים סדרת פעולות כחלק מתכנית עבריינית אחת ולכן אקבע מתחם עונש הולם אחד. </w:t>
      </w:r>
      <w:r>
        <w:rPr>
          <w:rFonts w:ascii="FrankRuehl" w:hAnsi="FrankRuehl"/>
          <w:spacing w:val="6"/>
          <w:sz w:val="28"/>
          <w:rtl/>
        </w:rPr>
        <w:t>בעת</w:t>
      </w:r>
      <w:r>
        <w:rPr>
          <w:rFonts w:ascii="FrankRuehl" w:hAnsi="FrankRuehl"/>
          <w:sz w:val="28"/>
          <w:rtl/>
        </w:rPr>
        <w:t xml:space="preserve"> קביעת גבולות המתחם</w:t>
      </w:r>
      <w:r>
        <w:rPr>
          <w:rFonts w:ascii="FrankRuehl" w:hAnsi="FrankRuehl" w:hint="cs"/>
          <w:sz w:val="28"/>
          <w:rtl/>
        </w:rPr>
        <w:t xml:space="preserve">, </w:t>
      </w:r>
      <w:r>
        <w:rPr>
          <w:rFonts w:ascii="FrankRuehl" w:hAnsi="FrankRuehl"/>
          <w:sz w:val="28"/>
          <w:rtl/>
        </w:rPr>
        <w:t xml:space="preserve">אתייחס לעובדה כי האירוע </w:t>
      </w:r>
      <w:r>
        <w:rPr>
          <w:rFonts w:ascii="FrankRuehl" w:hAnsi="FrankRuehl" w:hint="cs"/>
          <w:sz w:val="28"/>
          <w:rtl/>
        </w:rPr>
        <w:t>מורכב מ</w:t>
      </w:r>
      <w:r>
        <w:rPr>
          <w:rFonts w:ascii="FrankRuehl" w:hAnsi="FrankRuehl"/>
          <w:sz w:val="28"/>
          <w:rtl/>
        </w:rPr>
        <w:t>מספר מעשים</w:t>
      </w:r>
      <w:r>
        <w:rPr>
          <w:rFonts w:ascii="FrankRuehl" w:hAnsi="FrankRuehl" w:hint="cs"/>
          <w:sz w:val="28"/>
          <w:rtl/>
        </w:rPr>
        <w:t xml:space="preserve"> פליליים.</w:t>
      </w:r>
    </w:p>
    <w:p w14:paraId="43E71DE9" w14:textId="77777777" w:rsidR="004A7E13" w:rsidRPr="005F4B1B" w:rsidRDefault="004A7E13" w:rsidP="004A7E13">
      <w:pPr>
        <w:pStyle w:val="a9"/>
        <w:spacing w:line="360" w:lineRule="auto"/>
        <w:ind w:left="368"/>
        <w:jc w:val="both"/>
        <w:rPr>
          <w:rFonts w:ascii="FrankRuehl" w:hAnsi="FrankRuehl"/>
          <w:sz w:val="28"/>
        </w:rPr>
      </w:pPr>
    </w:p>
    <w:p w14:paraId="147352F5"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במקרה זה נפגעו ב</w:t>
      </w:r>
      <w:r>
        <w:rPr>
          <w:rFonts w:ascii="FrankRuehl" w:hAnsi="FrankRuehl" w:hint="cs"/>
          <w:sz w:val="28"/>
          <w:rtl/>
        </w:rPr>
        <w:t xml:space="preserve">מדרג </w:t>
      </w:r>
      <w:r>
        <w:rPr>
          <w:rFonts w:ascii="FrankRuehl" w:hAnsi="FrankRuehl"/>
          <w:sz w:val="28"/>
          <w:rtl/>
        </w:rPr>
        <w:t>בינוני ערכים חברתיים משמעותיים: שמירה על שלום הציבור ובטחונו, הגנה על הרכוש וזכות הקניין.</w:t>
      </w:r>
    </w:p>
    <w:p w14:paraId="27423648" w14:textId="77777777" w:rsidR="004A7E13" w:rsidRDefault="004A7E13" w:rsidP="004A7E13">
      <w:pPr>
        <w:pStyle w:val="a9"/>
        <w:spacing w:line="360" w:lineRule="auto"/>
        <w:ind w:left="368"/>
        <w:jc w:val="both"/>
        <w:rPr>
          <w:rFonts w:ascii="FrankRuehl" w:hAnsi="FrankRuehl"/>
          <w:sz w:val="28"/>
        </w:rPr>
      </w:pPr>
    </w:p>
    <w:p w14:paraId="32292141"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חשוב לציין כי כל מעשה מהמעשים שביצע הנאשם הוא  חמור בפני עצמו ושילובם כחלק מתכנית בשלבים מ</w:t>
      </w:r>
      <w:r>
        <w:rPr>
          <w:rFonts w:ascii="FrankRuehl" w:hAnsi="FrankRuehl" w:hint="cs"/>
          <w:sz w:val="28"/>
          <w:rtl/>
        </w:rPr>
        <w:t xml:space="preserve">עצים </w:t>
      </w:r>
      <w:r>
        <w:rPr>
          <w:rFonts w:ascii="FrankRuehl" w:hAnsi="FrankRuehl"/>
          <w:sz w:val="28"/>
          <w:rtl/>
        </w:rPr>
        <w:t xml:space="preserve">את חומרתם, ירי לתוך בית מגורים ובכלל זה </w:t>
      </w:r>
      <w:r>
        <w:rPr>
          <w:rFonts w:ascii="FrankRuehl" w:hAnsi="FrankRuehl" w:hint="cs"/>
          <w:sz w:val="28"/>
          <w:rtl/>
        </w:rPr>
        <w:t>ירי ל</w:t>
      </w:r>
      <w:r>
        <w:rPr>
          <w:rFonts w:ascii="FrankRuehl" w:hAnsi="FrankRuehl"/>
          <w:sz w:val="28"/>
          <w:rtl/>
        </w:rPr>
        <w:t>חדר שינה בו ישנה אשת המתלונן, השל</w:t>
      </w:r>
      <w:r>
        <w:rPr>
          <w:rFonts w:ascii="FrankRuehl" w:hAnsi="FrankRuehl" w:hint="cs"/>
          <w:sz w:val="28"/>
          <w:rtl/>
        </w:rPr>
        <w:t xml:space="preserve">כת </w:t>
      </w:r>
      <w:r>
        <w:rPr>
          <w:rFonts w:ascii="FrankRuehl" w:hAnsi="FrankRuehl"/>
          <w:sz w:val="28"/>
          <w:rtl/>
        </w:rPr>
        <w:t>רימון הלם לעבר הכניסה לחצר ביתו של המתלונן</w:t>
      </w:r>
      <w:r>
        <w:rPr>
          <w:rFonts w:ascii="FrankRuehl" w:hAnsi="FrankRuehl" w:hint="cs"/>
          <w:sz w:val="28"/>
          <w:rtl/>
        </w:rPr>
        <w:t xml:space="preserve"> סמוך לאחר הירי והצתת רכב נועדה להפחיד את </w:t>
      </w:r>
      <w:r>
        <w:rPr>
          <w:rFonts w:ascii="FrankRuehl" w:hAnsi="FrankRuehl"/>
          <w:sz w:val="28"/>
          <w:rtl/>
        </w:rPr>
        <w:t xml:space="preserve">תושבי הבית.  הנאשם  תכנן </w:t>
      </w:r>
      <w:r>
        <w:rPr>
          <w:rFonts w:ascii="FrankRuehl" w:hAnsi="FrankRuehl" w:hint="cs"/>
          <w:sz w:val="28"/>
          <w:rtl/>
        </w:rPr>
        <w:t xml:space="preserve">את </w:t>
      </w:r>
      <w:r>
        <w:rPr>
          <w:rFonts w:ascii="FrankRuehl" w:hAnsi="FrankRuehl"/>
          <w:sz w:val="28"/>
          <w:rtl/>
        </w:rPr>
        <w:t>מעשיו היטב</w:t>
      </w:r>
      <w:r>
        <w:rPr>
          <w:rFonts w:ascii="FrankRuehl" w:hAnsi="FrankRuehl" w:hint="cs"/>
          <w:sz w:val="28"/>
          <w:rtl/>
        </w:rPr>
        <w:t xml:space="preserve">, כך למשל </w:t>
      </w:r>
      <w:r>
        <w:rPr>
          <w:rFonts w:ascii="FrankRuehl" w:hAnsi="FrankRuehl"/>
          <w:sz w:val="28"/>
          <w:rtl/>
        </w:rPr>
        <w:t>לאחר ביצוע הירי ובהתאם למתואר בסעיף 9 לעובדות כתב האישום המתוקן ה</w:t>
      </w:r>
      <w:r>
        <w:rPr>
          <w:rFonts w:ascii="FrankRuehl" w:hAnsi="FrankRuehl" w:hint="cs"/>
          <w:sz w:val="28"/>
          <w:rtl/>
        </w:rPr>
        <w:t xml:space="preserve">וא </w:t>
      </w:r>
      <w:r>
        <w:rPr>
          <w:rFonts w:ascii="FrankRuehl" w:hAnsi="FrankRuehl"/>
          <w:sz w:val="28"/>
          <w:rtl/>
        </w:rPr>
        <w:t>אס</w:t>
      </w:r>
      <w:r>
        <w:rPr>
          <w:rFonts w:ascii="FrankRuehl" w:hAnsi="FrankRuehl" w:hint="cs"/>
          <w:sz w:val="28"/>
          <w:rtl/>
        </w:rPr>
        <w:t xml:space="preserve">ף </w:t>
      </w:r>
      <w:r>
        <w:rPr>
          <w:rFonts w:ascii="FrankRuehl" w:hAnsi="FrankRuehl"/>
          <w:sz w:val="28"/>
          <w:rtl/>
        </w:rPr>
        <w:t>חלק מהתרמילים שנפלו על הקרקע.</w:t>
      </w:r>
    </w:p>
    <w:p w14:paraId="6EED7DD2" w14:textId="77777777" w:rsidR="004A7E13" w:rsidRDefault="004A7E13" w:rsidP="004A7E13">
      <w:pPr>
        <w:pStyle w:val="a9"/>
        <w:spacing w:line="360" w:lineRule="auto"/>
        <w:ind w:left="368"/>
        <w:jc w:val="both"/>
        <w:rPr>
          <w:rFonts w:ascii="FrankRuehl" w:hAnsi="FrankRuehl"/>
          <w:sz w:val="28"/>
        </w:rPr>
      </w:pPr>
    </w:p>
    <w:p w14:paraId="2800DEDF" w14:textId="77777777" w:rsidR="004A7E13" w:rsidRPr="001C7B58" w:rsidRDefault="004A7E13" w:rsidP="004A7E13">
      <w:pPr>
        <w:pStyle w:val="a9"/>
        <w:numPr>
          <w:ilvl w:val="0"/>
          <w:numId w:val="2"/>
        </w:numPr>
        <w:spacing w:line="360" w:lineRule="auto"/>
        <w:ind w:left="368"/>
        <w:jc w:val="both"/>
        <w:rPr>
          <w:rFonts w:ascii="FrankRuehl" w:hAnsi="FrankRuehl"/>
          <w:sz w:val="28"/>
        </w:rPr>
      </w:pPr>
      <w:r w:rsidRPr="001C7B58">
        <w:rPr>
          <w:rFonts w:ascii="FrankRuehl" w:hAnsi="FrankRuehl"/>
          <w:sz w:val="28"/>
          <w:rtl/>
        </w:rPr>
        <w:t xml:space="preserve">אשר למדיניות הענישה בעבירות בנשק אזכיר כי לנאשם מיוחסת עבירה של נשיאה והובלה של נשק, ביחד עם תחמושת: אקדח ורימון הלם, תחמושת מתאימה, ירי לעבר בית מגורים והשלכת הרימון </w:t>
      </w:r>
      <w:r w:rsidRPr="001C7B58">
        <w:rPr>
          <w:rFonts w:ascii="FrankRuehl" w:hAnsi="FrankRuehl" w:hint="cs"/>
          <w:sz w:val="28"/>
          <w:rtl/>
        </w:rPr>
        <w:t>מעשים שמהווים ניסי</w:t>
      </w:r>
      <w:r w:rsidRPr="001C7B58">
        <w:rPr>
          <w:rFonts w:ascii="FrankRuehl" w:hAnsi="FrankRuehl"/>
          <w:sz w:val="28"/>
          <w:rtl/>
        </w:rPr>
        <w:t xml:space="preserve">ון לחבלה חמורה בצוותא. מדובר במספר עבירות בנשק בגין החמורה מתוכן, עבירה לפי </w:t>
      </w:r>
      <w:hyperlink r:id="rId23" w:history="1">
        <w:r w:rsidR="00AC187F" w:rsidRPr="00AC187F">
          <w:rPr>
            <w:rFonts w:ascii="FrankRuehl" w:hAnsi="FrankRuehl"/>
            <w:color w:val="0000FF"/>
            <w:sz w:val="28"/>
            <w:u w:val="single"/>
            <w:rtl/>
          </w:rPr>
          <w:t>סעיף 144(ב)</w:t>
        </w:r>
      </w:hyperlink>
      <w:r w:rsidRPr="001C7B58">
        <w:rPr>
          <w:rFonts w:ascii="FrankRuehl" w:hAnsi="FrankRuehl"/>
          <w:sz w:val="28"/>
          <w:rtl/>
        </w:rPr>
        <w:t xml:space="preserve"> סיפה לחוק</w:t>
      </w:r>
      <w:r w:rsidRPr="001C7B58">
        <w:rPr>
          <w:rFonts w:ascii="FrankRuehl" w:hAnsi="FrankRuehl" w:hint="cs"/>
          <w:sz w:val="28"/>
          <w:rtl/>
        </w:rPr>
        <w:t>,</w:t>
      </w:r>
      <w:r w:rsidRPr="001C7B58">
        <w:rPr>
          <w:rFonts w:ascii="FrankRuehl" w:hAnsi="FrankRuehl"/>
          <w:sz w:val="28"/>
          <w:rtl/>
        </w:rPr>
        <w:t xml:space="preserve"> קבע המחוקק עונש מקסימאלי של 10 שנות מאסר.</w:t>
      </w:r>
      <w:r>
        <w:rPr>
          <w:rFonts w:ascii="FrankRuehl" w:hAnsi="FrankRuehl" w:hint="cs"/>
          <w:sz w:val="28"/>
          <w:rtl/>
        </w:rPr>
        <w:t xml:space="preserve"> </w:t>
      </w:r>
      <w:r w:rsidRPr="001C7B58">
        <w:rPr>
          <w:rFonts w:ascii="FrankRuehl" w:hAnsi="FrankRuehl"/>
          <w:sz w:val="28"/>
          <w:rtl/>
        </w:rPr>
        <w:t>בכל עבירה בנשק יש פוטנציאל פגיעה משמעותי בערך החברתי של שלום הציבור ביטחונו וסיכון ממשי לחיי אדם, על אחת כמה וכמה כאשר מדובר בעבירה של ירי</w:t>
      </w:r>
      <w:r>
        <w:rPr>
          <w:rFonts w:ascii="FrankRuehl" w:hAnsi="FrankRuehl" w:hint="cs"/>
          <w:sz w:val="28"/>
          <w:rtl/>
        </w:rPr>
        <w:t xml:space="preserve"> </w:t>
      </w:r>
      <w:r w:rsidRPr="001C7B58">
        <w:rPr>
          <w:rFonts w:ascii="FrankRuehl" w:hAnsi="FrankRuehl"/>
          <w:sz w:val="28"/>
          <w:rtl/>
        </w:rPr>
        <w:t>לתוך בית מגורים.</w:t>
      </w:r>
    </w:p>
    <w:p w14:paraId="4472D4F9" w14:textId="77777777" w:rsidR="004A7E13" w:rsidRPr="001C7B58" w:rsidRDefault="004A7E13" w:rsidP="004A7E13">
      <w:pPr>
        <w:pStyle w:val="a9"/>
        <w:spacing w:line="360" w:lineRule="auto"/>
        <w:ind w:left="368"/>
        <w:jc w:val="both"/>
        <w:rPr>
          <w:rFonts w:ascii="FrankRuehl" w:hAnsi="FrankRuehl"/>
          <w:sz w:val="28"/>
          <w:rtl/>
        </w:rPr>
      </w:pPr>
    </w:p>
    <w:p w14:paraId="046124A2" w14:textId="77777777" w:rsidR="004A7E13" w:rsidRDefault="004A7E13" w:rsidP="004A7E13">
      <w:pPr>
        <w:pStyle w:val="a9"/>
        <w:spacing w:line="360" w:lineRule="auto"/>
        <w:ind w:left="368"/>
        <w:jc w:val="both"/>
        <w:rPr>
          <w:rFonts w:ascii="FrankRuehl" w:hAnsi="FrankRuehl"/>
          <w:sz w:val="28"/>
        </w:rPr>
      </w:pPr>
      <w:r>
        <w:rPr>
          <w:rFonts w:ascii="FrankRuehl" w:hAnsi="FrankRuehl"/>
          <w:sz w:val="28"/>
          <w:rtl/>
        </w:rPr>
        <w:t>אפנה בעניין זה לפסק דינה של השופטת חיות (כתוארה אז) ב</w:t>
      </w:r>
      <w:hyperlink r:id="rId24" w:history="1">
        <w:r w:rsidR="0002135F" w:rsidRPr="0002135F">
          <w:rPr>
            <w:rFonts w:ascii="FrankRuehl" w:hAnsi="FrankRuehl"/>
            <w:color w:val="0000FF"/>
            <w:sz w:val="28"/>
            <w:u w:val="single"/>
            <w:rtl/>
          </w:rPr>
          <w:t>ע"פ 3877/16</w:t>
        </w:r>
      </w:hyperlink>
      <w:r>
        <w:rPr>
          <w:rFonts w:ascii="FrankRuehl" w:hAnsi="FrankRuehl"/>
          <w:sz w:val="28"/>
          <w:rtl/>
        </w:rPr>
        <w:t xml:space="preserve"> ג</w:t>
      </w:r>
      <w:r w:rsidRPr="004860E5">
        <w:rPr>
          <w:rFonts w:ascii="Miriam" w:hAnsi="Miriam" w:cs="Miriam"/>
          <w:szCs w:val="24"/>
          <w:rtl/>
        </w:rPr>
        <w:t xml:space="preserve">'באלי נגד מדינת ישראל </w:t>
      </w:r>
      <w:r>
        <w:rPr>
          <w:rFonts w:ascii="FrankRuehl" w:hAnsi="FrankRuehl"/>
          <w:sz w:val="28"/>
          <w:rtl/>
        </w:rPr>
        <w:t>(17.11.2016),  באותו מקרה נשא והוביל הנאשם אקדח טעון ברכבו  בדרכו למפגש עם המתלונן עמו היה לו סכסוך.  הנאשם נדון ל-34 חודשי מאסר בפועל, ערעורו נדחה וכך נקבע באותו פסק דין:</w:t>
      </w:r>
    </w:p>
    <w:p w14:paraId="1DC71BF7" w14:textId="77777777" w:rsidR="004A7E13" w:rsidRDefault="0002135F" w:rsidP="004A7E13">
      <w:pPr>
        <w:pStyle w:val="a9"/>
        <w:ind w:left="368" w:right="567"/>
        <w:jc w:val="both"/>
        <w:rPr>
          <w:rFonts w:ascii="FrankRuehl" w:hAnsi="FrankRuehl"/>
          <w:sz w:val="28"/>
          <w:rtl/>
        </w:rPr>
      </w:pPr>
      <w:r>
        <w:rPr>
          <w:rFonts w:ascii="FrankRuehl" w:hAnsi="FrankRuehl"/>
          <w:sz w:val="28"/>
          <w:rtl/>
        </w:rPr>
        <w:t xml:space="preserve">      </w:t>
      </w:r>
      <w:r w:rsidR="004A7E13">
        <w:rPr>
          <w:rFonts w:ascii="FrankRuehl" w:hAnsi="FrankRuehl"/>
          <w:sz w:val="28"/>
          <w:rtl/>
        </w:rPr>
        <w:t xml:space="preserve">"בית משפט זה עמד פעמים רבות על </w:t>
      </w:r>
      <w:r w:rsidR="004A7E13">
        <w:rPr>
          <w:rFonts w:ascii="FrankRuehl" w:hAnsi="FrankRuehl"/>
          <w:spacing w:val="10"/>
          <w:sz w:val="28"/>
          <w:rtl/>
        </w:rPr>
        <w:t xml:space="preserve">החומרה היתרה הגלומה בביצוע </w:t>
      </w:r>
      <w:r w:rsidR="004A7E13">
        <w:rPr>
          <w:rFonts w:ascii="FrankRuehl" w:hAnsi="FrankRuehl"/>
          <w:spacing w:val="10"/>
          <w:sz w:val="28"/>
          <w:rtl/>
        </w:rPr>
        <w:tab/>
        <w:t xml:space="preserve">עבירות </w:t>
      </w:r>
      <w:r w:rsidR="004A7E13">
        <w:rPr>
          <w:rFonts w:ascii="FrankRuehl" w:hAnsi="FrankRuehl"/>
          <w:spacing w:val="10"/>
          <w:sz w:val="28"/>
          <w:rtl/>
        </w:rPr>
        <w:tab/>
        <w:t xml:space="preserve">בנשק ובכללן העבירה של החזקת נשק או נשיאתו שלא כדין. </w:t>
      </w:r>
      <w:r w:rsidR="004A7E13">
        <w:rPr>
          <w:rFonts w:ascii="FrankRuehl" w:hAnsi="FrankRuehl" w:hint="cs"/>
          <w:spacing w:val="10"/>
          <w:sz w:val="28"/>
          <w:rtl/>
        </w:rPr>
        <w:t>עב</w:t>
      </w:r>
      <w:r w:rsidR="004A7E13">
        <w:rPr>
          <w:rFonts w:ascii="FrankRuehl" w:hAnsi="FrankRuehl"/>
          <w:spacing w:val="10"/>
          <w:sz w:val="28"/>
          <w:rtl/>
        </w:rPr>
        <w:t xml:space="preserve">ירות </w:t>
      </w:r>
      <w:r w:rsidR="004A7E13">
        <w:rPr>
          <w:rFonts w:ascii="FrankRuehl" w:hAnsi="FrankRuehl"/>
          <w:spacing w:val="10"/>
          <w:sz w:val="28"/>
          <w:rtl/>
        </w:rPr>
        <w:tab/>
        <w:t xml:space="preserve">אלה מקימות סיכון חמור לשלום הציבור וביטחונו ומחייבות "ליתן ביטוי </w:t>
      </w:r>
      <w:r w:rsidR="004A7E13">
        <w:rPr>
          <w:rFonts w:ascii="FrankRuehl" w:hAnsi="FrankRuehl"/>
          <w:spacing w:val="10"/>
          <w:sz w:val="28"/>
          <w:rtl/>
        </w:rPr>
        <w:tab/>
        <w:t xml:space="preserve">עונשי הולם ומרתיע באמצעות הרחקת מבצע העבירה מן החברה לתקופת </w:t>
      </w:r>
      <w:r w:rsidR="004A7E13">
        <w:rPr>
          <w:rFonts w:ascii="FrankRuehl" w:hAnsi="FrankRuehl"/>
          <w:spacing w:val="10"/>
          <w:sz w:val="28"/>
          <w:rtl/>
        </w:rPr>
        <w:tab/>
        <w:t>מאסר ממשית לריצוי בפועל" (</w:t>
      </w:r>
      <w:hyperlink r:id="rId25" w:history="1">
        <w:r w:rsidRPr="0002135F">
          <w:rPr>
            <w:rFonts w:ascii="FrankRuehl" w:hAnsi="FrankRuehl"/>
            <w:color w:val="0000FF"/>
            <w:spacing w:val="10"/>
            <w:sz w:val="28"/>
            <w:u w:val="single"/>
            <w:rtl/>
          </w:rPr>
          <w:t>ע"פ 5120/11</w:t>
        </w:r>
      </w:hyperlink>
      <w:r w:rsidR="004A7E13">
        <w:rPr>
          <w:rFonts w:ascii="FrankRuehl" w:hAnsi="FrankRuehl"/>
          <w:sz w:val="28"/>
          <w:rtl/>
        </w:rPr>
        <w:t xml:space="preserve"> </w:t>
      </w:r>
      <w:r w:rsidR="004A7E13" w:rsidRPr="004860E5">
        <w:rPr>
          <w:rFonts w:ascii="Miriam" w:hAnsi="Miriam" w:cs="Miriam"/>
          <w:szCs w:val="24"/>
          <w:rtl/>
        </w:rPr>
        <w:t>שתיווי נ' מדינת ישראל</w:t>
      </w:r>
      <w:r w:rsidR="004A7E13">
        <w:rPr>
          <w:rFonts w:ascii="FrankRuehl" w:hAnsi="FrankRuehl"/>
          <w:sz w:val="28"/>
          <w:rtl/>
        </w:rPr>
        <w:t xml:space="preserve">, בפסקה </w:t>
      </w:r>
      <w:r w:rsidR="004A7E13">
        <w:rPr>
          <w:rFonts w:ascii="FrankRuehl" w:hAnsi="FrankRuehl"/>
          <w:sz w:val="28"/>
          <w:rtl/>
        </w:rPr>
        <w:tab/>
        <w:t xml:space="preserve">5 </w:t>
      </w:r>
      <w:r w:rsidR="004A7E13">
        <w:rPr>
          <w:rFonts w:ascii="FrankRuehl" w:hAnsi="FrankRuehl"/>
          <w:spacing w:val="10"/>
          <w:sz w:val="28"/>
          <w:rtl/>
        </w:rPr>
        <w:t xml:space="preserve">(18.12.2011); </w:t>
      </w:r>
      <w:r w:rsidR="004A7E13">
        <w:rPr>
          <w:rFonts w:ascii="FrankRuehl" w:hAnsi="FrankRuehl" w:hint="cs"/>
          <w:spacing w:val="10"/>
          <w:sz w:val="28"/>
          <w:rtl/>
        </w:rPr>
        <w:t>[...] עו</w:t>
      </w:r>
      <w:r w:rsidR="004A7E13">
        <w:rPr>
          <w:rFonts w:ascii="FrankRuehl" w:hAnsi="FrankRuehl"/>
          <w:spacing w:val="10"/>
          <w:sz w:val="28"/>
          <w:rtl/>
        </w:rPr>
        <w:t xml:space="preserve">ד נפסק כי חומרתן של העבירות בנשק אינה </w:t>
      </w:r>
      <w:r w:rsidR="004A7E13">
        <w:rPr>
          <w:rFonts w:ascii="FrankRuehl" w:hAnsi="FrankRuehl"/>
          <w:spacing w:val="10"/>
          <w:sz w:val="28"/>
          <w:rtl/>
        </w:rPr>
        <w:tab/>
        <w:t>מסתכמת רק בנזק שאירע בפועל, כי אם</w:t>
      </w:r>
      <w:r w:rsidR="004A7E13">
        <w:rPr>
          <w:rFonts w:ascii="FrankRuehl" w:hAnsi="FrankRuehl"/>
          <w:sz w:val="28"/>
          <w:rtl/>
        </w:rPr>
        <w:t xml:space="preserve"> בפוטנציאל </w:t>
      </w:r>
      <w:r w:rsidR="004A7E13">
        <w:rPr>
          <w:rFonts w:ascii="FrankRuehl" w:hAnsi="FrankRuehl"/>
          <w:spacing w:val="10"/>
          <w:sz w:val="28"/>
          <w:rtl/>
        </w:rPr>
        <w:t xml:space="preserve">הנזק הנובע מאותן </w:t>
      </w:r>
      <w:r w:rsidR="004A7E13">
        <w:rPr>
          <w:rFonts w:ascii="FrankRuehl" w:hAnsi="FrankRuehl"/>
          <w:spacing w:val="10"/>
          <w:sz w:val="28"/>
          <w:rtl/>
        </w:rPr>
        <w:tab/>
        <w:t>עבירות (</w:t>
      </w:r>
      <w:hyperlink r:id="rId26" w:history="1">
        <w:r w:rsidRPr="0002135F">
          <w:rPr>
            <w:rFonts w:ascii="FrankRuehl" w:hAnsi="FrankRuehl"/>
            <w:color w:val="0000FF"/>
            <w:spacing w:val="10"/>
            <w:sz w:val="28"/>
            <w:u w:val="single"/>
            <w:rtl/>
          </w:rPr>
          <w:t>ע"פ 116/13</w:t>
        </w:r>
      </w:hyperlink>
      <w:r w:rsidR="004A7E13">
        <w:rPr>
          <w:rFonts w:ascii="FrankRuehl" w:hAnsi="FrankRuehl"/>
          <w:sz w:val="28"/>
          <w:rtl/>
        </w:rPr>
        <w:t xml:space="preserve"> </w:t>
      </w:r>
      <w:r w:rsidR="004A7E13" w:rsidRPr="004860E5">
        <w:rPr>
          <w:rFonts w:ascii="Miriam" w:hAnsi="Miriam" w:cs="Miriam"/>
          <w:szCs w:val="24"/>
          <w:rtl/>
        </w:rPr>
        <w:t>וקנין נ' מדינת  ישראל</w:t>
      </w:r>
      <w:r w:rsidR="004A7E13">
        <w:rPr>
          <w:rFonts w:ascii="FrankRuehl" w:hAnsi="FrankRuehl"/>
          <w:spacing w:val="10"/>
          <w:sz w:val="28"/>
          <w:rtl/>
        </w:rPr>
        <w:t>, בפסקה 7 (31.7.2013))</w:t>
      </w:r>
      <w:r w:rsidR="004A7E13">
        <w:rPr>
          <w:rFonts w:ascii="FrankRuehl" w:hAnsi="FrankRuehl"/>
          <w:sz w:val="28"/>
          <w:rtl/>
        </w:rPr>
        <w:t>".</w:t>
      </w:r>
    </w:p>
    <w:p w14:paraId="7A88A6A6" w14:textId="77777777" w:rsidR="004A7E13" w:rsidRDefault="004A7E13" w:rsidP="004A7E13">
      <w:pPr>
        <w:pStyle w:val="a9"/>
        <w:ind w:left="368" w:right="567"/>
        <w:jc w:val="both"/>
        <w:rPr>
          <w:rFonts w:ascii="FrankRuehl" w:hAnsi="FrankRuehl"/>
          <w:sz w:val="28"/>
          <w:rtl/>
        </w:rPr>
      </w:pPr>
    </w:p>
    <w:p w14:paraId="676E18ED" w14:textId="77777777" w:rsidR="004A7E13" w:rsidRPr="0006182E" w:rsidRDefault="004A7E13" w:rsidP="004A7E13">
      <w:pPr>
        <w:pStyle w:val="a9"/>
        <w:spacing w:line="360" w:lineRule="auto"/>
        <w:ind w:left="368"/>
        <w:jc w:val="both"/>
        <w:rPr>
          <w:rFonts w:ascii="FrankRuehl" w:hAnsi="FrankRuehl"/>
          <w:sz w:val="28"/>
          <w:rtl/>
        </w:rPr>
      </w:pPr>
      <w:r>
        <w:rPr>
          <w:rFonts w:ascii="FrankRuehl" w:hAnsi="FrankRuehl"/>
          <w:sz w:val="28"/>
          <w:rtl/>
        </w:rPr>
        <w:t>אזכיר  כי במקרה שלפניי הנאשם ביחד עם אחר עש</w:t>
      </w:r>
      <w:r>
        <w:rPr>
          <w:rFonts w:ascii="FrankRuehl" w:hAnsi="FrankRuehl" w:hint="cs"/>
          <w:sz w:val="28"/>
          <w:rtl/>
        </w:rPr>
        <w:t>ה</w:t>
      </w:r>
      <w:r>
        <w:rPr>
          <w:rFonts w:ascii="FrankRuehl" w:hAnsi="FrankRuehl"/>
          <w:sz w:val="28"/>
          <w:rtl/>
        </w:rPr>
        <w:t xml:space="preserve"> שימוש בנשק בדרך של ירי לתוך בית המגורים ורק בנס לא נ</w:t>
      </w:r>
      <w:r>
        <w:rPr>
          <w:rFonts w:ascii="FrankRuehl" w:hAnsi="FrankRuehl" w:hint="cs"/>
          <w:sz w:val="28"/>
          <w:rtl/>
        </w:rPr>
        <w:t>פ</w:t>
      </w:r>
      <w:r>
        <w:rPr>
          <w:rFonts w:ascii="FrankRuehl" w:hAnsi="FrankRuehl"/>
          <w:sz w:val="28"/>
          <w:rtl/>
        </w:rPr>
        <w:t>געה אשת המתלונן שישנה בחדר השינה</w:t>
      </w:r>
      <w:r>
        <w:rPr>
          <w:rFonts w:ascii="FrankRuehl" w:hAnsi="FrankRuehl" w:hint="cs"/>
          <w:sz w:val="28"/>
          <w:rtl/>
        </w:rPr>
        <w:t xml:space="preserve"> באותו עת</w:t>
      </w:r>
      <w:r>
        <w:rPr>
          <w:rFonts w:ascii="FrankRuehl" w:hAnsi="FrankRuehl"/>
          <w:sz w:val="28"/>
          <w:rtl/>
        </w:rPr>
        <w:t xml:space="preserve"> (ירי סמוך לאחר חצות הלילה) כש</w:t>
      </w:r>
      <w:r>
        <w:rPr>
          <w:rFonts w:ascii="FrankRuehl" w:hAnsi="FrankRuehl" w:hint="cs"/>
          <w:sz w:val="28"/>
          <w:rtl/>
        </w:rPr>
        <w:t xml:space="preserve">קליעים </w:t>
      </w:r>
      <w:r>
        <w:rPr>
          <w:rFonts w:ascii="FrankRuehl" w:hAnsi="FrankRuehl"/>
          <w:sz w:val="28"/>
          <w:rtl/>
        </w:rPr>
        <w:t xml:space="preserve">פגעו בחלון חדר השינה ובמשקוף דלת חדר השינה.  ולעניין זה אפנה לפסק דינה של השופטת חיות (כתוארה אז), </w:t>
      </w:r>
      <w:hyperlink r:id="rId27" w:history="1">
        <w:r w:rsidR="0002135F" w:rsidRPr="0002135F">
          <w:rPr>
            <w:rFonts w:ascii="FrankRuehl" w:hAnsi="FrankRuehl"/>
            <w:color w:val="0000FF"/>
            <w:sz w:val="28"/>
            <w:u w:val="single"/>
            <w:rtl/>
          </w:rPr>
          <w:t>ע"פ 1880/14</w:t>
        </w:r>
      </w:hyperlink>
      <w:r>
        <w:rPr>
          <w:rFonts w:ascii="FrankRuehl" w:hAnsi="FrankRuehl"/>
          <w:sz w:val="28"/>
          <w:rtl/>
        </w:rPr>
        <w:t xml:space="preserve"> </w:t>
      </w:r>
      <w:r w:rsidRPr="004860E5">
        <w:rPr>
          <w:rFonts w:ascii="Miriam" w:hAnsi="Miriam" w:cs="Miriam"/>
          <w:szCs w:val="24"/>
          <w:rtl/>
        </w:rPr>
        <w:t>עמאש נגד מדינת ישראל</w:t>
      </w:r>
      <w:r>
        <w:rPr>
          <w:rFonts w:ascii="FrankRuehl" w:hAnsi="FrankRuehl"/>
          <w:sz w:val="28"/>
          <w:rtl/>
        </w:rPr>
        <w:t xml:space="preserve"> (19.11.2014),  באותו מקרה הורשע הנאשם בעבירות של נשיאת נשק שלא כדין לפי סעיף </w:t>
      </w:r>
      <w:hyperlink r:id="rId28" w:history="1">
        <w:r w:rsidR="00AC187F" w:rsidRPr="00AC187F">
          <w:rPr>
            <w:rStyle w:val="Hyperlink"/>
            <w:rFonts w:ascii="FrankRuehl" w:hAnsi="FrankRuehl"/>
            <w:sz w:val="28"/>
            <w:rtl/>
          </w:rPr>
          <w:t>144 (ב)</w:t>
        </w:r>
      </w:hyperlink>
      <w:r>
        <w:rPr>
          <w:rFonts w:ascii="FrankRuehl" w:hAnsi="FrankRuehl"/>
          <w:sz w:val="28"/>
          <w:rtl/>
        </w:rPr>
        <w:t xml:space="preserve"> לחוק וניסיון לחב</w:t>
      </w:r>
      <w:r>
        <w:rPr>
          <w:rFonts w:ascii="FrankRuehl" w:hAnsi="FrankRuehl" w:hint="cs"/>
          <w:sz w:val="28"/>
          <w:rtl/>
        </w:rPr>
        <w:t>ל</w:t>
      </w:r>
      <w:r>
        <w:rPr>
          <w:rFonts w:ascii="FrankRuehl" w:hAnsi="FrankRuehl"/>
          <w:sz w:val="28"/>
          <w:rtl/>
        </w:rPr>
        <w:t xml:space="preserve">ה חמורה בנסיבות מחמירות לפי סעיפים </w:t>
      </w:r>
      <w:hyperlink r:id="rId29" w:history="1">
        <w:r w:rsidR="00AC187F" w:rsidRPr="00AC187F">
          <w:rPr>
            <w:rFonts w:ascii="FrankRuehl" w:hAnsi="FrankRuehl"/>
            <w:color w:val="0000FF"/>
            <w:sz w:val="28"/>
            <w:u w:val="single"/>
            <w:rtl/>
          </w:rPr>
          <w:t>335 ו-333(א)(1)</w:t>
        </w:r>
      </w:hyperlink>
      <w:r>
        <w:rPr>
          <w:rFonts w:ascii="FrankRuehl" w:hAnsi="FrankRuehl"/>
          <w:sz w:val="28"/>
          <w:rtl/>
        </w:rPr>
        <w:t xml:space="preserve"> בשילוב עם </w:t>
      </w:r>
      <w:hyperlink r:id="rId30" w:history="1">
        <w:r w:rsidR="00AC187F" w:rsidRPr="00AC187F">
          <w:rPr>
            <w:rFonts w:ascii="FrankRuehl" w:hAnsi="FrankRuehl"/>
            <w:color w:val="0000FF"/>
            <w:sz w:val="28"/>
            <w:u w:val="single"/>
            <w:rtl/>
          </w:rPr>
          <w:t>סעיף 25</w:t>
        </w:r>
      </w:hyperlink>
      <w:r>
        <w:rPr>
          <w:rFonts w:ascii="FrankRuehl" w:hAnsi="FrankRuehl"/>
          <w:sz w:val="28"/>
          <w:rtl/>
        </w:rPr>
        <w:t xml:space="preserve"> לחוק.  </w:t>
      </w:r>
      <w:r>
        <w:rPr>
          <w:rFonts w:ascii="FrankRuehl" w:hAnsi="FrankRuehl" w:hint="cs"/>
          <w:sz w:val="28"/>
          <w:rtl/>
        </w:rPr>
        <w:t xml:space="preserve">באותו מקרה </w:t>
      </w:r>
      <w:r>
        <w:rPr>
          <w:rFonts w:ascii="FrankRuehl" w:hAnsi="FrankRuehl"/>
          <w:sz w:val="28"/>
          <w:rtl/>
        </w:rPr>
        <w:t>הנאשם הגיע לבית המתלונן וירה לעבר</w:t>
      </w:r>
      <w:r>
        <w:rPr>
          <w:rFonts w:ascii="FrankRuehl" w:hAnsi="FrankRuehl" w:hint="cs"/>
          <w:sz w:val="28"/>
          <w:rtl/>
        </w:rPr>
        <w:t>ו</w:t>
      </w:r>
      <w:r>
        <w:rPr>
          <w:rFonts w:ascii="FrankRuehl" w:hAnsi="FrankRuehl"/>
          <w:sz w:val="28"/>
          <w:rtl/>
        </w:rPr>
        <w:t xml:space="preserve"> 4 יריות.  בית המשפט המחוזי קבע מתחם עונש הולם שנע בין 3 ל-6 שנים וגזר עליו עונש של 40 חודשי מאסר בפועל.  בית המשפט העליון דחה את </w:t>
      </w:r>
      <w:r w:rsidRPr="0006182E">
        <w:rPr>
          <w:rFonts w:ascii="FrankRuehl" w:hAnsi="FrankRuehl"/>
          <w:sz w:val="28"/>
          <w:rtl/>
        </w:rPr>
        <w:t>ערעורו וכך קבע:</w:t>
      </w:r>
    </w:p>
    <w:p w14:paraId="05BF2839" w14:textId="77777777" w:rsidR="004A7E13" w:rsidRDefault="004A7E13" w:rsidP="004A7E13">
      <w:pPr>
        <w:pStyle w:val="Ruller4"/>
        <w:numPr>
          <w:ilvl w:val="0"/>
          <w:numId w:val="0"/>
        </w:numPr>
        <w:spacing w:line="240" w:lineRule="auto"/>
        <w:rPr>
          <w:rFonts w:ascii="FrankRuehl" w:hAnsi="FrankRuehl"/>
          <w:sz w:val="28"/>
          <w:rtl/>
        </w:rPr>
      </w:pPr>
      <w:r w:rsidRPr="0006182E">
        <w:rPr>
          <w:rFonts w:ascii="FrankRuehl" w:hAnsi="FrankRuehl"/>
          <w:sz w:val="28"/>
          <w:rtl/>
        </w:rPr>
        <w:tab/>
        <w:t xml:space="preserve">"מדובר במעשה אלימות מכוון תוך שימוש בנשק חם אשר רק באורח נס </w:t>
      </w:r>
      <w:r w:rsidRPr="0006182E">
        <w:rPr>
          <w:rFonts w:ascii="FrankRuehl" w:hAnsi="FrankRuehl"/>
          <w:sz w:val="28"/>
          <w:rtl/>
        </w:rPr>
        <w:tab/>
        <w:t>הסתיים ללא פגע. בית משפט זה הדגיש לא פעם את פוטנציאל הסיכון</w:t>
      </w:r>
      <w:r>
        <w:rPr>
          <w:rFonts w:ascii="FrankRuehl" w:hAnsi="FrankRuehl"/>
          <w:sz w:val="28"/>
          <w:rtl/>
        </w:rPr>
        <w:t xml:space="preserve"> </w:t>
      </w:r>
      <w:r>
        <w:rPr>
          <w:rFonts w:ascii="FrankRuehl" w:hAnsi="FrankRuehl"/>
          <w:sz w:val="28"/>
          <w:rtl/>
        </w:rPr>
        <w:tab/>
        <w:t xml:space="preserve">הרב שנושא עימו השימוש בנשק חם באזור מגורים וזאת לא רק כלפי </w:t>
      </w:r>
      <w:r>
        <w:rPr>
          <w:rFonts w:ascii="FrankRuehl" w:hAnsi="FrankRuehl"/>
          <w:sz w:val="28"/>
          <w:rtl/>
        </w:rPr>
        <w:tab/>
        <w:t xml:space="preserve">המעורבים בסכסוך אלא גם כלפי עוברי אורח תמימים. התנהגות אלימה </w:t>
      </w:r>
      <w:r>
        <w:rPr>
          <w:rFonts w:ascii="FrankRuehl" w:hAnsi="FrankRuehl"/>
          <w:sz w:val="28"/>
          <w:rtl/>
        </w:rPr>
        <w:tab/>
        <w:t xml:space="preserve">כזו מחייבת על כן ענישה ממשית ומרתיעה [...] המערער הדגיש </w:t>
      </w:r>
      <w:r>
        <w:rPr>
          <w:rFonts w:ascii="FrankRuehl" w:hAnsi="FrankRuehl"/>
          <w:sz w:val="28"/>
          <w:rtl/>
        </w:rPr>
        <w:tab/>
        <w:t xml:space="preserve">בטיעוניו כי האירוע הסתיים ללא נפגעים, אך בהקשר זה ראוי לזכור כי </w:t>
      </w:r>
      <w:r>
        <w:rPr>
          <w:rFonts w:ascii="FrankRuehl" w:hAnsi="FrankRuehl"/>
          <w:sz w:val="28"/>
          <w:rtl/>
        </w:rPr>
        <w:tab/>
        <w:t xml:space="preserve">כך אירע לא מחמת "זהירותו" של המערער - שלא היסס לירות ארבע </w:t>
      </w:r>
      <w:r>
        <w:rPr>
          <w:rFonts w:ascii="FrankRuehl" w:hAnsi="FrankRuehl"/>
          <w:sz w:val="28"/>
          <w:rtl/>
        </w:rPr>
        <w:tab/>
        <w:t xml:space="preserve">יריות לעבר סדיקה - אלא מתוך מזל או שמא נס </w:t>
      </w:r>
      <w:r>
        <w:rPr>
          <w:rFonts w:ascii="FrankRuehl" w:hAnsi="FrankRuehl" w:hint="cs"/>
          <w:sz w:val="28"/>
          <w:rtl/>
        </w:rPr>
        <w:t>[...] 0</w:t>
      </w:r>
      <w:r>
        <w:rPr>
          <w:rFonts w:ascii="FrankRuehl" w:hAnsi="FrankRuehl"/>
          <w:sz w:val="28"/>
          <w:rtl/>
        </w:rPr>
        <w:t xml:space="preserve">העובדה </w:t>
      </w:r>
      <w:r>
        <w:rPr>
          <w:rFonts w:ascii="FrankRuehl" w:hAnsi="FrankRuehl"/>
          <w:sz w:val="28"/>
          <w:rtl/>
        </w:rPr>
        <w:tab/>
        <w:t xml:space="preserve">שהאירוע הסתיים ללא נפגעים נושאת, עם זאת, משקל מסוים בקביעת </w:t>
      </w:r>
      <w:r>
        <w:rPr>
          <w:rFonts w:ascii="FrankRuehl" w:hAnsi="FrankRuehl"/>
          <w:sz w:val="28"/>
          <w:rtl/>
        </w:rPr>
        <w:tab/>
        <w:t>מתחם הענישה (ראו לעניין זה סעיפים 40ט(א)(3) ו-40ט(א)(4) ל</w:t>
      </w:r>
      <w:hyperlink r:id="rId31" w:history="1">
        <w:r w:rsidR="0002135F" w:rsidRPr="0002135F">
          <w:rPr>
            <w:rFonts w:ascii="FrankRuehl" w:hAnsi="FrankRuehl"/>
            <w:color w:val="0000FF"/>
            <w:sz w:val="28"/>
            <w:u w:val="single"/>
            <w:rtl/>
          </w:rPr>
          <w:t xml:space="preserve">חוק </w:t>
        </w:r>
        <w:r w:rsidR="0002135F" w:rsidRPr="0002135F">
          <w:rPr>
            <w:rFonts w:ascii="FrankRuehl" w:hAnsi="FrankRuehl"/>
            <w:color w:val="0000FF"/>
            <w:sz w:val="28"/>
            <w:u w:val="single"/>
            <w:rtl/>
          </w:rPr>
          <w:tab/>
          <w:t>העונשין</w:t>
        </w:r>
      </w:hyperlink>
      <w:r>
        <w:rPr>
          <w:rFonts w:ascii="FrankRuehl" w:hAnsi="FrankRuehl"/>
          <w:sz w:val="28"/>
          <w:rtl/>
        </w:rPr>
        <w:t>)</w:t>
      </w:r>
      <w:r>
        <w:rPr>
          <w:rFonts w:ascii="FrankRuehl" w:hAnsi="FrankRuehl" w:hint="cs"/>
          <w:sz w:val="28"/>
          <w:rtl/>
        </w:rPr>
        <w:t>"</w:t>
      </w:r>
      <w:r>
        <w:rPr>
          <w:rFonts w:ascii="FrankRuehl" w:hAnsi="FrankRuehl"/>
          <w:sz w:val="28"/>
          <w:rtl/>
        </w:rPr>
        <w:t xml:space="preserve">. </w:t>
      </w:r>
    </w:p>
    <w:p w14:paraId="1176CA4F" w14:textId="77777777" w:rsidR="004A7E13" w:rsidRPr="0006182E" w:rsidRDefault="004A7E13" w:rsidP="004A7E13">
      <w:pPr>
        <w:pStyle w:val="Ruller41"/>
      </w:pPr>
    </w:p>
    <w:p w14:paraId="153BE3A3" w14:textId="77777777" w:rsidR="004A7E13" w:rsidRDefault="004A7E13" w:rsidP="004A7E13">
      <w:pPr>
        <w:pStyle w:val="Ruller41"/>
        <w:tabs>
          <w:tab w:val="left" w:pos="720"/>
        </w:tabs>
        <w:ind w:left="368"/>
        <w:rPr>
          <w:rFonts w:ascii="FrankRuehl" w:hAnsi="FrankRuehl"/>
          <w:sz w:val="28"/>
          <w:rtl/>
        </w:rPr>
      </w:pPr>
      <w:r>
        <w:rPr>
          <w:rFonts w:ascii="FrankRuehl" w:hAnsi="FrankRuehl"/>
          <w:sz w:val="28"/>
          <w:rtl/>
        </w:rPr>
        <w:t xml:space="preserve">אשר למדיניות הענישה בעבירות הצתה, אזכיר כי מדובר בשני מעשים, הצתת רכב וניסיון להצתת רכב נוסף אשר חנו בצמוד לגדר המקיפה את חצר ביתו של המתלונן, הצתה באמצעות חומר דליק-בנזין ויצירת שובל אש לכיוון הרכבים.  העונש המקסימלי הקבוע בחוק בגין עבירת הצתה לפי סעיף </w:t>
      </w:r>
      <w:hyperlink r:id="rId32" w:history="1">
        <w:r w:rsidR="00AC187F" w:rsidRPr="00AC187F">
          <w:rPr>
            <w:rFonts w:ascii="FrankRuehl" w:hAnsi="FrankRuehl"/>
            <w:color w:val="0000FF"/>
            <w:sz w:val="28"/>
            <w:u w:val="single"/>
            <w:rtl/>
          </w:rPr>
          <w:t>448</w:t>
        </w:r>
      </w:hyperlink>
      <w:r>
        <w:rPr>
          <w:rFonts w:ascii="FrankRuehl" w:hAnsi="FrankRuehl"/>
          <w:sz w:val="28"/>
          <w:rtl/>
        </w:rPr>
        <w:t xml:space="preserve">(רישה) עומד על 15 שנות מאסר. </w:t>
      </w:r>
    </w:p>
    <w:p w14:paraId="35989AC3" w14:textId="77777777" w:rsidR="004A7E13" w:rsidRDefault="004A7E13" w:rsidP="004A7E13">
      <w:pPr>
        <w:pStyle w:val="Ruller41"/>
        <w:tabs>
          <w:tab w:val="left" w:pos="720"/>
        </w:tabs>
        <w:ind w:left="368"/>
        <w:rPr>
          <w:rFonts w:ascii="FrankRuehl" w:hAnsi="FrankRuehl"/>
          <w:sz w:val="28"/>
          <w:rtl/>
        </w:rPr>
      </w:pPr>
    </w:p>
    <w:p w14:paraId="3A760DAC" w14:textId="77777777" w:rsidR="004A7E13" w:rsidRDefault="004A7E13" w:rsidP="004A7E13">
      <w:pPr>
        <w:pStyle w:val="Ruller41"/>
        <w:tabs>
          <w:tab w:val="left" w:pos="720"/>
        </w:tabs>
        <w:ind w:left="368"/>
        <w:rPr>
          <w:rFonts w:ascii="FrankRuehl" w:hAnsi="FrankRuehl"/>
          <w:sz w:val="28"/>
          <w:rtl/>
        </w:rPr>
      </w:pPr>
      <w:r>
        <w:rPr>
          <w:rFonts w:ascii="FrankRuehl" w:hAnsi="FrankRuehl"/>
          <w:color w:val="000000"/>
          <w:sz w:val="28"/>
          <w:rtl/>
        </w:rPr>
        <w:t xml:space="preserve">חשוב  להדגיש לעניין זה את האמור בסעיף 7 לכתב האישום </w:t>
      </w:r>
      <w:r>
        <w:rPr>
          <w:rFonts w:ascii="FrankRuehl" w:hAnsi="FrankRuehl" w:hint="cs"/>
          <w:color w:val="000000"/>
          <w:sz w:val="28"/>
          <w:rtl/>
        </w:rPr>
        <w:t xml:space="preserve">המתוקן </w:t>
      </w:r>
      <w:r>
        <w:rPr>
          <w:rFonts w:ascii="FrankRuehl" w:hAnsi="FrankRuehl"/>
          <w:color w:val="000000"/>
          <w:sz w:val="28"/>
          <w:rtl/>
        </w:rPr>
        <w:t xml:space="preserve">לפיו הצתת הרכב וניסיון הצתת הרכב האחר הייתה בצמוד </w:t>
      </w:r>
      <w:r>
        <w:rPr>
          <w:rFonts w:ascii="FrankRuehl" w:hAnsi="FrankRuehl" w:hint="cs"/>
          <w:color w:val="000000"/>
          <w:sz w:val="28"/>
          <w:rtl/>
        </w:rPr>
        <w:t>ל</w:t>
      </w:r>
      <w:r>
        <w:rPr>
          <w:rFonts w:ascii="FrankRuehl" w:hAnsi="FrankRuehl"/>
          <w:color w:val="000000"/>
          <w:sz w:val="28"/>
          <w:rtl/>
        </w:rPr>
        <w:t>גדר ביתו של המתלונן</w:t>
      </w:r>
      <w:r>
        <w:rPr>
          <w:rFonts w:ascii="FrankRuehl" w:hAnsi="FrankRuehl" w:hint="cs"/>
          <w:color w:val="000000"/>
          <w:sz w:val="28"/>
          <w:rtl/>
        </w:rPr>
        <w:t>,</w:t>
      </w:r>
      <w:r>
        <w:rPr>
          <w:rFonts w:ascii="FrankRuehl" w:hAnsi="FrankRuehl"/>
          <w:color w:val="000000"/>
          <w:sz w:val="28"/>
          <w:rtl/>
        </w:rPr>
        <w:t xml:space="preserve">  עובדה המצביעה על מדרג גבוה של חומרה (ראו לעניין זה את מדרגי הביניים של החומרה כפי שנקבעו ב</w:t>
      </w:r>
      <w:hyperlink r:id="rId33" w:history="1">
        <w:r w:rsidR="0002135F" w:rsidRPr="0002135F">
          <w:rPr>
            <w:rFonts w:ascii="FrankRuehl" w:hAnsi="FrankRuehl"/>
            <w:color w:val="0000FF"/>
            <w:sz w:val="28"/>
            <w:u w:val="single"/>
            <w:rtl/>
          </w:rPr>
          <w:t>ע"פ 607/16</w:t>
        </w:r>
      </w:hyperlink>
      <w:r>
        <w:rPr>
          <w:rFonts w:ascii="FrankRuehl" w:hAnsi="FrankRuehl"/>
          <w:color w:val="000000"/>
          <w:sz w:val="28"/>
          <w:rtl/>
        </w:rPr>
        <w:t xml:space="preserve"> </w:t>
      </w:r>
      <w:r w:rsidRPr="0006182E">
        <w:rPr>
          <w:rFonts w:ascii="Miriam" w:hAnsi="Miriam" w:cs="Miriam"/>
          <w:color w:val="000000"/>
          <w:sz w:val="24"/>
          <w:szCs w:val="24"/>
          <w:rtl/>
        </w:rPr>
        <w:t>פלונית נגד מדינת ישראל</w:t>
      </w:r>
      <w:r>
        <w:rPr>
          <w:rFonts w:ascii="FrankRuehl" w:hAnsi="FrankRuehl"/>
          <w:color w:val="000000"/>
          <w:sz w:val="28"/>
          <w:rtl/>
        </w:rPr>
        <w:t xml:space="preserve"> (12.4.2016) (להלן-עניין פלונית)</w:t>
      </w:r>
      <w:r>
        <w:rPr>
          <w:rFonts w:ascii="FrankRuehl" w:hAnsi="FrankRuehl"/>
          <w:sz w:val="28"/>
          <w:rtl/>
        </w:rPr>
        <w:t>.</w:t>
      </w:r>
    </w:p>
    <w:p w14:paraId="5DF7495D" w14:textId="77777777" w:rsidR="004A7E13" w:rsidRDefault="004A7E13" w:rsidP="004A7E13">
      <w:pPr>
        <w:pStyle w:val="Ruller41"/>
        <w:tabs>
          <w:tab w:val="left" w:pos="720"/>
        </w:tabs>
        <w:ind w:left="368"/>
        <w:rPr>
          <w:rFonts w:ascii="FrankRuehl" w:hAnsi="FrankRuehl"/>
          <w:sz w:val="28"/>
          <w:rtl/>
        </w:rPr>
      </w:pPr>
      <w:r>
        <w:rPr>
          <w:rFonts w:ascii="FrankRuehl" w:hAnsi="FrankRuehl"/>
          <w:sz w:val="28"/>
          <w:rtl/>
        </w:rPr>
        <w:tab/>
      </w:r>
    </w:p>
    <w:p w14:paraId="72C6525E" w14:textId="77777777" w:rsidR="004A7E13" w:rsidRPr="0006182E" w:rsidRDefault="004A7E13" w:rsidP="004A7E13">
      <w:pPr>
        <w:spacing w:line="360" w:lineRule="auto"/>
        <w:ind w:left="368"/>
        <w:contextualSpacing/>
        <w:jc w:val="both"/>
        <w:rPr>
          <w:rFonts w:ascii="FrankRuehl" w:hAnsi="FrankRuehl" w:cs="FrankRuehl"/>
          <w:color w:val="000000"/>
          <w:sz w:val="28"/>
          <w:szCs w:val="28"/>
          <w:rtl/>
        </w:rPr>
      </w:pPr>
      <w:r w:rsidRPr="0006182E">
        <w:rPr>
          <w:rFonts w:ascii="FrankRuehl" w:hAnsi="FrankRuehl" w:cs="FrankRuehl"/>
          <w:sz w:val="28"/>
          <w:szCs w:val="28"/>
          <w:rtl/>
        </w:rPr>
        <w:t xml:space="preserve">בתי המשפט עמדו לא פעם על החומרה הרבה שגלומה בעבירת ההצתה, גם כאשר עבירת ההצתה מתייחסת לרכוש בלבד, </w:t>
      </w:r>
      <w:r w:rsidRPr="0006182E">
        <w:rPr>
          <w:rFonts w:ascii="FrankRuehl" w:hAnsi="FrankRuehl" w:cs="FrankRuehl"/>
          <w:color w:val="000000"/>
          <w:sz w:val="28"/>
          <w:szCs w:val="28"/>
          <w:rtl/>
        </w:rPr>
        <w:t>בין היתר בשל הפוטנציאל לגרימת נזק חמור יותר</w:t>
      </w:r>
      <w:r>
        <w:rPr>
          <w:rFonts w:ascii="FrankRuehl" w:hAnsi="FrankRuehl" w:cs="FrankRuehl" w:hint="cs"/>
          <w:color w:val="000000"/>
          <w:sz w:val="28"/>
          <w:szCs w:val="28"/>
          <w:rtl/>
        </w:rPr>
        <w:t xml:space="preserve"> </w:t>
      </w:r>
      <w:r w:rsidRPr="0006182E">
        <w:rPr>
          <w:rFonts w:ascii="FrankRuehl" w:hAnsi="FrankRuehl" w:cs="FrankRuehl"/>
          <w:color w:val="000000"/>
          <w:sz w:val="28"/>
          <w:szCs w:val="28"/>
          <w:rtl/>
        </w:rPr>
        <w:t xml:space="preserve"> (</w:t>
      </w:r>
      <w:hyperlink r:id="rId34" w:history="1">
        <w:r w:rsidR="0002135F" w:rsidRPr="0002135F">
          <w:rPr>
            <w:rFonts w:ascii="FrankRuehl" w:hAnsi="FrankRuehl" w:cs="FrankRuehl"/>
            <w:color w:val="0000FF"/>
            <w:sz w:val="28"/>
            <w:szCs w:val="28"/>
            <w:u w:val="single"/>
            <w:rtl/>
          </w:rPr>
          <w:t>ע"פ 728/13</w:t>
        </w:r>
      </w:hyperlink>
      <w:r w:rsidRPr="0006182E">
        <w:rPr>
          <w:rFonts w:ascii="FrankRuehl" w:hAnsi="FrankRuehl" w:cs="FrankRuehl"/>
          <w:color w:val="000000"/>
          <w:sz w:val="28"/>
          <w:szCs w:val="28"/>
          <w:rtl/>
        </w:rPr>
        <w:t xml:space="preserve"> </w:t>
      </w:r>
      <w:r w:rsidRPr="0006182E">
        <w:rPr>
          <w:rFonts w:ascii="Miriam" w:hAnsi="Miriam" w:cs="Miriam"/>
          <w:color w:val="000000"/>
          <w:rtl/>
        </w:rPr>
        <w:t>עווידה נ' מדינת ישרא</w:t>
      </w:r>
      <w:r w:rsidRPr="0006182E">
        <w:rPr>
          <w:rFonts w:ascii="FrankRuehl" w:hAnsi="FrankRuehl" w:cs="FrankRuehl"/>
          <w:color w:val="000000"/>
          <w:sz w:val="28"/>
          <w:szCs w:val="28"/>
          <w:rtl/>
        </w:rPr>
        <w:t xml:space="preserve">ל (20.11.2013)). </w:t>
      </w:r>
      <w:r w:rsidRPr="0006182E">
        <w:rPr>
          <w:rFonts w:ascii="FrankRuehl" w:hAnsi="FrankRuehl" w:cs="FrankRuehl"/>
          <w:sz w:val="28"/>
          <w:szCs w:val="28"/>
          <w:rtl/>
        </w:rPr>
        <w:t xml:space="preserve">וכך נפסק בעניין </w:t>
      </w:r>
      <w:r w:rsidRPr="0006182E">
        <w:rPr>
          <w:rFonts w:ascii="FrankRuehl" w:hAnsi="FrankRuehl" w:cs="FrankRuehl"/>
          <w:color w:val="000000"/>
          <w:sz w:val="28"/>
          <w:szCs w:val="28"/>
          <w:rtl/>
        </w:rPr>
        <w:t>זה ב</w:t>
      </w:r>
      <w:hyperlink r:id="rId35" w:history="1">
        <w:r w:rsidR="0002135F" w:rsidRPr="0002135F">
          <w:rPr>
            <w:rFonts w:ascii="FrankRuehl" w:hAnsi="FrankRuehl" w:cs="FrankRuehl"/>
            <w:color w:val="0000FF"/>
            <w:sz w:val="28"/>
            <w:szCs w:val="28"/>
            <w:u w:val="single"/>
            <w:rtl/>
          </w:rPr>
          <w:t>ע"פ 4311/12</w:t>
        </w:r>
      </w:hyperlink>
      <w:r w:rsidRPr="0006182E">
        <w:rPr>
          <w:rFonts w:ascii="FrankRuehl" w:hAnsi="FrankRuehl" w:cs="FrankRuehl"/>
          <w:sz w:val="28"/>
          <w:szCs w:val="28"/>
          <w:rtl/>
        </w:rPr>
        <w:t xml:space="preserve"> </w:t>
      </w:r>
      <w:r w:rsidRPr="0006182E">
        <w:rPr>
          <w:rFonts w:ascii="Miriam" w:hAnsi="Miriam" w:cs="Miriam"/>
          <w:rtl/>
        </w:rPr>
        <w:t>סורי נ' מדינת ישראל</w:t>
      </w:r>
      <w:r w:rsidRPr="0006182E">
        <w:rPr>
          <w:rFonts w:ascii="FrankRuehl" w:hAnsi="FrankRuehl" w:cs="FrankRuehl"/>
          <w:sz w:val="28"/>
          <w:szCs w:val="28"/>
          <w:rtl/>
        </w:rPr>
        <w:t xml:space="preserve"> (8.11.12):</w:t>
      </w:r>
    </w:p>
    <w:p w14:paraId="3D52DB55" w14:textId="77777777" w:rsidR="004A7E13" w:rsidRPr="0006182E" w:rsidRDefault="004A7E13" w:rsidP="004A7E13">
      <w:pPr>
        <w:ind w:left="708" w:right="851"/>
        <w:jc w:val="both"/>
        <w:rPr>
          <w:rFonts w:ascii="FrankRuehl" w:hAnsi="FrankRuehl" w:cs="FrankRuehl"/>
          <w:color w:val="000000"/>
          <w:sz w:val="28"/>
          <w:szCs w:val="28"/>
        </w:rPr>
      </w:pPr>
      <w:r w:rsidRPr="0006182E">
        <w:rPr>
          <w:rFonts w:ascii="FrankRuehl" w:hAnsi="FrankRuehl" w:cs="FrankRuehl"/>
          <w:color w:val="000000"/>
          <w:sz w:val="28"/>
          <w:szCs w:val="28"/>
          <w:rtl/>
        </w:rPr>
        <w:t>"רבות נכתב ונאמר אודות חומרתה היתרה של עבירת ההצתה, שתחילתה ידועה "ואחריתה מי ישורנה", שכן מנהגה של האש להתפשט מבלי יכולת שליטה תוך גרימת נזקים ואף סיכון חיי אדם [...] הצתה נתפסת כעבירה חמורה, לא רק בשל הסכנה האינהרנטית הטבועה בה, אלא גם בשל המסר העברייני האלים העולה ממנה, מסר שיש בו כדי להטיל אימה ופחד ולפגוע בתחושת הביטחון האישי של הציבור [...] לא בכדי קבע המחוקק את העונש המרבי על עבירה זו    ל-15 שנות מאסר, אף במקרים בהם לא הייתה כל כוונה לפגוע בנכס ציבורי או בבני אדם."</w:t>
      </w:r>
    </w:p>
    <w:p w14:paraId="2EB51709" w14:textId="77777777" w:rsidR="004A7E13" w:rsidRDefault="004A7E13" w:rsidP="004A7E13">
      <w:pPr>
        <w:pStyle w:val="Ruller41"/>
        <w:tabs>
          <w:tab w:val="left" w:pos="720"/>
        </w:tabs>
        <w:ind w:left="368"/>
        <w:rPr>
          <w:rFonts w:ascii="FrankRuehl" w:hAnsi="FrankRuehl"/>
          <w:sz w:val="28"/>
          <w:rtl/>
        </w:rPr>
      </w:pPr>
    </w:p>
    <w:p w14:paraId="74416EDC" w14:textId="77777777" w:rsidR="004A7E13" w:rsidRDefault="004A7E13" w:rsidP="004A7E13">
      <w:pPr>
        <w:pStyle w:val="Ruller41"/>
        <w:tabs>
          <w:tab w:val="left" w:pos="720"/>
        </w:tabs>
        <w:ind w:left="368"/>
        <w:rPr>
          <w:rFonts w:ascii="FrankRuehl" w:hAnsi="FrankRuehl"/>
          <w:sz w:val="28"/>
          <w:rtl/>
        </w:rPr>
      </w:pPr>
      <w:r>
        <w:rPr>
          <w:rFonts w:ascii="FrankRuehl" w:hAnsi="FrankRuehl"/>
          <w:sz w:val="28"/>
          <w:rtl/>
        </w:rPr>
        <w:t xml:space="preserve"> בעניין פלונית הנ"ל כך נקבע:  </w:t>
      </w:r>
    </w:p>
    <w:p w14:paraId="0D46EFC7" w14:textId="77777777" w:rsidR="004A7E13" w:rsidRDefault="004A7E13" w:rsidP="004A7E13">
      <w:pPr>
        <w:pStyle w:val="a9"/>
        <w:ind w:left="708" w:right="709"/>
        <w:jc w:val="both"/>
        <w:rPr>
          <w:rFonts w:ascii="FrankRuehl" w:hAnsi="FrankRuehl"/>
          <w:sz w:val="28"/>
          <w:rtl/>
        </w:rPr>
      </w:pPr>
      <w:r>
        <w:rPr>
          <w:rFonts w:ascii="FrankRuehl" w:hAnsi="FrankRuehl"/>
          <w:sz w:val="28"/>
          <w:rtl/>
        </w:rPr>
        <w:tab/>
        <w:t xml:space="preserve">"כידוע, עבירת ההצתה היא עבירה חמורה, גם כאשר היא מתייחסת לרכוש בלבד, וזאת בשל הפוטנציאל הרב לגרימת נזקי גוף חמורים...מטעם זה אף נפסק שככלל תגרור הרשעה בעבירת הצתה עונש מאסר בפועל (עניין סורי, פסקה 4), הגם שחומרת העונש </w:t>
      </w:r>
      <w:r>
        <w:rPr>
          <w:rFonts w:ascii="FrankRuehl" w:hAnsi="FrankRuehl"/>
          <w:sz w:val="28"/>
          <w:rtl/>
        </w:rPr>
        <w:tab/>
        <w:t>עשויה להשתנות  ממקרה למקרה על פי נסיבותיו:</w:t>
      </w:r>
      <w:r>
        <w:rPr>
          <w:rFonts w:ascii="FrankRuehl" w:hAnsi="FrankRuehl"/>
          <w:spacing w:val="10"/>
          <w:sz w:val="28"/>
          <w:rtl/>
        </w:rPr>
        <w:t xml:space="preserve"> "ניתן להצביע על מדרגי ביניים של חומרה, מה שיכול להסביר את הסיבה לכך שהענישה הנלווית לעבירת ההצתה אינה אחידה ונעה על סקאלה רחבה [...] הצתה של נכס בנסיבות שאין לחשוש כי ההצתה תתפשט לרכוש אחר; הצתה של נכס שעלולה להתפשט ולפגוע ברכוש אחר; הצתה של נכס שיש בה פוטנציאל לפגיעה בגוף ובנפש; הצתה של נכס בנוכחותו הקרובה והמיידית של אדם, מה שמגביר את פוטנציאל הפגיעה בגוף ובנפש; הצתה שגרמה בפועל לפגיעה בגוף ובנפש על אף שהמצית לא התכוון לכך (מחשבה פלילית של פזיזות); והצתה בכוונה לפגוע בגוף ובנפש"</w:t>
      </w:r>
      <w:r>
        <w:rPr>
          <w:rFonts w:ascii="FrankRuehl" w:hAnsi="FrankRuehl" w:hint="cs"/>
          <w:spacing w:val="10"/>
          <w:sz w:val="28"/>
          <w:rtl/>
        </w:rPr>
        <w:t>.</w:t>
      </w:r>
      <w:r>
        <w:rPr>
          <w:rFonts w:ascii="FrankRuehl" w:hAnsi="FrankRuehl"/>
          <w:spacing w:val="10"/>
          <w:sz w:val="28"/>
          <w:rtl/>
        </w:rPr>
        <w:t xml:space="preserve"> </w:t>
      </w:r>
    </w:p>
    <w:p w14:paraId="75695086" w14:textId="77777777" w:rsidR="004A7E13" w:rsidRDefault="004A7E13" w:rsidP="004A7E13">
      <w:pPr>
        <w:spacing w:line="360" w:lineRule="auto"/>
        <w:ind w:left="368" w:right="567"/>
        <w:jc w:val="both"/>
        <w:rPr>
          <w:rFonts w:ascii="FrankRuehl" w:hAnsi="FrankRuehl"/>
          <w:sz w:val="28"/>
          <w:rtl/>
        </w:rPr>
      </w:pPr>
    </w:p>
    <w:p w14:paraId="64431D76" w14:textId="77777777" w:rsidR="004A7E13" w:rsidRDefault="004A7E13" w:rsidP="004A7E13">
      <w:pPr>
        <w:pStyle w:val="a9"/>
        <w:numPr>
          <w:ilvl w:val="0"/>
          <w:numId w:val="2"/>
        </w:numPr>
        <w:spacing w:line="360" w:lineRule="auto"/>
        <w:ind w:left="368"/>
        <w:jc w:val="both"/>
        <w:rPr>
          <w:rFonts w:ascii="FrankRuehl" w:hAnsi="FrankRuehl"/>
          <w:sz w:val="28"/>
          <w:rtl/>
        </w:rPr>
      </w:pPr>
      <w:r>
        <w:rPr>
          <w:rFonts w:ascii="FrankRuehl" w:hAnsi="FrankRuehl"/>
          <w:sz w:val="28"/>
          <w:rtl/>
        </w:rPr>
        <w:t xml:space="preserve">אשר לנסיבות הקשורות בביצוע העבירה (סעיף </w:t>
      </w:r>
      <w:hyperlink r:id="rId36" w:history="1">
        <w:r w:rsidR="00AC187F" w:rsidRPr="00AC187F">
          <w:rPr>
            <w:rFonts w:ascii="FrankRuehl" w:hAnsi="FrankRuehl"/>
            <w:color w:val="0000FF"/>
            <w:sz w:val="28"/>
            <w:u w:val="single"/>
            <w:rtl/>
          </w:rPr>
          <w:t>40ט'</w:t>
        </w:r>
      </w:hyperlink>
      <w:r>
        <w:rPr>
          <w:rFonts w:ascii="FrankRuehl" w:hAnsi="FrankRuehl"/>
          <w:sz w:val="28"/>
          <w:rtl/>
        </w:rPr>
        <w:t xml:space="preserve">), כמתואר בסעיף 3 לעובדות כתב האישום המתוקן, הנאשם ביצע את העבירות בשל סכסוך עם בנו של המתלונן, מעשי הנאשם היו מתוכננים היטב </w:t>
      </w:r>
      <w:r>
        <w:rPr>
          <w:rFonts w:ascii="FrankRuehl" w:hAnsi="FrankRuehl" w:hint="cs"/>
          <w:sz w:val="28"/>
          <w:rtl/>
        </w:rPr>
        <w:t>ו</w:t>
      </w:r>
      <w:r>
        <w:rPr>
          <w:rFonts w:ascii="FrankRuehl" w:hAnsi="FrankRuehl"/>
          <w:sz w:val="28"/>
          <w:rtl/>
        </w:rPr>
        <w:t>הוא קשר קשר עם אחר כדי לנקום במשפחת המתלונן.</w:t>
      </w:r>
    </w:p>
    <w:p w14:paraId="7DCE3093" w14:textId="77777777" w:rsidR="004A7E13" w:rsidRDefault="004A7E13" w:rsidP="004A7E13">
      <w:pPr>
        <w:spacing w:line="360" w:lineRule="auto"/>
        <w:ind w:left="368"/>
        <w:jc w:val="both"/>
        <w:rPr>
          <w:rFonts w:ascii="FrankRuehl" w:hAnsi="FrankRuehl" w:cs="FrankRuehl"/>
          <w:sz w:val="28"/>
          <w:szCs w:val="28"/>
          <w:rtl/>
        </w:rPr>
      </w:pPr>
      <w:r w:rsidRPr="0006182E">
        <w:rPr>
          <w:rFonts w:ascii="FrankRuehl" w:hAnsi="FrankRuehl" w:cs="FrankRuehl"/>
          <w:sz w:val="28"/>
          <w:szCs w:val="28"/>
          <w:rtl/>
        </w:rPr>
        <w:t xml:space="preserve">בעת קביעת גבולות המתחם אקח בחשבון כי העבירות בנשק בוצעו בפועל על ידי האחר, בעוד שהנאשם היה שותפו לעבירה כמבצע עיקרי, ראו לעניין זה </w:t>
      </w:r>
      <w:hyperlink r:id="rId37" w:history="1">
        <w:r w:rsidR="0002135F" w:rsidRPr="0002135F">
          <w:rPr>
            <w:rFonts w:ascii="FrankRuehl" w:hAnsi="FrankRuehl" w:cs="FrankRuehl"/>
            <w:color w:val="0000FF"/>
            <w:sz w:val="28"/>
            <w:szCs w:val="28"/>
            <w:u w:val="single"/>
            <w:rtl/>
          </w:rPr>
          <w:t>ע"פ  6053/13</w:t>
        </w:r>
      </w:hyperlink>
      <w:r w:rsidRPr="0006182E">
        <w:rPr>
          <w:rFonts w:ascii="FrankRuehl" w:hAnsi="FrankRuehl" w:cs="FrankRuehl"/>
          <w:sz w:val="28"/>
          <w:szCs w:val="28"/>
          <w:rtl/>
        </w:rPr>
        <w:t xml:space="preserve"> </w:t>
      </w:r>
      <w:r w:rsidRPr="0006182E">
        <w:rPr>
          <w:rFonts w:ascii="Miriam" w:hAnsi="Miriam" w:cs="Miriam"/>
          <w:rtl/>
        </w:rPr>
        <w:t>פאיז נגד מדינת ישראל</w:t>
      </w:r>
      <w:r w:rsidRPr="0006182E">
        <w:rPr>
          <w:rFonts w:ascii="FrankRuehl" w:hAnsi="FrankRuehl" w:cs="FrankRuehl"/>
          <w:sz w:val="28"/>
          <w:szCs w:val="28"/>
          <w:rtl/>
        </w:rPr>
        <w:t xml:space="preserve"> (10.4.2014).</w:t>
      </w:r>
    </w:p>
    <w:p w14:paraId="6A2A6924" w14:textId="77777777" w:rsidR="004A7E13" w:rsidRPr="0006182E" w:rsidRDefault="004A7E13" w:rsidP="004A7E13">
      <w:pPr>
        <w:spacing w:line="360" w:lineRule="auto"/>
        <w:ind w:left="368"/>
        <w:jc w:val="both"/>
        <w:rPr>
          <w:rFonts w:ascii="FrankRuehl" w:hAnsi="FrankRuehl" w:cs="FrankRuehl"/>
          <w:sz w:val="28"/>
          <w:szCs w:val="28"/>
        </w:rPr>
      </w:pPr>
    </w:p>
    <w:p w14:paraId="78108016" w14:textId="77777777" w:rsidR="004A7E13" w:rsidRPr="0006182E" w:rsidRDefault="004A7E13" w:rsidP="004A7E13">
      <w:pPr>
        <w:spacing w:line="360" w:lineRule="auto"/>
        <w:ind w:left="368"/>
        <w:jc w:val="both"/>
        <w:rPr>
          <w:rFonts w:ascii="FrankRuehl" w:hAnsi="FrankRuehl" w:cs="FrankRuehl"/>
          <w:sz w:val="28"/>
          <w:szCs w:val="28"/>
          <w:rtl/>
        </w:rPr>
      </w:pPr>
      <w:r w:rsidRPr="0006182E">
        <w:rPr>
          <w:rFonts w:ascii="FrankRuehl" w:hAnsi="FrankRuehl" w:cs="FrankRuehl"/>
          <w:sz w:val="28"/>
          <w:szCs w:val="28"/>
          <w:rtl/>
        </w:rPr>
        <w:t>הנזק שצפוי היה להיגרם מביצוע העבירות הוא נזק חמור ביותר</w:t>
      </w:r>
      <w:r>
        <w:rPr>
          <w:rFonts w:ascii="FrankRuehl" w:hAnsi="FrankRuehl" w:cs="FrankRuehl" w:hint="cs"/>
          <w:sz w:val="28"/>
          <w:szCs w:val="28"/>
          <w:rtl/>
        </w:rPr>
        <w:t xml:space="preserve">, </w:t>
      </w:r>
      <w:r w:rsidRPr="0006182E">
        <w:rPr>
          <w:rFonts w:ascii="FrankRuehl" w:hAnsi="FrankRuehl" w:cs="FrankRuehl"/>
          <w:sz w:val="28"/>
          <w:szCs w:val="28"/>
          <w:rtl/>
        </w:rPr>
        <w:t>פגיעה בגוף ובנפש, בעת הירי לעבר הבית שהו בתוכו המתלונן ובני משפחתו ושני קליעים חדרו למטבח ו</w:t>
      </w:r>
      <w:r>
        <w:rPr>
          <w:rFonts w:ascii="FrankRuehl" w:hAnsi="FrankRuehl" w:cs="FrankRuehl" w:hint="cs"/>
          <w:sz w:val="28"/>
          <w:szCs w:val="28"/>
          <w:rtl/>
        </w:rPr>
        <w:t>ל</w:t>
      </w:r>
      <w:r w:rsidRPr="0006182E">
        <w:rPr>
          <w:rFonts w:ascii="FrankRuehl" w:hAnsi="FrankRuehl" w:cs="FrankRuehl"/>
          <w:sz w:val="28"/>
          <w:szCs w:val="28"/>
          <w:rtl/>
        </w:rPr>
        <w:t xml:space="preserve">חדר השינה.  </w:t>
      </w:r>
      <w:r>
        <w:rPr>
          <w:rFonts w:ascii="FrankRuehl" w:hAnsi="FrankRuehl" w:cs="FrankRuehl" w:hint="cs"/>
          <w:sz w:val="28"/>
          <w:szCs w:val="28"/>
          <w:rtl/>
        </w:rPr>
        <w:t xml:space="preserve">אקח בחשבון </w:t>
      </w:r>
      <w:r w:rsidRPr="0006182E">
        <w:rPr>
          <w:rFonts w:ascii="FrankRuehl" w:hAnsi="FrankRuehl" w:cs="FrankRuehl"/>
          <w:sz w:val="28"/>
          <w:szCs w:val="28"/>
          <w:rtl/>
        </w:rPr>
        <w:t xml:space="preserve">כי בפועל נגרם נזק לרכוש בלבד, מעבר לפגיעת הקליעים, נפגע גם רכב המתלונן במספר מוקדים. </w:t>
      </w:r>
    </w:p>
    <w:p w14:paraId="2C0ECF6B" w14:textId="77777777" w:rsidR="004A7E13" w:rsidRDefault="004A7E13" w:rsidP="004A7E13">
      <w:pPr>
        <w:spacing w:line="360" w:lineRule="auto"/>
        <w:ind w:left="368" w:firstLine="433"/>
        <w:jc w:val="both"/>
        <w:rPr>
          <w:rFonts w:ascii="FrankRuehl" w:hAnsi="FrankRuehl"/>
          <w:sz w:val="28"/>
          <w:rtl/>
        </w:rPr>
      </w:pPr>
      <w:r>
        <w:rPr>
          <w:rFonts w:ascii="FrankRuehl" w:hAnsi="FrankRuehl"/>
          <w:sz w:val="28"/>
          <w:rtl/>
        </w:rPr>
        <w:tab/>
      </w:r>
    </w:p>
    <w:p w14:paraId="4F38066D"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בהתחשב בערכים החברתיים שנפגעו מביצוע העבירות, במידת הפגיעה בהם, במדיניות הענישה הנהוגה ובנסיבות הקשורות בביצוע העבירות ובהתחשב בעובדה כי מדובר במספר  עבירות: הצתת רכב, ניסיון להצתת רכב, נשיאה והובלה של אקדח, רימון הלם ותחמושת, ירי לתוך בית באופן שיש בו כדי לסכן את חיי אדם כניסיון לגרום למתלונן </w:t>
      </w:r>
      <w:r>
        <w:rPr>
          <w:rFonts w:ascii="FrankRuehl" w:hAnsi="FrankRuehl" w:hint="cs"/>
          <w:sz w:val="28"/>
          <w:rtl/>
        </w:rPr>
        <w:t>ו</w:t>
      </w:r>
      <w:r>
        <w:rPr>
          <w:rFonts w:ascii="FrankRuehl" w:hAnsi="FrankRuehl"/>
          <w:sz w:val="28"/>
          <w:rtl/>
        </w:rPr>
        <w:t>בני משפ</w:t>
      </w:r>
      <w:r>
        <w:rPr>
          <w:rFonts w:ascii="FrankRuehl" w:hAnsi="FrankRuehl" w:hint="cs"/>
          <w:sz w:val="28"/>
          <w:rtl/>
        </w:rPr>
        <w:t>ח</w:t>
      </w:r>
      <w:r>
        <w:rPr>
          <w:rFonts w:ascii="FrankRuehl" w:hAnsi="FrankRuehl"/>
          <w:sz w:val="28"/>
          <w:rtl/>
        </w:rPr>
        <w:t xml:space="preserve">תו לחבלה חמורה, אני קובע כי </w:t>
      </w:r>
      <w:r>
        <w:rPr>
          <w:rFonts w:ascii="FrankRuehl" w:hAnsi="FrankRuehl" w:hint="cs"/>
          <w:sz w:val="28"/>
          <w:rtl/>
        </w:rPr>
        <w:t xml:space="preserve">מתחם </w:t>
      </w:r>
      <w:r>
        <w:rPr>
          <w:rFonts w:ascii="FrankRuehl" w:hAnsi="FrankRuehl"/>
          <w:sz w:val="28"/>
          <w:rtl/>
        </w:rPr>
        <w:t xml:space="preserve">העונש ההולם במקרה זה הוא מאסר בפועל בין </w:t>
      </w:r>
      <w:r>
        <w:rPr>
          <w:rFonts w:ascii="FrankRuehl" w:hAnsi="FrankRuehl" w:hint="cs"/>
          <w:sz w:val="28"/>
          <w:u w:val="single"/>
          <w:rtl/>
        </w:rPr>
        <w:t>3</w:t>
      </w:r>
      <w:r>
        <w:rPr>
          <w:rFonts w:ascii="FrankRuehl" w:hAnsi="FrankRuehl"/>
          <w:sz w:val="28"/>
          <w:rtl/>
        </w:rPr>
        <w:t xml:space="preserve"> לבין </w:t>
      </w:r>
      <w:r>
        <w:rPr>
          <w:rFonts w:ascii="FrankRuehl" w:hAnsi="FrankRuehl" w:hint="cs"/>
          <w:sz w:val="28"/>
          <w:u w:val="single"/>
          <w:rtl/>
        </w:rPr>
        <w:t>7</w:t>
      </w:r>
      <w:r>
        <w:rPr>
          <w:rFonts w:ascii="FrankRuehl" w:hAnsi="FrankRuehl"/>
          <w:sz w:val="28"/>
          <w:rtl/>
        </w:rPr>
        <w:t xml:space="preserve"> שנות מאסר בפועל. </w:t>
      </w:r>
    </w:p>
    <w:p w14:paraId="335B532C" w14:textId="77777777" w:rsidR="004A7E13" w:rsidRDefault="004A7E13" w:rsidP="004A7E13">
      <w:pPr>
        <w:pStyle w:val="a9"/>
        <w:spacing w:line="360" w:lineRule="auto"/>
        <w:ind w:left="368"/>
        <w:jc w:val="both"/>
        <w:rPr>
          <w:rFonts w:ascii="FrankRuehl" w:hAnsi="FrankRuehl"/>
          <w:sz w:val="28"/>
          <w:rtl/>
        </w:rPr>
      </w:pPr>
    </w:p>
    <w:p w14:paraId="51929514" w14:textId="77777777" w:rsidR="004A7E13" w:rsidRPr="0006182E" w:rsidRDefault="004A7E13" w:rsidP="004A7E13">
      <w:pPr>
        <w:pStyle w:val="a9"/>
        <w:spacing w:line="360" w:lineRule="auto"/>
        <w:ind w:left="368"/>
        <w:jc w:val="both"/>
        <w:rPr>
          <w:rFonts w:ascii="Miriam" w:hAnsi="Miriam" w:cs="Miriam"/>
          <w:szCs w:val="24"/>
        </w:rPr>
      </w:pPr>
      <w:r w:rsidRPr="0006182E">
        <w:rPr>
          <w:rFonts w:ascii="Miriam" w:hAnsi="Miriam" w:cs="Miriam"/>
          <w:szCs w:val="24"/>
          <w:rtl/>
        </w:rPr>
        <w:t>העונש המתאים</w:t>
      </w:r>
    </w:p>
    <w:p w14:paraId="7F6DEEC9"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 בהתאם לתסקיר שירות המבחן מיום 26.12.2019 שאלת שיקום </w:t>
      </w:r>
      <w:r>
        <w:rPr>
          <w:rFonts w:ascii="FrankRuehl" w:hAnsi="FrankRuehl" w:hint="cs"/>
          <w:sz w:val="28"/>
          <w:rtl/>
        </w:rPr>
        <w:t xml:space="preserve">אינה עומדת </w:t>
      </w:r>
      <w:r>
        <w:rPr>
          <w:rFonts w:ascii="FrankRuehl" w:hAnsi="FrankRuehl"/>
          <w:sz w:val="28"/>
          <w:rtl/>
        </w:rPr>
        <w:t>על הפרק, שירות המבחן לא המליץ על הליך טיפולי ולא המליץ בנסיבותיו של תיק זה על  מסגרת שיקומית ש</w:t>
      </w:r>
      <w:r>
        <w:rPr>
          <w:rFonts w:ascii="FrankRuehl" w:hAnsi="FrankRuehl" w:hint="cs"/>
          <w:sz w:val="28"/>
          <w:rtl/>
        </w:rPr>
        <w:t xml:space="preserve">עשויה </w:t>
      </w:r>
      <w:r>
        <w:rPr>
          <w:rFonts w:ascii="FrankRuehl" w:hAnsi="FrankRuehl"/>
          <w:sz w:val="28"/>
          <w:rtl/>
        </w:rPr>
        <w:t>להביא להפחתת הסיכון המשמעותי להישנות התנהגות פורצת חוק מצדו של הנאשם ולכן העונש המתאים יהיה בתוך מתחם העונש ההולם.</w:t>
      </w:r>
    </w:p>
    <w:p w14:paraId="376EA302" w14:textId="77777777" w:rsidR="004A7E13" w:rsidRPr="00B36122" w:rsidRDefault="004A7E13" w:rsidP="004A7E13">
      <w:pPr>
        <w:pStyle w:val="a9"/>
        <w:spacing w:line="360" w:lineRule="auto"/>
        <w:ind w:left="368"/>
        <w:jc w:val="both"/>
        <w:rPr>
          <w:rFonts w:ascii="FrankRuehl" w:hAnsi="FrankRuehl"/>
          <w:sz w:val="28"/>
        </w:rPr>
      </w:pPr>
    </w:p>
    <w:p w14:paraId="2A7065A9"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אשר לנסיבות שאינן קשורות בביצוע העבירה (</w:t>
      </w:r>
      <w:hyperlink r:id="rId38" w:history="1">
        <w:r w:rsidR="00AC187F" w:rsidRPr="00AC187F">
          <w:rPr>
            <w:rFonts w:ascii="FrankRuehl" w:hAnsi="FrankRuehl"/>
            <w:color w:val="0000FF"/>
            <w:sz w:val="28"/>
            <w:u w:val="single"/>
            <w:rtl/>
          </w:rPr>
          <w:t>סעיף  40יא'</w:t>
        </w:r>
      </w:hyperlink>
      <w:r>
        <w:rPr>
          <w:rFonts w:ascii="FrankRuehl" w:hAnsi="FrankRuehl"/>
          <w:sz w:val="28"/>
          <w:rtl/>
        </w:rPr>
        <w:t xml:space="preserve"> לחוק) מכלול הנסיבות כולן מצדיק פסיקת עונש מתאים בקצה התחתון של המתחם, הנאשם בחור צעיר יליד 9.1.1998, ביצע את העבירות</w:t>
      </w:r>
      <w:r>
        <w:rPr>
          <w:rFonts w:ascii="FrankRuehl" w:hAnsi="FrankRuehl" w:hint="cs"/>
          <w:sz w:val="28"/>
          <w:rtl/>
        </w:rPr>
        <w:t xml:space="preserve"> בהיותו </w:t>
      </w:r>
      <w:r>
        <w:rPr>
          <w:rFonts w:ascii="FrankRuehl" w:hAnsi="FrankRuehl"/>
          <w:sz w:val="28"/>
          <w:rtl/>
        </w:rPr>
        <w:t xml:space="preserve">בן 20 שנה ו-11 חודשים.  עד לאותו מועד ולאחריו שמר על אורח חיים נורמטיבי, ייתכן וניתן לכנות הנאשם כ"בגיר צעיר" כפי שטען הסנגור, אך אזכיר כי יש דעות שונות בנושא בפסיקה  ראו למשל </w:t>
      </w:r>
      <w:hyperlink r:id="rId39" w:history="1">
        <w:r w:rsidR="0002135F" w:rsidRPr="0002135F">
          <w:rPr>
            <w:rFonts w:ascii="FrankRuehl" w:hAnsi="FrankRuehl"/>
            <w:color w:val="0000FF"/>
            <w:sz w:val="28"/>
            <w:u w:val="single"/>
            <w:rtl/>
          </w:rPr>
          <w:t>ע"פ 6961/17</w:t>
        </w:r>
      </w:hyperlink>
      <w:r>
        <w:rPr>
          <w:rFonts w:ascii="FrankRuehl" w:hAnsi="FrankRuehl"/>
          <w:sz w:val="28"/>
          <w:rtl/>
        </w:rPr>
        <w:t xml:space="preserve"> </w:t>
      </w:r>
      <w:r w:rsidRPr="0006182E">
        <w:rPr>
          <w:rFonts w:ascii="Miriam" w:hAnsi="Miriam" w:cs="Miriam"/>
          <w:szCs w:val="24"/>
          <w:rtl/>
        </w:rPr>
        <w:t>אלקיעאן נגד מדינת ישראל</w:t>
      </w:r>
      <w:r>
        <w:rPr>
          <w:rFonts w:ascii="FrankRuehl" w:hAnsi="FrankRuehl"/>
          <w:sz w:val="28"/>
          <w:rtl/>
        </w:rPr>
        <w:t xml:space="preserve"> (7.3.2018), ואפנה ל</w:t>
      </w:r>
      <w:hyperlink r:id="rId40" w:history="1">
        <w:r w:rsidR="0002135F" w:rsidRPr="0002135F">
          <w:rPr>
            <w:rFonts w:ascii="FrankRuehl" w:hAnsi="FrankRuehl"/>
            <w:color w:val="0000FF"/>
            <w:sz w:val="28"/>
            <w:u w:val="single"/>
            <w:rtl/>
          </w:rPr>
          <w:t>ע"פ 308/16</w:t>
        </w:r>
      </w:hyperlink>
      <w:r>
        <w:rPr>
          <w:rFonts w:ascii="FrankRuehl" w:hAnsi="FrankRuehl"/>
          <w:sz w:val="28"/>
          <w:rtl/>
        </w:rPr>
        <w:t xml:space="preserve"> </w:t>
      </w:r>
      <w:r w:rsidRPr="0006182E">
        <w:rPr>
          <w:rFonts w:ascii="Miriam" w:hAnsi="Miriam" w:cs="Miriam"/>
          <w:szCs w:val="24"/>
          <w:rtl/>
        </w:rPr>
        <w:t>נאטור נגד מדינת ישראל</w:t>
      </w:r>
      <w:r>
        <w:rPr>
          <w:rFonts w:ascii="FrankRuehl" w:hAnsi="FrankRuehl"/>
          <w:sz w:val="28"/>
          <w:rtl/>
        </w:rPr>
        <w:t xml:space="preserve"> (7.11.2016) בו נקבע כ</w:t>
      </w:r>
      <w:r>
        <w:rPr>
          <w:rFonts w:ascii="FrankRuehl" w:hAnsi="FrankRuehl" w:hint="cs"/>
          <w:sz w:val="28"/>
          <w:rtl/>
        </w:rPr>
        <w:t>ך:</w:t>
      </w:r>
      <w:r>
        <w:rPr>
          <w:rFonts w:ascii="FrankRuehl" w:hAnsi="FrankRuehl"/>
          <w:sz w:val="28"/>
          <w:rtl/>
        </w:rPr>
        <w:t xml:space="preserve"> </w:t>
      </w:r>
    </w:p>
    <w:p w14:paraId="34F8C762" w14:textId="77777777" w:rsidR="004A7E13" w:rsidRDefault="004A7E13" w:rsidP="004A7E13">
      <w:pPr>
        <w:ind w:left="360" w:right="709" w:hanging="77"/>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sz w:val="28"/>
          <w:szCs w:val="28"/>
          <w:rtl/>
        </w:rPr>
        <w:tab/>
      </w:r>
      <w:r w:rsidRPr="0006182E">
        <w:rPr>
          <w:rFonts w:ascii="FrankRuehl" w:hAnsi="FrankRuehl" w:cs="FrankRuehl"/>
          <w:sz w:val="28"/>
          <w:szCs w:val="28"/>
          <w:rtl/>
        </w:rPr>
        <w:t xml:space="preserve">"אין משמעות ההכרה בקטיגורית הבגירים הצעירים כי בכל מקרה תהיה הקלה </w:t>
      </w:r>
      <w:r w:rsidRPr="0006182E">
        <w:rPr>
          <w:rFonts w:ascii="FrankRuehl" w:hAnsi="FrankRuehl" w:cs="FrankRuehl"/>
          <w:sz w:val="28"/>
          <w:szCs w:val="28"/>
          <w:rtl/>
        </w:rPr>
        <w:tab/>
        <w:t xml:space="preserve">בעונש </w:t>
      </w:r>
      <w:r w:rsidRPr="0006182E">
        <w:rPr>
          <w:rFonts w:ascii="FrankRuehl" w:hAnsi="FrankRuehl" w:cs="FrankRuehl"/>
          <w:sz w:val="28"/>
          <w:szCs w:val="28"/>
          <w:rtl/>
        </w:rPr>
        <w:tab/>
        <w:t xml:space="preserve">על בית המשפט לבחון בכל מקרה לגופו האם, ובאיזו מידה, מתקיימים </w:t>
      </w:r>
      <w:r w:rsidRPr="0006182E">
        <w:rPr>
          <w:rFonts w:ascii="FrankRuehl" w:hAnsi="FrankRuehl" w:cs="FrankRuehl"/>
          <w:sz w:val="28"/>
          <w:szCs w:val="28"/>
          <w:rtl/>
        </w:rPr>
        <w:tab/>
        <w:t>המשתנים השונים המצדיקים הקלה כזאת".</w:t>
      </w:r>
    </w:p>
    <w:p w14:paraId="4705BCEA" w14:textId="77777777" w:rsidR="004A7E13" w:rsidRPr="0006182E" w:rsidRDefault="004A7E13" w:rsidP="004A7E13">
      <w:pPr>
        <w:ind w:left="360" w:right="709" w:hanging="77"/>
        <w:jc w:val="both"/>
        <w:rPr>
          <w:rFonts w:ascii="FrankRuehl" w:hAnsi="FrankRuehl" w:cs="FrankRuehl"/>
          <w:sz w:val="28"/>
          <w:szCs w:val="28"/>
          <w:rtl/>
        </w:rPr>
      </w:pPr>
    </w:p>
    <w:p w14:paraId="422D2D55"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אני משוכנע כי עונש של מאסר בפועל לתקופה ארוכה יפגע בנאשם, בארוסתו ובבני משפחתו</w:t>
      </w:r>
      <w:r>
        <w:rPr>
          <w:rFonts w:ascii="FrankRuehl" w:hAnsi="FrankRuehl" w:hint="cs"/>
          <w:sz w:val="28"/>
          <w:rtl/>
        </w:rPr>
        <w:t xml:space="preserve">, גם בשל גילו הצעיר ולכן העונש המתאים יהיה סמוך לקצה התחתון של המתחם. </w:t>
      </w:r>
    </w:p>
    <w:p w14:paraId="5A30E4ED" w14:textId="77777777" w:rsidR="004A7E13" w:rsidRPr="00B36122" w:rsidRDefault="004A7E13" w:rsidP="004A7E13">
      <w:pPr>
        <w:pStyle w:val="a9"/>
        <w:spacing w:line="360" w:lineRule="auto"/>
        <w:ind w:left="368"/>
        <w:jc w:val="both"/>
        <w:rPr>
          <w:rFonts w:ascii="FrankRuehl" w:hAnsi="FrankRuehl"/>
          <w:sz w:val="28"/>
          <w:rtl/>
        </w:rPr>
      </w:pPr>
    </w:p>
    <w:p w14:paraId="20CB4A24"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עוד אזקוף לזכות הנאשם את נטילת האחריות על מעשיו בהזדמנות הראשונה, רצונו להביא את הסכסוך בין המשפחות לידי סיום חיובי והחיסכון בזמן שיפוטי יקר. </w:t>
      </w:r>
      <w:r>
        <w:rPr>
          <w:rFonts w:ascii="FrankRuehl" w:hAnsi="FrankRuehl" w:hint="cs"/>
          <w:sz w:val="28"/>
          <w:rtl/>
        </w:rPr>
        <w:t xml:space="preserve"> </w:t>
      </w:r>
    </w:p>
    <w:p w14:paraId="31E80C17" w14:textId="77777777" w:rsidR="004A7E13" w:rsidRDefault="004A7E13" w:rsidP="004A7E13">
      <w:pPr>
        <w:pStyle w:val="a9"/>
        <w:spacing w:line="360" w:lineRule="auto"/>
        <w:ind w:left="368"/>
        <w:jc w:val="both"/>
        <w:rPr>
          <w:rFonts w:cs="David"/>
          <w:sz w:val="28"/>
          <w:rtl/>
        </w:rPr>
      </w:pPr>
      <w:r>
        <w:rPr>
          <w:rFonts w:ascii="FrankRuehl" w:hAnsi="FrankRuehl" w:hint="cs"/>
          <w:sz w:val="28"/>
          <w:rtl/>
        </w:rPr>
        <w:t xml:space="preserve">די בעיון בדברי המתלונן כמתואר בתסקיר נפגע העבירה כדי לראות עד כמה הייתה במקרה זה חשיבות רבה להסכם הסולחה שהביא להכרה בפגיעה במתלונן ובבני משפחתו, ראו לעניין זה </w:t>
      </w:r>
      <w:hyperlink r:id="rId41" w:history="1">
        <w:r w:rsidR="0002135F" w:rsidRPr="0002135F">
          <w:rPr>
            <w:color w:val="0000FF"/>
            <w:sz w:val="28"/>
            <w:u w:val="single"/>
            <w:rtl/>
          </w:rPr>
          <w:t>ע"פ 2847/16</w:t>
        </w:r>
      </w:hyperlink>
      <w:r w:rsidRPr="00B01B70">
        <w:rPr>
          <w:sz w:val="28"/>
          <w:rtl/>
        </w:rPr>
        <w:t xml:space="preserve"> </w:t>
      </w:r>
      <w:r w:rsidRPr="00B01B70">
        <w:rPr>
          <w:rFonts w:ascii="Miriam" w:hAnsi="Miriam" w:cs="Miriam"/>
          <w:szCs w:val="24"/>
          <w:rtl/>
        </w:rPr>
        <w:t>רשיד נגד מדינת ישראל</w:t>
      </w:r>
      <w:r w:rsidRPr="00B01B70">
        <w:rPr>
          <w:sz w:val="28"/>
          <w:rtl/>
        </w:rPr>
        <w:t xml:space="preserve"> (9.3.2017)</w:t>
      </w:r>
      <w:r>
        <w:rPr>
          <w:rFonts w:cs="David" w:hint="cs"/>
          <w:sz w:val="28"/>
          <w:rtl/>
        </w:rPr>
        <w:t xml:space="preserve"> בו נקבע כך:</w:t>
      </w:r>
    </w:p>
    <w:p w14:paraId="2E248CFF" w14:textId="77777777" w:rsidR="004A7E13" w:rsidRPr="00B01B70" w:rsidRDefault="004A7E13" w:rsidP="004A7E13">
      <w:pPr>
        <w:pStyle w:val="a9"/>
        <w:ind w:left="368" w:right="851"/>
        <w:jc w:val="both"/>
        <w:rPr>
          <w:rFonts w:cs="David"/>
          <w:sz w:val="28"/>
        </w:rPr>
      </w:pPr>
      <w:r>
        <w:rPr>
          <w:sz w:val="28"/>
          <w:rtl/>
        </w:rPr>
        <w:tab/>
      </w:r>
      <w:r>
        <w:rPr>
          <w:rFonts w:hint="cs"/>
          <w:sz w:val="28"/>
          <w:rtl/>
        </w:rPr>
        <w:t>"</w:t>
      </w:r>
      <w:r w:rsidRPr="00A61FE2">
        <w:rPr>
          <w:sz w:val="28"/>
          <w:rtl/>
        </w:rPr>
        <w:t xml:space="preserve">אנו מברכים על הסכם הסולחה שנערך בין הצדדים. בית משפט זה עמד לא אחת </w:t>
      </w:r>
      <w:r>
        <w:rPr>
          <w:sz w:val="28"/>
          <w:rtl/>
        </w:rPr>
        <w:tab/>
      </w:r>
      <w:r w:rsidRPr="00A61FE2">
        <w:rPr>
          <w:sz w:val="28"/>
          <w:rtl/>
        </w:rPr>
        <w:t xml:space="preserve">על חשיבותו של הסכם הסולחה בהשכנת שלום בין צדדים ניציים, אשר </w:t>
      </w:r>
      <w:r>
        <w:rPr>
          <w:sz w:val="28"/>
          <w:rtl/>
        </w:rPr>
        <w:tab/>
      </w:r>
      <w:r w:rsidRPr="00A61FE2">
        <w:rPr>
          <w:sz w:val="28"/>
          <w:rtl/>
        </w:rPr>
        <w:t>בכוחו למנוע את</w:t>
      </w:r>
      <w:r>
        <w:rPr>
          <w:rFonts w:hint="cs"/>
          <w:sz w:val="28"/>
          <w:rtl/>
        </w:rPr>
        <w:t xml:space="preserve">  </w:t>
      </w:r>
      <w:r w:rsidRPr="00A61FE2">
        <w:rPr>
          <w:sz w:val="28"/>
          <w:rtl/>
        </w:rPr>
        <w:t>המשך האלימות</w:t>
      </w:r>
      <w:r>
        <w:rPr>
          <w:rFonts w:hint="cs"/>
          <w:sz w:val="28"/>
          <w:rtl/>
        </w:rPr>
        <w:t>".</w:t>
      </w:r>
    </w:p>
    <w:p w14:paraId="4B41E6C8" w14:textId="77777777" w:rsidR="004A7E13" w:rsidRDefault="004A7E13" w:rsidP="004A7E13">
      <w:pPr>
        <w:pStyle w:val="a9"/>
        <w:spacing w:line="360" w:lineRule="auto"/>
        <w:ind w:left="368"/>
        <w:jc w:val="both"/>
        <w:rPr>
          <w:rFonts w:ascii="FrankRuehl" w:hAnsi="FrankRuehl"/>
          <w:sz w:val="28"/>
        </w:rPr>
      </w:pPr>
    </w:p>
    <w:p w14:paraId="3A3F5FD2"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בעת קביעת משך המאסר לקחתי בחשבון את התקופה בה שהה הנאשם במעצר בפיקוח אלקטרוני (מיום 30.1.2019 ועד ליום 28.4.2019).</w:t>
      </w:r>
    </w:p>
    <w:p w14:paraId="2C4BDAF9" w14:textId="77777777" w:rsidR="004A7E13" w:rsidRDefault="004A7E13" w:rsidP="004A7E13">
      <w:pPr>
        <w:pStyle w:val="a9"/>
        <w:spacing w:line="360" w:lineRule="auto"/>
        <w:ind w:left="368"/>
        <w:jc w:val="both"/>
        <w:rPr>
          <w:rFonts w:ascii="FrankRuehl" w:hAnsi="FrankRuehl"/>
          <w:sz w:val="28"/>
        </w:rPr>
      </w:pPr>
    </w:p>
    <w:p w14:paraId="751C5A92" w14:textId="77777777" w:rsidR="004A7E13" w:rsidRDefault="004A7E13" w:rsidP="004A7E13">
      <w:pPr>
        <w:pStyle w:val="a9"/>
        <w:spacing w:line="360" w:lineRule="auto"/>
        <w:ind w:left="368"/>
        <w:jc w:val="both"/>
        <w:rPr>
          <w:rFonts w:ascii="FrankRuehl" w:hAnsi="FrankRuehl"/>
          <w:sz w:val="28"/>
        </w:rPr>
      </w:pPr>
      <w:r>
        <w:rPr>
          <w:rFonts w:ascii="FrankRuehl" w:hAnsi="FrankRuehl"/>
          <w:sz w:val="28"/>
          <w:rtl/>
        </w:rPr>
        <w:t>בטרם סיום אפנה לפסק דינו של השופט יוסף אלרון ב</w:t>
      </w:r>
      <w:hyperlink r:id="rId42" w:history="1">
        <w:r w:rsidR="0002135F" w:rsidRPr="0002135F">
          <w:rPr>
            <w:rFonts w:ascii="FrankRuehl" w:hAnsi="FrankRuehl"/>
            <w:color w:val="0000FF"/>
            <w:sz w:val="28"/>
            <w:u w:val="single"/>
            <w:rtl/>
          </w:rPr>
          <w:t>ע"פ 4406/19</w:t>
        </w:r>
      </w:hyperlink>
      <w:r>
        <w:rPr>
          <w:rFonts w:ascii="FrankRuehl" w:hAnsi="FrankRuehl"/>
          <w:sz w:val="28"/>
          <w:rtl/>
        </w:rPr>
        <w:t xml:space="preserve">, 4411/19, 4418/19, 4439/19 </w:t>
      </w:r>
      <w:r w:rsidRPr="0024536F">
        <w:rPr>
          <w:rFonts w:ascii="Miriam" w:hAnsi="Miriam" w:cs="Miriam"/>
          <w:szCs w:val="24"/>
          <w:rtl/>
        </w:rPr>
        <w:t>מדינת ישראל נ' סובח</w:t>
      </w:r>
      <w:r>
        <w:rPr>
          <w:rFonts w:ascii="FrankRuehl" w:hAnsi="FrankRuehl"/>
          <w:sz w:val="28"/>
          <w:rtl/>
        </w:rPr>
        <w:t xml:space="preserve"> (5.11.2019) לפיו "על רקע המציאות אותה אנו חווים למרבה הצער מדי יום, אנו עדים לקריאה ציבורית נרגשת להגברת האכיפה כלפי עבירות נשק – ולהחמרה במדיניות הענישה הנוהגת" ובהמשך קובע כי יש לנקוט במדיניות ענישה מחמירה גם כלפי ביצוע עבירות החזקת נשק שלא כדין.  כב'  השופט  מזוז הצטרף והוסיף כך:</w:t>
      </w:r>
    </w:p>
    <w:p w14:paraId="5BCB8441" w14:textId="77777777" w:rsidR="004A7E13" w:rsidRDefault="004A7E13" w:rsidP="004A7E13">
      <w:pPr>
        <w:pStyle w:val="a9"/>
        <w:ind w:right="567"/>
        <w:jc w:val="both"/>
        <w:rPr>
          <w:rFonts w:ascii="FrankRuehl" w:hAnsi="FrankRuehl"/>
          <w:spacing w:val="10"/>
          <w:sz w:val="28"/>
        </w:rPr>
      </w:pPr>
      <w:r>
        <w:rPr>
          <w:rFonts w:ascii="FrankRuehl" w:hAnsi="FrankRuehl"/>
          <w:spacing w:val="10"/>
          <w:sz w:val="28"/>
          <w:rtl/>
        </w:rPr>
        <w:t>"התופעה של החזקת נשק שלא כדין על ידי אזרחים מהווה איום על שלום הציבור ועל הסדר הציבורי. היא התשתית ו"הגורם בלעדו איין" (</w:t>
      </w:r>
      <w:r>
        <w:rPr>
          <w:rFonts w:ascii="FrankRuehl" w:hAnsi="FrankRuehl"/>
          <w:spacing w:val="10"/>
          <w:sz w:val="28"/>
        </w:rPr>
        <w:t>causa sine qua non</w:t>
      </w:r>
      <w:r>
        <w:rPr>
          <w:rFonts w:ascii="FrankRuehl" w:hAnsi="FrankRuehl"/>
          <w:spacing w:val="10"/>
          <w:sz w:val="28"/>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299D9D23" w14:textId="77777777" w:rsidR="004A7E13" w:rsidRDefault="004A7E13" w:rsidP="004A7E13">
      <w:pPr>
        <w:pStyle w:val="a9"/>
        <w:ind w:right="567"/>
        <w:jc w:val="both"/>
        <w:rPr>
          <w:rFonts w:ascii="FrankRuehl" w:hAnsi="FrankRuehl"/>
          <w:spacing w:val="10"/>
          <w:sz w:val="28"/>
        </w:rPr>
      </w:pPr>
      <w:r>
        <w:rPr>
          <w:rFonts w:ascii="FrankRuehl" w:hAnsi="FrankRuehl"/>
          <w:spacing w:val="10"/>
          <w:sz w:val="28"/>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1EA2144B" w14:textId="77777777" w:rsidR="004A7E13" w:rsidRDefault="004A7E13" w:rsidP="004A7E13">
      <w:pPr>
        <w:pStyle w:val="a9"/>
        <w:ind w:right="567"/>
        <w:jc w:val="both"/>
        <w:rPr>
          <w:rFonts w:ascii="FrankRuehl" w:hAnsi="FrankRuehl"/>
          <w:spacing w:val="10"/>
          <w:sz w:val="28"/>
          <w:rtl/>
        </w:rPr>
      </w:pPr>
      <w:r>
        <w:rPr>
          <w:rFonts w:ascii="FrankRuehl" w:hAnsi="FrankRuehl"/>
          <w:spacing w:val="10"/>
          <w:sz w:val="28"/>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4AF14D26" w14:textId="77777777" w:rsidR="004A7E13" w:rsidRDefault="004A7E13" w:rsidP="004A7E13">
      <w:pPr>
        <w:pStyle w:val="a9"/>
        <w:spacing w:line="360" w:lineRule="auto"/>
        <w:jc w:val="both"/>
        <w:rPr>
          <w:rFonts w:ascii="FrankRuehl" w:hAnsi="FrankRuehl"/>
          <w:sz w:val="28"/>
          <w:rtl/>
        </w:rPr>
      </w:pPr>
    </w:p>
    <w:p w14:paraId="262984B8" w14:textId="77777777" w:rsidR="004A7E13" w:rsidRDefault="004A7E13" w:rsidP="004A7E13">
      <w:pPr>
        <w:pStyle w:val="a9"/>
        <w:spacing w:line="360" w:lineRule="auto"/>
        <w:jc w:val="both"/>
        <w:rPr>
          <w:rFonts w:ascii="FrankRuehl" w:hAnsi="FrankRuehl"/>
          <w:sz w:val="28"/>
          <w:rtl/>
        </w:rPr>
      </w:pPr>
    </w:p>
    <w:p w14:paraId="21D55F7C" w14:textId="77777777" w:rsidR="004A7E13" w:rsidRDefault="004A7E13" w:rsidP="004A7E13">
      <w:pPr>
        <w:pStyle w:val="a9"/>
        <w:spacing w:line="360" w:lineRule="auto"/>
        <w:ind w:left="509"/>
        <w:jc w:val="both"/>
        <w:rPr>
          <w:rFonts w:ascii="FrankRuehl" w:hAnsi="FrankRuehl"/>
          <w:sz w:val="28"/>
          <w:rtl/>
        </w:rPr>
      </w:pPr>
      <w:r>
        <w:rPr>
          <w:rFonts w:ascii="FrankRuehl" w:hAnsi="FrankRuehl"/>
          <w:sz w:val="28"/>
          <w:u w:val="single"/>
          <w:rtl/>
        </w:rPr>
        <w:t>סיכום</w:t>
      </w:r>
    </w:p>
    <w:p w14:paraId="11BCED52" w14:textId="77777777" w:rsidR="004A7E13" w:rsidRDefault="004A7E13" w:rsidP="004A7E13">
      <w:pPr>
        <w:pStyle w:val="a9"/>
        <w:spacing w:line="360" w:lineRule="auto"/>
        <w:ind w:left="509"/>
        <w:jc w:val="both"/>
        <w:rPr>
          <w:rFonts w:ascii="FrankRuehl" w:hAnsi="FrankRuehl"/>
          <w:sz w:val="28"/>
        </w:rPr>
      </w:pPr>
      <w:r>
        <w:rPr>
          <w:rFonts w:ascii="FrankRuehl" w:hAnsi="FrankRuehl"/>
          <w:sz w:val="28"/>
          <w:rtl/>
        </w:rPr>
        <w:t xml:space="preserve">לאור האמור לעיל אני דן את הנאשם לעונשים הבאים: </w:t>
      </w:r>
    </w:p>
    <w:p w14:paraId="17E90B07" w14:textId="77777777" w:rsidR="004A7E13" w:rsidRDefault="004A7E13" w:rsidP="004A7E13">
      <w:pPr>
        <w:pStyle w:val="a9"/>
        <w:numPr>
          <w:ilvl w:val="0"/>
          <w:numId w:val="3"/>
        </w:numPr>
        <w:spacing w:line="360" w:lineRule="auto"/>
        <w:ind w:left="793" w:hanging="347"/>
        <w:jc w:val="both"/>
        <w:rPr>
          <w:rFonts w:ascii="FrankRuehl" w:hAnsi="FrankRuehl"/>
          <w:sz w:val="28"/>
        </w:rPr>
      </w:pPr>
      <w:r>
        <w:rPr>
          <w:rFonts w:ascii="FrankRuehl" w:hAnsi="FrankRuehl" w:hint="cs"/>
          <w:sz w:val="28"/>
          <w:u w:val="single"/>
          <w:rtl/>
        </w:rPr>
        <w:t>36</w:t>
      </w:r>
      <w:r>
        <w:rPr>
          <w:rFonts w:ascii="FrankRuehl" w:hAnsi="FrankRuehl"/>
          <w:sz w:val="28"/>
          <w:rtl/>
        </w:rPr>
        <w:t xml:space="preserve"> חודשי מאסר בפועל, בניכוי  ימי מעצרו מיום 5.12.2018 ועד ליום 30.1.2019.   </w:t>
      </w:r>
    </w:p>
    <w:p w14:paraId="6258D3C6" w14:textId="77777777" w:rsidR="004A7E13" w:rsidRDefault="004A7E13" w:rsidP="004A7E13">
      <w:pPr>
        <w:pStyle w:val="a9"/>
        <w:spacing w:line="360" w:lineRule="auto"/>
        <w:ind w:left="509"/>
        <w:jc w:val="both"/>
        <w:rPr>
          <w:rFonts w:ascii="FrankRuehl" w:hAnsi="FrankRuehl"/>
          <w:sz w:val="28"/>
          <w:rtl/>
        </w:rPr>
      </w:pPr>
    </w:p>
    <w:p w14:paraId="04C130AB" w14:textId="77777777" w:rsidR="004A7E13" w:rsidRDefault="004A7E13" w:rsidP="004A7E13">
      <w:pPr>
        <w:pStyle w:val="a9"/>
        <w:spacing w:line="360" w:lineRule="auto"/>
        <w:ind w:left="509"/>
        <w:jc w:val="both"/>
        <w:rPr>
          <w:rFonts w:ascii="FrankRuehl" w:hAnsi="FrankRuehl"/>
          <w:sz w:val="28"/>
          <w:rtl/>
        </w:rPr>
      </w:pPr>
      <w:r>
        <w:rPr>
          <w:rFonts w:ascii="FrankRuehl" w:hAnsi="FrankRuehl"/>
          <w:sz w:val="28"/>
          <w:rtl/>
        </w:rPr>
        <w:t>הנאשם יתייצב למאסרו בבית סוהר ימ"ר קישון ביום 23.2.2012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w:t>
      </w:r>
    </w:p>
    <w:p w14:paraId="0274CC84" w14:textId="77777777" w:rsidR="004A7E13" w:rsidRDefault="004A7E13" w:rsidP="004A7E13">
      <w:pPr>
        <w:pStyle w:val="a9"/>
        <w:spacing w:line="360" w:lineRule="auto"/>
        <w:ind w:left="509"/>
        <w:jc w:val="both"/>
        <w:rPr>
          <w:rFonts w:ascii="FrankRuehl" w:hAnsi="FrankRuehl"/>
          <w:sz w:val="28"/>
          <w:rtl/>
        </w:rPr>
      </w:pPr>
    </w:p>
    <w:p w14:paraId="55D6A6DD" w14:textId="77777777" w:rsidR="004A7E13" w:rsidRPr="00763C9E" w:rsidRDefault="004A7E13" w:rsidP="004A7E13">
      <w:pPr>
        <w:pStyle w:val="a9"/>
        <w:numPr>
          <w:ilvl w:val="0"/>
          <w:numId w:val="3"/>
        </w:numPr>
        <w:spacing w:line="360" w:lineRule="auto"/>
        <w:ind w:left="793"/>
        <w:jc w:val="both"/>
        <w:rPr>
          <w:rFonts w:ascii="FrankRuehl" w:hAnsi="FrankRuehl"/>
          <w:sz w:val="28"/>
        </w:rPr>
      </w:pPr>
      <w:r w:rsidRPr="00763C9E">
        <w:rPr>
          <w:rFonts w:ascii="FrankRuehl" w:hAnsi="FrankRuehl"/>
          <w:sz w:val="28"/>
          <w:u w:val="single"/>
          <w:rtl/>
        </w:rPr>
        <w:t xml:space="preserve">6 </w:t>
      </w:r>
      <w:r w:rsidRPr="00763C9E">
        <w:rPr>
          <w:rFonts w:ascii="FrankRuehl" w:hAnsi="FrankRuehl"/>
          <w:sz w:val="28"/>
          <w:rtl/>
        </w:rPr>
        <w:t xml:space="preserve"> חודשי מאסר על תנאי, הנאשם לא ישא את עונש המאסר על  תנאי </w:t>
      </w:r>
      <w:r w:rsidRPr="00763C9E">
        <w:rPr>
          <w:rStyle w:val="default"/>
          <w:rFonts w:ascii="FrankRuehl" w:hAnsi="FrankRuehl"/>
          <w:sz w:val="28"/>
          <w:rtl/>
        </w:rPr>
        <w:t xml:space="preserve">אלא אם יעבור תוך שלוש שנים אחת העבירות בהן הורשע ויורשע בשל עבירה כזאת תוך תקופת התנאי או לאחריה. </w:t>
      </w:r>
    </w:p>
    <w:p w14:paraId="26CC4DFF" w14:textId="77777777" w:rsidR="004A7E13" w:rsidRDefault="004A7E13" w:rsidP="004A7E13">
      <w:pPr>
        <w:pStyle w:val="a9"/>
        <w:spacing w:line="360" w:lineRule="auto"/>
        <w:ind w:left="793"/>
        <w:jc w:val="both"/>
        <w:rPr>
          <w:rFonts w:ascii="FrankRuehl" w:hAnsi="FrankRuehl"/>
          <w:sz w:val="28"/>
          <w:rtl/>
        </w:rPr>
      </w:pPr>
    </w:p>
    <w:p w14:paraId="06D8F4B9" w14:textId="77777777" w:rsidR="004A7E13" w:rsidRDefault="004A7E13" w:rsidP="004A7E13">
      <w:pPr>
        <w:pStyle w:val="a9"/>
        <w:spacing w:line="360" w:lineRule="auto"/>
        <w:ind w:left="509"/>
        <w:jc w:val="both"/>
        <w:rPr>
          <w:rFonts w:ascii="FrankRuehl" w:hAnsi="FrankRuehl"/>
          <w:sz w:val="28"/>
          <w:rtl/>
        </w:rPr>
      </w:pPr>
      <w:r>
        <w:rPr>
          <w:rFonts w:ascii="FrankRuehl" w:hAnsi="FrankRuehl"/>
          <w:sz w:val="28"/>
          <w:rtl/>
        </w:rPr>
        <w:t xml:space="preserve">לאור האמור בהסכם הסולחה ודברי </w:t>
      </w:r>
      <w:r>
        <w:rPr>
          <w:rFonts w:ascii="FrankRuehl" w:hAnsi="FrankRuehl" w:hint="cs"/>
          <w:sz w:val="28"/>
          <w:rtl/>
        </w:rPr>
        <w:t xml:space="preserve">המתלונן </w:t>
      </w:r>
      <w:r>
        <w:rPr>
          <w:rFonts w:ascii="FrankRuehl" w:hAnsi="FrankRuehl"/>
          <w:sz w:val="28"/>
          <w:rtl/>
        </w:rPr>
        <w:t>כמתואר בתסקיר נפגע העבירה לפיה הוא מוותר על הפיצויים המגיעים לו, לא אפסוק פיצוי למתלונן ובני משפחתו, אין בקביעה זו כדי למנוע מהם  לתבוע פיצוי בהליך נפרד.</w:t>
      </w:r>
    </w:p>
    <w:p w14:paraId="4C3122D1" w14:textId="77777777" w:rsidR="004A7E13" w:rsidRDefault="004A7E13" w:rsidP="004A7E13">
      <w:pPr>
        <w:pStyle w:val="a9"/>
        <w:spacing w:line="360" w:lineRule="auto"/>
        <w:ind w:left="509"/>
        <w:jc w:val="both"/>
        <w:rPr>
          <w:rFonts w:ascii="FrankRuehl" w:hAnsi="FrankRuehl"/>
          <w:sz w:val="28"/>
          <w:rtl/>
        </w:rPr>
      </w:pPr>
    </w:p>
    <w:p w14:paraId="14117BF4" w14:textId="77777777" w:rsidR="004A7E13" w:rsidRDefault="004A7E13" w:rsidP="004A7E13">
      <w:pPr>
        <w:spacing w:line="360" w:lineRule="auto"/>
        <w:jc w:val="both"/>
        <w:rPr>
          <w:rFonts w:ascii="FrankRuehl" w:hAnsi="FrankRuehl" w:cs="FrankRuehl"/>
          <w:sz w:val="28"/>
          <w:szCs w:val="28"/>
          <w:u w:val="single"/>
          <w:rtl/>
        </w:rPr>
      </w:pPr>
      <w:r w:rsidRPr="0024536F">
        <w:rPr>
          <w:rFonts w:ascii="FrankRuehl" w:hAnsi="FrankRuehl" w:cs="FrankRuehl"/>
          <w:sz w:val="28"/>
          <w:szCs w:val="28"/>
          <w:u w:val="single"/>
          <w:rtl/>
        </w:rPr>
        <w:t>המזכירות תשלח העתק מגזר הדין לשירות המבחן.</w:t>
      </w:r>
    </w:p>
    <w:p w14:paraId="7DCCF2D0" w14:textId="77777777" w:rsidR="004A7E13" w:rsidRDefault="004A7E13" w:rsidP="004A7E13">
      <w:pPr>
        <w:spacing w:line="360" w:lineRule="auto"/>
        <w:jc w:val="both"/>
        <w:rPr>
          <w:rFonts w:ascii="Arial" w:hAnsi="Arial"/>
          <w:rtl/>
        </w:rPr>
      </w:pPr>
      <w:r>
        <w:rPr>
          <w:rFonts w:ascii="FrankRuehl" w:hAnsi="FrankRuehl" w:cs="FrankRuehl" w:hint="cs"/>
          <w:sz w:val="28"/>
          <w:szCs w:val="28"/>
          <w:u w:val="single"/>
          <w:rtl/>
        </w:rPr>
        <w:t>ז</w:t>
      </w:r>
      <w:r w:rsidRPr="0024536F">
        <w:rPr>
          <w:rFonts w:ascii="FrankRuehl" w:hAnsi="FrankRuehl" w:cs="FrankRuehl"/>
          <w:sz w:val="28"/>
          <w:szCs w:val="28"/>
          <w:u w:val="single"/>
          <w:rtl/>
        </w:rPr>
        <w:t xml:space="preserve">כות ערעור לבית המשפט העליון תוך 45 יום </w:t>
      </w:r>
    </w:p>
    <w:p w14:paraId="3A8C1817" w14:textId="77777777" w:rsidR="004A7E13" w:rsidRDefault="004A7E13" w:rsidP="004A7E13">
      <w:pPr>
        <w:spacing w:line="360" w:lineRule="auto"/>
        <w:jc w:val="both"/>
        <w:rPr>
          <w:rFonts w:ascii="Arial" w:hAnsi="Arial"/>
          <w:rtl/>
        </w:rPr>
      </w:pPr>
    </w:p>
    <w:p w14:paraId="2B84EE04" w14:textId="77777777" w:rsidR="004A7E13" w:rsidRDefault="0002135F" w:rsidP="004A7E13">
      <w:pPr>
        <w:spacing w:line="360" w:lineRule="auto"/>
        <w:jc w:val="both"/>
        <w:rPr>
          <w:rFonts w:ascii="Arial" w:hAnsi="Arial"/>
          <w:rtl/>
        </w:rPr>
      </w:pPr>
      <w:bookmarkStart w:id="7" w:name="Nitan"/>
      <w:r>
        <w:rPr>
          <w:rFonts w:ascii="Arial" w:hAnsi="Arial"/>
          <w:rtl/>
        </w:rPr>
        <w:t xml:space="preserve">ניתן היום,  כ"ד טבת תש"פ, 21 ינואר 2020, בנוכחות ב"כ המאשימה עו"ד שני בן גיגי, הסנגור עו"ד </w:t>
      </w:r>
      <w:bookmarkEnd w:id="7"/>
      <w:r w:rsidR="004A7E13">
        <w:rPr>
          <w:rFonts w:ascii="Arial" w:hAnsi="Arial" w:hint="cs"/>
          <w:rtl/>
        </w:rPr>
        <w:t>כנעאנה, הנאשם בעצמו והמתורגמן לשפה הערבית ג'וזף פאר.</w:t>
      </w:r>
    </w:p>
    <w:p w14:paraId="25ABEA1E" w14:textId="77777777" w:rsidR="004A7E13" w:rsidRPr="0002135F" w:rsidRDefault="0002135F" w:rsidP="004A7E13">
      <w:pPr>
        <w:spacing w:line="360" w:lineRule="auto"/>
        <w:jc w:val="both"/>
        <w:rPr>
          <w:rFonts w:ascii="Arial" w:hAnsi="Arial"/>
          <w:color w:val="FFFFFF"/>
          <w:sz w:val="2"/>
          <w:szCs w:val="2"/>
          <w:rtl/>
        </w:rPr>
      </w:pPr>
      <w:r w:rsidRPr="0002135F">
        <w:rPr>
          <w:rFonts w:ascii="Arial" w:hAnsi="Arial"/>
          <w:color w:val="FFFFFF"/>
          <w:sz w:val="2"/>
          <w:szCs w:val="2"/>
          <w:rtl/>
        </w:rPr>
        <w:t>5129371</w:t>
      </w:r>
    </w:p>
    <w:p w14:paraId="4F41527F" w14:textId="77777777" w:rsidR="004A7E13" w:rsidRPr="0002135F" w:rsidRDefault="0002135F" w:rsidP="004A7E13">
      <w:pPr>
        <w:spacing w:line="360" w:lineRule="auto"/>
        <w:jc w:val="both"/>
        <w:rPr>
          <w:rFonts w:cs="FrankRuehl"/>
          <w:color w:val="FFFFFF"/>
          <w:sz w:val="2"/>
          <w:szCs w:val="2"/>
          <w:rtl/>
        </w:rPr>
      </w:pPr>
      <w:r w:rsidRPr="0002135F">
        <w:rPr>
          <w:rFonts w:cs="FrankRuehl"/>
          <w:color w:val="FFFFFF"/>
          <w:sz w:val="2"/>
          <w:szCs w:val="2"/>
          <w:rtl/>
        </w:rPr>
        <w:t>54678313</w:t>
      </w:r>
    </w:p>
    <w:p w14:paraId="1806A490" w14:textId="77777777" w:rsidR="004A7E13" w:rsidRDefault="004A7E13" w:rsidP="0002135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E3D44B" w14:textId="77777777" w:rsidR="004A7E13" w:rsidRDefault="004A7E13" w:rsidP="004A7E13">
      <w:pPr>
        <w:jc w:val="center"/>
        <w:rPr>
          <w:rFonts w:ascii="Arial" w:hAnsi="Arial" w:cs="FrankRuehl"/>
          <w:sz w:val="28"/>
          <w:szCs w:val="28"/>
          <w:rtl/>
        </w:rPr>
      </w:pPr>
    </w:p>
    <w:p w14:paraId="2C5432FD" w14:textId="77777777" w:rsidR="004A7E13" w:rsidRDefault="004A7E13" w:rsidP="004A7E13">
      <w:pPr>
        <w:rPr>
          <w:rFonts w:cs="FrankRuehl"/>
          <w:sz w:val="28"/>
          <w:szCs w:val="28"/>
          <w:rtl/>
        </w:rPr>
      </w:pPr>
    </w:p>
    <w:p w14:paraId="3534E369" w14:textId="77777777" w:rsidR="004A7E13" w:rsidRDefault="004A7E13" w:rsidP="004A7E13">
      <w:pPr>
        <w:pStyle w:val="a3"/>
        <w:jc w:val="center"/>
        <w:rPr>
          <w:rtl/>
        </w:rPr>
      </w:pPr>
    </w:p>
    <w:p w14:paraId="49050245" w14:textId="77777777" w:rsidR="003226D2" w:rsidRPr="0002135F" w:rsidRDefault="003226D2" w:rsidP="0002135F">
      <w:pPr>
        <w:keepNext/>
        <w:rPr>
          <w:rFonts w:ascii="David" w:hAnsi="David"/>
          <w:color w:val="000000"/>
          <w:sz w:val="22"/>
          <w:szCs w:val="22"/>
          <w:rtl/>
        </w:rPr>
      </w:pPr>
    </w:p>
    <w:p w14:paraId="6034E3B6" w14:textId="77777777" w:rsidR="0002135F" w:rsidRPr="0002135F" w:rsidRDefault="0002135F" w:rsidP="0002135F">
      <w:pPr>
        <w:keepNext/>
        <w:rPr>
          <w:rFonts w:ascii="David" w:hAnsi="David"/>
          <w:color w:val="000000"/>
          <w:sz w:val="22"/>
          <w:szCs w:val="22"/>
          <w:rtl/>
        </w:rPr>
      </w:pPr>
      <w:r w:rsidRPr="0002135F">
        <w:rPr>
          <w:rFonts w:ascii="David" w:hAnsi="David"/>
          <w:color w:val="000000"/>
          <w:sz w:val="22"/>
          <w:szCs w:val="22"/>
          <w:rtl/>
        </w:rPr>
        <w:t>אברהם אליקים 54678313</w:t>
      </w:r>
    </w:p>
    <w:p w14:paraId="6810A45E" w14:textId="77777777" w:rsidR="0002135F" w:rsidRDefault="0002135F" w:rsidP="0002135F">
      <w:r w:rsidRPr="0002135F">
        <w:rPr>
          <w:color w:val="000000"/>
          <w:rtl/>
        </w:rPr>
        <w:t>נוסח מסמך זה כפוף לשינויי ניסוח ועריכה</w:t>
      </w:r>
    </w:p>
    <w:p w14:paraId="617E8F86" w14:textId="77777777" w:rsidR="0002135F" w:rsidRDefault="0002135F" w:rsidP="0002135F">
      <w:pPr>
        <w:rPr>
          <w:rtl/>
        </w:rPr>
      </w:pPr>
    </w:p>
    <w:p w14:paraId="4F54FEAA" w14:textId="77777777" w:rsidR="0002135F" w:rsidRDefault="0002135F" w:rsidP="0002135F">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ABAAAAF" w14:textId="77777777" w:rsidR="0002135F" w:rsidRPr="0002135F" w:rsidRDefault="0002135F" w:rsidP="0002135F">
      <w:pPr>
        <w:jc w:val="center"/>
        <w:rPr>
          <w:color w:val="0000FF"/>
          <w:u w:val="single"/>
        </w:rPr>
      </w:pPr>
    </w:p>
    <w:sectPr w:rsidR="0002135F" w:rsidRPr="0002135F" w:rsidSect="0002135F">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07B68" w14:textId="77777777" w:rsidR="00D92F0B" w:rsidRDefault="00D92F0B" w:rsidP="000F13ED">
      <w:r>
        <w:separator/>
      </w:r>
    </w:p>
  </w:endnote>
  <w:endnote w:type="continuationSeparator" w:id="0">
    <w:p w14:paraId="3EEC1F8D" w14:textId="77777777" w:rsidR="00D92F0B" w:rsidRDefault="00D92F0B" w:rsidP="000F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CC57" w14:textId="77777777" w:rsidR="0002135F" w:rsidRDefault="0002135F" w:rsidP="000213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0D2E0C" w14:textId="77777777" w:rsidR="00077871" w:rsidRPr="0002135F" w:rsidRDefault="0002135F" w:rsidP="000213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6F3F" w14:textId="77777777" w:rsidR="0002135F" w:rsidRDefault="0002135F" w:rsidP="000213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6741">
      <w:rPr>
        <w:rFonts w:ascii="FrankRuehl" w:hAnsi="FrankRuehl" w:cs="FrankRuehl"/>
        <w:noProof/>
        <w:rtl/>
      </w:rPr>
      <w:t>1</w:t>
    </w:r>
    <w:r>
      <w:rPr>
        <w:rFonts w:ascii="FrankRuehl" w:hAnsi="FrankRuehl" w:cs="FrankRuehl"/>
        <w:rtl/>
      </w:rPr>
      <w:fldChar w:fldCharType="end"/>
    </w:r>
  </w:p>
  <w:p w14:paraId="32A690D7" w14:textId="77777777" w:rsidR="00077871" w:rsidRPr="0002135F" w:rsidRDefault="0002135F" w:rsidP="000213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AF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6A13" w14:textId="77777777" w:rsidR="00D92F0B" w:rsidRDefault="00D92F0B" w:rsidP="000F13ED">
      <w:r>
        <w:separator/>
      </w:r>
    </w:p>
  </w:footnote>
  <w:footnote w:type="continuationSeparator" w:id="0">
    <w:p w14:paraId="355813BD" w14:textId="77777777" w:rsidR="00D92F0B" w:rsidRDefault="00D92F0B" w:rsidP="000F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AADC" w14:textId="77777777" w:rsidR="0002135F" w:rsidRPr="0002135F" w:rsidRDefault="0002135F" w:rsidP="000213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54308-12-18</w:t>
    </w:r>
    <w:r>
      <w:rPr>
        <w:rFonts w:ascii="David" w:hAnsi="David"/>
        <w:color w:val="000000"/>
        <w:sz w:val="22"/>
        <w:szCs w:val="22"/>
        <w:rtl/>
      </w:rPr>
      <w:tab/>
      <w:t xml:space="preserve"> מדינת ישראל נ' אחמד סועאד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0F1D" w14:textId="77777777" w:rsidR="0002135F" w:rsidRPr="0002135F" w:rsidRDefault="0002135F" w:rsidP="000213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54308-12-18</w:t>
    </w:r>
    <w:r>
      <w:rPr>
        <w:rFonts w:ascii="David" w:hAnsi="David"/>
        <w:color w:val="000000"/>
        <w:sz w:val="22"/>
        <w:szCs w:val="22"/>
        <w:rtl/>
      </w:rPr>
      <w:tab/>
      <w:t xml:space="preserve"> מדינת ישראל נ' אחמד סועאד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8ABA66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F7B2EE8"/>
    <w:multiLevelType w:val="hybridMultilevel"/>
    <w:tmpl w:val="D08E8A36"/>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2" w15:restartNumberingAfterBreak="0">
    <w:nsid w:val="6963374C"/>
    <w:multiLevelType w:val="multilevel"/>
    <w:tmpl w:val="4E42B04A"/>
    <w:lvl w:ilvl="0">
      <w:start w:val="1"/>
      <w:numFmt w:val="decimal"/>
      <w:pStyle w:val="Ruller4"/>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38878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8349410">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192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E13"/>
    <w:rsid w:val="0002015B"/>
    <w:rsid w:val="0002135F"/>
    <w:rsid w:val="00077871"/>
    <w:rsid w:val="000F13ED"/>
    <w:rsid w:val="003226D2"/>
    <w:rsid w:val="004A7E13"/>
    <w:rsid w:val="007955FF"/>
    <w:rsid w:val="00AC187F"/>
    <w:rsid w:val="00CB63BD"/>
    <w:rsid w:val="00D92F0B"/>
    <w:rsid w:val="00FF67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279E5D"/>
  <w15:chartTrackingRefBased/>
  <w15:docId w15:val="{ABF0A1D9-AB59-4ABB-9798-3814D14C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E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E13"/>
    <w:pPr>
      <w:tabs>
        <w:tab w:val="center" w:pos="4153"/>
        <w:tab w:val="right" w:pos="8306"/>
      </w:tabs>
    </w:pPr>
  </w:style>
  <w:style w:type="character" w:customStyle="1" w:styleId="a4">
    <w:name w:val="כותרת עליונה תו"/>
    <w:link w:val="a3"/>
    <w:rsid w:val="004A7E13"/>
    <w:rPr>
      <w:rFonts w:ascii="Times New Roman" w:eastAsia="Times New Roman" w:hAnsi="Times New Roman" w:cs="David"/>
      <w:sz w:val="24"/>
      <w:szCs w:val="24"/>
    </w:rPr>
  </w:style>
  <w:style w:type="paragraph" w:styleId="a5">
    <w:name w:val="footer"/>
    <w:basedOn w:val="a"/>
    <w:link w:val="a6"/>
    <w:rsid w:val="004A7E13"/>
    <w:pPr>
      <w:tabs>
        <w:tab w:val="center" w:pos="4153"/>
        <w:tab w:val="right" w:pos="8306"/>
      </w:tabs>
    </w:pPr>
  </w:style>
  <w:style w:type="character" w:customStyle="1" w:styleId="a6">
    <w:name w:val="כותרת תחתונה תו"/>
    <w:link w:val="a5"/>
    <w:rsid w:val="004A7E13"/>
    <w:rPr>
      <w:rFonts w:ascii="Times New Roman" w:eastAsia="Times New Roman" w:hAnsi="Times New Roman" w:cs="David"/>
      <w:sz w:val="24"/>
      <w:szCs w:val="24"/>
    </w:rPr>
  </w:style>
  <w:style w:type="table" w:styleId="a7">
    <w:name w:val="Table Grid"/>
    <w:basedOn w:val="a1"/>
    <w:rsid w:val="004A7E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E13"/>
  </w:style>
  <w:style w:type="character" w:styleId="Hyperlink">
    <w:name w:val="Hyperlink"/>
    <w:rsid w:val="004A7E13"/>
    <w:rPr>
      <w:color w:val="0000FF"/>
      <w:u w:val="single"/>
    </w:rPr>
  </w:style>
  <w:style w:type="paragraph" w:styleId="a9">
    <w:name w:val="List Paragraph"/>
    <w:basedOn w:val="a"/>
    <w:qFormat/>
    <w:rsid w:val="004A7E13"/>
    <w:pPr>
      <w:ind w:left="720"/>
      <w:contextualSpacing/>
    </w:pPr>
    <w:rPr>
      <w:rFonts w:ascii="Arial" w:hAnsi="Arial" w:cs="FrankRuehl"/>
      <w:szCs w:val="28"/>
    </w:rPr>
  </w:style>
  <w:style w:type="character" w:customStyle="1" w:styleId="Ruller40">
    <w:name w:val="Ruller4 תו"/>
    <w:link w:val="Ruller41"/>
    <w:locked/>
    <w:rsid w:val="004A7E13"/>
    <w:rPr>
      <w:rFonts w:ascii="Arial TUR" w:hAnsi="Arial TUR" w:cs="FrankRuehl"/>
      <w:spacing w:val="10"/>
      <w:szCs w:val="28"/>
    </w:rPr>
  </w:style>
  <w:style w:type="paragraph" w:customStyle="1" w:styleId="Ruller41">
    <w:name w:val="Ruller4"/>
    <w:basedOn w:val="a"/>
    <w:link w:val="Ruller40"/>
    <w:rsid w:val="004A7E13"/>
    <w:pPr>
      <w:tabs>
        <w:tab w:val="left" w:pos="800"/>
      </w:tabs>
      <w:overflowPunct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4A7E13"/>
    <w:rPr>
      <w:rFonts w:ascii="Garamond" w:hAnsi="Garamond" w:cs="FrankRuehl"/>
      <w:spacing w:val="10"/>
      <w:sz w:val="24"/>
      <w:szCs w:val="28"/>
    </w:rPr>
  </w:style>
  <w:style w:type="paragraph" w:customStyle="1" w:styleId="Ruller4">
    <w:name w:val="Ruller 4 ממוספר"/>
    <w:basedOn w:val="Ruller41"/>
    <w:next w:val="Ruller41"/>
    <w:link w:val="Ruller42"/>
    <w:rsid w:val="004A7E13"/>
    <w:pPr>
      <w:numPr>
        <w:numId w:val="1"/>
      </w:numPr>
      <w:tabs>
        <w:tab w:val="num" w:pos="907"/>
      </w:tabs>
      <w:ind w:left="0" w:right="720" w:firstLine="0"/>
    </w:pPr>
    <w:rPr>
      <w:rFonts w:ascii="Garamond" w:hAnsi="Garamond"/>
      <w:sz w:val="24"/>
    </w:rPr>
  </w:style>
  <w:style w:type="character" w:customStyle="1" w:styleId="default">
    <w:name w:val="default"/>
    <w:rsid w:val="004A7E13"/>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448" TargetMode="External"/><Relationship Id="rId26" Type="http://schemas.openxmlformats.org/officeDocument/2006/relationships/hyperlink" Target="http://www.nevo.co.il/case/5568354" TargetMode="External"/><Relationship Id="rId39" Type="http://schemas.openxmlformats.org/officeDocument/2006/relationships/hyperlink" Target="http://www.nevo.co.il/case/22961891" TargetMode="External"/><Relationship Id="rId21" Type="http://schemas.openxmlformats.org/officeDocument/2006/relationships/hyperlink" Target="http://www.nevo.co.il/law/70301/29;144.b" TargetMode="External"/><Relationship Id="rId34" Type="http://schemas.openxmlformats.org/officeDocument/2006/relationships/hyperlink" Target="http://www.nevo.co.il/case/5146128" TargetMode="External"/><Relationship Id="rId42" Type="http://schemas.openxmlformats.org/officeDocument/2006/relationships/hyperlink" Target="http://www.nevo.co.il/case/25824863"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2" TargetMode="External"/><Relationship Id="rId29" Type="http://schemas.openxmlformats.org/officeDocument/2006/relationships/hyperlink" Target="http://www.nevo.co.il/law/70301/335;333.a.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1474168" TargetMode="External"/><Relationship Id="rId32" Type="http://schemas.openxmlformats.org/officeDocument/2006/relationships/hyperlink" Target="http://www.nevo.co.il/law/70301/448" TargetMode="External"/><Relationship Id="rId37" Type="http://schemas.openxmlformats.org/officeDocument/2006/relationships/hyperlink" Target="http://www.nevo.co.il/case/7985582" TargetMode="External"/><Relationship Id="rId40" Type="http://schemas.openxmlformats.org/officeDocument/2006/relationships/hyperlink" Target="http://www.nevo.co.il/case/2089175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35"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40i" TargetMode="External"/><Relationship Id="rId49" Type="http://schemas.openxmlformats.org/officeDocument/2006/relationships/theme" Target="theme/theme1.xml"/><Relationship Id="rId10" Type="http://schemas.openxmlformats.org/officeDocument/2006/relationships/hyperlink" Target="http://www.nevo.co.il/law/70301/40b" TargetMode="External"/><Relationship Id="rId19" Type="http://schemas.openxmlformats.org/officeDocument/2006/relationships/hyperlink" Target="http://www.nevo.co.il/law/70301/25;29;333;335.a.1.2" TargetMode="External"/><Relationship Id="rId31" Type="http://schemas.openxmlformats.org/officeDocument/2006/relationships/hyperlink" Target="http://www.nevo.co.il/law/703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333.a.1"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18653904" TargetMode="External"/><Relationship Id="rId30" Type="http://schemas.openxmlformats.org/officeDocument/2006/relationships/hyperlink" Target="http://www.nevo.co.il/law/70301/25" TargetMode="External"/><Relationship Id="rId35" Type="http://schemas.openxmlformats.org/officeDocument/2006/relationships/hyperlink" Target="http://www.nevo.co.il/case/558720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5995135" TargetMode="External"/><Relationship Id="rId33" Type="http://schemas.openxmlformats.org/officeDocument/2006/relationships/hyperlink" Target="http://www.nevo.co.il/case/21472842"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2147245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2985</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17877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3211382</vt:i4>
      </vt:variant>
      <vt:variant>
        <vt:i4>102</vt:i4>
      </vt:variant>
      <vt:variant>
        <vt:i4>0</vt:i4>
      </vt:variant>
      <vt:variant>
        <vt:i4>5</vt:i4>
      </vt:variant>
      <vt:variant>
        <vt:lpwstr>http://www.nevo.co.il/case/21472459</vt:lpwstr>
      </vt:variant>
      <vt:variant>
        <vt:lpwstr/>
      </vt:variant>
      <vt:variant>
        <vt:i4>4063354</vt:i4>
      </vt:variant>
      <vt:variant>
        <vt:i4>99</vt:i4>
      </vt:variant>
      <vt:variant>
        <vt:i4>0</vt:i4>
      </vt:variant>
      <vt:variant>
        <vt:i4>5</vt:i4>
      </vt:variant>
      <vt:variant>
        <vt:lpwstr>http://www.nevo.co.il/case/20891758</vt:lpwstr>
      </vt:variant>
      <vt:variant>
        <vt:lpwstr/>
      </vt:variant>
      <vt:variant>
        <vt:i4>3342456</vt:i4>
      </vt:variant>
      <vt:variant>
        <vt:i4>96</vt:i4>
      </vt:variant>
      <vt:variant>
        <vt:i4>0</vt:i4>
      </vt:variant>
      <vt:variant>
        <vt:i4>5</vt:i4>
      </vt:variant>
      <vt:variant>
        <vt:lpwstr>http://www.nevo.co.il/case/22961891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3670128</vt:i4>
      </vt:variant>
      <vt:variant>
        <vt:i4>90</vt:i4>
      </vt:variant>
      <vt:variant>
        <vt:i4>0</vt:i4>
      </vt:variant>
      <vt:variant>
        <vt:i4>5</vt:i4>
      </vt:variant>
      <vt:variant>
        <vt:lpwstr>http://www.nevo.co.il/case/7985582</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3997814</vt:i4>
      </vt:variant>
      <vt:variant>
        <vt:i4>84</vt:i4>
      </vt:variant>
      <vt:variant>
        <vt:i4>0</vt:i4>
      </vt:variant>
      <vt:variant>
        <vt:i4>5</vt:i4>
      </vt:variant>
      <vt:variant>
        <vt:lpwstr>http://www.nevo.co.il/case/5587202</vt:lpwstr>
      </vt:variant>
      <vt:variant>
        <vt:lpwstr/>
      </vt:variant>
      <vt:variant>
        <vt:i4>3670129</vt:i4>
      </vt:variant>
      <vt:variant>
        <vt:i4>81</vt:i4>
      </vt:variant>
      <vt:variant>
        <vt:i4>0</vt:i4>
      </vt:variant>
      <vt:variant>
        <vt:i4>5</vt:i4>
      </vt:variant>
      <vt:variant>
        <vt:lpwstr>http://www.nevo.co.il/case/5146128</vt:lpwstr>
      </vt:variant>
      <vt:variant>
        <vt:lpwstr/>
      </vt:variant>
      <vt:variant>
        <vt:i4>3145850</vt:i4>
      </vt:variant>
      <vt:variant>
        <vt:i4>78</vt:i4>
      </vt:variant>
      <vt:variant>
        <vt:i4>0</vt:i4>
      </vt:variant>
      <vt:variant>
        <vt:i4>5</vt:i4>
      </vt:variant>
      <vt:variant>
        <vt:lpwstr>http://www.nevo.co.il/case/21472842</vt:lpwstr>
      </vt:variant>
      <vt:variant>
        <vt:lpwstr/>
      </vt:variant>
      <vt:variant>
        <vt:i4>6357089</vt:i4>
      </vt:variant>
      <vt:variant>
        <vt:i4>75</vt:i4>
      </vt:variant>
      <vt:variant>
        <vt:i4>0</vt:i4>
      </vt:variant>
      <vt:variant>
        <vt:i4>5</vt:i4>
      </vt:variant>
      <vt:variant>
        <vt:lpwstr>http://www.nevo.co.il/law/70301/448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7209010</vt:i4>
      </vt:variant>
      <vt:variant>
        <vt:i4>66</vt:i4>
      </vt:variant>
      <vt:variant>
        <vt:i4>0</vt:i4>
      </vt:variant>
      <vt:variant>
        <vt:i4>5</vt:i4>
      </vt:variant>
      <vt:variant>
        <vt:lpwstr>http://www.nevo.co.il/law/70301/335;333.a.1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3407984</vt:i4>
      </vt:variant>
      <vt:variant>
        <vt:i4>60</vt:i4>
      </vt:variant>
      <vt:variant>
        <vt:i4>0</vt:i4>
      </vt:variant>
      <vt:variant>
        <vt:i4>5</vt:i4>
      </vt:variant>
      <vt:variant>
        <vt:lpwstr>http://www.nevo.co.il/case/18653904</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3670139</vt:i4>
      </vt:variant>
      <vt:variant>
        <vt:i4>54</vt:i4>
      </vt:variant>
      <vt:variant>
        <vt:i4>0</vt:i4>
      </vt:variant>
      <vt:variant>
        <vt:i4>5</vt:i4>
      </vt:variant>
      <vt:variant>
        <vt:lpwstr>http://www.nevo.co.il/case/5995135</vt:lpwstr>
      </vt:variant>
      <vt:variant>
        <vt:lpwstr/>
      </vt:variant>
      <vt:variant>
        <vt:i4>3407987</vt:i4>
      </vt:variant>
      <vt:variant>
        <vt:i4>51</vt:i4>
      </vt:variant>
      <vt:variant>
        <vt:i4>0</vt:i4>
      </vt:variant>
      <vt:variant>
        <vt:i4>5</vt:i4>
      </vt:variant>
      <vt:variant>
        <vt:lpwstr>http://www.nevo.co.il/case/21474168</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720966</vt:i4>
      </vt:variant>
      <vt:variant>
        <vt:i4>42</vt:i4>
      </vt:variant>
      <vt:variant>
        <vt:i4>0</vt:i4>
      </vt:variant>
      <vt:variant>
        <vt:i4>5</vt:i4>
      </vt:variant>
      <vt:variant>
        <vt:lpwstr>http://www.nevo.co.il/law/70301/29;144.b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8126515</vt:i4>
      </vt:variant>
      <vt:variant>
        <vt:i4>36</vt:i4>
      </vt:variant>
      <vt:variant>
        <vt:i4>0</vt:i4>
      </vt:variant>
      <vt:variant>
        <vt:i4>5</vt:i4>
      </vt:variant>
      <vt:variant>
        <vt:lpwstr>http://www.nevo.co.il/law/70301/25;29;333;335.a.1.2</vt:lpwstr>
      </vt:variant>
      <vt:variant>
        <vt:lpwstr/>
      </vt:variant>
      <vt:variant>
        <vt:i4>6357089</vt:i4>
      </vt:variant>
      <vt:variant>
        <vt:i4>33</vt:i4>
      </vt:variant>
      <vt:variant>
        <vt:i4>0</vt:i4>
      </vt:variant>
      <vt:variant>
        <vt:i4>5</vt:i4>
      </vt:variant>
      <vt:variant>
        <vt:lpwstr>http://www.nevo.co.il/law/70301/448</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4718595</vt:i4>
      </vt:variant>
      <vt:variant>
        <vt:i4>27</vt:i4>
      </vt:variant>
      <vt:variant>
        <vt:i4>0</vt:i4>
      </vt:variant>
      <vt:variant>
        <vt:i4>5</vt:i4>
      </vt:variant>
      <vt:variant>
        <vt:lpwstr>http://www.nevo.co.il/law/70301/335.a.1.2</vt:lpwstr>
      </vt:variant>
      <vt:variant>
        <vt:lpwstr/>
      </vt:variant>
      <vt:variant>
        <vt:i4>6684774</vt:i4>
      </vt:variant>
      <vt:variant>
        <vt:i4>24</vt:i4>
      </vt:variant>
      <vt:variant>
        <vt:i4>0</vt:i4>
      </vt:variant>
      <vt:variant>
        <vt:i4>5</vt:i4>
      </vt:variant>
      <vt:variant>
        <vt:lpwstr>http://www.nevo.co.il/law/70301/335</vt:lpwstr>
      </vt:variant>
      <vt:variant>
        <vt:lpwstr/>
      </vt:variant>
      <vt:variant>
        <vt:i4>6684724</vt:i4>
      </vt:variant>
      <vt:variant>
        <vt:i4>21</vt:i4>
      </vt:variant>
      <vt:variant>
        <vt:i4>0</vt:i4>
      </vt:variant>
      <vt:variant>
        <vt:i4>5</vt:i4>
      </vt:variant>
      <vt:variant>
        <vt:lpwstr>http://www.nevo.co.il/law/70301/333.a.1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2023-12-07T12:19:00Z</dcterms:created>
  <dcterms:modified xsi:type="dcterms:W3CDTF">2023-12-07T12:19:00Z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54308</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סועאד</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20200121</vt:lpwstr>
  </property>
  <property fmtid="{D5CDD505-2E9C-101B-9397-08002B2CF9AE}" pid="13" name="TYPE_N_DATE">
    <vt:lpwstr>39020200121</vt:lpwstr>
  </property>
  <property fmtid="{D5CDD505-2E9C-101B-9397-08002B2CF9AE}" pid="14" name="CASESLISTTMP1">
    <vt:lpwstr>21474168;5995135;5568354;18653904;21472842;5146128;5587202;7985582;22961891;20891758;21472459;25824863</vt:lpwstr>
  </property>
  <property fmtid="{D5CDD505-2E9C-101B-9397-08002B2CF9AE}" pid="15" name="WORDNUMPAGES">
    <vt:lpwstr>10</vt:lpwstr>
  </property>
  <property fmtid="{D5CDD505-2E9C-101B-9397-08002B2CF9AE}" pid="16" name="TYPE_ABS_DATE">
    <vt:lpwstr>390020200121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70301/025:2;029:2;333;335.a.1.2;144.b:3;040b;335;333.a.1;448;040i;40ja</vt:lpwstr>
  </property>
</Properties>
</file>