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466323" w:rsidRPr="00466323" w14:paraId="3A551089" w14:textId="77777777" w:rsidTr="004B7149">
        <w:trPr>
          <w:trHeight w:hRule="exact" w:val="418"/>
          <w:jc w:val="center"/>
        </w:trPr>
        <w:tc>
          <w:tcPr>
            <w:tcW w:w="8720" w:type="dxa"/>
            <w:gridSpan w:val="3"/>
          </w:tcPr>
          <w:p w14:paraId="078CA9A7" w14:textId="77777777" w:rsidR="00466323" w:rsidRPr="00D22436" w:rsidRDefault="00466323" w:rsidP="004B7149">
            <w:pPr>
              <w:pStyle w:val="a3"/>
              <w:tabs>
                <w:tab w:val="clear" w:pos="8306"/>
              </w:tabs>
              <w:jc w:val="center"/>
              <w:rPr>
                <w:rFonts w:ascii="Tahoma" w:hAnsi="Tahoma" w:cs="Tahoma"/>
                <w:b/>
                <w:bCs/>
                <w:color w:val="000080"/>
                <w:rtl/>
              </w:rPr>
            </w:pPr>
            <w:bookmarkStart w:id="0" w:name="LastJudge"/>
            <w:r w:rsidRPr="00D22436">
              <w:rPr>
                <w:rFonts w:ascii="Tahoma" w:hAnsi="Tahoma" w:cs="Tahoma"/>
                <w:b/>
                <w:bCs/>
                <w:color w:val="000080"/>
                <w:rtl/>
              </w:rPr>
              <w:t>בית המשפט המחוזי בבאר שבע</w:t>
            </w:r>
          </w:p>
        </w:tc>
      </w:tr>
      <w:tr w:rsidR="00466323" w:rsidRPr="00466323" w14:paraId="27D9B328" w14:textId="77777777" w:rsidTr="004B7149">
        <w:trPr>
          <w:trHeight w:val="337"/>
          <w:jc w:val="center"/>
        </w:trPr>
        <w:tc>
          <w:tcPr>
            <w:tcW w:w="6396" w:type="dxa"/>
          </w:tcPr>
          <w:p w14:paraId="6C681954" w14:textId="77777777" w:rsidR="00466323" w:rsidRPr="00466323" w:rsidRDefault="00466323" w:rsidP="004B7149">
            <w:pPr>
              <w:rPr>
                <w:b/>
                <w:bCs/>
                <w:sz w:val="26"/>
                <w:szCs w:val="26"/>
                <w:rtl/>
              </w:rPr>
            </w:pPr>
            <w:r w:rsidRPr="00466323">
              <w:rPr>
                <w:b/>
                <w:bCs/>
                <w:sz w:val="26"/>
                <w:szCs w:val="26"/>
                <w:rtl/>
              </w:rPr>
              <w:t>ת"פ 54607-07-19 מדינת ישראל נ' גבור</w:t>
            </w:r>
            <w:r w:rsidR="00873A53">
              <w:rPr>
                <w:rFonts w:hint="cs"/>
                <w:b/>
                <w:bCs/>
                <w:sz w:val="26"/>
                <w:szCs w:val="26"/>
                <w:rtl/>
              </w:rPr>
              <w:t xml:space="preserve"> </w:t>
            </w:r>
            <w:r w:rsidRPr="00466323">
              <w:rPr>
                <w:b/>
                <w:bCs/>
                <w:sz w:val="26"/>
                <w:szCs w:val="26"/>
                <w:rtl/>
              </w:rPr>
              <w:t>(עציר)</w:t>
            </w:r>
          </w:p>
          <w:p w14:paraId="70A0A93E" w14:textId="77777777" w:rsidR="00466323" w:rsidRPr="00466323" w:rsidRDefault="00466323" w:rsidP="004B7149">
            <w:pPr>
              <w:rPr>
                <w:b/>
                <w:bCs/>
                <w:sz w:val="26"/>
                <w:szCs w:val="26"/>
                <w:rtl/>
              </w:rPr>
            </w:pPr>
          </w:p>
        </w:tc>
        <w:tc>
          <w:tcPr>
            <w:tcW w:w="236" w:type="dxa"/>
          </w:tcPr>
          <w:p w14:paraId="5E89A7EF" w14:textId="77777777" w:rsidR="00466323" w:rsidRPr="00466323" w:rsidRDefault="00466323" w:rsidP="004B7149">
            <w:pPr>
              <w:pStyle w:val="a3"/>
              <w:jc w:val="right"/>
              <w:rPr>
                <w:b/>
                <w:bCs/>
                <w:sz w:val="26"/>
                <w:szCs w:val="26"/>
                <w:rtl/>
              </w:rPr>
            </w:pPr>
          </w:p>
        </w:tc>
        <w:tc>
          <w:tcPr>
            <w:tcW w:w="2088" w:type="dxa"/>
          </w:tcPr>
          <w:p w14:paraId="61FC51C4" w14:textId="77777777" w:rsidR="00466323" w:rsidRPr="00466323" w:rsidRDefault="00466323" w:rsidP="004B7149">
            <w:pPr>
              <w:pStyle w:val="a3"/>
              <w:tabs>
                <w:tab w:val="clear" w:pos="4153"/>
              </w:tabs>
              <w:jc w:val="right"/>
              <w:rPr>
                <w:b/>
                <w:bCs/>
                <w:sz w:val="26"/>
                <w:szCs w:val="26"/>
                <w:rtl/>
              </w:rPr>
            </w:pPr>
            <w:r w:rsidRPr="00466323">
              <w:rPr>
                <w:b/>
                <w:bCs/>
                <w:sz w:val="26"/>
                <w:szCs w:val="26"/>
                <w:rtl/>
              </w:rPr>
              <w:t>12 ינואר 2020</w:t>
            </w:r>
          </w:p>
        </w:tc>
      </w:tr>
    </w:tbl>
    <w:p w14:paraId="65BACF09" w14:textId="77777777" w:rsidR="00466323" w:rsidRPr="00466323" w:rsidRDefault="00466323" w:rsidP="00466323">
      <w:pPr>
        <w:pStyle w:val="a3"/>
        <w:jc w:val="center"/>
        <w:rPr>
          <w:rFonts w:ascii="Tahoma" w:hAnsi="Tahoma" w:cs="Tahoma"/>
          <w:b/>
          <w:bCs/>
          <w:color w:val="000080"/>
          <w:sz w:val="20"/>
          <w:szCs w:val="20"/>
          <w:rtl/>
        </w:rPr>
      </w:pPr>
    </w:p>
    <w:p w14:paraId="4AA56D60" w14:textId="77777777" w:rsidR="00466323" w:rsidRPr="00466323" w:rsidRDefault="00466323">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466323" w:rsidRPr="00466323" w14:paraId="11A68441" w14:textId="77777777" w:rsidTr="004B7149">
        <w:trPr>
          <w:gridAfter w:val="1"/>
          <w:wAfter w:w="56" w:type="dxa"/>
        </w:trPr>
        <w:tc>
          <w:tcPr>
            <w:tcW w:w="8718" w:type="dxa"/>
            <w:gridSpan w:val="2"/>
          </w:tcPr>
          <w:p w14:paraId="4761E54D" w14:textId="77777777" w:rsidR="00466323" w:rsidRPr="00466323" w:rsidRDefault="00466323" w:rsidP="004A5864">
            <w:pPr>
              <w:spacing w:before="120" w:after="120"/>
              <w:rPr>
                <w:rFonts w:ascii="Times New Roman" w:hAnsi="Times New Roman"/>
                <w:b/>
                <w:bCs/>
                <w:sz w:val="26"/>
                <w:szCs w:val="26"/>
                <w:rtl/>
              </w:rPr>
            </w:pPr>
            <w:r w:rsidRPr="00466323">
              <w:rPr>
                <w:rFonts w:ascii="Times New Roman" w:hAnsi="Times New Roman"/>
                <w:b/>
                <w:bCs/>
                <w:sz w:val="26"/>
                <w:szCs w:val="26"/>
                <w:rtl/>
              </w:rPr>
              <w:t>לפני כבוד השופט יובל ליבדרו</w:t>
            </w:r>
            <w:r w:rsidRPr="00466323">
              <w:rPr>
                <w:rStyle w:val="TimesNewRomanTimesNewRoman"/>
                <w:rtl/>
              </w:rPr>
              <w:t xml:space="preserve"> </w:t>
            </w:r>
          </w:p>
        </w:tc>
      </w:tr>
      <w:tr w:rsidR="00466323" w:rsidRPr="00466323" w14:paraId="58598FF6" w14:textId="77777777" w:rsidTr="004B7149">
        <w:trPr>
          <w:cantSplit/>
          <w:trHeight w:val="724"/>
        </w:trPr>
        <w:tc>
          <w:tcPr>
            <w:tcW w:w="2880" w:type="dxa"/>
          </w:tcPr>
          <w:p w14:paraId="3C2C7DD1" w14:textId="77777777" w:rsidR="00466323" w:rsidRPr="00466323" w:rsidRDefault="00466323" w:rsidP="004A5864">
            <w:pPr>
              <w:spacing w:before="120" w:after="120"/>
              <w:ind w:left="26"/>
              <w:rPr>
                <w:rFonts w:ascii="Times New Roman" w:hAnsi="Times New Roman"/>
                <w:b/>
                <w:bCs/>
                <w:sz w:val="26"/>
                <w:szCs w:val="26"/>
                <w:rtl/>
              </w:rPr>
            </w:pPr>
            <w:bookmarkStart w:id="1" w:name="FirstAppellant"/>
            <w:bookmarkStart w:id="2" w:name="FirstLawyer"/>
            <w:r w:rsidRPr="00466323">
              <w:rPr>
                <w:rFonts w:ascii="Times New Roman" w:hAnsi="Times New Roman"/>
                <w:b/>
                <w:bCs/>
                <w:sz w:val="26"/>
                <w:szCs w:val="26"/>
                <w:rtl/>
              </w:rPr>
              <w:t>המאשימה</w:t>
            </w:r>
          </w:p>
        </w:tc>
        <w:tc>
          <w:tcPr>
            <w:tcW w:w="5922" w:type="dxa"/>
            <w:gridSpan w:val="2"/>
          </w:tcPr>
          <w:p w14:paraId="11E38A5A" w14:textId="77777777" w:rsidR="00466323" w:rsidRPr="00466323" w:rsidRDefault="00466323" w:rsidP="004A5864">
            <w:pPr>
              <w:spacing w:before="120" w:after="120"/>
              <w:rPr>
                <w:rFonts w:ascii="Times New Roman" w:hAnsi="Times New Roman"/>
                <w:b/>
                <w:bCs/>
                <w:sz w:val="26"/>
                <w:szCs w:val="26"/>
                <w:rtl/>
              </w:rPr>
            </w:pPr>
            <w:r w:rsidRPr="00466323">
              <w:rPr>
                <w:rFonts w:ascii="Times New Roman" w:hAnsi="Times New Roman" w:cs="Times New Roman"/>
                <w:rtl/>
              </w:rPr>
              <w:t xml:space="preserve"> </w:t>
            </w:r>
            <w:r w:rsidRPr="00466323">
              <w:rPr>
                <w:rFonts w:ascii="Times New Roman" w:hAnsi="Times New Roman"/>
                <w:b/>
                <w:bCs/>
                <w:sz w:val="26"/>
                <w:szCs w:val="26"/>
                <w:rtl/>
              </w:rPr>
              <w:t>מדינת ישראל</w:t>
            </w:r>
          </w:p>
          <w:p w14:paraId="613F66D9" w14:textId="77777777" w:rsidR="00466323" w:rsidRPr="00466323" w:rsidRDefault="00466323" w:rsidP="004A5864">
            <w:pPr>
              <w:spacing w:before="120" w:after="120"/>
              <w:rPr>
                <w:rFonts w:ascii="Times New Roman" w:hAnsi="Times New Roman" w:hint="cs"/>
                <w:b/>
                <w:bCs/>
                <w:sz w:val="26"/>
                <w:szCs w:val="26"/>
                <w:rtl/>
              </w:rPr>
            </w:pPr>
            <w:r w:rsidRPr="00466323">
              <w:rPr>
                <w:rFonts w:ascii="Times New Roman" w:hAnsi="Times New Roman"/>
                <w:b/>
                <w:bCs/>
                <w:sz w:val="26"/>
                <w:szCs w:val="26"/>
                <w:rtl/>
              </w:rPr>
              <w:t>ע"י ב"כ עוה"ד ענבל חיים</w:t>
            </w:r>
          </w:p>
        </w:tc>
      </w:tr>
      <w:bookmarkEnd w:id="1"/>
      <w:bookmarkEnd w:id="2"/>
      <w:tr w:rsidR="00466323" w:rsidRPr="00466323" w14:paraId="797B79EA" w14:textId="77777777" w:rsidTr="004B7149">
        <w:tc>
          <w:tcPr>
            <w:tcW w:w="8802" w:type="dxa"/>
            <w:gridSpan w:val="3"/>
            <w:vAlign w:val="center"/>
          </w:tcPr>
          <w:p w14:paraId="7EF4B73D" w14:textId="77777777" w:rsidR="00466323" w:rsidRPr="00466323" w:rsidRDefault="00466323" w:rsidP="004B7149">
            <w:pPr>
              <w:jc w:val="center"/>
              <w:rPr>
                <w:rFonts w:ascii="Arial" w:hAnsi="Arial"/>
                <w:b/>
                <w:bCs/>
                <w:sz w:val="26"/>
                <w:szCs w:val="26"/>
                <w:rtl/>
              </w:rPr>
            </w:pPr>
          </w:p>
          <w:p w14:paraId="0D26AE6D" w14:textId="77777777" w:rsidR="00466323" w:rsidRPr="00466323" w:rsidRDefault="00466323" w:rsidP="004B7149">
            <w:pPr>
              <w:jc w:val="center"/>
              <w:rPr>
                <w:rFonts w:ascii="Arial" w:hAnsi="Arial"/>
                <w:b/>
                <w:bCs/>
                <w:sz w:val="26"/>
                <w:szCs w:val="26"/>
                <w:rtl/>
              </w:rPr>
            </w:pPr>
            <w:r w:rsidRPr="00466323">
              <w:rPr>
                <w:rFonts w:ascii="Arial" w:hAnsi="Arial"/>
                <w:b/>
                <w:bCs/>
                <w:sz w:val="26"/>
                <w:szCs w:val="26"/>
                <w:rtl/>
              </w:rPr>
              <w:t>נגד</w:t>
            </w:r>
          </w:p>
          <w:p w14:paraId="1FFE4A77" w14:textId="77777777" w:rsidR="00466323" w:rsidRPr="00466323" w:rsidRDefault="00466323" w:rsidP="004B7149">
            <w:pPr>
              <w:rPr>
                <w:rFonts w:ascii="Arial" w:hAnsi="Arial"/>
                <w:b/>
                <w:bCs/>
                <w:sz w:val="26"/>
                <w:szCs w:val="26"/>
              </w:rPr>
            </w:pPr>
          </w:p>
        </w:tc>
      </w:tr>
      <w:tr w:rsidR="00466323" w:rsidRPr="00466323" w14:paraId="4EF67143" w14:textId="77777777" w:rsidTr="004B7149">
        <w:tc>
          <w:tcPr>
            <w:tcW w:w="2880" w:type="dxa"/>
          </w:tcPr>
          <w:p w14:paraId="1100F92D" w14:textId="77777777" w:rsidR="00466323" w:rsidRPr="00466323" w:rsidRDefault="00466323" w:rsidP="004A5864">
            <w:pPr>
              <w:spacing w:before="120" w:after="120"/>
              <w:ind w:left="26"/>
              <w:rPr>
                <w:rFonts w:ascii="Times New Roman" w:hAnsi="Times New Roman"/>
                <w:b/>
                <w:bCs/>
                <w:sz w:val="26"/>
                <w:szCs w:val="26"/>
                <w:rtl/>
              </w:rPr>
            </w:pPr>
            <w:r w:rsidRPr="00466323">
              <w:rPr>
                <w:rFonts w:ascii="Times New Roman" w:hAnsi="Times New Roman"/>
                <w:b/>
                <w:bCs/>
                <w:sz w:val="26"/>
                <w:szCs w:val="26"/>
                <w:rtl/>
              </w:rPr>
              <w:t>הנאשם</w:t>
            </w:r>
          </w:p>
        </w:tc>
        <w:tc>
          <w:tcPr>
            <w:tcW w:w="5922" w:type="dxa"/>
            <w:gridSpan w:val="2"/>
          </w:tcPr>
          <w:p w14:paraId="6D63EDDD" w14:textId="77777777" w:rsidR="00466323" w:rsidRPr="00466323" w:rsidRDefault="00466323" w:rsidP="004A5864">
            <w:pPr>
              <w:spacing w:before="120" w:after="120"/>
              <w:rPr>
                <w:rFonts w:ascii="Times New Roman" w:hAnsi="Times New Roman"/>
                <w:b/>
                <w:bCs/>
                <w:sz w:val="26"/>
                <w:szCs w:val="26"/>
                <w:rtl/>
              </w:rPr>
            </w:pPr>
            <w:r w:rsidRPr="00466323">
              <w:rPr>
                <w:rFonts w:ascii="Times New Roman" w:hAnsi="Times New Roman" w:cs="Times New Roman"/>
                <w:rtl/>
              </w:rPr>
              <w:t xml:space="preserve"> </w:t>
            </w:r>
            <w:r w:rsidRPr="00466323">
              <w:rPr>
                <w:rFonts w:ascii="Times New Roman" w:hAnsi="Times New Roman"/>
                <w:b/>
                <w:bCs/>
                <w:sz w:val="26"/>
                <w:szCs w:val="26"/>
                <w:rtl/>
              </w:rPr>
              <w:t>יעקוב ג'בור – בעצמו</w:t>
            </w:r>
          </w:p>
          <w:p w14:paraId="2DA9322B" w14:textId="77777777" w:rsidR="00466323" w:rsidRPr="00466323" w:rsidRDefault="00466323" w:rsidP="004A5864">
            <w:pPr>
              <w:spacing w:before="120" w:after="120"/>
              <w:rPr>
                <w:rFonts w:ascii="Times New Roman" w:hAnsi="Times New Roman"/>
                <w:b/>
                <w:bCs/>
                <w:sz w:val="26"/>
                <w:szCs w:val="26"/>
                <w:rtl/>
              </w:rPr>
            </w:pPr>
            <w:r w:rsidRPr="00466323">
              <w:rPr>
                <w:rFonts w:ascii="Times New Roman" w:hAnsi="Times New Roman"/>
                <w:b/>
                <w:bCs/>
                <w:sz w:val="26"/>
                <w:szCs w:val="26"/>
                <w:rtl/>
              </w:rPr>
              <w:t>ע"י ב"כ עוה"ד סמיר אבו עאבד</w:t>
            </w:r>
          </w:p>
        </w:tc>
      </w:tr>
    </w:tbl>
    <w:p w14:paraId="5F6408C8" w14:textId="77777777" w:rsidR="0034251D" w:rsidRPr="00466323" w:rsidRDefault="0034251D" w:rsidP="00E06ED4">
      <w:pPr>
        <w:pStyle w:val="12"/>
        <w:jc w:val="center"/>
        <w:rPr>
          <w:sz w:val="32"/>
          <w:szCs w:val="32"/>
          <w:u w:val="none"/>
          <w:rtl/>
        </w:rPr>
      </w:pPr>
    </w:p>
    <w:p w14:paraId="1BB1BAA6" w14:textId="77777777" w:rsidR="004A5864" w:rsidRPr="004A5864" w:rsidRDefault="004A5864" w:rsidP="004A5864">
      <w:pPr>
        <w:spacing w:before="120" w:after="120" w:line="240" w:lineRule="exact"/>
        <w:ind w:left="283" w:hanging="283"/>
        <w:jc w:val="both"/>
        <w:rPr>
          <w:rFonts w:ascii="FrankRuehl" w:hAnsi="FrankRuehl" w:cs="FrankRuehl"/>
          <w:rtl/>
        </w:rPr>
      </w:pPr>
      <w:bookmarkStart w:id="3" w:name="LawTable"/>
      <w:bookmarkEnd w:id="3"/>
      <w:r w:rsidRPr="004A5864">
        <w:rPr>
          <w:rFonts w:ascii="FrankRuehl" w:hAnsi="FrankRuehl" w:cs="FrankRuehl"/>
          <w:rtl/>
        </w:rPr>
        <w:t xml:space="preserve">חקיקה שאוזכרה: </w:t>
      </w:r>
    </w:p>
    <w:p w14:paraId="0C522B8E" w14:textId="77777777" w:rsidR="004A5864" w:rsidRPr="004A5864" w:rsidRDefault="004A5864" w:rsidP="004A5864">
      <w:pPr>
        <w:spacing w:before="120" w:after="120" w:line="240" w:lineRule="exact"/>
        <w:ind w:left="283" w:hanging="283"/>
        <w:jc w:val="both"/>
        <w:rPr>
          <w:rFonts w:ascii="FrankRuehl" w:hAnsi="FrankRuehl" w:cs="FrankRuehl"/>
          <w:rtl/>
        </w:rPr>
      </w:pPr>
      <w:hyperlink r:id="rId8" w:history="1">
        <w:r w:rsidRPr="004A5864">
          <w:rPr>
            <w:rFonts w:ascii="FrankRuehl" w:hAnsi="FrankRuehl" w:cs="FrankRuehl"/>
            <w:color w:val="0000FF"/>
            <w:u w:val="single"/>
            <w:rtl/>
          </w:rPr>
          <w:t>חוק העונשין, תשל"ז-1977</w:t>
        </w:r>
      </w:hyperlink>
      <w:r w:rsidRPr="004A5864">
        <w:rPr>
          <w:rFonts w:ascii="FrankRuehl" w:hAnsi="FrankRuehl" w:cs="FrankRuehl"/>
          <w:rtl/>
        </w:rPr>
        <w:t xml:space="preserve">: סע'  </w:t>
      </w:r>
      <w:hyperlink r:id="rId9" w:history="1">
        <w:r w:rsidRPr="004A5864">
          <w:rPr>
            <w:rFonts w:ascii="FrankRuehl" w:hAnsi="FrankRuehl" w:cs="FrankRuehl"/>
            <w:color w:val="0000FF"/>
            <w:u w:val="single"/>
            <w:rtl/>
          </w:rPr>
          <w:t>58</w:t>
        </w:r>
      </w:hyperlink>
      <w:r w:rsidRPr="004A5864">
        <w:rPr>
          <w:rFonts w:ascii="FrankRuehl" w:hAnsi="FrankRuehl" w:cs="FrankRuehl"/>
          <w:rtl/>
        </w:rPr>
        <w:t xml:space="preserve">, </w:t>
      </w:r>
      <w:hyperlink r:id="rId10" w:history="1">
        <w:r w:rsidRPr="004A5864">
          <w:rPr>
            <w:rFonts w:ascii="FrankRuehl" w:hAnsi="FrankRuehl" w:cs="FrankRuehl"/>
            <w:color w:val="0000FF"/>
            <w:u w:val="single"/>
            <w:rtl/>
          </w:rPr>
          <w:t>144</w:t>
        </w:r>
      </w:hyperlink>
      <w:r w:rsidRPr="004A5864">
        <w:rPr>
          <w:rFonts w:ascii="FrankRuehl" w:hAnsi="FrankRuehl" w:cs="FrankRuehl"/>
          <w:rtl/>
        </w:rPr>
        <w:t xml:space="preserve">, </w:t>
      </w:r>
      <w:hyperlink r:id="rId11" w:history="1">
        <w:r w:rsidRPr="004A5864">
          <w:rPr>
            <w:rFonts w:ascii="FrankRuehl" w:hAnsi="FrankRuehl" w:cs="FrankRuehl"/>
            <w:color w:val="0000FF"/>
            <w:u w:val="single"/>
            <w:rtl/>
          </w:rPr>
          <w:t>144(א)</w:t>
        </w:r>
      </w:hyperlink>
      <w:r w:rsidRPr="004A5864">
        <w:rPr>
          <w:rFonts w:ascii="FrankRuehl" w:hAnsi="FrankRuehl" w:cs="FrankRuehl"/>
          <w:rtl/>
        </w:rPr>
        <w:t xml:space="preserve">, </w:t>
      </w:r>
      <w:hyperlink r:id="rId12" w:history="1">
        <w:r w:rsidRPr="004A5864">
          <w:rPr>
            <w:rFonts w:ascii="FrankRuehl" w:hAnsi="FrankRuehl" w:cs="FrankRuehl"/>
            <w:color w:val="0000FF"/>
            <w:u w:val="single"/>
            <w:rtl/>
          </w:rPr>
          <w:t>144(ג')</w:t>
        </w:r>
      </w:hyperlink>
      <w:r w:rsidRPr="004A5864">
        <w:rPr>
          <w:rFonts w:ascii="FrankRuehl" w:hAnsi="FrankRuehl" w:cs="FrankRuehl"/>
          <w:rtl/>
        </w:rPr>
        <w:t xml:space="preserve">, </w:t>
      </w:r>
      <w:hyperlink r:id="rId13" w:history="1">
        <w:r w:rsidRPr="004A5864">
          <w:rPr>
            <w:rFonts w:ascii="FrankRuehl" w:hAnsi="FrankRuehl" w:cs="FrankRuehl"/>
            <w:color w:val="0000FF"/>
            <w:u w:val="single"/>
            <w:rtl/>
          </w:rPr>
          <w:t>בפרק י</w:t>
        </w:r>
      </w:hyperlink>
      <w:r w:rsidRPr="004A5864">
        <w:rPr>
          <w:rFonts w:ascii="FrankRuehl" w:hAnsi="FrankRuehl" w:cs="FrankRuehl"/>
          <w:rtl/>
        </w:rPr>
        <w:t xml:space="preserve">, </w:t>
      </w:r>
      <w:hyperlink r:id="rId14" w:history="1">
        <w:r w:rsidRPr="004A5864">
          <w:rPr>
            <w:rFonts w:ascii="FrankRuehl" w:hAnsi="FrankRuehl" w:cs="FrankRuehl"/>
            <w:color w:val="0000FF"/>
            <w:u w:val="single"/>
            <w:rtl/>
          </w:rPr>
          <w:t>בפרק ח</w:t>
        </w:r>
      </w:hyperlink>
      <w:r w:rsidRPr="004A5864">
        <w:rPr>
          <w:rFonts w:ascii="FrankRuehl" w:hAnsi="FrankRuehl" w:cs="FrankRuehl"/>
          <w:rtl/>
        </w:rPr>
        <w:t xml:space="preserve">, </w:t>
      </w:r>
      <w:hyperlink r:id="rId15" w:history="1">
        <w:r w:rsidRPr="004A5864">
          <w:rPr>
            <w:rFonts w:ascii="FrankRuehl" w:hAnsi="FrankRuehl" w:cs="FrankRuehl"/>
            <w:color w:val="0000FF"/>
            <w:u w:val="single"/>
            <w:rtl/>
          </w:rPr>
          <w:t>בפרק י'</w:t>
        </w:r>
      </w:hyperlink>
    </w:p>
    <w:p w14:paraId="475D915F" w14:textId="77777777" w:rsidR="00466323" w:rsidRDefault="00466323" w:rsidP="004A5864">
      <w:pPr>
        <w:spacing w:line="360" w:lineRule="auto"/>
        <w:jc w:val="center"/>
        <w:rPr>
          <w:rFonts w:ascii="Arial" w:hAnsi="Arial" w:hint="cs"/>
          <w:sz w:val="28"/>
          <w:szCs w:val="28"/>
          <w:rtl/>
        </w:rPr>
      </w:pPr>
      <w:bookmarkStart w:id="4" w:name="LawTable_End"/>
      <w:bookmarkEnd w:id="4"/>
    </w:p>
    <w:p w14:paraId="6B9EB87C" w14:textId="77777777" w:rsidR="00873A53" w:rsidRDefault="00873A53" w:rsidP="00873A53">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Pr>
          <w:rFonts w:ascii="Times New Roman" w:hAnsi="Times New Roman" w:cs="FrankRuehl"/>
          <w:szCs w:val="26"/>
          <w:rtl/>
        </w:rPr>
        <w:t>מיני-רציו:</w:t>
      </w:r>
    </w:p>
    <w:p w14:paraId="4318581F" w14:textId="77777777" w:rsidR="00873A53" w:rsidRPr="00873A53" w:rsidRDefault="00873A53" w:rsidP="00873A53">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873A53">
        <w:rPr>
          <w:rFonts w:ascii="Times New Roman" w:hAnsi="Times New Roman" w:cs="FrankRuehl" w:hint="cs"/>
          <w:szCs w:val="26"/>
          <w:rtl/>
        </w:rPr>
        <w:t>לצורך הפעלת מאסר מותנה ו</w:t>
      </w:r>
      <w:r w:rsidRPr="00873A53">
        <w:rPr>
          <w:rFonts w:ascii="Times New Roman" w:hAnsi="Times New Roman" w:cs="FrankRuehl"/>
          <w:szCs w:val="26"/>
          <w:rtl/>
        </w:rPr>
        <w:t>התחייבות כספית שהוטל</w:t>
      </w:r>
      <w:r w:rsidRPr="00873A53">
        <w:rPr>
          <w:rFonts w:ascii="Times New Roman" w:hAnsi="Times New Roman" w:cs="FrankRuehl" w:hint="cs"/>
          <w:szCs w:val="26"/>
          <w:rtl/>
        </w:rPr>
        <w:t>ו ביחס לעבירת אלימות,</w:t>
      </w:r>
      <w:r w:rsidRPr="00873A53">
        <w:rPr>
          <w:rFonts w:ascii="Times New Roman" w:hAnsi="Times New Roman" w:cs="FrankRuehl"/>
          <w:szCs w:val="26"/>
          <w:rtl/>
        </w:rPr>
        <w:t xml:space="preserve"> "החזקת נשק" היא בבחינת מעשה אלימות</w:t>
      </w:r>
      <w:r w:rsidRPr="00873A53">
        <w:rPr>
          <w:rFonts w:ascii="Times New Roman" w:hAnsi="Times New Roman" w:cs="FrankRuehl" w:hint="cs"/>
          <w:szCs w:val="26"/>
          <w:rtl/>
        </w:rPr>
        <w:t>. הנאשם דנן, שהורשע ב</w:t>
      </w:r>
      <w:r w:rsidRPr="00873A53">
        <w:rPr>
          <w:rFonts w:ascii="Times New Roman" w:hAnsi="Times New Roman" w:cs="FrankRuehl"/>
          <w:szCs w:val="26"/>
          <w:rtl/>
        </w:rPr>
        <w:t>החזקת נשק ואביזר נשק</w:t>
      </w:r>
      <w:r w:rsidRPr="00873A53">
        <w:rPr>
          <w:rFonts w:ascii="Times New Roman" w:hAnsi="Times New Roman" w:cs="FrankRuehl" w:hint="cs"/>
          <w:szCs w:val="26"/>
          <w:rtl/>
        </w:rPr>
        <w:t>, נידון ל-</w:t>
      </w:r>
      <w:r w:rsidRPr="00873A53">
        <w:rPr>
          <w:rFonts w:ascii="Times New Roman" w:hAnsi="Times New Roman" w:cs="FrankRuehl"/>
          <w:szCs w:val="26"/>
          <w:rtl/>
        </w:rPr>
        <w:t>22 חודשי מאסר</w:t>
      </w:r>
      <w:r w:rsidRPr="00873A53">
        <w:rPr>
          <w:rFonts w:ascii="Times New Roman" w:hAnsi="Times New Roman" w:cs="FrankRuehl" w:hint="cs"/>
          <w:szCs w:val="26"/>
          <w:rtl/>
        </w:rPr>
        <w:t>,</w:t>
      </w:r>
      <w:r w:rsidRPr="00873A53">
        <w:rPr>
          <w:rFonts w:ascii="Times New Roman" w:hAnsi="Times New Roman" w:cs="FrankRuehl"/>
          <w:szCs w:val="26"/>
          <w:rtl/>
        </w:rPr>
        <w:t xml:space="preserve"> </w:t>
      </w:r>
      <w:r w:rsidRPr="00873A53">
        <w:rPr>
          <w:rFonts w:ascii="Times New Roman" w:hAnsi="Times New Roman" w:cs="FrankRuehl" w:hint="cs"/>
          <w:szCs w:val="26"/>
          <w:rtl/>
        </w:rPr>
        <w:t xml:space="preserve">הפעלת </w:t>
      </w:r>
      <w:r w:rsidRPr="00873A53">
        <w:rPr>
          <w:rFonts w:ascii="Times New Roman" w:hAnsi="Times New Roman" w:cs="FrankRuehl"/>
          <w:szCs w:val="26"/>
          <w:rtl/>
        </w:rPr>
        <w:t xml:space="preserve">מאסר מותנה </w:t>
      </w:r>
      <w:r w:rsidRPr="00873A53">
        <w:rPr>
          <w:rFonts w:ascii="Times New Roman" w:hAnsi="Times New Roman" w:cs="FrankRuehl" w:hint="cs"/>
          <w:szCs w:val="26"/>
          <w:rtl/>
        </w:rPr>
        <w:t>בחלקו</w:t>
      </w:r>
      <w:r w:rsidRPr="00873A53">
        <w:rPr>
          <w:rFonts w:ascii="Times New Roman" w:hAnsi="Times New Roman" w:cs="FrankRuehl"/>
          <w:szCs w:val="26"/>
          <w:rtl/>
        </w:rPr>
        <w:t xml:space="preserve"> במצטבר</w:t>
      </w:r>
      <w:r w:rsidRPr="00873A53">
        <w:rPr>
          <w:rFonts w:ascii="Times New Roman" w:hAnsi="Times New Roman" w:cs="FrankRuehl" w:hint="cs"/>
          <w:szCs w:val="26"/>
          <w:rtl/>
        </w:rPr>
        <w:t>,</w:t>
      </w:r>
      <w:r w:rsidRPr="00873A53">
        <w:rPr>
          <w:rFonts w:ascii="Times New Roman" w:hAnsi="Times New Roman" w:cs="FrankRuehl"/>
          <w:szCs w:val="26"/>
          <w:rtl/>
        </w:rPr>
        <w:t xml:space="preserve"> 12 חודשי מאסר על תנאי</w:t>
      </w:r>
      <w:r w:rsidRPr="00873A53">
        <w:rPr>
          <w:rFonts w:ascii="Times New Roman" w:hAnsi="Times New Roman" w:cs="FrankRuehl" w:hint="cs"/>
          <w:szCs w:val="26"/>
          <w:rtl/>
        </w:rPr>
        <w:t>,</w:t>
      </w:r>
      <w:r w:rsidRPr="00873A53">
        <w:rPr>
          <w:rFonts w:ascii="Times New Roman" w:hAnsi="Times New Roman" w:cs="FrankRuehl"/>
          <w:szCs w:val="26"/>
          <w:rtl/>
        </w:rPr>
        <w:t xml:space="preserve"> קנס </w:t>
      </w:r>
      <w:r w:rsidRPr="00873A53">
        <w:rPr>
          <w:rFonts w:ascii="Times New Roman" w:hAnsi="Times New Roman" w:cs="FrankRuehl" w:hint="cs"/>
          <w:szCs w:val="26"/>
          <w:rtl/>
        </w:rPr>
        <w:t xml:space="preserve">והפעלת </w:t>
      </w:r>
      <w:r w:rsidRPr="00873A53">
        <w:rPr>
          <w:rFonts w:ascii="Times New Roman" w:hAnsi="Times New Roman" w:cs="FrankRuehl"/>
          <w:szCs w:val="26"/>
          <w:rtl/>
        </w:rPr>
        <w:t>התחייבות הספית ב</w:t>
      </w:r>
      <w:r w:rsidRPr="00873A53">
        <w:rPr>
          <w:rFonts w:ascii="Times New Roman" w:hAnsi="Times New Roman" w:cs="FrankRuehl" w:hint="cs"/>
          <w:szCs w:val="26"/>
          <w:rtl/>
        </w:rPr>
        <w:t>תיק קודם.</w:t>
      </w:r>
    </w:p>
    <w:p w14:paraId="17F96678" w14:textId="77777777" w:rsidR="00873A53" w:rsidRDefault="00873A53" w:rsidP="00873A53">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ענישה – מדיניות ענישה: עבירות נשק</w:t>
      </w:r>
    </w:p>
    <w:p w14:paraId="55DCCED4" w14:textId="77777777" w:rsidR="00873A53" w:rsidRDefault="00873A53" w:rsidP="00873A53">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ענישה – מדיניות ענישה: עבירות אלימות</w:t>
      </w:r>
    </w:p>
    <w:p w14:paraId="12F76E90" w14:textId="77777777" w:rsidR="00873A53" w:rsidRDefault="00873A53" w:rsidP="00873A53">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ענישה – הפעלת מאסר על תנאי</w:t>
      </w:r>
    </w:p>
    <w:p w14:paraId="39595218" w14:textId="77777777" w:rsidR="00873A53" w:rsidRDefault="00873A53" w:rsidP="00873A53">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32AF3D02" w14:textId="77777777" w:rsidR="00873A53" w:rsidRPr="00873A53" w:rsidRDefault="00873A53" w:rsidP="00873A53">
      <w:pPr>
        <w:pBdr>
          <w:top w:val="single" w:sz="4" w:space="1" w:color="auto"/>
          <w:bottom w:val="single" w:sz="4" w:space="1" w:color="auto"/>
        </w:pBdr>
        <w:spacing w:after="120" w:line="320" w:lineRule="exact"/>
        <w:jc w:val="both"/>
        <w:rPr>
          <w:rFonts w:ascii="Times New Roman" w:hAnsi="Times New Roman" w:cs="FrankRuehl" w:hint="cs"/>
          <w:szCs w:val="26"/>
          <w:rtl/>
        </w:rPr>
      </w:pPr>
      <w:r w:rsidRPr="00873A53">
        <w:rPr>
          <w:rFonts w:ascii="Times New Roman" w:hAnsi="Times New Roman" w:cs="FrankRuehl"/>
          <w:szCs w:val="26"/>
          <w:rtl/>
        </w:rPr>
        <w:t xml:space="preserve">הנאשם הורשע במסגרת הסדר טיעון, </w:t>
      </w:r>
      <w:r w:rsidRPr="00873A53">
        <w:rPr>
          <w:rFonts w:ascii="Times New Roman" w:hAnsi="Times New Roman" w:cs="FrankRuehl" w:hint="cs"/>
          <w:szCs w:val="26"/>
          <w:rtl/>
        </w:rPr>
        <w:t>ב</w:t>
      </w:r>
      <w:r w:rsidRPr="00873A53">
        <w:rPr>
          <w:rFonts w:ascii="Times New Roman" w:hAnsi="Times New Roman" w:cs="FrankRuehl"/>
          <w:szCs w:val="26"/>
          <w:rtl/>
        </w:rPr>
        <w:t>עבירה של החזקת נשק ואביזר נשק</w:t>
      </w:r>
      <w:r w:rsidRPr="00873A53">
        <w:rPr>
          <w:rFonts w:ascii="Times New Roman" w:hAnsi="Times New Roman" w:cs="FrankRuehl" w:hint="cs"/>
          <w:szCs w:val="26"/>
          <w:rtl/>
        </w:rPr>
        <w:t>.</w:t>
      </w:r>
    </w:p>
    <w:p w14:paraId="07C44AD9" w14:textId="77777777" w:rsidR="00873A53" w:rsidRDefault="00873A53" w:rsidP="00873A53">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0782780" w14:textId="77777777" w:rsidR="00873A53" w:rsidRPr="00873A53" w:rsidRDefault="00873A53" w:rsidP="00873A53">
      <w:pPr>
        <w:pBdr>
          <w:top w:val="single" w:sz="4" w:space="1" w:color="auto"/>
          <w:bottom w:val="single" w:sz="4" w:space="1" w:color="auto"/>
        </w:pBdr>
        <w:spacing w:after="120" w:line="320" w:lineRule="exact"/>
        <w:jc w:val="both"/>
        <w:rPr>
          <w:rFonts w:ascii="Times New Roman" w:hAnsi="Times New Roman" w:cs="FrankRuehl" w:hint="cs"/>
          <w:szCs w:val="26"/>
          <w:rtl/>
        </w:rPr>
      </w:pPr>
      <w:r w:rsidRPr="00873A53">
        <w:rPr>
          <w:rFonts w:ascii="Times New Roman" w:hAnsi="Times New Roman" w:cs="FrankRuehl"/>
          <w:szCs w:val="26"/>
          <w:rtl/>
        </w:rPr>
        <w:t>בית המשפט המחוזי</w:t>
      </w:r>
      <w:r w:rsidRPr="00873A53">
        <w:rPr>
          <w:rFonts w:ascii="Times New Roman" w:hAnsi="Times New Roman" w:cs="FrankRuehl" w:hint="cs"/>
          <w:szCs w:val="26"/>
          <w:rtl/>
        </w:rPr>
        <w:t xml:space="preserve"> גזר את הדין כדלהלן:</w:t>
      </w:r>
    </w:p>
    <w:p w14:paraId="6C90039B" w14:textId="77777777" w:rsidR="00873A53" w:rsidRPr="00873A53" w:rsidRDefault="00873A53" w:rsidP="00873A53">
      <w:pPr>
        <w:pBdr>
          <w:top w:val="single" w:sz="4" w:space="1" w:color="auto"/>
          <w:bottom w:val="single" w:sz="4" w:space="1" w:color="auto"/>
        </w:pBdr>
        <w:spacing w:after="120" w:line="320" w:lineRule="exact"/>
        <w:jc w:val="both"/>
        <w:rPr>
          <w:rFonts w:ascii="Times New Roman" w:hAnsi="Times New Roman" w:cs="FrankRuehl"/>
          <w:szCs w:val="26"/>
          <w:rtl/>
        </w:rPr>
      </w:pPr>
      <w:r w:rsidRPr="00873A53">
        <w:rPr>
          <w:rFonts w:ascii="Times New Roman" w:hAnsi="Times New Roman" w:cs="FrankRuehl"/>
          <w:szCs w:val="26"/>
          <w:rtl/>
        </w:rPr>
        <w:t>ישנו בסיס מוצק לחשש כי נשק שהוחזק באופן לא חוקי יימצא בסופו של יום בידי גורמים עברייניים או עוינים שיעשו בו שימוש לפגיעה בגוף ובנפש. יש לתת ביטוי עונשי הולם ומרתיע לעבירות הנשק ולתת משקל גבוה לאינטרס הציבורי ולצורך להרתיע עבריינים לבצע עבירות דומות.</w:t>
      </w:r>
      <w:r w:rsidRPr="00873A53">
        <w:rPr>
          <w:rFonts w:ascii="Times New Roman" w:hAnsi="Times New Roman" w:cs="FrankRuehl" w:hint="cs"/>
          <w:szCs w:val="26"/>
          <w:rtl/>
        </w:rPr>
        <w:t xml:space="preserve"> במקרה דנן</w:t>
      </w:r>
      <w:r w:rsidRPr="00873A53">
        <w:rPr>
          <w:rFonts w:ascii="Times New Roman" w:hAnsi="Times New Roman" w:cs="FrankRuehl"/>
          <w:szCs w:val="26"/>
          <w:rtl/>
        </w:rPr>
        <w:t xml:space="preserve"> מתחם העונש ההולם צריך לנוע בין </w:t>
      </w:r>
      <w:r w:rsidRPr="00873A53">
        <w:rPr>
          <w:rFonts w:ascii="Times New Roman" w:hAnsi="Times New Roman" w:cs="FrankRuehl"/>
          <w:szCs w:val="26"/>
          <w:rtl/>
        </w:rPr>
        <w:softHyphen/>
      </w:r>
      <w:r w:rsidRPr="00873A53">
        <w:rPr>
          <w:rFonts w:ascii="Times New Roman" w:hAnsi="Times New Roman" w:cs="FrankRuehl"/>
          <w:szCs w:val="26"/>
          <w:rtl/>
        </w:rPr>
        <w:softHyphen/>
      </w:r>
      <w:r w:rsidRPr="00873A53">
        <w:rPr>
          <w:rFonts w:ascii="Times New Roman" w:hAnsi="Times New Roman" w:cs="FrankRuehl"/>
          <w:szCs w:val="26"/>
          <w:rtl/>
        </w:rPr>
        <w:softHyphen/>
      </w:r>
      <w:r w:rsidRPr="00873A53">
        <w:rPr>
          <w:rFonts w:ascii="Times New Roman" w:hAnsi="Times New Roman" w:cs="FrankRuehl"/>
          <w:szCs w:val="26"/>
          <w:rtl/>
        </w:rPr>
        <w:softHyphen/>
        <w:t xml:space="preserve">20 </w:t>
      </w:r>
      <w:r w:rsidRPr="00873A53">
        <w:rPr>
          <w:rFonts w:ascii="Times New Roman" w:hAnsi="Times New Roman" w:cs="FrankRuehl" w:hint="cs"/>
          <w:szCs w:val="26"/>
          <w:rtl/>
        </w:rPr>
        <w:t>ל-</w:t>
      </w:r>
      <w:r w:rsidRPr="00873A53">
        <w:rPr>
          <w:rFonts w:ascii="Times New Roman" w:hAnsi="Times New Roman" w:cs="FrankRuehl"/>
          <w:szCs w:val="26"/>
          <w:rtl/>
        </w:rPr>
        <w:t xml:space="preserve">30 חודשי מאסר. </w:t>
      </w:r>
      <w:r w:rsidRPr="00873A53">
        <w:rPr>
          <w:rFonts w:ascii="Times New Roman" w:hAnsi="Times New Roman" w:cs="FrankRuehl" w:hint="cs"/>
          <w:szCs w:val="26"/>
          <w:rtl/>
        </w:rPr>
        <w:t>לצורך הפעלת מאסר מותנה ו</w:t>
      </w:r>
      <w:r w:rsidRPr="00873A53">
        <w:rPr>
          <w:rFonts w:ascii="Times New Roman" w:hAnsi="Times New Roman" w:cs="FrankRuehl"/>
          <w:szCs w:val="26"/>
          <w:rtl/>
        </w:rPr>
        <w:t>התחייבות כספית שהוטל</w:t>
      </w:r>
      <w:r w:rsidRPr="00873A53">
        <w:rPr>
          <w:rFonts w:ascii="Times New Roman" w:hAnsi="Times New Roman" w:cs="FrankRuehl" w:hint="cs"/>
          <w:szCs w:val="26"/>
          <w:rtl/>
        </w:rPr>
        <w:t xml:space="preserve">ו בתיק קודם ביחס לעבירת אלימות, </w:t>
      </w:r>
      <w:r w:rsidRPr="00873A53">
        <w:rPr>
          <w:rFonts w:ascii="Times New Roman" w:hAnsi="Times New Roman" w:cs="FrankRuehl"/>
          <w:szCs w:val="26"/>
          <w:rtl/>
        </w:rPr>
        <w:t xml:space="preserve">המבחן הוא לא מבחן טכני של בחינת יסודות העבירה או בחינה האם העבירה המפעילה מצויה בפרק של עבירות התנאי, </w:t>
      </w:r>
      <w:r w:rsidRPr="00873A53">
        <w:rPr>
          <w:rFonts w:ascii="Times New Roman" w:hAnsi="Times New Roman" w:cs="FrankRuehl" w:hint="cs"/>
          <w:szCs w:val="26"/>
          <w:rtl/>
        </w:rPr>
        <w:t>אלא</w:t>
      </w:r>
      <w:r w:rsidRPr="00873A53">
        <w:rPr>
          <w:rFonts w:ascii="Times New Roman" w:hAnsi="Times New Roman" w:cs="FrankRuehl"/>
          <w:szCs w:val="26"/>
          <w:rtl/>
        </w:rPr>
        <w:t xml:space="preserve"> בחינה מהותית</w:t>
      </w:r>
      <w:r w:rsidRPr="00873A53">
        <w:rPr>
          <w:rFonts w:ascii="Times New Roman" w:hAnsi="Times New Roman" w:cs="FrankRuehl" w:hint="cs"/>
          <w:szCs w:val="26"/>
          <w:rtl/>
        </w:rPr>
        <w:t>,</w:t>
      </w:r>
      <w:r w:rsidRPr="00873A53">
        <w:rPr>
          <w:rFonts w:ascii="Times New Roman" w:hAnsi="Times New Roman" w:cs="FrankRuehl"/>
          <w:szCs w:val="26"/>
          <w:rtl/>
        </w:rPr>
        <w:t xml:space="preserve"> כאשר אלימות יכולה לבוא לידי ביטוי גם כ</w:t>
      </w:r>
      <w:r w:rsidRPr="00873A53">
        <w:rPr>
          <w:rFonts w:ascii="Times New Roman" w:hAnsi="Times New Roman" w:cs="FrankRuehl" w:hint="cs"/>
          <w:szCs w:val="26"/>
          <w:rtl/>
        </w:rPr>
        <w:t>ש</w:t>
      </w:r>
      <w:r w:rsidRPr="00873A53">
        <w:rPr>
          <w:rFonts w:ascii="Times New Roman" w:hAnsi="Times New Roman" w:cs="FrankRuehl"/>
          <w:szCs w:val="26"/>
          <w:rtl/>
        </w:rPr>
        <w:t xml:space="preserve">מדובר בהתנהגות שיוצרת אך סיכון או פוטנציאל לפגיעה בחיי אדם או בשלומו. "החזקת </w:t>
      </w:r>
      <w:r w:rsidRPr="00873A53">
        <w:rPr>
          <w:rFonts w:ascii="Times New Roman" w:hAnsi="Times New Roman" w:cs="FrankRuehl"/>
          <w:szCs w:val="26"/>
          <w:rtl/>
        </w:rPr>
        <w:lastRenderedPageBreak/>
        <w:t>נשק" היא בבחינת מעשה אלימות</w:t>
      </w:r>
      <w:r w:rsidRPr="00873A53">
        <w:rPr>
          <w:rFonts w:ascii="Times New Roman" w:hAnsi="Times New Roman" w:cs="FrankRuehl" w:hint="cs"/>
          <w:szCs w:val="26"/>
          <w:rtl/>
        </w:rPr>
        <w:t xml:space="preserve">, </w:t>
      </w:r>
      <w:r w:rsidRPr="00873A53">
        <w:rPr>
          <w:rFonts w:ascii="Times New Roman" w:hAnsi="Times New Roman" w:cs="FrankRuehl"/>
          <w:szCs w:val="26"/>
          <w:rtl/>
        </w:rPr>
        <w:t>נשק הוא בעל יסוד מובנה של אלימות. אף נסיבות ביצוע העבירה בענייננו תומכות במסקנה כי החזקת הנשק גיבשה באופן מהותי ובאופן ענייני עבירת אלימות. הנאשם</w:t>
      </w:r>
      <w:r w:rsidRPr="00873A53">
        <w:rPr>
          <w:rFonts w:ascii="Times New Roman" w:hAnsi="Times New Roman" w:cs="FrankRuehl" w:hint="cs"/>
          <w:szCs w:val="26"/>
          <w:rtl/>
        </w:rPr>
        <w:t xml:space="preserve"> נידון ל-</w:t>
      </w:r>
      <w:r w:rsidRPr="00873A53">
        <w:rPr>
          <w:rFonts w:ascii="Times New Roman" w:hAnsi="Times New Roman" w:cs="FrankRuehl"/>
          <w:szCs w:val="26"/>
          <w:rtl/>
        </w:rPr>
        <w:t>22 חודשי מאסר בפועל</w:t>
      </w:r>
      <w:r w:rsidRPr="00873A53">
        <w:rPr>
          <w:rFonts w:ascii="Times New Roman" w:hAnsi="Times New Roman" w:cs="FrankRuehl" w:hint="cs"/>
          <w:szCs w:val="26"/>
          <w:rtl/>
        </w:rPr>
        <w:t>,</w:t>
      </w:r>
      <w:r w:rsidRPr="00873A53">
        <w:rPr>
          <w:rFonts w:ascii="Times New Roman" w:hAnsi="Times New Roman" w:cs="FrankRuehl"/>
          <w:szCs w:val="26"/>
          <w:rtl/>
        </w:rPr>
        <w:t xml:space="preserve"> </w:t>
      </w:r>
      <w:r w:rsidRPr="00873A53">
        <w:rPr>
          <w:rFonts w:ascii="Times New Roman" w:hAnsi="Times New Roman" w:cs="FrankRuehl" w:hint="cs"/>
          <w:szCs w:val="26"/>
          <w:rtl/>
        </w:rPr>
        <w:t xml:space="preserve">הפעלת </w:t>
      </w:r>
      <w:r w:rsidRPr="00873A53">
        <w:rPr>
          <w:rFonts w:ascii="Times New Roman" w:hAnsi="Times New Roman" w:cs="FrankRuehl"/>
          <w:szCs w:val="26"/>
          <w:rtl/>
        </w:rPr>
        <w:t>המאסר המותנה בן 4 חודשים באופן שמחציתו תרוצה במצטבר</w:t>
      </w:r>
      <w:r w:rsidRPr="00873A53">
        <w:rPr>
          <w:rFonts w:ascii="Times New Roman" w:hAnsi="Times New Roman" w:cs="FrankRuehl" w:hint="cs"/>
          <w:szCs w:val="26"/>
          <w:rtl/>
        </w:rPr>
        <w:t>,</w:t>
      </w:r>
      <w:r w:rsidRPr="00873A53">
        <w:rPr>
          <w:rFonts w:ascii="Times New Roman" w:hAnsi="Times New Roman" w:cs="FrankRuehl"/>
          <w:szCs w:val="26"/>
          <w:rtl/>
        </w:rPr>
        <w:t xml:space="preserve"> 12 חודשי מאסר על תנאי</w:t>
      </w:r>
      <w:r w:rsidRPr="00873A53">
        <w:rPr>
          <w:rFonts w:ascii="Times New Roman" w:hAnsi="Times New Roman" w:cs="FrankRuehl" w:hint="cs"/>
          <w:szCs w:val="26"/>
          <w:rtl/>
        </w:rPr>
        <w:t>,</w:t>
      </w:r>
      <w:r w:rsidRPr="00873A53">
        <w:rPr>
          <w:rFonts w:ascii="Times New Roman" w:hAnsi="Times New Roman" w:cs="FrankRuehl"/>
          <w:szCs w:val="26"/>
          <w:rtl/>
        </w:rPr>
        <w:t xml:space="preserve"> קנס בסך 3,000 ₪ או 20 ימי מאסר תמורתו </w:t>
      </w:r>
      <w:r w:rsidRPr="00873A53">
        <w:rPr>
          <w:rFonts w:ascii="Times New Roman" w:hAnsi="Times New Roman" w:cs="FrankRuehl" w:hint="cs"/>
          <w:szCs w:val="26"/>
          <w:rtl/>
        </w:rPr>
        <w:t xml:space="preserve">והפעלת </w:t>
      </w:r>
      <w:r w:rsidRPr="00873A53">
        <w:rPr>
          <w:rFonts w:ascii="Times New Roman" w:hAnsi="Times New Roman" w:cs="FrankRuehl"/>
          <w:szCs w:val="26"/>
          <w:rtl/>
        </w:rPr>
        <w:t>ההתחייבות הכספית בת 5,000 ₪</w:t>
      </w:r>
      <w:r w:rsidRPr="00873A53">
        <w:rPr>
          <w:rFonts w:ascii="Times New Roman" w:hAnsi="Times New Roman" w:cs="FrankRuehl" w:hint="cs"/>
          <w:szCs w:val="26"/>
          <w:rtl/>
        </w:rPr>
        <w:t xml:space="preserve"> מהתיק הקודם.</w:t>
      </w:r>
    </w:p>
    <w:p w14:paraId="6BE754A8" w14:textId="77777777" w:rsidR="00873A53" w:rsidRDefault="00873A53" w:rsidP="004A5864">
      <w:pPr>
        <w:spacing w:line="360" w:lineRule="auto"/>
        <w:jc w:val="center"/>
        <w:rPr>
          <w:rFonts w:ascii="Arial" w:hAnsi="Arial" w:hint="cs"/>
          <w:sz w:val="28"/>
          <w:szCs w:val="28"/>
          <w:rtl/>
        </w:rPr>
      </w:pPr>
      <w:bookmarkStart w:id="6" w:name="ABSTRACT_END"/>
      <w:bookmarkEnd w:id="6"/>
    </w:p>
    <w:p w14:paraId="24A79AE8" w14:textId="77777777" w:rsidR="00466323" w:rsidRPr="00466323" w:rsidRDefault="00466323" w:rsidP="00466323">
      <w:pPr>
        <w:pStyle w:val="12"/>
        <w:jc w:val="center"/>
        <w:rPr>
          <w:rFonts w:ascii="Arial" w:eastAsia="Times New Roman" w:hAnsi="Arial"/>
          <w:sz w:val="28"/>
          <w:szCs w:val="28"/>
          <w:rtl/>
        </w:rPr>
      </w:pPr>
      <w:bookmarkStart w:id="7" w:name="PsakDin"/>
      <w:bookmarkEnd w:id="0"/>
      <w:r w:rsidRPr="00466323">
        <w:rPr>
          <w:rFonts w:ascii="Arial" w:eastAsia="Times New Roman" w:hAnsi="Arial"/>
          <w:sz w:val="28"/>
          <w:szCs w:val="28"/>
          <w:rtl/>
        </w:rPr>
        <w:t>גזר דין</w:t>
      </w:r>
    </w:p>
    <w:bookmarkEnd w:id="7"/>
    <w:p w14:paraId="4CEE8315" w14:textId="77777777" w:rsidR="0034251D" w:rsidRPr="00D348D9" w:rsidRDefault="0034251D" w:rsidP="00D348D9">
      <w:pPr>
        <w:pStyle w:val="12"/>
        <w:jc w:val="both"/>
        <w:rPr>
          <w:rFonts w:ascii="David" w:hAnsi="David"/>
          <w:b w:val="0"/>
          <w:bCs w:val="0"/>
          <w:u w:val="none"/>
          <w:rtl/>
        </w:rPr>
      </w:pPr>
      <w:r>
        <w:rPr>
          <w:rFonts w:ascii="David" w:hAnsi="David"/>
          <w:b w:val="0"/>
          <w:bCs w:val="0"/>
          <w:u w:val="none"/>
          <w:rtl/>
        </w:rPr>
        <w:t xml:space="preserve"> </w:t>
      </w:r>
    </w:p>
    <w:p w14:paraId="75279D6F" w14:textId="77777777" w:rsidR="0034251D" w:rsidRDefault="0034251D" w:rsidP="00D348D9">
      <w:pPr>
        <w:spacing w:line="360" w:lineRule="auto"/>
        <w:ind w:left="652" w:hanging="652"/>
        <w:jc w:val="both"/>
      </w:pPr>
      <w:r>
        <w:rPr>
          <w:rtl/>
        </w:rPr>
        <w:t>1.</w:t>
      </w:r>
      <w:r>
        <w:rPr>
          <w:rtl/>
        </w:rPr>
        <w:tab/>
        <w:t xml:space="preserve">הנאשם הורשע על פי הודאתו, במסגרת הסדר טיעון, בכתב אישום מתוקן המייחס לו ביצוע עבירה של החזקת נשק ואביזר נשק, עבירה לפי </w:t>
      </w:r>
      <w:hyperlink r:id="rId16" w:history="1">
        <w:r w:rsidR="00DE7380" w:rsidRPr="00DE7380">
          <w:rPr>
            <w:color w:val="0000FF"/>
            <w:u w:val="single"/>
            <w:rtl/>
          </w:rPr>
          <w:t>סעיף 144(א)</w:t>
        </w:r>
      </w:hyperlink>
      <w:r>
        <w:rPr>
          <w:rtl/>
        </w:rPr>
        <w:t xml:space="preserve"> רישא + סיפא ל</w:t>
      </w:r>
      <w:hyperlink r:id="rId17" w:history="1">
        <w:r w:rsidR="00466323" w:rsidRPr="00466323">
          <w:rPr>
            <w:color w:val="0000FF"/>
            <w:u w:val="single"/>
            <w:rtl/>
          </w:rPr>
          <w:t>חוק העונשין</w:t>
        </w:r>
      </w:hyperlink>
      <w:r>
        <w:rPr>
          <w:rtl/>
        </w:rPr>
        <w:t xml:space="preserve">, התשל"ז – 1977. </w:t>
      </w:r>
    </w:p>
    <w:p w14:paraId="0BCF9F3E" w14:textId="77777777" w:rsidR="0034251D" w:rsidRDefault="0034251D" w:rsidP="00D348D9">
      <w:pPr>
        <w:spacing w:line="360" w:lineRule="auto"/>
        <w:ind w:left="652" w:hanging="652"/>
        <w:jc w:val="both"/>
        <w:rPr>
          <w:rtl/>
        </w:rPr>
      </w:pPr>
    </w:p>
    <w:p w14:paraId="371CC100" w14:textId="77777777" w:rsidR="0034251D" w:rsidRDefault="0034251D" w:rsidP="00D348D9">
      <w:pPr>
        <w:spacing w:line="360" w:lineRule="auto"/>
        <w:ind w:left="652" w:hanging="652"/>
        <w:jc w:val="both"/>
        <w:rPr>
          <w:rtl/>
        </w:rPr>
      </w:pPr>
      <w:r>
        <w:rPr>
          <w:rtl/>
        </w:rPr>
        <w:t>2.</w:t>
      </w:r>
      <w:r>
        <w:rPr>
          <w:rtl/>
        </w:rPr>
        <w:tab/>
        <w:t>מעובדות כתב האישום המתוקן עולה כי בתאריך 4.7.2019 החזיק הנאשם ברכבו נשק מסוג</w:t>
      </w:r>
      <w:r>
        <w:t xml:space="preserve">M-16 </w:t>
      </w:r>
      <w:r>
        <w:rPr>
          <w:rtl/>
        </w:rPr>
        <w:t xml:space="preserve"> ומחסנית ריקה, כשהם עטופים במגבת, ומונחים בתוך שקית שהוחזקה בתוך מזרון מגולגל, במושב האחורי של הרכב. </w:t>
      </w:r>
    </w:p>
    <w:p w14:paraId="6524EEAB" w14:textId="77777777" w:rsidR="0034251D" w:rsidRDefault="0034251D" w:rsidP="00D348D9">
      <w:pPr>
        <w:spacing w:line="360" w:lineRule="auto"/>
        <w:ind w:left="652" w:hanging="652"/>
        <w:jc w:val="both"/>
        <w:rPr>
          <w:rtl/>
        </w:rPr>
      </w:pPr>
    </w:p>
    <w:p w14:paraId="54E515DF" w14:textId="77777777" w:rsidR="0034251D" w:rsidRDefault="0034251D" w:rsidP="00D348D9">
      <w:pPr>
        <w:spacing w:line="360" w:lineRule="auto"/>
        <w:ind w:left="652" w:hanging="652"/>
        <w:jc w:val="both"/>
        <w:rPr>
          <w:rtl/>
        </w:rPr>
      </w:pPr>
      <w:r>
        <w:rPr>
          <w:rtl/>
        </w:rPr>
        <w:t>3.</w:t>
      </w:r>
      <w:r>
        <w:rPr>
          <w:rtl/>
        </w:rPr>
        <w:tab/>
        <w:t xml:space="preserve">במסגרת ההסדר לא הייתה הסכמה בין הצדדים לעניין העונש וכל צד טען באופן חופשי. </w:t>
      </w:r>
    </w:p>
    <w:p w14:paraId="73850099" w14:textId="77777777" w:rsidR="0034251D" w:rsidRDefault="0034251D" w:rsidP="00D348D9">
      <w:pPr>
        <w:spacing w:line="360" w:lineRule="auto"/>
        <w:ind w:left="652" w:hanging="652"/>
        <w:jc w:val="both"/>
        <w:rPr>
          <w:rtl/>
        </w:rPr>
      </w:pPr>
    </w:p>
    <w:p w14:paraId="5074DFB2" w14:textId="77777777" w:rsidR="0034251D" w:rsidRDefault="0034251D" w:rsidP="00D348D9">
      <w:pPr>
        <w:spacing w:line="360" w:lineRule="auto"/>
        <w:ind w:left="652" w:hanging="652"/>
        <w:jc w:val="both"/>
        <w:rPr>
          <w:rtl/>
        </w:rPr>
      </w:pPr>
      <w:r>
        <w:rPr>
          <w:rtl/>
        </w:rPr>
        <w:t>4.</w:t>
      </w:r>
      <w:r>
        <w:rPr>
          <w:rtl/>
        </w:rPr>
        <w:tab/>
        <w:t>המאשימה טענה בכתב ועל-פה כי מתחם העונש ההולם נע בין שנתיים לארבע שנות מאסר ועתרה היא לעונש שנמצא בחלק העליון של מתחם העונש לו טענה. בנוסף עתרה המאשימה להפעיל מאסר מותנה בן ארבעה חודשים מ</w:t>
      </w:r>
      <w:r w:rsidR="00466323" w:rsidRPr="00D22436">
        <w:rPr>
          <w:rtl/>
        </w:rPr>
        <w:t>ת"פ 16256</w:t>
      </w:r>
      <w:r w:rsidR="00466323" w:rsidRPr="00D22436">
        <w:rPr>
          <w:rtl/>
        </w:rPr>
        <w:t>-</w:t>
      </w:r>
      <w:r w:rsidR="00466323" w:rsidRPr="00D22436">
        <w:rPr>
          <w:rtl/>
        </w:rPr>
        <w:t>02-17</w:t>
      </w:r>
      <w:r>
        <w:rPr>
          <w:rtl/>
        </w:rPr>
        <w:t xml:space="preserve"> (להלן: "המאסר המותנה") במצטבר לעונש המאסר שיוטל על הנאשם במסגרת תיק זה. עוד עתרה המאשימה להטיל על הנאשם עונשים של מאסר על תנאי, קנס והפעלת התחייבות כספית מתיק קודם. </w:t>
      </w:r>
    </w:p>
    <w:p w14:paraId="2EB6A215" w14:textId="77777777" w:rsidR="0034251D" w:rsidRDefault="0034251D" w:rsidP="00D348D9">
      <w:pPr>
        <w:spacing w:line="360" w:lineRule="auto"/>
        <w:ind w:left="652" w:hanging="652"/>
        <w:jc w:val="both"/>
        <w:rPr>
          <w:rtl/>
        </w:rPr>
      </w:pPr>
      <w:r>
        <w:rPr>
          <w:rtl/>
        </w:rPr>
        <w:tab/>
        <w:t>המאשימה הדגישה בטיעוניה את הערכים המוגנים, את הקושי בחשיפת עבירות הנשק, את הסיכון הטמון לציבור ולביטחון המדינה כתוצאה מעבירות נשק, את נסיבות ביצוע העבירה, לרבות טיבו של הנשק אותו החזיק הנאשם ואת הצורך בהרתעה. המאשימה הפנתה לנתונים שליליים שעלו מתסקיר שירות המבחן שהוגש בעניינו של הנאשם, לרבות להמלצה להטיל על הנאשם עונש מוחשי. המאשימה הפנתה בטיעוניה למרשם הפלילי של הנאשם, ובמסגרת זו התייחסה גם למאסר המותנה</w:t>
      </w:r>
      <w:r>
        <w:t xml:space="preserve"> </w:t>
      </w:r>
      <w:r>
        <w:rPr>
          <w:rtl/>
        </w:rPr>
        <w:t xml:space="preserve">התלוי ועומד כנגד הנאשם. המאשימה טענה כי המאסר המותנה הוא בר הפעלה בענייננו, אף שהוא מתייחס לעבירות אלימות. המאשימה טענה כי שימוש במבחן הענייני-מהותי לצורך בחינת תחולת המאסר המותנה, להבדיל מהמבחן הטכני, צריך להוביל להפעלת המאסר המותנה שכן עבירת נשק היא עבירה שיש בה יסוד של אלימות, וזאת גם בהינתן העובדה שבמקרה זה הנשק לא היה טעון. המאשימה הפנתה לפסיקה בתמיכה לטיעוניה. </w:t>
      </w:r>
    </w:p>
    <w:p w14:paraId="2F74C11E" w14:textId="77777777" w:rsidR="0034251D" w:rsidRDefault="0034251D" w:rsidP="00D348D9">
      <w:pPr>
        <w:spacing w:line="360" w:lineRule="auto"/>
        <w:ind w:left="652" w:hanging="652"/>
        <w:jc w:val="both"/>
        <w:rPr>
          <w:rtl/>
        </w:rPr>
      </w:pPr>
    </w:p>
    <w:p w14:paraId="2D216C4C" w14:textId="77777777" w:rsidR="0034251D" w:rsidRDefault="0034251D" w:rsidP="00D348D9">
      <w:pPr>
        <w:spacing w:line="360" w:lineRule="auto"/>
        <w:ind w:left="652" w:hanging="652"/>
        <w:jc w:val="both"/>
        <w:rPr>
          <w:rtl/>
        </w:rPr>
      </w:pPr>
      <w:r>
        <w:rPr>
          <w:rtl/>
        </w:rPr>
        <w:t>5.</w:t>
      </w:r>
      <w:r>
        <w:rPr>
          <w:rtl/>
        </w:rPr>
        <w:tab/>
        <w:t xml:space="preserve">ב"כ הנאשם טען כי מתחם העונש ההולם נע בין ששה לששה עשר חודשי מאסר. ב"כ הנאשם עתר להסתפק בתקופת מאסר החופפת את תקופת מעצרו של הנאשם, דהיינו ששה חודשי מאסר. ב"כ הנאשם הרחיב בטיעוניו אודות נסיבותיו האישיות של הנאשם, כפי שהן </w:t>
      </w:r>
      <w:r>
        <w:rPr>
          <w:rtl/>
        </w:rPr>
        <w:lastRenderedPageBreak/>
        <w:t xml:space="preserve">השתקפו בתסקיר שירות המבחן; אודות הודאתו של הנאשם במיוחס לו ולקיחת האחריות על ידו ואודות נסיבות ביצוע העבירה. ב"כ הנאשם התייחס אל הפסיקה אליה הפנתה המאשימה וביקש להבחן בינה לבין הנסיבות בתיק דנן. בנוסף הפנה ב"כ הנאשם עצמו אל פסיקה שיש בה לטעמו כדי לתמוך בעמדה העונשית שהציג. ב"כ הנאשם טען כי יש לדחות את עמדת שירות המבחן לפיה הנאשם אינו מתאים להליך טיפולי. בעניין זה טען ב"כ הנאשם כי שירות המבחן לא מציע הליך טיפולי באופן סיסטמתי לתושבי האזור דוברי השפה הערבית. ב"כ הנאשם הוסיף כי עת הציגה המאשימה עמדתה העונשית האמורה, הפלתה היא לרעה את הנאשם, וזאת ביחס למקרה אחר, של נאשם ישראלי המתגורר ב"התנחלות" כלשונו של ב"כ הנאשם, בו הגבילה עצמה המאשימה בטיעוניה לעונש של מאסר לריצוי בעבודות שירות, וזאת חרף כך שבאותו מקרה החזיק הנאשם בשני כלי נשק שלא כדין. </w:t>
      </w:r>
    </w:p>
    <w:p w14:paraId="764475A0" w14:textId="77777777" w:rsidR="0034251D" w:rsidRDefault="0034251D" w:rsidP="00D348D9">
      <w:pPr>
        <w:spacing w:line="360" w:lineRule="auto"/>
        <w:ind w:left="652" w:hanging="652"/>
        <w:jc w:val="both"/>
        <w:rPr>
          <w:rtl/>
        </w:rPr>
      </w:pPr>
    </w:p>
    <w:p w14:paraId="3B61690C" w14:textId="77777777" w:rsidR="0034251D" w:rsidRDefault="0034251D" w:rsidP="00D348D9">
      <w:pPr>
        <w:spacing w:line="360" w:lineRule="auto"/>
        <w:ind w:left="652" w:hanging="652"/>
        <w:jc w:val="both"/>
        <w:rPr>
          <w:rtl/>
        </w:rPr>
      </w:pPr>
      <w:r>
        <w:rPr>
          <w:rtl/>
        </w:rPr>
        <w:t>6.</w:t>
      </w:r>
      <w:r>
        <w:rPr>
          <w:rtl/>
        </w:rPr>
        <w:tab/>
        <w:t xml:space="preserve">הנאשם הביע צער על שעשה, הוסיף כי אביו נפטר לפני כחודש עת היה במעצר, כי הוא אב לילדה קטנה וביקש את רחמי בית המשפט. </w:t>
      </w:r>
    </w:p>
    <w:p w14:paraId="2307B6D2" w14:textId="77777777" w:rsidR="0034251D" w:rsidRDefault="0034251D" w:rsidP="00D348D9">
      <w:pPr>
        <w:spacing w:line="360" w:lineRule="auto"/>
        <w:ind w:left="652" w:hanging="652"/>
        <w:jc w:val="both"/>
        <w:rPr>
          <w:rtl/>
        </w:rPr>
      </w:pPr>
    </w:p>
    <w:p w14:paraId="79FD585F" w14:textId="77777777" w:rsidR="0034251D" w:rsidRDefault="0034251D" w:rsidP="00D348D9">
      <w:pPr>
        <w:spacing w:line="360" w:lineRule="auto"/>
        <w:ind w:left="652" w:hanging="652"/>
        <w:jc w:val="both"/>
        <w:rPr>
          <w:rtl/>
        </w:rPr>
      </w:pPr>
      <w:r>
        <w:rPr>
          <w:rtl/>
        </w:rPr>
        <w:t>7.</w:t>
      </w:r>
      <w:r>
        <w:rPr>
          <w:rtl/>
        </w:rPr>
        <w:tab/>
        <w:t xml:space="preserve">בעניינו של הנאשם הוגש כאמור תסקיר של שירות המבחן. מהתסקיר עולה כי הנאשם כבן 24, נשוי ואב לפעוטה בת שמונה חודשים, מתגורר ברהט, סיים 12 שנ"ל, עבד בשש השנים שקדמו למעצרו בעסק משפחתי בתחום חומרי הבניין ושיווק גז לבישול. בתסקיר ישנו פירוט של המבנה המשפחתי של הנאשם, ולפיו אביו נשוי לחמש נשים ולו כחמישים ילדים. כן צוין כי אביו של הנאשם נפטר לאחרונה (עת הנאשם היה במעצר) ממחלת סרטן ממנה סבל. נמסר עוד כי אשת הנאשם כעסה על הנאשם שביצע העבירה בתיק והנאשם מצדו הוסיף בהקשר זה כי הוא מחכה להשתחרר על מנת להחזיר אותה לחיקו ולתקן את העוול שגרם. </w:t>
      </w:r>
    </w:p>
    <w:p w14:paraId="07343CA9" w14:textId="77777777" w:rsidR="0034251D" w:rsidRDefault="0034251D" w:rsidP="00D348D9">
      <w:pPr>
        <w:spacing w:line="360" w:lineRule="auto"/>
        <w:ind w:left="652" w:hanging="652"/>
        <w:jc w:val="both"/>
        <w:rPr>
          <w:rtl/>
        </w:rPr>
      </w:pPr>
      <w:r>
        <w:rPr>
          <w:rtl/>
        </w:rPr>
        <w:tab/>
        <w:t>שירות המבחן התייחס בתסקיר גם לעברו הפלילי של הנאשם; לסכסוך המשפחתי שיש לנאשם עם חלק מבני משפחתו; ללקיחת האחריות על-ידי הנאשם לביצוע העבירה (תוך שציין כי אדם מהרשות הפלשתינאית אותו הכיר הוא שהציע לו לרכוש את הנשק, אותו רכש לצרכי תחושת בטחון); לתחושות האשם והחרטה שהנאשם חש ולקשר של הנאשם בעבר עם שירות המבחן.</w:t>
      </w:r>
    </w:p>
    <w:p w14:paraId="7A07D484" w14:textId="77777777" w:rsidR="0034251D" w:rsidRDefault="0034251D" w:rsidP="00D348D9">
      <w:pPr>
        <w:spacing w:line="360" w:lineRule="auto"/>
        <w:ind w:left="652" w:hanging="652"/>
        <w:jc w:val="both"/>
        <w:rPr>
          <w:rtl/>
        </w:rPr>
      </w:pPr>
      <w:r>
        <w:rPr>
          <w:rtl/>
        </w:rPr>
        <w:tab/>
        <w:t>השירות התרשם כי התפקיד שסיגל הנאשם לעצמו במסגרת המשפחה בחוסר התאמה לנתוניו, והנסיבות המשפחתיות שתוארו, השפיעו על זהותו העצמית של הנאשם, על אימוץ דפוסי חשיבה והתנהגות שוליים ומכשילים, על גבולות פנימיים מטושטשים ועל קושי בבחינת השלכות מעשיו ולקיחת אחריות עליהם.  שירות המבחן העריך כי להחזקת הנשק תפקיד להוכחת מילוי הציפיות, יוקרה וסטטוס בחברתו לתפיסתו, וכי באם לא יחזיק נשק הוא עלול להיתפס כנחות וכפחדן. עוד התרשם השירות כי התנהגותו של הנאשם בעת ביצוע העבירה מבטאת קושי לשלוט ולווסת את דחפיו ורצונותיו ולהפעיל שיקול דעת מעמיק לבחירותיו. שירות המבחן סבור כי העובדה שהנאשם בחר לבצע את העבירה בתיק זה, חרף כך שנידון לסנקציות עונשיות קודמות בגין עבירות שונות, מלמדת על דפוסי התנהגות בעייתיים שאינם עומדים בקו אחד עם החוק ומסגרותיו.</w:t>
      </w:r>
    </w:p>
    <w:p w14:paraId="1970C3D7" w14:textId="77777777" w:rsidR="0034251D" w:rsidRDefault="0034251D" w:rsidP="00D348D9">
      <w:pPr>
        <w:spacing w:line="360" w:lineRule="auto"/>
        <w:ind w:left="652" w:hanging="652"/>
        <w:jc w:val="both"/>
        <w:rPr>
          <w:rtl/>
        </w:rPr>
      </w:pPr>
      <w:r>
        <w:rPr>
          <w:rtl/>
        </w:rPr>
        <w:tab/>
        <w:t>שירות המבחן סבור כי כל אלה מגבירים  את הסיכון להתנהגות עוברת חוק מצידו של הנאשם.</w:t>
      </w:r>
    </w:p>
    <w:p w14:paraId="1615DA90" w14:textId="77777777" w:rsidR="0034251D" w:rsidRDefault="0034251D" w:rsidP="00D348D9">
      <w:pPr>
        <w:spacing w:line="360" w:lineRule="auto"/>
        <w:ind w:left="652" w:hanging="652"/>
        <w:jc w:val="both"/>
        <w:rPr>
          <w:rtl/>
        </w:rPr>
      </w:pPr>
      <w:r>
        <w:rPr>
          <w:rtl/>
        </w:rPr>
        <w:tab/>
        <w:t xml:space="preserve">שירות המבחן סבור כי חרף העובדה שהנאשם גילה יציבות תעסוקתית, גילה אמפתיה לאשתו והרתיעה המסוימת שחש כתוצאה מהליך המשפטי ומחירו, אין מקום לבוא בהמלצה טיפולית או שיקומית בעניינו, וזאת נוכח חומרת העבירה, התייחסותו הבעייתית אליה, הקושי לערוך התבוננות מעמיקה, והערכת הסיכון להתנהגות עוברת חוק בעתיד. </w:t>
      </w:r>
    </w:p>
    <w:p w14:paraId="5F6E766A" w14:textId="77777777" w:rsidR="0034251D" w:rsidRDefault="0034251D" w:rsidP="00D348D9">
      <w:pPr>
        <w:spacing w:line="360" w:lineRule="auto"/>
        <w:ind w:left="652" w:hanging="652"/>
        <w:jc w:val="both"/>
        <w:rPr>
          <w:rtl/>
        </w:rPr>
      </w:pPr>
      <w:r>
        <w:rPr>
          <w:rtl/>
        </w:rPr>
        <w:tab/>
        <w:t xml:space="preserve">בסופו של תסקיר המליץ שירות המבחן על השתת עונש מוחשי לצד מאסר מותנה, עונש אשר יהיה בו כדי לחזק את ההרתעה ולהציב גבולות בפני הנאשם. לצד זאת, ובשים לב לכך שמדובר בנאשם צעיר אשר נמצא בצומת קריטי בחייו, המליץ שירות המבחן על שילוב הנאשם בהליך טיפולי במסגרת המאסר. </w:t>
      </w:r>
    </w:p>
    <w:p w14:paraId="2BC1B1E0" w14:textId="77777777" w:rsidR="0034251D" w:rsidRDefault="0034251D" w:rsidP="00D348D9">
      <w:pPr>
        <w:spacing w:line="360" w:lineRule="auto"/>
        <w:ind w:left="652" w:hanging="652"/>
        <w:jc w:val="both"/>
        <w:rPr>
          <w:rtl/>
        </w:rPr>
      </w:pPr>
    </w:p>
    <w:p w14:paraId="40D1B165" w14:textId="77777777" w:rsidR="0034251D" w:rsidRDefault="0034251D" w:rsidP="00D348D9">
      <w:pPr>
        <w:spacing w:line="360" w:lineRule="auto"/>
        <w:ind w:left="652" w:hanging="652"/>
        <w:jc w:val="both"/>
        <w:rPr>
          <w:b/>
          <w:bCs/>
          <w:u w:val="single"/>
          <w:rtl/>
        </w:rPr>
      </w:pPr>
      <w:r>
        <w:rPr>
          <w:rtl/>
        </w:rPr>
        <w:tab/>
      </w:r>
      <w:r>
        <w:rPr>
          <w:b/>
          <w:bCs/>
          <w:u w:val="single"/>
          <w:rtl/>
        </w:rPr>
        <w:t>דיון</w:t>
      </w:r>
    </w:p>
    <w:p w14:paraId="478F536C" w14:textId="77777777" w:rsidR="0034251D" w:rsidRDefault="0034251D" w:rsidP="00D348D9">
      <w:pPr>
        <w:spacing w:line="360" w:lineRule="auto"/>
        <w:ind w:left="652" w:hanging="652"/>
        <w:jc w:val="both"/>
        <w:rPr>
          <w:rtl/>
        </w:rPr>
      </w:pPr>
      <w:r>
        <w:rPr>
          <w:rtl/>
        </w:rPr>
        <w:t>8.</w:t>
      </w:r>
      <w:r>
        <w:rPr>
          <w:rtl/>
        </w:rPr>
        <w:tab/>
      </w:r>
      <w:r>
        <w:rPr>
          <w:rFonts w:ascii="Arial" w:hAnsi="Arial"/>
          <w:rtl/>
        </w:rPr>
        <w:t xml:space="preserve">סבורני כי מתחם העונש ההולם צריך לנוע בין עונש של </w:t>
      </w:r>
      <w:r>
        <w:rPr>
          <w:rFonts w:ascii="Arial" w:hAnsi="Arial"/>
          <w:rtl/>
        </w:rPr>
        <w:softHyphen/>
      </w:r>
      <w:r>
        <w:rPr>
          <w:rFonts w:ascii="Arial" w:hAnsi="Arial"/>
          <w:rtl/>
        </w:rPr>
        <w:softHyphen/>
      </w:r>
      <w:r>
        <w:rPr>
          <w:rFonts w:ascii="Arial" w:hAnsi="Arial"/>
          <w:rtl/>
        </w:rPr>
        <w:softHyphen/>
      </w:r>
      <w:r>
        <w:rPr>
          <w:rFonts w:ascii="Arial" w:hAnsi="Arial"/>
          <w:rtl/>
        </w:rPr>
        <w:softHyphen/>
        <w:t>20 חודשי מאסר לעונש של 30 חודשי מאסר. בקביעת המתחם התחשבתי בערכים החברתיים שנפגעו, במידת הפגיעה בהם, בענישה הנהוגה ובנסיבות הקשורות בביצוע העבירה, כפי שאפרט להלן.</w:t>
      </w:r>
    </w:p>
    <w:p w14:paraId="60802701" w14:textId="77777777" w:rsidR="0034251D" w:rsidRDefault="0034251D" w:rsidP="00D348D9">
      <w:pPr>
        <w:spacing w:line="360" w:lineRule="auto"/>
        <w:ind w:left="652" w:hanging="652"/>
        <w:jc w:val="both"/>
        <w:rPr>
          <w:rtl/>
        </w:rPr>
      </w:pPr>
    </w:p>
    <w:p w14:paraId="2F654A39" w14:textId="77777777" w:rsidR="0034251D" w:rsidRDefault="0034251D" w:rsidP="00D348D9">
      <w:pPr>
        <w:spacing w:line="360" w:lineRule="auto"/>
        <w:ind w:left="652" w:hanging="652"/>
        <w:jc w:val="both"/>
        <w:rPr>
          <w:rtl/>
        </w:rPr>
      </w:pPr>
      <w:r>
        <w:rPr>
          <w:rtl/>
        </w:rPr>
        <w:t>9.</w:t>
      </w:r>
      <w:r>
        <w:rPr>
          <w:rtl/>
        </w:rPr>
        <w:tab/>
      </w:r>
      <w:r>
        <w:rPr>
          <w:rFonts w:ascii="Arial" w:hAnsi="Arial"/>
          <w:rtl/>
        </w:rPr>
        <w:t xml:space="preserve">הנאשם פגע בערכים של שמירה על שלום הציבור ובטחונו, לרבות הגנה על חיי אדם, שמירה על שלטון החוק והסדר הציבורי. </w:t>
      </w:r>
    </w:p>
    <w:p w14:paraId="5BDD4605" w14:textId="77777777" w:rsidR="0034251D" w:rsidRDefault="0034251D" w:rsidP="00D348D9">
      <w:pPr>
        <w:spacing w:line="360" w:lineRule="auto"/>
        <w:ind w:left="652" w:hanging="652"/>
        <w:jc w:val="both"/>
        <w:rPr>
          <w:rtl/>
        </w:rPr>
      </w:pPr>
    </w:p>
    <w:p w14:paraId="52D41B70" w14:textId="77777777" w:rsidR="0034251D" w:rsidRDefault="0034251D" w:rsidP="00D348D9">
      <w:pPr>
        <w:spacing w:line="360" w:lineRule="auto"/>
        <w:ind w:left="652" w:hanging="652"/>
        <w:jc w:val="both"/>
        <w:rPr>
          <w:rtl/>
        </w:rPr>
      </w:pPr>
      <w:r>
        <w:rPr>
          <w:rtl/>
        </w:rPr>
        <w:t>10.</w:t>
      </w:r>
      <w:r>
        <w:rPr>
          <w:rtl/>
        </w:rPr>
        <w:tab/>
      </w:r>
      <w:r>
        <w:rPr>
          <w:rFonts w:ascii="Arial" w:hAnsi="Arial"/>
          <w:rtl/>
        </w:rPr>
        <w:t>ניסיון החיים במציאות הישראלית  מלמד כי ישנו בסיס מוצק לחשש כי נשק שהוחזק באופן לא חוקי יימצא בסופו של יום בידי גורמים עברייניים או עוינים שיעשו בו שימוש לפגיעה בגוף ובנפש. ב</w:t>
      </w:r>
      <w:hyperlink r:id="rId18" w:history="1">
        <w:r w:rsidR="00466323" w:rsidRPr="00466323">
          <w:rPr>
            <w:rFonts w:ascii="Arial" w:hAnsi="Arial"/>
            <w:color w:val="0000FF"/>
            <w:u w:val="single"/>
            <w:rtl/>
          </w:rPr>
          <w:t>ע"פ 5220/09</w:t>
        </w:r>
      </w:hyperlink>
      <w:r>
        <w:rPr>
          <w:rFonts w:ascii="Arial" w:hAnsi="Arial"/>
          <w:rtl/>
        </w:rPr>
        <w:t xml:space="preserve"> </w:t>
      </w:r>
      <w:r>
        <w:rPr>
          <w:rFonts w:ascii="Arial" w:hAnsi="Arial"/>
          <w:b/>
          <w:bCs/>
          <w:rtl/>
        </w:rPr>
        <w:t>הייתם עוואודה נ' מדינת ישראל</w:t>
      </w:r>
      <w:r>
        <w:rPr>
          <w:rFonts w:ascii="Arial" w:hAnsi="Arial"/>
          <w:rtl/>
        </w:rPr>
        <w:t xml:space="preserve"> (פורסם בנבו) (להלן :"עניין עוואודה") התייחס בית המשפט העליון לחומרה שבעבירות הנשק:</w:t>
      </w:r>
      <w:r>
        <w:rPr>
          <w:rFonts w:ascii="Arial" w:hAnsi="Arial"/>
        </w:rPr>
        <w:t xml:space="preserve"> </w:t>
      </w:r>
    </w:p>
    <w:p w14:paraId="2E2D6790" w14:textId="77777777" w:rsidR="0034251D" w:rsidRDefault="0034251D" w:rsidP="00D348D9">
      <w:pPr>
        <w:spacing w:line="360" w:lineRule="auto"/>
        <w:ind w:left="1503" w:right="567"/>
        <w:jc w:val="both"/>
        <w:rPr>
          <w:rtl/>
        </w:rPr>
      </w:pPr>
      <w:r>
        <w:rPr>
          <w:rFonts w:ascii="Arial" w:hAnsi="Arial"/>
          <w:b/>
          <w:bCs/>
          <w:rtl/>
        </w:rPr>
        <w:t xml:space="preserve">"...נשק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w:t>
      </w:r>
    </w:p>
    <w:p w14:paraId="1EEACAEB" w14:textId="77777777" w:rsidR="0034251D" w:rsidRDefault="0034251D" w:rsidP="00D348D9">
      <w:pPr>
        <w:spacing w:line="360" w:lineRule="auto"/>
        <w:jc w:val="both"/>
        <w:rPr>
          <w:rFonts w:ascii="Arial" w:hAnsi="Arial"/>
          <w:b/>
          <w:bCs/>
          <w:rtl/>
        </w:rPr>
      </w:pPr>
    </w:p>
    <w:p w14:paraId="3077576A" w14:textId="77777777" w:rsidR="0034251D" w:rsidRDefault="0034251D" w:rsidP="00D348D9">
      <w:pPr>
        <w:spacing w:line="360" w:lineRule="auto"/>
        <w:ind w:left="652" w:hanging="709"/>
        <w:jc w:val="both"/>
        <w:rPr>
          <w:rFonts w:ascii="Arial" w:hAnsi="Arial"/>
          <w:rtl/>
        </w:rPr>
      </w:pPr>
      <w:r>
        <w:rPr>
          <w:rFonts w:ascii="Arial" w:hAnsi="Arial"/>
          <w:rtl/>
        </w:rPr>
        <w:t>11.</w:t>
      </w:r>
      <w:r>
        <w:rPr>
          <w:rFonts w:ascii="Arial" w:hAnsi="Arial"/>
          <w:rtl/>
        </w:rPr>
        <w:tab/>
        <w:t xml:space="preserve">בענייננו, מידת הפגיעה בערכים אלו היא משמעותית כעולה מסוג הנשק והמחסנית שנמצאה יחד איתו. </w:t>
      </w:r>
    </w:p>
    <w:p w14:paraId="6D614044" w14:textId="77777777" w:rsidR="0034251D" w:rsidRDefault="0034251D" w:rsidP="00D348D9">
      <w:pPr>
        <w:spacing w:line="360" w:lineRule="auto"/>
        <w:ind w:left="652" w:hanging="709"/>
        <w:jc w:val="both"/>
        <w:rPr>
          <w:rFonts w:ascii="Arial" w:hAnsi="Arial"/>
          <w:rtl/>
        </w:rPr>
      </w:pPr>
    </w:p>
    <w:p w14:paraId="46EB6AD6" w14:textId="77777777" w:rsidR="0034251D" w:rsidRDefault="0034251D" w:rsidP="00D348D9">
      <w:pPr>
        <w:spacing w:line="360" w:lineRule="auto"/>
        <w:ind w:left="652" w:hanging="709"/>
        <w:jc w:val="both"/>
        <w:rPr>
          <w:rFonts w:ascii="Arial" w:hAnsi="Arial"/>
          <w:rtl/>
        </w:rPr>
      </w:pPr>
      <w:r>
        <w:rPr>
          <w:rFonts w:ascii="Arial" w:hAnsi="Arial"/>
          <w:rtl/>
        </w:rPr>
        <w:t>12.</w:t>
      </w:r>
      <w:r>
        <w:rPr>
          <w:rFonts w:ascii="Arial" w:hAnsi="Arial"/>
          <w:rtl/>
        </w:rPr>
        <w:tab/>
        <w:t xml:space="preserve">ביחס לענישה הנוהגת קבע בית המשפט העליון כי יש לתת ביטוי עונשי הולם ומרתיע לעבירות הנשק ולתת משקל גבוה לאינטרס הציבורי ולצורך להרתיע עבריינים לבצע עבירות דומות. לעניין זה ראו </w:t>
      </w:r>
      <w:hyperlink r:id="rId19" w:history="1">
        <w:r w:rsidR="00466323" w:rsidRPr="00466323">
          <w:rPr>
            <w:rFonts w:ascii="Arial" w:hAnsi="Arial"/>
            <w:color w:val="0000FF"/>
            <w:u w:val="single"/>
            <w:rtl/>
          </w:rPr>
          <w:t>ע"פ 5604/11</w:t>
        </w:r>
      </w:hyperlink>
      <w:r>
        <w:rPr>
          <w:rFonts w:ascii="Arial" w:hAnsi="Arial"/>
          <w:rtl/>
        </w:rPr>
        <w:t xml:space="preserve"> </w:t>
      </w:r>
      <w:r>
        <w:rPr>
          <w:rFonts w:ascii="Arial" w:hAnsi="Arial"/>
          <w:b/>
          <w:bCs/>
          <w:rtl/>
        </w:rPr>
        <w:t>נאסר נ' מדינת ישראל</w:t>
      </w:r>
      <w:r>
        <w:rPr>
          <w:rFonts w:ascii="Arial" w:hAnsi="Arial"/>
          <w:rtl/>
        </w:rPr>
        <w:t>, (פורסם בנבו):</w:t>
      </w:r>
    </w:p>
    <w:p w14:paraId="506E7094" w14:textId="77777777" w:rsidR="0034251D" w:rsidRDefault="0034251D" w:rsidP="00D348D9">
      <w:pPr>
        <w:spacing w:line="360" w:lineRule="auto"/>
        <w:ind w:left="1503" w:right="567"/>
        <w:jc w:val="both"/>
        <w:rPr>
          <w:rFonts w:ascii="Arial" w:hAnsi="Arial"/>
          <w:b/>
          <w:bCs/>
          <w:rtl/>
        </w:rPr>
      </w:pPr>
      <w:r>
        <w:rPr>
          <w:rFonts w:ascii="Arial" w:hAnsi="Arial"/>
          <w:b/>
          <w:bCs/>
          <w:rtl/>
        </w:rPr>
        <w:t xml:space="preserve">"לא אחת עמד בית משפט זה על החומרה היתרה הנודעת לעבירות נשק בכלל, ולעבירת החזקת נשק בפרט...ולפיכך, מחייבת ליתן ביטוי עונשי הולם ומרתיע באמצעות הרחקת מבצע העבירה מן החברה לתקופה מסוימת...". </w:t>
      </w:r>
    </w:p>
    <w:p w14:paraId="37E1B9A1" w14:textId="77777777" w:rsidR="0034251D" w:rsidRDefault="0034251D" w:rsidP="00D348D9">
      <w:pPr>
        <w:spacing w:line="360" w:lineRule="auto"/>
        <w:ind w:left="1503" w:right="567"/>
        <w:jc w:val="both"/>
        <w:rPr>
          <w:rFonts w:ascii="Arial" w:hAnsi="Arial"/>
          <w:rtl/>
        </w:rPr>
      </w:pPr>
    </w:p>
    <w:p w14:paraId="699B237D" w14:textId="77777777" w:rsidR="0034251D" w:rsidRDefault="0034251D" w:rsidP="00D348D9">
      <w:pPr>
        <w:spacing w:line="360" w:lineRule="auto"/>
        <w:ind w:left="652" w:hanging="709"/>
        <w:jc w:val="both"/>
        <w:rPr>
          <w:rFonts w:ascii="Arial" w:hAnsi="Arial"/>
          <w:b/>
          <w:bCs/>
          <w:rtl/>
        </w:rPr>
      </w:pPr>
      <w:r>
        <w:rPr>
          <w:rFonts w:ascii="Arial" w:hAnsi="Arial"/>
          <w:rtl/>
        </w:rPr>
        <w:tab/>
        <w:t xml:space="preserve">בשנים האחרונות חוזר בית המשפט העליון פעם אחר פעם על הצורך </w:t>
      </w:r>
      <w:r>
        <w:rPr>
          <w:rFonts w:ascii="Arial" w:hAnsi="Arial"/>
          <w:b/>
          <w:bCs/>
          <w:rtl/>
        </w:rPr>
        <w:t>להחמיר בענישה בעבירות נשק</w:t>
      </w:r>
      <w:r>
        <w:rPr>
          <w:rFonts w:ascii="Arial" w:hAnsi="Arial"/>
          <w:rtl/>
        </w:rPr>
        <w:t>, כך למשל נאמר ב</w:t>
      </w:r>
      <w:hyperlink r:id="rId20" w:history="1">
        <w:r w:rsidR="00466323" w:rsidRPr="00466323">
          <w:rPr>
            <w:rFonts w:ascii="Arial" w:hAnsi="Arial"/>
            <w:color w:val="0000FF"/>
            <w:u w:val="single"/>
            <w:rtl/>
          </w:rPr>
          <w:t>ע"פ 4460/11</w:t>
        </w:r>
      </w:hyperlink>
      <w:r>
        <w:rPr>
          <w:rFonts w:ascii="Arial" w:hAnsi="Arial"/>
          <w:rtl/>
        </w:rPr>
        <w:t xml:space="preserve"> </w:t>
      </w:r>
      <w:r>
        <w:rPr>
          <w:rFonts w:ascii="Arial" w:hAnsi="Arial"/>
          <w:b/>
          <w:bCs/>
          <w:rtl/>
        </w:rPr>
        <w:t>מדינת ישראל נ' פאיד</w:t>
      </w:r>
      <w:r>
        <w:rPr>
          <w:rFonts w:ascii="Arial" w:hAnsi="Arial"/>
          <w:rtl/>
        </w:rPr>
        <w:t xml:space="preserve"> (פורסם בנבו), כי: </w:t>
      </w:r>
    </w:p>
    <w:p w14:paraId="7FAD4F9E" w14:textId="77777777" w:rsidR="0034251D" w:rsidRDefault="0034251D" w:rsidP="00D348D9">
      <w:pPr>
        <w:spacing w:line="360" w:lineRule="auto"/>
        <w:ind w:left="1503" w:right="567"/>
        <w:jc w:val="both"/>
        <w:rPr>
          <w:rFonts w:ascii="Arial" w:hAnsi="Arial"/>
          <w:b/>
          <w:bCs/>
          <w:rtl/>
        </w:rPr>
      </w:pPr>
      <w:r>
        <w:rPr>
          <w:rFonts w:ascii="Arial" w:hAnsi="Arial"/>
          <w:b/>
          <w:bCs/>
          <w:rtl/>
        </w:rPr>
        <w:t>"הגיעה השעה להחמיר בעבירות של החזקת נשק ושימוש בו. נשק המוחזק שלא כדין עלול למצוא דרכו לידיים עוינות ועלול גם לשמש למטרות פליליות"</w:t>
      </w:r>
      <w:r>
        <w:rPr>
          <w:rFonts w:ascii="Arial" w:hAnsi="Arial"/>
          <w:rtl/>
        </w:rPr>
        <w:t>.</w:t>
      </w:r>
      <w:r>
        <w:rPr>
          <w:rFonts w:ascii="Arial" w:hAnsi="Arial"/>
          <w:b/>
          <w:bCs/>
          <w:rtl/>
        </w:rPr>
        <w:t xml:space="preserve"> </w:t>
      </w:r>
    </w:p>
    <w:p w14:paraId="36D45F1A" w14:textId="77777777" w:rsidR="0034251D" w:rsidRDefault="0034251D" w:rsidP="00D348D9">
      <w:pPr>
        <w:spacing w:line="360" w:lineRule="auto"/>
        <w:ind w:left="652" w:hanging="709"/>
        <w:jc w:val="both"/>
        <w:rPr>
          <w:rFonts w:ascii="Arial" w:hAnsi="Arial"/>
          <w:rtl/>
        </w:rPr>
      </w:pPr>
      <w:r>
        <w:rPr>
          <w:rFonts w:ascii="Arial" w:hAnsi="Arial"/>
          <w:rtl/>
        </w:rPr>
        <w:tab/>
        <w:t xml:space="preserve">כן ראו </w:t>
      </w:r>
      <w:hyperlink r:id="rId21" w:history="1">
        <w:r w:rsidR="00466323" w:rsidRPr="00466323">
          <w:rPr>
            <w:rFonts w:ascii="Arial" w:hAnsi="Arial"/>
            <w:color w:val="0000FF"/>
            <w:u w:val="single"/>
            <w:rtl/>
          </w:rPr>
          <w:t>ע"פ 1323/13</w:t>
        </w:r>
      </w:hyperlink>
      <w:r>
        <w:rPr>
          <w:rFonts w:ascii="Arial" w:hAnsi="Arial"/>
          <w:rtl/>
        </w:rPr>
        <w:t xml:space="preserve"> </w:t>
      </w:r>
      <w:r>
        <w:rPr>
          <w:rFonts w:ascii="Arial" w:hAnsi="Arial"/>
          <w:b/>
          <w:bCs/>
          <w:rtl/>
        </w:rPr>
        <w:t>חסן ואח' נ' מדינת ישראל</w:t>
      </w:r>
      <w:r>
        <w:rPr>
          <w:rFonts w:ascii="Arial" w:hAnsi="Arial"/>
          <w:rtl/>
        </w:rPr>
        <w:t xml:space="preserve"> (פורסם בנבו). </w:t>
      </w:r>
    </w:p>
    <w:p w14:paraId="0C514848" w14:textId="77777777" w:rsidR="0034251D" w:rsidRDefault="0034251D" w:rsidP="00D348D9">
      <w:pPr>
        <w:spacing w:line="360" w:lineRule="auto"/>
        <w:ind w:left="567" w:hanging="567"/>
        <w:jc w:val="both"/>
        <w:rPr>
          <w:rFonts w:ascii="Arial" w:hAnsi="Arial"/>
          <w:rtl/>
        </w:rPr>
      </w:pPr>
    </w:p>
    <w:p w14:paraId="254EB1D9" w14:textId="77777777" w:rsidR="0034251D" w:rsidRDefault="0034251D" w:rsidP="00D348D9">
      <w:pPr>
        <w:spacing w:line="360" w:lineRule="auto"/>
        <w:ind w:left="652" w:hanging="709"/>
        <w:jc w:val="both"/>
        <w:rPr>
          <w:rFonts w:ascii="Arial" w:hAnsi="Arial"/>
          <w:rtl/>
        </w:rPr>
      </w:pPr>
      <w:r>
        <w:rPr>
          <w:rFonts w:ascii="Arial" w:hAnsi="Arial"/>
          <w:rtl/>
        </w:rPr>
        <w:t xml:space="preserve"> </w:t>
      </w:r>
      <w:r>
        <w:rPr>
          <w:rFonts w:ascii="Arial" w:hAnsi="Arial"/>
          <w:rtl/>
        </w:rPr>
        <w:tab/>
        <w:t xml:space="preserve">הפסיקה בעבירות הנשק היא מגוונת ותלויה בנסיבות ה"עושה" לרבות בעברו הפלילי ובנסיבות ה"מעשה" לרבות סוג הנשק, כמות הנשק או התחמושת, משך הזמן שהנשק הוחזק, האם נעשה בנשק שימוש והתכלית שלשמה הוחזק הנשק. </w:t>
      </w:r>
    </w:p>
    <w:p w14:paraId="57099471" w14:textId="77777777" w:rsidR="0034251D" w:rsidRDefault="0034251D" w:rsidP="00D348D9">
      <w:pPr>
        <w:spacing w:line="360" w:lineRule="auto"/>
        <w:ind w:left="652" w:hanging="709"/>
        <w:jc w:val="both"/>
        <w:rPr>
          <w:rFonts w:ascii="Arial" w:hAnsi="Arial"/>
          <w:rtl/>
        </w:rPr>
      </w:pPr>
    </w:p>
    <w:p w14:paraId="25909F40" w14:textId="77777777" w:rsidR="0034251D" w:rsidRDefault="0034251D" w:rsidP="00D22436">
      <w:pPr>
        <w:spacing w:line="360" w:lineRule="auto"/>
        <w:ind w:left="652" w:hanging="709"/>
        <w:jc w:val="both"/>
        <w:rPr>
          <w:rFonts w:ascii="Arial" w:hAnsi="Arial"/>
          <w:rtl/>
        </w:rPr>
      </w:pPr>
      <w:r>
        <w:rPr>
          <w:rFonts w:ascii="Arial" w:hAnsi="Arial"/>
          <w:rtl/>
        </w:rPr>
        <w:tab/>
        <w:t>ב</w:t>
      </w:r>
      <w:hyperlink r:id="rId22" w:history="1">
        <w:r w:rsidR="00466323" w:rsidRPr="00466323">
          <w:rPr>
            <w:rFonts w:ascii="Arial" w:hAnsi="Arial"/>
            <w:color w:val="0000FF"/>
            <w:u w:val="single"/>
            <w:rtl/>
          </w:rPr>
          <w:t>ע"פ 5968/19</w:t>
        </w:r>
      </w:hyperlink>
      <w:r>
        <w:rPr>
          <w:rFonts w:ascii="Arial" w:hAnsi="Arial"/>
          <w:rtl/>
        </w:rPr>
        <w:t xml:space="preserve"> </w:t>
      </w:r>
      <w:r>
        <w:rPr>
          <w:rFonts w:ascii="Arial" w:hAnsi="Arial"/>
          <w:b/>
          <w:bCs/>
          <w:rtl/>
        </w:rPr>
        <w:t>עמאר שיך אלעיד נ' מדינת ישראל</w:t>
      </w:r>
      <w:r>
        <w:rPr>
          <w:rFonts w:ascii="Arial" w:hAnsi="Arial"/>
          <w:rtl/>
        </w:rPr>
        <w:t xml:space="preserve"> (פורסם באתר בתי המשפט</w:t>
      </w:r>
      <w:r w:rsidR="00D22436">
        <w:rPr>
          <w:rFonts w:ascii="Arial" w:hAnsi="Arial" w:hint="cs"/>
          <w:rtl/>
        </w:rPr>
        <w:t xml:space="preserve">, </w:t>
      </w:r>
      <w:r w:rsidR="00D22436" w:rsidRPr="00D22436">
        <w:rPr>
          <w:rFonts w:ascii="Times New Roman" w:hAnsi="Times New Roman"/>
          <w:sz w:val="22"/>
          <w:rtl/>
        </w:rPr>
        <w:t>[פורסם בנבו]</w:t>
      </w:r>
      <w:r>
        <w:rPr>
          <w:rFonts w:ascii="Arial" w:hAnsi="Arial"/>
          <w:rtl/>
        </w:rPr>
        <w:t xml:space="preserve">, 23.10.19) אליו הפנתה המאשימה, חזר בו המערער מהערעור בהמלצת בית המשפט. במקרה זה נדון הנאשם בבית המשפט המחוזי לעונש של 24 חודשי מאסר בגין ביצוע עבירה של החזקת נשק (דמוי רובה סער </w:t>
      </w:r>
      <w:r>
        <w:rPr>
          <w:rFonts w:ascii="Arial" w:hAnsi="Arial"/>
        </w:rPr>
        <w:t>M-16</w:t>
      </w:r>
      <w:r>
        <w:rPr>
          <w:rFonts w:ascii="Arial" w:hAnsi="Arial"/>
          <w:rtl/>
        </w:rPr>
        <w:t>).</w:t>
      </w:r>
    </w:p>
    <w:p w14:paraId="383A18D1" w14:textId="77777777" w:rsidR="0034251D" w:rsidRDefault="0034251D" w:rsidP="00D348D9">
      <w:pPr>
        <w:spacing w:line="360" w:lineRule="auto"/>
        <w:ind w:left="652" w:hanging="709"/>
        <w:jc w:val="both"/>
        <w:rPr>
          <w:rFonts w:ascii="Arial" w:hAnsi="Arial"/>
          <w:rtl/>
        </w:rPr>
      </w:pPr>
      <w:r>
        <w:rPr>
          <w:rFonts w:ascii="Arial" w:hAnsi="Arial"/>
          <w:rtl/>
        </w:rPr>
        <w:tab/>
      </w:r>
    </w:p>
    <w:p w14:paraId="27D6D71B" w14:textId="77777777" w:rsidR="0034251D" w:rsidRDefault="0034251D" w:rsidP="00D348D9">
      <w:pPr>
        <w:spacing w:line="360" w:lineRule="auto"/>
        <w:ind w:left="652"/>
        <w:jc w:val="both"/>
        <w:rPr>
          <w:rFonts w:ascii="Arial" w:hAnsi="Arial"/>
          <w:rtl/>
        </w:rPr>
      </w:pPr>
      <w:r>
        <w:rPr>
          <w:rFonts w:ascii="Arial" w:hAnsi="Arial"/>
          <w:rtl/>
        </w:rPr>
        <w:t>ב</w:t>
      </w:r>
      <w:hyperlink r:id="rId23" w:history="1">
        <w:r w:rsidR="00466323" w:rsidRPr="00466323">
          <w:rPr>
            <w:rFonts w:ascii="Arial" w:hAnsi="Arial"/>
            <w:color w:val="0000FF"/>
            <w:u w:val="single"/>
            <w:rtl/>
          </w:rPr>
          <w:t>ע"פ 761/07</w:t>
        </w:r>
      </w:hyperlink>
      <w:r>
        <w:rPr>
          <w:rFonts w:ascii="Arial" w:hAnsi="Arial"/>
          <w:rtl/>
        </w:rPr>
        <w:t xml:space="preserve"> </w:t>
      </w:r>
      <w:r>
        <w:rPr>
          <w:rFonts w:ascii="Arial" w:hAnsi="Arial"/>
          <w:b/>
          <w:bCs/>
          <w:rtl/>
        </w:rPr>
        <w:t>מדינת ישראל נגד אדרי</w:t>
      </w:r>
      <w:r>
        <w:rPr>
          <w:rFonts w:ascii="Arial" w:hAnsi="Arial"/>
          <w:rtl/>
        </w:rPr>
        <w:t xml:space="preserve"> (פורסם בנבו, 22.2.2007) נידון עניינו של נאשם שעוכב לבדיקה עת היה ברכבו, ונמצאו עליו אקדח, מחסנית ותחמושת עטופים, ואשר הוטל עליו עונש של 12 חודשי מאסר בבית המשפט המחוזי. ערעור המדינה על קולת העונש התקבל ובית המשפט העליון הכפיל את העונש לתקופה של 24 חודשי מאסר. </w:t>
      </w:r>
    </w:p>
    <w:p w14:paraId="7806DDBA" w14:textId="77777777" w:rsidR="0034251D" w:rsidRDefault="0034251D" w:rsidP="00D348D9">
      <w:pPr>
        <w:spacing w:line="360" w:lineRule="auto"/>
        <w:ind w:left="652" w:hanging="709"/>
        <w:jc w:val="both"/>
        <w:rPr>
          <w:rFonts w:ascii="Arial" w:hAnsi="Arial"/>
          <w:rtl/>
        </w:rPr>
      </w:pPr>
      <w:r>
        <w:rPr>
          <w:rFonts w:ascii="Arial" w:hAnsi="Arial"/>
          <w:rtl/>
        </w:rPr>
        <w:tab/>
      </w:r>
    </w:p>
    <w:p w14:paraId="3A752E3E" w14:textId="77777777" w:rsidR="0034251D" w:rsidRDefault="0034251D" w:rsidP="00D348D9">
      <w:pPr>
        <w:spacing w:line="360" w:lineRule="auto"/>
        <w:ind w:left="723"/>
        <w:jc w:val="both"/>
        <w:rPr>
          <w:rFonts w:ascii="Arial" w:hAnsi="Arial"/>
          <w:rtl/>
        </w:rPr>
      </w:pPr>
      <w:r>
        <w:rPr>
          <w:rFonts w:ascii="Arial" w:hAnsi="Arial"/>
          <w:rtl/>
        </w:rPr>
        <w:t>ב</w:t>
      </w:r>
      <w:hyperlink r:id="rId24" w:history="1">
        <w:r w:rsidR="00466323" w:rsidRPr="00466323">
          <w:rPr>
            <w:rFonts w:ascii="Arial" w:hAnsi="Arial"/>
            <w:color w:val="0000FF"/>
            <w:u w:val="single"/>
            <w:rtl/>
          </w:rPr>
          <w:t>ע"פ 3156/11</w:t>
        </w:r>
      </w:hyperlink>
      <w:r>
        <w:rPr>
          <w:rFonts w:ascii="Arial" w:hAnsi="Arial"/>
          <w:rtl/>
        </w:rPr>
        <w:t xml:space="preserve"> </w:t>
      </w:r>
      <w:r>
        <w:rPr>
          <w:rFonts w:ascii="Arial" w:hAnsi="Arial"/>
          <w:b/>
          <w:bCs/>
          <w:rtl/>
        </w:rPr>
        <w:t xml:space="preserve">ג'מיל זראיעה נ' מדינת ישראל </w:t>
      </w:r>
      <w:r>
        <w:rPr>
          <w:rFonts w:ascii="Arial" w:hAnsi="Arial"/>
          <w:rtl/>
        </w:rPr>
        <w:t xml:space="preserve">(פורסם בנבו, 14.12.2011), נדחה ערעורו של    מערער שנתפס במסגרת חיפוש שגרתי לאחר שהסליק ברכב בו נסע אקדח מסוג "סמיטיווטסון", מחסנית טעונה בכדורי אקדח וקופסאות עם כדורי אקדח. בית המשפט העליון הותיר על כנו עונש של 24 חודשי מאסר שהשית עליו בית המשפט המחוזי, וזאת למרות שלא נעשה שימוש בנשק ולא הייתה כוונה לעשות בו שימוש.  </w:t>
      </w:r>
    </w:p>
    <w:p w14:paraId="3C7BDC29" w14:textId="77777777" w:rsidR="0034251D" w:rsidRDefault="0034251D" w:rsidP="00D348D9">
      <w:pPr>
        <w:spacing w:line="360" w:lineRule="auto"/>
        <w:jc w:val="both"/>
        <w:rPr>
          <w:rFonts w:ascii="Arial" w:hAnsi="Arial"/>
          <w:rtl/>
        </w:rPr>
      </w:pPr>
    </w:p>
    <w:p w14:paraId="76B9F05A" w14:textId="77777777" w:rsidR="0034251D" w:rsidRDefault="0034251D" w:rsidP="00D348D9">
      <w:pPr>
        <w:spacing w:line="360" w:lineRule="auto"/>
        <w:ind w:left="652" w:hanging="709"/>
        <w:jc w:val="both"/>
        <w:rPr>
          <w:rFonts w:ascii="Arial" w:hAnsi="Arial"/>
          <w:rtl/>
        </w:rPr>
      </w:pPr>
      <w:r>
        <w:rPr>
          <w:rFonts w:ascii="Arial" w:hAnsi="Arial"/>
          <w:rtl/>
        </w:rPr>
        <w:tab/>
        <w:t>ב</w:t>
      </w:r>
      <w:hyperlink r:id="rId25" w:history="1">
        <w:r w:rsidR="00466323" w:rsidRPr="00466323">
          <w:rPr>
            <w:rFonts w:ascii="Arial" w:hAnsi="Arial"/>
            <w:color w:val="0000FF"/>
            <w:u w:val="single"/>
            <w:rtl/>
          </w:rPr>
          <w:t>ע"פ 2892/13</w:t>
        </w:r>
      </w:hyperlink>
      <w:r>
        <w:rPr>
          <w:rFonts w:ascii="Arial" w:hAnsi="Arial"/>
          <w:rtl/>
        </w:rPr>
        <w:t xml:space="preserve"> </w:t>
      </w:r>
      <w:r>
        <w:rPr>
          <w:rFonts w:ascii="Arial" w:hAnsi="Arial"/>
          <w:b/>
          <w:bCs/>
          <w:rtl/>
        </w:rPr>
        <w:t>מוחמד עודתאללה נגד מדינת ישראל</w:t>
      </w:r>
      <w:r>
        <w:rPr>
          <w:rFonts w:ascii="Arial" w:hAnsi="Arial"/>
          <w:rtl/>
        </w:rPr>
        <w:t xml:space="preserve"> (פורסם בנבו, 29.9.2013), נדחה ערעורו של המערער שברכב בו נהג נתפס אקדח ובו מחסנית ריקה מכדורים  מוסתר מתחת לשטיחון של כסא הנהג. בית המשפט העליון הותיר על כנו עונש של 21 חודשי מאסר.</w:t>
      </w:r>
    </w:p>
    <w:p w14:paraId="56469645" w14:textId="77777777" w:rsidR="0034251D" w:rsidRDefault="0034251D" w:rsidP="00D348D9">
      <w:pPr>
        <w:spacing w:line="360" w:lineRule="auto"/>
        <w:ind w:left="652" w:hanging="709"/>
        <w:jc w:val="both"/>
        <w:rPr>
          <w:rFonts w:ascii="Arial" w:hAnsi="Arial"/>
          <w:rtl/>
        </w:rPr>
      </w:pPr>
    </w:p>
    <w:p w14:paraId="6CFFAC5B" w14:textId="77777777" w:rsidR="0034251D" w:rsidRDefault="0034251D" w:rsidP="00D348D9">
      <w:pPr>
        <w:spacing w:line="360" w:lineRule="auto"/>
        <w:ind w:left="652" w:hanging="709"/>
        <w:jc w:val="both"/>
        <w:rPr>
          <w:rFonts w:ascii="Arial" w:hAnsi="Arial"/>
          <w:rtl/>
        </w:rPr>
      </w:pPr>
      <w:r>
        <w:rPr>
          <w:rFonts w:ascii="Arial" w:hAnsi="Arial"/>
          <w:rtl/>
        </w:rPr>
        <w:tab/>
        <w:t>ב</w:t>
      </w:r>
      <w:hyperlink r:id="rId26" w:history="1">
        <w:r w:rsidR="00466323" w:rsidRPr="00466323">
          <w:rPr>
            <w:rFonts w:ascii="Arial" w:hAnsi="Arial"/>
            <w:color w:val="0000FF"/>
            <w:u w:val="single"/>
            <w:rtl/>
          </w:rPr>
          <w:t>ע"פ 135/17</w:t>
        </w:r>
      </w:hyperlink>
      <w:r>
        <w:rPr>
          <w:rFonts w:ascii="Arial" w:hAnsi="Arial"/>
          <w:rtl/>
        </w:rPr>
        <w:t xml:space="preserve"> </w:t>
      </w:r>
      <w:r>
        <w:rPr>
          <w:rFonts w:ascii="Arial" w:hAnsi="Arial"/>
          <w:b/>
          <w:bCs/>
          <w:rtl/>
        </w:rPr>
        <w:t xml:space="preserve">מדינת ישראל נגד סמיר בסל </w:t>
      </w:r>
      <w:r>
        <w:rPr>
          <w:rFonts w:ascii="Arial" w:hAnsi="Arial"/>
          <w:rtl/>
        </w:rPr>
        <w:t>(פורסם בנבו, 08.03.2017), נידון עניינו של נאשם שהוביל נשק מסוג תת – מקלע מאולתר ומחסנית ששייכים  לבן משפחתו למקום מסתור, שם החזיק בהם שבוע ימים עד שהעבירם לאחר שרכש אותם. בית המשפט העליון קיבל את ערעור המדינה על קולת העונש, ומבלי למצות את הדין עם הנאשם כדרכה של ערכאת הערעור, המיר אותו ל-18 חודשי מאסר חלף 12 חודשי מאסר שנגזרו  עליו בבית המשפט המחוזי.</w:t>
      </w:r>
    </w:p>
    <w:p w14:paraId="2784105A" w14:textId="77777777" w:rsidR="0034251D" w:rsidRDefault="0034251D" w:rsidP="00D348D9">
      <w:pPr>
        <w:spacing w:line="360" w:lineRule="auto"/>
        <w:ind w:left="652" w:hanging="709"/>
        <w:jc w:val="both"/>
        <w:rPr>
          <w:rFonts w:ascii="Arial" w:hAnsi="Arial"/>
          <w:rtl/>
        </w:rPr>
      </w:pPr>
    </w:p>
    <w:p w14:paraId="107418C0" w14:textId="77777777" w:rsidR="0034251D" w:rsidRDefault="0034251D" w:rsidP="00D348D9">
      <w:pPr>
        <w:spacing w:line="360" w:lineRule="auto"/>
        <w:ind w:left="652" w:hanging="709"/>
        <w:jc w:val="both"/>
        <w:rPr>
          <w:rFonts w:ascii="Arial" w:hAnsi="Arial"/>
          <w:rtl/>
        </w:rPr>
      </w:pPr>
      <w:r>
        <w:rPr>
          <w:rFonts w:ascii="Arial" w:hAnsi="Arial"/>
          <w:rtl/>
        </w:rPr>
        <w:tab/>
        <w:t>ב</w:t>
      </w:r>
      <w:hyperlink r:id="rId27" w:history="1">
        <w:r w:rsidR="00466323" w:rsidRPr="00466323">
          <w:rPr>
            <w:rFonts w:ascii="Arial" w:hAnsi="Arial"/>
            <w:color w:val="0000FF"/>
            <w:u w:val="single"/>
            <w:rtl/>
          </w:rPr>
          <w:t>ע"פ 6294/10</w:t>
        </w:r>
      </w:hyperlink>
      <w:r>
        <w:rPr>
          <w:rFonts w:ascii="Arial" w:hAnsi="Arial"/>
          <w:rtl/>
        </w:rPr>
        <w:t xml:space="preserve"> </w:t>
      </w:r>
      <w:r>
        <w:rPr>
          <w:rFonts w:ascii="Arial" w:hAnsi="Arial"/>
          <w:b/>
          <w:bCs/>
          <w:rtl/>
        </w:rPr>
        <w:t>אלקיעאן ואח' נגד מ"י</w:t>
      </w:r>
      <w:r>
        <w:rPr>
          <w:rFonts w:ascii="Arial" w:hAnsi="Arial"/>
          <w:rtl/>
        </w:rPr>
        <w:t xml:space="preserve"> (פורסם בנבו, 13.02.2011) – דחה בית המשפט העליון את ערעורם של נאשמים שהורשעו בהחזקת אקדח טעון ומחסנית. בגין מעשים אלו נדונו המערערים ל- 10 חודשי מאסר בפועל.</w:t>
      </w:r>
    </w:p>
    <w:p w14:paraId="50E63F3D" w14:textId="77777777" w:rsidR="0034251D" w:rsidRDefault="0034251D" w:rsidP="00D348D9">
      <w:pPr>
        <w:spacing w:line="360" w:lineRule="auto"/>
        <w:ind w:left="652"/>
        <w:jc w:val="both"/>
        <w:rPr>
          <w:rFonts w:ascii="Arial" w:hAnsi="Arial"/>
          <w:rtl/>
        </w:rPr>
      </w:pPr>
    </w:p>
    <w:p w14:paraId="2C14D78F" w14:textId="77777777" w:rsidR="0034251D" w:rsidRDefault="0034251D" w:rsidP="00D348D9">
      <w:pPr>
        <w:spacing w:line="360" w:lineRule="auto"/>
        <w:ind w:left="652"/>
        <w:jc w:val="both"/>
        <w:rPr>
          <w:rFonts w:ascii="Arial" w:hAnsi="Arial"/>
          <w:rtl/>
        </w:rPr>
      </w:pPr>
      <w:r>
        <w:rPr>
          <w:rFonts w:ascii="Arial" w:hAnsi="Arial"/>
          <w:rtl/>
        </w:rPr>
        <w:t>ב</w:t>
      </w:r>
      <w:hyperlink r:id="rId28" w:history="1">
        <w:r w:rsidR="00466323" w:rsidRPr="00466323">
          <w:rPr>
            <w:rFonts w:ascii="Arial" w:hAnsi="Arial"/>
            <w:color w:val="0000FF"/>
            <w:u w:val="single"/>
            <w:rtl/>
          </w:rPr>
          <w:t>רע"פ 7344/18</w:t>
        </w:r>
      </w:hyperlink>
      <w:r>
        <w:rPr>
          <w:rFonts w:ascii="Arial" w:hAnsi="Arial"/>
          <w:rtl/>
        </w:rPr>
        <w:t xml:space="preserve"> </w:t>
      </w:r>
      <w:r>
        <w:rPr>
          <w:rFonts w:ascii="Arial" w:hAnsi="Arial"/>
          <w:b/>
          <w:bCs/>
          <w:rtl/>
        </w:rPr>
        <w:t xml:space="preserve">מוחמד מג'יד נגד מדינת ישראל </w:t>
      </w:r>
      <w:r>
        <w:rPr>
          <w:rFonts w:ascii="Arial" w:hAnsi="Arial"/>
          <w:rtl/>
        </w:rPr>
        <w:t xml:space="preserve">(פורסם בנבו, 21.10.2018) נדחתה בקשת רשות ערעור של נאשם אשר נידון בבית משפט השלום לעונש של 6 חודשי מאסר לריצוי בעבודות שירות, עונש אשר בוטל במסגרת ערעור שהוגש לבית המשפט המחוזי אשר קבע כי העונש הראוי הוא 8 חודשי מאסר לריצוי בפועל לצד ענישה נלווית. באותו מקרה הורשע הנאשם בעבירה של החזקת נשק, בכך שהחזיק במתחם ביתו חפץ דמוי רובה סער מסוג </w:t>
      </w:r>
      <w:r>
        <w:rPr>
          <w:rFonts w:ascii="Arial" w:hAnsi="Arial"/>
        </w:rPr>
        <w:t>M-4/M-16</w:t>
      </w:r>
      <w:r>
        <w:rPr>
          <w:rFonts w:ascii="Arial" w:hAnsi="Arial"/>
          <w:rtl/>
        </w:rPr>
        <w:t xml:space="preserve"> אשר באמצעותו ניתן לירות כדור שבכוחו להמית אדם שהונח בתוך תיק ולצידו מחסנית תואמת.</w:t>
      </w:r>
    </w:p>
    <w:p w14:paraId="369E5EF8" w14:textId="77777777" w:rsidR="0034251D" w:rsidRDefault="0034251D" w:rsidP="00D348D9">
      <w:pPr>
        <w:spacing w:line="360" w:lineRule="auto"/>
        <w:ind w:left="652" w:hanging="709"/>
        <w:jc w:val="both"/>
        <w:rPr>
          <w:rFonts w:ascii="Arial" w:hAnsi="Arial"/>
          <w:rtl/>
        </w:rPr>
      </w:pPr>
    </w:p>
    <w:p w14:paraId="74AE17A6" w14:textId="77777777" w:rsidR="0034251D" w:rsidRDefault="0034251D" w:rsidP="00D348D9">
      <w:pPr>
        <w:spacing w:line="360" w:lineRule="auto"/>
        <w:ind w:left="652" w:hanging="709"/>
        <w:jc w:val="both"/>
        <w:rPr>
          <w:rFonts w:ascii="Arial" w:hAnsi="Arial"/>
          <w:rtl/>
        </w:rPr>
      </w:pPr>
      <w:r>
        <w:rPr>
          <w:rFonts w:ascii="Arial" w:hAnsi="Arial"/>
          <w:rtl/>
        </w:rPr>
        <w:tab/>
        <w:t>ב</w:t>
      </w:r>
      <w:hyperlink r:id="rId29" w:history="1">
        <w:r w:rsidR="00466323" w:rsidRPr="00466323">
          <w:rPr>
            <w:rFonts w:ascii="Arial" w:hAnsi="Arial"/>
            <w:color w:val="0000FF"/>
            <w:u w:val="single"/>
            <w:rtl/>
          </w:rPr>
          <w:t>עפ"ג (מחוזי-ב"ש) 22885-05-17</w:t>
        </w:r>
      </w:hyperlink>
      <w:r>
        <w:rPr>
          <w:rFonts w:ascii="Arial" w:hAnsi="Arial"/>
          <w:rtl/>
        </w:rPr>
        <w:t xml:space="preserve"> </w:t>
      </w:r>
      <w:r>
        <w:rPr>
          <w:rFonts w:ascii="Arial" w:hAnsi="Arial"/>
          <w:b/>
          <w:bCs/>
          <w:rtl/>
        </w:rPr>
        <w:t>אלאסד נ' מדינת ישראל</w:t>
      </w:r>
      <w:r>
        <w:rPr>
          <w:rFonts w:ascii="Arial" w:hAnsi="Arial"/>
          <w:rtl/>
        </w:rPr>
        <w:t xml:space="preserve"> </w:t>
      </w:r>
      <w:r w:rsidR="00D22436" w:rsidRPr="00D22436">
        <w:rPr>
          <w:rFonts w:ascii="Times New Roman" w:hAnsi="Times New Roman"/>
          <w:sz w:val="22"/>
          <w:rtl/>
        </w:rPr>
        <w:t xml:space="preserve">[פורסם בנבו] </w:t>
      </w:r>
      <w:r>
        <w:rPr>
          <w:rFonts w:ascii="Arial" w:hAnsi="Arial"/>
          <w:rtl/>
        </w:rPr>
        <w:t>(05.07.2017), דחה בית המשפט המחוזי את ערעורו של נאשם שהורשע בהחזקת נשק ומחסנית המכילה  10 כדורים והותיר על כנו עונש של 21 חודשי מאסר.</w:t>
      </w:r>
    </w:p>
    <w:p w14:paraId="55CE270D" w14:textId="77777777" w:rsidR="0034251D" w:rsidRDefault="0034251D" w:rsidP="00D348D9">
      <w:pPr>
        <w:spacing w:line="360" w:lineRule="auto"/>
        <w:jc w:val="both"/>
        <w:rPr>
          <w:rFonts w:ascii="Arial" w:hAnsi="Arial"/>
          <w:rtl/>
        </w:rPr>
      </w:pPr>
    </w:p>
    <w:p w14:paraId="60BCFF5A" w14:textId="77777777" w:rsidR="0034251D" w:rsidRDefault="0034251D" w:rsidP="00D348D9">
      <w:pPr>
        <w:spacing w:line="360" w:lineRule="auto"/>
        <w:ind w:left="652" w:hanging="709"/>
        <w:jc w:val="both"/>
        <w:rPr>
          <w:rFonts w:ascii="Arial" w:hAnsi="Arial"/>
          <w:rtl/>
        </w:rPr>
      </w:pPr>
      <w:r>
        <w:rPr>
          <w:rFonts w:ascii="Arial" w:hAnsi="Arial"/>
          <w:rtl/>
        </w:rPr>
        <w:tab/>
        <w:t>אציין כי חלק מהפסיקה שפורטה לעיל מתייחסת לנסיבות קלות יותר בהן הנשק שהוחזק היה אקדח ולא רובה סער כמו במקרה דנן. מאידך גיסא, חלק מהפסיקה התייחסה לנסיבות מחמירות יותר בהן הנשק היה טעון בכדורים או שהוחזקו מספר כלי נשק או שדובר בהרשעה גם בעבירה חמורה יותר של נשיאת נשק, אם כי בנסיבות דומות לענייננו.</w:t>
      </w:r>
    </w:p>
    <w:p w14:paraId="4D9D1389" w14:textId="77777777" w:rsidR="0034251D" w:rsidRDefault="0034251D" w:rsidP="00D348D9">
      <w:pPr>
        <w:spacing w:line="360" w:lineRule="auto"/>
        <w:ind w:left="652" w:hanging="709"/>
        <w:jc w:val="both"/>
        <w:rPr>
          <w:rFonts w:ascii="Arial" w:hAnsi="Arial"/>
          <w:rtl/>
        </w:rPr>
      </w:pPr>
      <w:r>
        <w:rPr>
          <w:rFonts w:ascii="Arial" w:hAnsi="Arial"/>
          <w:rtl/>
        </w:rPr>
        <w:tab/>
        <w:t>אציין עוד, כי נתתי דעתי גם לפסק הדין אליו הפנה ב"כ הנאשם ב</w:t>
      </w:r>
      <w:hyperlink r:id="rId30" w:history="1">
        <w:r w:rsidR="00466323" w:rsidRPr="00466323">
          <w:rPr>
            <w:rFonts w:ascii="Arial" w:hAnsi="Arial"/>
            <w:color w:val="0000FF"/>
            <w:u w:val="single"/>
            <w:rtl/>
          </w:rPr>
          <w:t>ת"פ (שלום ב"ש) 24269-10-18</w:t>
        </w:r>
      </w:hyperlink>
      <w:r>
        <w:rPr>
          <w:rFonts w:ascii="Arial" w:hAnsi="Arial"/>
          <w:rtl/>
        </w:rPr>
        <w:t xml:space="preserve"> </w:t>
      </w:r>
      <w:r>
        <w:rPr>
          <w:rFonts w:ascii="Arial" w:hAnsi="Arial"/>
          <w:b/>
          <w:bCs/>
          <w:rtl/>
        </w:rPr>
        <w:t>מדינת ישראל נ' רשאד אבו כף</w:t>
      </w:r>
      <w:r>
        <w:rPr>
          <w:rFonts w:ascii="Arial" w:hAnsi="Arial"/>
          <w:rtl/>
        </w:rPr>
        <w:t xml:space="preserve"> </w:t>
      </w:r>
      <w:r w:rsidR="00D22436" w:rsidRPr="00D22436">
        <w:rPr>
          <w:rFonts w:ascii="Times New Roman" w:hAnsi="Times New Roman"/>
          <w:sz w:val="22"/>
          <w:rtl/>
        </w:rPr>
        <w:t xml:space="preserve">[פורסם בנבו] </w:t>
      </w:r>
      <w:r>
        <w:rPr>
          <w:rFonts w:ascii="Arial" w:hAnsi="Arial"/>
          <w:rtl/>
        </w:rPr>
        <w:t xml:space="preserve">בו נגזר על הנאשם, שהחזיק בסמוך לביתו רובה סער מסוג </w:t>
      </w:r>
      <w:r>
        <w:rPr>
          <w:rFonts w:ascii="Arial" w:hAnsi="Arial"/>
        </w:rPr>
        <w:t>M-16</w:t>
      </w:r>
      <w:r>
        <w:rPr>
          <w:rFonts w:ascii="Arial" w:hAnsi="Arial"/>
          <w:rtl/>
        </w:rPr>
        <w:t>, כשהוא עטוף בבד ונמצא בתוך שק יוטה, בהסדר "סגור", עונש של 16 חודשי מאסר. הוסבר באותו מקרה כי ההסדר נבע בין היתר מקשיים ראייתיים.</w:t>
      </w:r>
    </w:p>
    <w:p w14:paraId="1E034191" w14:textId="77777777" w:rsidR="0034251D" w:rsidRDefault="0034251D" w:rsidP="00D348D9">
      <w:pPr>
        <w:spacing w:line="360" w:lineRule="auto"/>
        <w:ind w:left="652" w:hanging="709"/>
        <w:jc w:val="both"/>
        <w:rPr>
          <w:rFonts w:ascii="Arial" w:hAnsi="Arial"/>
          <w:rtl/>
        </w:rPr>
      </w:pPr>
    </w:p>
    <w:p w14:paraId="7DF7267F" w14:textId="77777777" w:rsidR="0034251D" w:rsidRDefault="0034251D" w:rsidP="00D348D9">
      <w:pPr>
        <w:spacing w:line="360" w:lineRule="auto"/>
        <w:ind w:left="652" w:hanging="709"/>
        <w:jc w:val="both"/>
        <w:rPr>
          <w:rFonts w:ascii="Arial" w:hAnsi="Arial"/>
          <w:rtl/>
        </w:rPr>
      </w:pPr>
      <w:r>
        <w:rPr>
          <w:rFonts w:ascii="Arial" w:hAnsi="Arial"/>
          <w:rtl/>
        </w:rPr>
        <w:t>13.</w:t>
      </w:r>
      <w:r>
        <w:rPr>
          <w:rFonts w:ascii="Arial" w:hAnsi="Arial"/>
          <w:rtl/>
        </w:rPr>
        <w:tab/>
        <w:t xml:space="preserve">ביחס לנסיבות הקשורות בביצוע העבירה נתתי משקל לסוג הנשק – רובה </w:t>
      </w:r>
      <w:r>
        <w:rPr>
          <w:rFonts w:ascii="Arial" w:hAnsi="Arial"/>
        </w:rPr>
        <w:t>M-16</w:t>
      </w:r>
      <w:r>
        <w:rPr>
          <w:rFonts w:ascii="Arial" w:hAnsi="Arial"/>
          <w:rtl/>
        </w:rPr>
        <w:t xml:space="preserve">, שהוא כלי נשק התקפי בעל פוטנציאל קטילה משמעותי; לעובדה כי בצמוד לנשק החזיק הנאשם מחסנית; לעובדה שהנאשם הטמין את הנשק בתוך מגבת, שקית ומזרון במושב האחורי של הרכב, דהיינו במקום שבו יש לו גישה מהירה וזמינה לנשק; לנזק שנגרם בפועל מההחזקה ולנזק שעלול היה להיגרם. </w:t>
      </w:r>
    </w:p>
    <w:p w14:paraId="0D8CD9A4" w14:textId="77777777" w:rsidR="0034251D" w:rsidRDefault="0034251D" w:rsidP="00D348D9">
      <w:pPr>
        <w:spacing w:line="360" w:lineRule="auto"/>
        <w:ind w:left="652" w:hanging="709"/>
        <w:jc w:val="both"/>
        <w:rPr>
          <w:rFonts w:ascii="Arial" w:hAnsi="Arial"/>
          <w:rtl/>
        </w:rPr>
      </w:pPr>
    </w:p>
    <w:p w14:paraId="6F8613A9" w14:textId="77777777" w:rsidR="0034251D" w:rsidRDefault="0034251D" w:rsidP="00D348D9">
      <w:pPr>
        <w:spacing w:line="360" w:lineRule="auto"/>
        <w:ind w:left="652" w:hanging="709"/>
        <w:jc w:val="both"/>
        <w:rPr>
          <w:rFonts w:ascii="Arial" w:hAnsi="Arial"/>
          <w:rtl/>
        </w:rPr>
      </w:pPr>
      <w:r>
        <w:rPr>
          <w:rFonts w:ascii="Arial" w:hAnsi="Arial"/>
          <w:rtl/>
        </w:rPr>
        <w:tab/>
        <w:t>למותר לציין כי אין בדברי הנאשם לפיהם רכש את הנשק מתושב הרשות הפלשתינאית לצורכי "תחושת ביטחון" כדי להצדיק הקלה עמו, וזאת אף אם נקבל טענתו לפיה לא תכנן להשתמש בנשק. אין לקבל תפיסה שאותה הציג הנאשם לפיה לצורך תחושת ביטחון מחזיקים בנשק, לא כל שכן נשק שהוא למעשה רובה התקפי. תחושת ביטחון יש להשיג באמצעים כשרים ובדרכים חוקיות וככל שנדרש יש לפנות לרשויות החוק.</w:t>
      </w:r>
    </w:p>
    <w:p w14:paraId="05AD253F" w14:textId="77777777" w:rsidR="0034251D" w:rsidRDefault="0034251D" w:rsidP="00D348D9">
      <w:pPr>
        <w:spacing w:line="360" w:lineRule="auto"/>
        <w:ind w:left="652" w:hanging="709"/>
        <w:jc w:val="both"/>
        <w:rPr>
          <w:rFonts w:ascii="Arial" w:hAnsi="Arial"/>
          <w:rtl/>
        </w:rPr>
      </w:pPr>
    </w:p>
    <w:p w14:paraId="5E7A9643" w14:textId="77777777" w:rsidR="0034251D" w:rsidRDefault="0034251D" w:rsidP="00D348D9">
      <w:pPr>
        <w:spacing w:line="360" w:lineRule="auto"/>
        <w:ind w:left="652" w:hanging="709"/>
        <w:jc w:val="both"/>
        <w:rPr>
          <w:rFonts w:ascii="Arial" w:hAnsi="Arial"/>
          <w:rtl/>
        </w:rPr>
      </w:pPr>
      <w:r>
        <w:rPr>
          <w:rFonts w:ascii="Arial" w:hAnsi="Arial"/>
          <w:rtl/>
        </w:rPr>
        <w:t>14.</w:t>
      </w:r>
      <w:r>
        <w:rPr>
          <w:rFonts w:ascii="Arial" w:hAnsi="Arial"/>
          <w:rtl/>
        </w:rPr>
        <w:tab/>
        <w:t>לא מצאתי בענייננו לחרוג ממתחם העונש ההולם ובתוך מתחם העונש ההולם מצאתי לתת משקל להודאת הנאשם, הודאה שיש בה משום לקיחת אחריות וחיסכון בזמן שיפוטי.</w:t>
      </w:r>
    </w:p>
    <w:p w14:paraId="1FE360E8" w14:textId="77777777" w:rsidR="0034251D" w:rsidRDefault="0034251D" w:rsidP="00D348D9">
      <w:pPr>
        <w:spacing w:line="360" w:lineRule="auto"/>
        <w:ind w:left="652" w:hanging="709"/>
        <w:jc w:val="both"/>
        <w:rPr>
          <w:rFonts w:ascii="Arial" w:hAnsi="Arial"/>
          <w:rtl/>
        </w:rPr>
      </w:pPr>
      <w:r>
        <w:rPr>
          <w:rFonts w:ascii="Arial" w:hAnsi="Arial"/>
          <w:rtl/>
        </w:rPr>
        <w:tab/>
        <w:t xml:space="preserve">כן נתתי משקל לגילו הצעיר של הנאשם ולנסיבותיו האישיות – משפחתיות. נתתי משקל גם לאמור בתסקיר שירות המבחן. לצד לקיחת האחריות מצד הנאשם יש לתת משקל גם להתרשמות שירות המבחן לעניין דפוסי ההתנהגות של הנאשם, התייחסות הנאשם לביצוע העבירה והמסוכנות הנובעת מן הנאשם להמשך ביצוע העבירות. נתתי דעתי גם להמלצתו העונשית של השירות – להשית עונש מוחשי לצד עונש מאסר מותנה. </w:t>
      </w:r>
    </w:p>
    <w:p w14:paraId="71097294" w14:textId="77777777" w:rsidR="0034251D" w:rsidRDefault="0034251D" w:rsidP="00D348D9">
      <w:pPr>
        <w:spacing w:line="360" w:lineRule="auto"/>
        <w:ind w:left="652" w:hanging="709"/>
        <w:jc w:val="both"/>
        <w:rPr>
          <w:rFonts w:ascii="Arial" w:hAnsi="Arial"/>
          <w:rtl/>
        </w:rPr>
      </w:pPr>
      <w:r>
        <w:rPr>
          <w:rFonts w:ascii="Arial" w:hAnsi="Arial"/>
          <w:rtl/>
        </w:rPr>
        <w:tab/>
      </w:r>
    </w:p>
    <w:p w14:paraId="127D90DA" w14:textId="77777777" w:rsidR="0034251D" w:rsidRDefault="0034251D" w:rsidP="00D348D9">
      <w:pPr>
        <w:spacing w:line="360" w:lineRule="auto"/>
        <w:ind w:left="652" w:hanging="709"/>
        <w:jc w:val="both"/>
        <w:rPr>
          <w:rFonts w:ascii="Arial" w:hAnsi="Arial"/>
          <w:rtl/>
        </w:rPr>
      </w:pPr>
      <w:r>
        <w:rPr>
          <w:rFonts w:ascii="Arial" w:hAnsi="Arial"/>
          <w:rtl/>
        </w:rPr>
        <w:tab/>
        <w:t xml:space="preserve">כאן המקום להתייחס אל טענת ב"כ הנאשם בדבר עמדה עקרונית שלילית של שירות המבחן לעניין אפשרות שילוב נאשמים דוברי השפה הערבית בהליכי טיפול. סבורני כי יש לדחות מכל וכל טענה זו של ב"כ הנאשם, אשר נטענה מן השפה אל החוץ ללא כל ביסוס.  בתיקים רבים נחשף מותב זה למאמצים רבים וכנים שמשקיע שירות המבחן בשילוב נאשמים בכלל ונאשמים דוברי השפה הערבית בפרט בהליכי טיפול, וחזקה על שירות המבחן כי פועל הוא ללא לאות להגשים את תכליתו המקצועית ביחס לכלל האוכלוסייה. </w:t>
      </w:r>
    </w:p>
    <w:p w14:paraId="762AC30C" w14:textId="77777777" w:rsidR="0034251D" w:rsidRDefault="0034251D" w:rsidP="00D348D9">
      <w:pPr>
        <w:spacing w:line="360" w:lineRule="auto"/>
        <w:ind w:left="652" w:hanging="709"/>
        <w:jc w:val="both"/>
        <w:rPr>
          <w:rFonts w:ascii="Arial" w:hAnsi="Arial"/>
          <w:rtl/>
        </w:rPr>
      </w:pPr>
      <w:r>
        <w:rPr>
          <w:rFonts w:ascii="Arial" w:hAnsi="Arial"/>
          <w:rtl/>
        </w:rPr>
        <w:tab/>
        <w:t xml:space="preserve">אף את הטענה הדומה שהעלה ב"כ הנאשם ביחס לעמדה העונשית שהציגה המאשימה בתיק זה ביחס לתיק אחר בו הנאשם "מתגורר בהתנחלות", יש לדחות מאותם טעמים. אף אם במקרה אחד הציגה המאשימה עמדה עונשית מקלה מזו שהציגה במקרה דנן אין בכך כדי ללמד על הפליה פסולה. ראשית, ב"כ הנאשם לא הציג את נסיבות אותו מקרה ולא הבהיר מה היו השיקולים שהוצגו לעמדה חריגה זו של המאשימה. שנית, כבדרך שגרה המאשימה מציגה עמדה עונשית דומה לזו שהוצגה בתיק שלפני, בעניינם של כלל הנאשמים, ללא הבדל של מין, דת או גזע. </w:t>
      </w:r>
    </w:p>
    <w:p w14:paraId="6189AAFA" w14:textId="77777777" w:rsidR="0034251D" w:rsidRDefault="0034251D" w:rsidP="00D348D9">
      <w:pPr>
        <w:spacing w:line="360" w:lineRule="auto"/>
        <w:ind w:left="652" w:hanging="709"/>
        <w:jc w:val="both"/>
        <w:rPr>
          <w:rFonts w:ascii="Arial" w:hAnsi="Arial"/>
          <w:rtl/>
        </w:rPr>
      </w:pPr>
      <w:r>
        <w:rPr>
          <w:rFonts w:ascii="Arial" w:hAnsi="Arial"/>
          <w:rtl/>
        </w:rPr>
        <w:tab/>
        <w:t>מוטב היה שב"כ הנאשם ימנע מלהעלות טענות אלה הן כלפי שירות המבחן והן כלפי הפרקליטות.</w:t>
      </w:r>
    </w:p>
    <w:p w14:paraId="79713054" w14:textId="77777777" w:rsidR="0034251D" w:rsidRDefault="0034251D" w:rsidP="00D348D9">
      <w:pPr>
        <w:spacing w:line="360" w:lineRule="auto"/>
        <w:ind w:left="652" w:hanging="709"/>
        <w:jc w:val="both"/>
        <w:rPr>
          <w:rFonts w:ascii="Arial" w:hAnsi="Arial"/>
          <w:rtl/>
        </w:rPr>
      </w:pPr>
    </w:p>
    <w:p w14:paraId="0657FBDB" w14:textId="77777777" w:rsidR="0034251D" w:rsidRDefault="0034251D" w:rsidP="00D348D9">
      <w:pPr>
        <w:spacing w:line="360" w:lineRule="auto"/>
        <w:ind w:left="652" w:hanging="709"/>
        <w:jc w:val="both"/>
        <w:rPr>
          <w:rFonts w:ascii="Arial" w:hAnsi="Arial"/>
          <w:rtl/>
        </w:rPr>
      </w:pPr>
      <w:r>
        <w:rPr>
          <w:rFonts w:ascii="Arial" w:hAnsi="Arial"/>
          <w:rtl/>
        </w:rPr>
        <w:t>15.</w:t>
      </w:r>
      <w:r>
        <w:rPr>
          <w:rFonts w:ascii="Arial" w:hAnsi="Arial"/>
          <w:rtl/>
        </w:rPr>
        <w:tab/>
        <w:t xml:space="preserve">מעבר לכל האמור נתתי דעתי גם לעברו הפלילי של הנאשם הכולל שלושה רישומים, כאשר האחרון מביניהם, משנת 2019, המתייחס לעבירה של תקיפה הגורמת חבלה. שני הרישומים הקודמים של הנאשם הם מבית המשפט לנוער, רישומים שהתיישנו. </w:t>
      </w:r>
    </w:p>
    <w:p w14:paraId="7865C56A" w14:textId="77777777" w:rsidR="0034251D" w:rsidRDefault="0034251D" w:rsidP="00D348D9">
      <w:pPr>
        <w:spacing w:line="360" w:lineRule="auto"/>
        <w:ind w:left="652" w:hanging="709"/>
        <w:jc w:val="both"/>
        <w:rPr>
          <w:rFonts w:ascii="Arial" w:hAnsi="Arial"/>
          <w:rtl/>
        </w:rPr>
      </w:pPr>
    </w:p>
    <w:p w14:paraId="735370EF" w14:textId="77777777" w:rsidR="0034251D" w:rsidRDefault="0034251D" w:rsidP="00D348D9">
      <w:pPr>
        <w:spacing w:line="360" w:lineRule="auto"/>
        <w:ind w:left="652" w:hanging="709"/>
        <w:jc w:val="both"/>
        <w:rPr>
          <w:rFonts w:ascii="Arial" w:hAnsi="Arial"/>
          <w:rtl/>
        </w:rPr>
      </w:pPr>
      <w:r>
        <w:rPr>
          <w:rFonts w:ascii="Arial" w:hAnsi="Arial"/>
          <w:rtl/>
        </w:rPr>
        <w:tab/>
      </w:r>
      <w:r>
        <w:rPr>
          <w:rFonts w:ascii="Arial" w:hAnsi="Arial"/>
          <w:b/>
          <w:bCs/>
          <w:u w:val="single"/>
          <w:rtl/>
        </w:rPr>
        <w:t>המאסר המותנה</w:t>
      </w:r>
    </w:p>
    <w:p w14:paraId="632083B9" w14:textId="77777777" w:rsidR="0034251D" w:rsidRDefault="0034251D" w:rsidP="00D348D9">
      <w:pPr>
        <w:spacing w:line="360" w:lineRule="auto"/>
        <w:ind w:left="652" w:hanging="709"/>
        <w:jc w:val="both"/>
        <w:rPr>
          <w:rFonts w:ascii="Arial" w:hAnsi="Arial"/>
          <w:rtl/>
        </w:rPr>
      </w:pPr>
      <w:r>
        <w:rPr>
          <w:rFonts w:ascii="Arial" w:hAnsi="Arial"/>
          <w:rtl/>
        </w:rPr>
        <w:t>16.</w:t>
      </w:r>
      <w:r>
        <w:rPr>
          <w:rFonts w:ascii="Arial" w:hAnsi="Arial"/>
          <w:rtl/>
        </w:rPr>
        <w:tab/>
        <w:t>כאמור לנאשם מאסר מותנה, שהצדדים חלוקים בשאלת תחולתו. בגזר הדין שניתן ב</w:t>
      </w:r>
      <w:r w:rsidR="00466323" w:rsidRPr="00D22436">
        <w:rPr>
          <w:rFonts w:ascii="Arial" w:hAnsi="Arial"/>
          <w:rtl/>
        </w:rPr>
        <w:t>ת"פ 1625</w:t>
      </w:r>
      <w:r w:rsidR="00466323" w:rsidRPr="00D22436">
        <w:rPr>
          <w:rFonts w:ascii="Arial" w:hAnsi="Arial"/>
          <w:rtl/>
        </w:rPr>
        <w:t>6</w:t>
      </w:r>
      <w:r w:rsidR="00466323" w:rsidRPr="00D22436">
        <w:rPr>
          <w:rFonts w:ascii="Arial" w:hAnsi="Arial"/>
          <w:rtl/>
        </w:rPr>
        <w:t>-02-17</w:t>
      </w:r>
      <w:r>
        <w:rPr>
          <w:rFonts w:ascii="Arial" w:hAnsi="Arial"/>
          <w:rtl/>
        </w:rPr>
        <w:t xml:space="preserve"> הוטל על הנאשם עונש של "</w:t>
      </w:r>
      <w:r>
        <w:rPr>
          <w:rFonts w:ascii="Arial" w:hAnsi="Arial"/>
          <w:b/>
          <w:bCs/>
          <w:rtl/>
        </w:rPr>
        <w:t xml:space="preserve">4 חודשי מאסר על תנאי, לתקופה של 3 שנים מהיום, שלא יעבור כל עבירת אלימות". </w:t>
      </w:r>
      <w:r>
        <w:rPr>
          <w:rFonts w:ascii="Arial" w:hAnsi="Arial"/>
          <w:rtl/>
        </w:rPr>
        <w:t>לצד זאת הוטל גם עונש של חתימה על התחייבות להימנע מביצוע העבירה, אף היא שלא לעבור כל עבירת אלימות.</w:t>
      </w:r>
    </w:p>
    <w:p w14:paraId="716A36A2" w14:textId="77777777" w:rsidR="0034251D" w:rsidRDefault="0034251D" w:rsidP="00D348D9">
      <w:pPr>
        <w:spacing w:line="360" w:lineRule="auto"/>
        <w:ind w:left="652" w:hanging="709"/>
        <w:jc w:val="both"/>
        <w:rPr>
          <w:rFonts w:ascii="Arial" w:hAnsi="Arial"/>
          <w:rtl/>
        </w:rPr>
      </w:pPr>
    </w:p>
    <w:p w14:paraId="12BECA4F" w14:textId="77777777" w:rsidR="0034251D" w:rsidRDefault="0034251D" w:rsidP="00D348D9">
      <w:pPr>
        <w:spacing w:line="360" w:lineRule="auto"/>
        <w:ind w:left="652" w:hanging="709"/>
        <w:jc w:val="both"/>
        <w:rPr>
          <w:rFonts w:ascii="Arial" w:hAnsi="Arial"/>
          <w:rtl/>
        </w:rPr>
      </w:pPr>
      <w:r>
        <w:rPr>
          <w:rFonts w:ascii="Arial" w:hAnsi="Arial"/>
          <w:rtl/>
        </w:rPr>
        <w:t>17.</w:t>
      </w:r>
      <w:r>
        <w:rPr>
          <w:rFonts w:ascii="Arial" w:hAnsi="Arial"/>
          <w:rtl/>
        </w:rPr>
        <w:tab/>
        <w:t xml:space="preserve">המאשימה טוענת כאמור, כי עצם החזקת הנשק מפעילה את המאסר המותנה וזאת חרף העובדה שהנשק לא היה טעון. המאשימה הבהירה כי בעניין זה יש לתת משקל לפוטנציאל הנזק הכרוך בהחזקת הנשק. </w:t>
      </w:r>
    </w:p>
    <w:p w14:paraId="3C63EA14" w14:textId="77777777" w:rsidR="0034251D" w:rsidRDefault="0034251D" w:rsidP="00D348D9">
      <w:pPr>
        <w:spacing w:line="360" w:lineRule="auto"/>
        <w:ind w:left="652" w:hanging="709"/>
        <w:jc w:val="both"/>
        <w:rPr>
          <w:rFonts w:ascii="Arial" w:hAnsi="Arial"/>
          <w:rtl/>
        </w:rPr>
      </w:pPr>
      <w:r>
        <w:rPr>
          <w:rFonts w:ascii="Arial" w:hAnsi="Arial"/>
          <w:rtl/>
        </w:rPr>
        <w:tab/>
        <w:t>ב"כ הנאשם מאידך טען כי המאסר המותנה אינו חל תוך שביקש להבחן את ענייננו מהמקרה שנדון ב</w:t>
      </w:r>
      <w:hyperlink r:id="rId31" w:history="1">
        <w:r w:rsidR="00466323" w:rsidRPr="00466323">
          <w:rPr>
            <w:rFonts w:ascii="Arial" w:hAnsi="Arial"/>
            <w:color w:val="0000FF"/>
            <w:u w:val="single"/>
            <w:rtl/>
          </w:rPr>
          <w:t>רע"פ 4065/18</w:t>
        </w:r>
      </w:hyperlink>
      <w:r>
        <w:rPr>
          <w:rFonts w:ascii="Arial" w:hAnsi="Arial"/>
          <w:rtl/>
        </w:rPr>
        <w:t xml:space="preserve"> </w:t>
      </w:r>
      <w:r>
        <w:rPr>
          <w:rFonts w:ascii="Arial" w:hAnsi="Arial"/>
          <w:b/>
          <w:bCs/>
          <w:rtl/>
        </w:rPr>
        <w:t>ישראל איאסו נגד מדינת ישראל</w:t>
      </w:r>
      <w:r>
        <w:rPr>
          <w:rFonts w:ascii="Arial" w:hAnsi="Arial"/>
          <w:rtl/>
        </w:rPr>
        <w:t xml:space="preserve"> (פורסם בנבו, 30.08.2018) (להלן: "</w:t>
      </w:r>
      <w:r>
        <w:rPr>
          <w:rFonts w:ascii="Arial" w:hAnsi="Arial"/>
          <w:b/>
          <w:bCs/>
          <w:rtl/>
        </w:rPr>
        <w:t>עניין איאסו"</w:t>
      </w:r>
      <w:r>
        <w:rPr>
          <w:rFonts w:ascii="Arial" w:hAnsi="Arial"/>
          <w:rtl/>
        </w:rPr>
        <w:t>), אליו הפנתה המאשימה.</w:t>
      </w:r>
    </w:p>
    <w:p w14:paraId="6017CFA4" w14:textId="77777777" w:rsidR="0034251D" w:rsidRDefault="0034251D" w:rsidP="00D348D9">
      <w:pPr>
        <w:spacing w:line="360" w:lineRule="auto"/>
        <w:ind w:left="652" w:hanging="709"/>
        <w:jc w:val="both"/>
        <w:rPr>
          <w:rFonts w:ascii="Arial" w:hAnsi="Arial"/>
          <w:rtl/>
        </w:rPr>
      </w:pPr>
    </w:p>
    <w:p w14:paraId="0C85A045" w14:textId="77777777" w:rsidR="0034251D" w:rsidRDefault="0034251D" w:rsidP="00D348D9">
      <w:pPr>
        <w:spacing w:line="360" w:lineRule="auto"/>
        <w:ind w:left="652" w:hanging="709"/>
        <w:jc w:val="both"/>
        <w:rPr>
          <w:rFonts w:ascii="Arial" w:hAnsi="Arial"/>
          <w:rtl/>
        </w:rPr>
      </w:pPr>
      <w:r>
        <w:rPr>
          <w:rFonts w:ascii="Arial" w:hAnsi="Arial"/>
          <w:rtl/>
        </w:rPr>
        <w:t>18.</w:t>
      </w:r>
      <w:r>
        <w:rPr>
          <w:rFonts w:ascii="Arial" w:hAnsi="Arial"/>
          <w:rtl/>
        </w:rPr>
        <w:tab/>
        <w:t>המחלוקת בין הצדדים היא למעשה מחלוקת פרשנית ובאה לידי מיצוי בשאלה האם עבירה של החזקת נשק נכנסת תחת כנפי "עבירת אלימות".</w:t>
      </w:r>
    </w:p>
    <w:p w14:paraId="7D623ACC" w14:textId="77777777" w:rsidR="0034251D" w:rsidRDefault="0034251D" w:rsidP="00D348D9">
      <w:pPr>
        <w:spacing w:line="360" w:lineRule="auto"/>
        <w:ind w:left="652" w:hanging="709"/>
        <w:jc w:val="both"/>
        <w:rPr>
          <w:rFonts w:ascii="Arial" w:hAnsi="Arial"/>
          <w:rtl/>
        </w:rPr>
      </w:pPr>
      <w:r>
        <w:rPr>
          <w:rFonts w:ascii="Arial" w:hAnsi="Arial"/>
          <w:rtl/>
        </w:rPr>
        <w:tab/>
        <w:t xml:space="preserve">סבורני כי במחלוקת שבין הצדדים יש לבכר את עמדת המאשימה. </w:t>
      </w:r>
    </w:p>
    <w:p w14:paraId="3C76AC1B" w14:textId="77777777" w:rsidR="0034251D" w:rsidRDefault="0034251D" w:rsidP="00D348D9">
      <w:pPr>
        <w:spacing w:line="360" w:lineRule="auto"/>
        <w:ind w:left="652" w:hanging="709"/>
        <w:jc w:val="both"/>
        <w:rPr>
          <w:rFonts w:ascii="Arial" w:hAnsi="Arial"/>
          <w:rtl/>
        </w:rPr>
      </w:pPr>
    </w:p>
    <w:p w14:paraId="2FB5555C" w14:textId="77777777" w:rsidR="0034251D" w:rsidRDefault="0034251D" w:rsidP="00D348D9">
      <w:pPr>
        <w:spacing w:line="360" w:lineRule="auto"/>
        <w:ind w:left="652" w:hanging="709"/>
        <w:jc w:val="both"/>
        <w:rPr>
          <w:rFonts w:ascii="Arial" w:hAnsi="Arial"/>
          <w:rtl/>
        </w:rPr>
      </w:pPr>
      <w:r>
        <w:rPr>
          <w:rFonts w:ascii="Arial" w:hAnsi="Arial"/>
          <w:rtl/>
        </w:rPr>
        <w:t>19.</w:t>
      </w:r>
      <w:r>
        <w:rPr>
          <w:rFonts w:ascii="Arial" w:hAnsi="Arial"/>
          <w:rtl/>
        </w:rPr>
        <w:tab/>
        <w:t xml:space="preserve">אין ספק כי על רכיבי התנאי, ובעיקר רכיב מהותה של העבירה המפעילה, להיות ברורים ובהירים, כשלטעמי זהו "וריאנט" של עקרון הבהירות המהווה חלק מעקרון החוקיות. בעניין זה ראו בין היתר </w:t>
      </w:r>
      <w:hyperlink r:id="rId32" w:history="1">
        <w:r w:rsidR="00466323" w:rsidRPr="00466323">
          <w:rPr>
            <w:rFonts w:ascii="Arial" w:hAnsi="Arial"/>
            <w:color w:val="0000FF"/>
            <w:u w:val="single"/>
            <w:rtl/>
          </w:rPr>
          <w:t>רע"פ 5798/00 סעיד ריזי נ' מדינת ישראל, פ"ד נה</w:t>
        </w:r>
      </w:hyperlink>
      <w:r>
        <w:rPr>
          <w:rFonts w:ascii="Arial" w:hAnsi="Arial"/>
          <w:rtl/>
        </w:rPr>
        <w:t xml:space="preserve">(3)1 בפסקה 12; </w:t>
      </w:r>
      <w:hyperlink r:id="rId33" w:history="1">
        <w:r w:rsidR="00466323" w:rsidRPr="00466323">
          <w:rPr>
            <w:color w:val="0000FF"/>
            <w:u w:val="single"/>
            <w:rtl/>
          </w:rPr>
          <w:t>ע"פ 6420/10</w:t>
        </w:r>
      </w:hyperlink>
      <w:r>
        <w:rPr>
          <w:b/>
          <w:bCs/>
          <w:rtl/>
        </w:rPr>
        <w:t xml:space="preserve"> קלאודיו סלסנר נ' מדינת ישראל </w:t>
      </w:r>
      <w:r>
        <w:rPr>
          <w:rtl/>
        </w:rPr>
        <w:t>(פורסם בנבו, 23.08.2011), פסקה יג'</w:t>
      </w:r>
      <w:r>
        <w:rPr>
          <w:rFonts w:ascii="Arial" w:hAnsi="Arial"/>
          <w:rtl/>
        </w:rPr>
        <w:t xml:space="preserve"> (להלן: "עניין סלסנר").</w:t>
      </w:r>
    </w:p>
    <w:p w14:paraId="5A98842F" w14:textId="77777777" w:rsidR="0034251D" w:rsidRDefault="0034251D" w:rsidP="00D348D9">
      <w:pPr>
        <w:spacing w:line="360" w:lineRule="auto"/>
        <w:ind w:left="652" w:hanging="709"/>
        <w:jc w:val="both"/>
        <w:rPr>
          <w:rFonts w:ascii="Arial" w:hAnsi="Arial"/>
          <w:rtl/>
        </w:rPr>
      </w:pPr>
    </w:p>
    <w:p w14:paraId="2813F025" w14:textId="77777777" w:rsidR="0034251D" w:rsidRDefault="0034251D" w:rsidP="00D348D9">
      <w:pPr>
        <w:spacing w:line="360" w:lineRule="auto"/>
        <w:ind w:left="652"/>
        <w:jc w:val="both"/>
        <w:rPr>
          <w:rFonts w:ascii="Arial" w:hAnsi="Arial"/>
          <w:rtl/>
        </w:rPr>
      </w:pPr>
      <w:r>
        <w:rPr>
          <w:rFonts w:ascii="Arial" w:hAnsi="Arial"/>
          <w:rtl/>
        </w:rPr>
        <w:t xml:space="preserve">יחד עם זאת, בחיי המעשה לא פעם בית המשפט מגדיר את העבירה המפעילה במסגרת התנאי באופן של קביעת סוג עבירה, בין אם לפי חומרתה (עבירה מסוג פשע או עוון למשל) ובין אם לפי מאפייניה (עבירת מין או עבירת רכוש) ולא נוקב בעבירה קונקרטית כעבירת התנאי. </w:t>
      </w:r>
    </w:p>
    <w:p w14:paraId="1FF07297" w14:textId="77777777" w:rsidR="0034251D" w:rsidRDefault="0034251D" w:rsidP="00D348D9">
      <w:pPr>
        <w:spacing w:line="360" w:lineRule="auto"/>
        <w:ind w:left="652" w:hanging="709"/>
        <w:jc w:val="both"/>
        <w:rPr>
          <w:rFonts w:ascii="Arial" w:hAnsi="Arial"/>
          <w:rtl/>
        </w:rPr>
      </w:pPr>
      <w:r>
        <w:rPr>
          <w:rFonts w:ascii="Arial" w:hAnsi="Arial"/>
          <w:rtl/>
        </w:rPr>
        <w:tab/>
        <w:t xml:space="preserve">אף בענייננו נוסח המאסר המותנה באופן דומה -  </w:t>
      </w:r>
      <w:r>
        <w:rPr>
          <w:rFonts w:ascii="Arial" w:hAnsi="Arial"/>
          <w:b/>
          <w:bCs/>
          <w:rtl/>
        </w:rPr>
        <w:t>"שלא יעבור כל עבירת אלימות"</w:t>
      </w:r>
      <w:r>
        <w:rPr>
          <w:rFonts w:ascii="Arial" w:hAnsi="Arial"/>
          <w:rtl/>
        </w:rPr>
        <w:t>.</w:t>
      </w:r>
    </w:p>
    <w:p w14:paraId="6668D8B4" w14:textId="77777777" w:rsidR="0034251D" w:rsidRDefault="0034251D" w:rsidP="00D348D9">
      <w:pPr>
        <w:spacing w:line="360" w:lineRule="auto"/>
        <w:ind w:left="652" w:hanging="709"/>
        <w:jc w:val="both"/>
        <w:rPr>
          <w:rFonts w:ascii="Arial" w:hAnsi="Arial"/>
          <w:rtl/>
        </w:rPr>
      </w:pPr>
    </w:p>
    <w:p w14:paraId="5F4E6707" w14:textId="77777777" w:rsidR="0034251D" w:rsidRDefault="0034251D" w:rsidP="00D348D9">
      <w:pPr>
        <w:spacing w:line="360" w:lineRule="auto"/>
        <w:ind w:left="652" w:hanging="709"/>
        <w:jc w:val="both"/>
        <w:rPr>
          <w:rFonts w:ascii="Arial" w:hAnsi="Arial"/>
          <w:rtl/>
        </w:rPr>
      </w:pPr>
    </w:p>
    <w:p w14:paraId="5DD35820" w14:textId="77777777" w:rsidR="0034251D" w:rsidRDefault="0034251D" w:rsidP="00D348D9">
      <w:pPr>
        <w:spacing w:line="360" w:lineRule="auto"/>
        <w:ind w:left="652" w:hanging="709"/>
        <w:jc w:val="both"/>
        <w:rPr>
          <w:rFonts w:ascii="Arial" w:hAnsi="Arial"/>
          <w:rtl/>
        </w:rPr>
      </w:pPr>
      <w:r>
        <w:rPr>
          <w:rFonts w:ascii="Arial" w:hAnsi="Arial"/>
          <w:rtl/>
        </w:rPr>
        <w:t>20.</w:t>
      </w:r>
      <w:r>
        <w:rPr>
          <w:rFonts w:ascii="Arial" w:hAnsi="Arial"/>
          <w:rtl/>
        </w:rPr>
        <w:tab/>
        <w:t>המונח "אלימות" במשפט הוא תלוי הקשר.</w:t>
      </w:r>
    </w:p>
    <w:p w14:paraId="0FE8A2A3" w14:textId="77777777" w:rsidR="0034251D" w:rsidRDefault="0034251D" w:rsidP="00D348D9">
      <w:pPr>
        <w:spacing w:line="360" w:lineRule="auto"/>
        <w:ind w:left="652" w:hanging="709"/>
        <w:jc w:val="both"/>
        <w:rPr>
          <w:rFonts w:ascii="Arial" w:hAnsi="Arial"/>
          <w:rtl/>
        </w:rPr>
      </w:pPr>
      <w:r>
        <w:rPr>
          <w:rFonts w:ascii="Arial" w:hAnsi="Arial"/>
          <w:rtl/>
        </w:rPr>
        <w:tab/>
        <w:t>ב</w:t>
      </w:r>
      <w:hyperlink r:id="rId34" w:history="1">
        <w:r w:rsidR="00466323" w:rsidRPr="00466323">
          <w:rPr>
            <w:rFonts w:ascii="Arial" w:hAnsi="Arial"/>
            <w:color w:val="0000FF"/>
            <w:u w:val="single"/>
            <w:rtl/>
          </w:rPr>
          <w:t>דנ"א 4811/93</w:t>
        </w:r>
      </w:hyperlink>
      <w:r>
        <w:rPr>
          <w:rFonts w:ascii="Arial" w:hAnsi="Arial"/>
          <w:rtl/>
        </w:rPr>
        <w:t xml:space="preserve"> </w:t>
      </w:r>
      <w:r>
        <w:rPr>
          <w:rFonts w:ascii="Arial" w:hAnsi="Arial"/>
          <w:b/>
          <w:bCs/>
          <w:rtl/>
        </w:rPr>
        <w:t xml:space="preserve">"סלע" חברה לביטוח בע"מ נגד יעקב שלו </w:t>
      </w:r>
      <w:r>
        <w:rPr>
          <w:rFonts w:ascii="Arial" w:hAnsi="Arial"/>
          <w:rtl/>
        </w:rPr>
        <w:t xml:space="preserve">(פורסם בנבו, 29.9.1993) התייחס בית המשפט העליון למונח זה בהאי לישנא: </w:t>
      </w:r>
    </w:p>
    <w:p w14:paraId="6AB406FA" w14:textId="77777777" w:rsidR="0034251D" w:rsidRDefault="0034251D" w:rsidP="00D348D9">
      <w:pPr>
        <w:spacing w:line="360" w:lineRule="auto"/>
        <w:ind w:left="1503" w:right="567"/>
        <w:jc w:val="both"/>
        <w:rPr>
          <w:b/>
          <w:bCs/>
          <w:rtl/>
        </w:rPr>
      </w:pPr>
      <w:r>
        <w:rPr>
          <w:b/>
          <w:bCs/>
          <w:rtl/>
        </w:rPr>
        <w:t>לתיבה</w:t>
      </w:r>
      <w:r>
        <w:rPr>
          <w:b/>
          <w:bCs/>
        </w:rPr>
        <w:t xml:space="preserve"> </w:t>
      </w:r>
      <w:r>
        <w:rPr>
          <w:b/>
          <w:bCs/>
          <w:rtl/>
        </w:rPr>
        <w:t>"אלימות"</w:t>
      </w:r>
      <w:r>
        <w:rPr>
          <w:b/>
          <w:bCs/>
        </w:rPr>
        <w:t xml:space="preserve"> </w:t>
      </w:r>
      <w:r>
        <w:rPr>
          <w:b/>
          <w:bCs/>
          <w:rtl/>
        </w:rPr>
        <w:t>יש</w:t>
      </w:r>
      <w:r>
        <w:rPr>
          <w:b/>
          <w:bCs/>
        </w:rPr>
        <w:t xml:space="preserve"> </w:t>
      </w:r>
      <w:r>
        <w:rPr>
          <w:b/>
          <w:bCs/>
          <w:rtl/>
        </w:rPr>
        <w:t>אכן</w:t>
      </w:r>
      <w:r>
        <w:rPr>
          <w:b/>
          <w:bCs/>
        </w:rPr>
        <w:t xml:space="preserve"> </w:t>
      </w:r>
      <w:r>
        <w:rPr>
          <w:b/>
          <w:bCs/>
          <w:rtl/>
        </w:rPr>
        <w:t>משמעות</w:t>
      </w:r>
      <w:r>
        <w:rPr>
          <w:b/>
          <w:bCs/>
        </w:rPr>
        <w:t xml:space="preserve"> </w:t>
      </w:r>
      <w:r>
        <w:rPr>
          <w:b/>
          <w:bCs/>
          <w:rtl/>
        </w:rPr>
        <w:t>לוואי</w:t>
      </w:r>
      <w:r>
        <w:rPr>
          <w:b/>
          <w:bCs/>
        </w:rPr>
        <w:t xml:space="preserve"> </w:t>
      </w:r>
      <w:r>
        <w:rPr>
          <w:b/>
          <w:bCs/>
          <w:rtl/>
        </w:rPr>
        <w:t>שגרתית</w:t>
      </w:r>
      <w:r>
        <w:rPr>
          <w:b/>
          <w:bCs/>
        </w:rPr>
        <w:t xml:space="preserve"> </w:t>
      </w:r>
      <w:r>
        <w:rPr>
          <w:b/>
          <w:bCs/>
          <w:rtl/>
        </w:rPr>
        <w:t>של</w:t>
      </w:r>
      <w:r>
        <w:rPr>
          <w:b/>
          <w:bCs/>
        </w:rPr>
        <w:t xml:space="preserve"> </w:t>
      </w:r>
      <w:r>
        <w:rPr>
          <w:b/>
          <w:bCs/>
          <w:rtl/>
        </w:rPr>
        <w:t>מעשה</w:t>
      </w:r>
      <w:r>
        <w:rPr>
          <w:b/>
          <w:bCs/>
        </w:rPr>
        <w:t xml:space="preserve"> </w:t>
      </w:r>
      <w:r>
        <w:rPr>
          <w:b/>
          <w:bCs/>
          <w:rtl/>
        </w:rPr>
        <w:t>כוחני</w:t>
      </w:r>
      <w:r>
        <w:rPr>
          <w:b/>
          <w:bCs/>
        </w:rPr>
        <w:t xml:space="preserve"> </w:t>
      </w:r>
      <w:r>
        <w:rPr>
          <w:b/>
          <w:bCs/>
          <w:rtl/>
        </w:rPr>
        <w:t>כפשוטו.</w:t>
      </w:r>
      <w:r>
        <w:rPr>
          <w:b/>
          <w:bCs/>
        </w:rPr>
        <w:t xml:space="preserve"> </w:t>
      </w:r>
      <w:r>
        <w:rPr>
          <w:b/>
          <w:bCs/>
          <w:rtl/>
        </w:rPr>
        <w:t>אולם, בעת</w:t>
      </w:r>
      <w:r>
        <w:rPr>
          <w:b/>
          <w:bCs/>
        </w:rPr>
        <w:t xml:space="preserve"> </w:t>
      </w:r>
      <w:r>
        <w:rPr>
          <w:b/>
          <w:bCs/>
          <w:rtl/>
        </w:rPr>
        <w:t>פרשנותו</w:t>
      </w:r>
      <w:r>
        <w:rPr>
          <w:b/>
          <w:bCs/>
        </w:rPr>
        <w:t xml:space="preserve"> </w:t>
      </w:r>
      <w:r>
        <w:rPr>
          <w:b/>
          <w:bCs/>
          <w:rtl/>
        </w:rPr>
        <w:t>של</w:t>
      </w:r>
      <w:r>
        <w:rPr>
          <w:b/>
          <w:bCs/>
        </w:rPr>
        <w:t xml:space="preserve"> </w:t>
      </w:r>
      <w:r>
        <w:rPr>
          <w:b/>
          <w:bCs/>
          <w:rtl/>
        </w:rPr>
        <w:t>ביטוי</w:t>
      </w:r>
      <w:r>
        <w:rPr>
          <w:b/>
          <w:bCs/>
        </w:rPr>
        <w:t xml:space="preserve"> </w:t>
      </w:r>
      <w:r>
        <w:rPr>
          <w:b/>
          <w:bCs/>
          <w:rtl/>
        </w:rPr>
        <w:t>במסגרת</w:t>
      </w:r>
      <w:r>
        <w:rPr>
          <w:b/>
          <w:bCs/>
        </w:rPr>
        <w:t xml:space="preserve"> </w:t>
      </w:r>
      <w:r>
        <w:rPr>
          <w:b/>
          <w:bCs/>
          <w:rtl/>
        </w:rPr>
        <w:t>הקשרו</w:t>
      </w:r>
      <w:r>
        <w:rPr>
          <w:b/>
          <w:bCs/>
        </w:rPr>
        <w:t xml:space="preserve"> </w:t>
      </w:r>
      <w:r>
        <w:rPr>
          <w:b/>
          <w:bCs/>
          <w:rtl/>
        </w:rPr>
        <w:t>הענייני</w:t>
      </w:r>
      <w:r>
        <w:rPr>
          <w:b/>
          <w:bCs/>
        </w:rPr>
        <w:t xml:space="preserve"> </w:t>
      </w:r>
      <w:r>
        <w:rPr>
          <w:b/>
          <w:bCs/>
          <w:rtl/>
        </w:rPr>
        <w:t>אין</w:t>
      </w:r>
      <w:r>
        <w:rPr>
          <w:b/>
          <w:bCs/>
        </w:rPr>
        <w:t xml:space="preserve"> </w:t>
      </w:r>
      <w:r>
        <w:rPr>
          <w:b/>
          <w:bCs/>
          <w:rtl/>
        </w:rPr>
        <w:t>להסתפק</w:t>
      </w:r>
      <w:r>
        <w:rPr>
          <w:b/>
          <w:bCs/>
        </w:rPr>
        <w:t xml:space="preserve"> </w:t>
      </w:r>
      <w:r>
        <w:rPr>
          <w:b/>
          <w:bCs/>
          <w:rtl/>
        </w:rPr>
        <w:t>בהגדרתו</w:t>
      </w:r>
      <w:r>
        <w:rPr>
          <w:b/>
          <w:bCs/>
        </w:rPr>
        <w:t xml:space="preserve"> </w:t>
      </w:r>
      <w:r>
        <w:rPr>
          <w:b/>
          <w:bCs/>
          <w:rtl/>
        </w:rPr>
        <w:t>לפי</w:t>
      </w:r>
      <w:r>
        <w:rPr>
          <w:b/>
          <w:bCs/>
        </w:rPr>
        <w:t xml:space="preserve"> </w:t>
      </w:r>
      <w:r>
        <w:rPr>
          <w:b/>
          <w:bCs/>
          <w:rtl/>
        </w:rPr>
        <w:t>ההסתברות</w:t>
      </w:r>
      <w:r>
        <w:rPr>
          <w:b/>
          <w:bCs/>
        </w:rPr>
        <w:t xml:space="preserve"> </w:t>
      </w:r>
      <w:r>
        <w:rPr>
          <w:b/>
          <w:bCs/>
          <w:rtl/>
        </w:rPr>
        <w:t>ברוב</w:t>
      </w:r>
      <w:r>
        <w:rPr>
          <w:b/>
          <w:bCs/>
        </w:rPr>
        <w:t xml:space="preserve"> </w:t>
      </w:r>
      <w:r>
        <w:rPr>
          <w:b/>
          <w:bCs/>
          <w:rtl/>
        </w:rPr>
        <w:t>המקרים,</w:t>
      </w:r>
      <w:r>
        <w:rPr>
          <w:b/>
          <w:bCs/>
        </w:rPr>
        <w:t xml:space="preserve"> </w:t>
      </w:r>
      <w:r>
        <w:rPr>
          <w:b/>
          <w:bCs/>
          <w:rtl/>
        </w:rPr>
        <w:t>אלא</w:t>
      </w:r>
      <w:r>
        <w:rPr>
          <w:b/>
          <w:bCs/>
        </w:rPr>
        <w:t xml:space="preserve"> </w:t>
      </w:r>
      <w:r>
        <w:rPr>
          <w:b/>
          <w:bCs/>
          <w:rtl/>
        </w:rPr>
        <w:t>יש</w:t>
      </w:r>
      <w:r>
        <w:rPr>
          <w:b/>
          <w:bCs/>
        </w:rPr>
        <w:t xml:space="preserve"> </w:t>
      </w:r>
      <w:r>
        <w:rPr>
          <w:b/>
          <w:bCs/>
          <w:rtl/>
        </w:rPr>
        <w:t>לפנות</w:t>
      </w:r>
      <w:r>
        <w:rPr>
          <w:b/>
          <w:bCs/>
        </w:rPr>
        <w:t xml:space="preserve"> </w:t>
      </w:r>
      <w:r>
        <w:rPr>
          <w:b/>
          <w:bCs/>
          <w:rtl/>
        </w:rPr>
        <w:t>לכל</w:t>
      </w:r>
      <w:r>
        <w:rPr>
          <w:b/>
          <w:bCs/>
        </w:rPr>
        <w:t xml:space="preserve"> </w:t>
      </w:r>
      <w:r>
        <w:rPr>
          <w:b/>
          <w:bCs/>
          <w:rtl/>
        </w:rPr>
        <w:t>המשמעויות</w:t>
      </w:r>
      <w:r>
        <w:rPr>
          <w:b/>
          <w:bCs/>
        </w:rPr>
        <w:t xml:space="preserve"> </w:t>
      </w:r>
      <w:r>
        <w:rPr>
          <w:b/>
          <w:bCs/>
          <w:rtl/>
        </w:rPr>
        <w:t>האפשריות;</w:t>
      </w:r>
      <w:r>
        <w:rPr>
          <w:b/>
          <w:bCs/>
        </w:rPr>
        <w:t xml:space="preserve"> </w:t>
      </w:r>
      <w:r>
        <w:rPr>
          <w:b/>
          <w:bCs/>
          <w:rtl/>
        </w:rPr>
        <w:t>קרי,</w:t>
      </w:r>
      <w:r>
        <w:rPr>
          <w:b/>
          <w:bCs/>
        </w:rPr>
        <w:t xml:space="preserve"> </w:t>
      </w:r>
      <w:r>
        <w:rPr>
          <w:b/>
          <w:bCs/>
          <w:rtl/>
        </w:rPr>
        <w:t>יש</w:t>
      </w:r>
      <w:r>
        <w:rPr>
          <w:b/>
          <w:bCs/>
        </w:rPr>
        <w:t xml:space="preserve"> </w:t>
      </w:r>
      <w:r>
        <w:rPr>
          <w:b/>
          <w:bCs/>
          <w:rtl/>
        </w:rPr>
        <w:t>לדלות</w:t>
      </w:r>
      <w:r>
        <w:rPr>
          <w:b/>
          <w:bCs/>
        </w:rPr>
        <w:t xml:space="preserve"> </w:t>
      </w:r>
      <w:r>
        <w:rPr>
          <w:b/>
          <w:bCs/>
          <w:rtl/>
        </w:rPr>
        <w:t>מתוכו</w:t>
      </w:r>
      <w:r>
        <w:rPr>
          <w:b/>
          <w:bCs/>
        </w:rPr>
        <w:t xml:space="preserve"> </w:t>
      </w:r>
      <w:r>
        <w:rPr>
          <w:b/>
          <w:bCs/>
          <w:rtl/>
        </w:rPr>
        <w:t>את</w:t>
      </w:r>
      <w:r>
        <w:rPr>
          <w:b/>
          <w:bCs/>
        </w:rPr>
        <w:t xml:space="preserve"> </w:t>
      </w:r>
      <w:r>
        <w:rPr>
          <w:b/>
          <w:bCs/>
          <w:rtl/>
        </w:rPr>
        <w:t>כל</w:t>
      </w:r>
      <w:r>
        <w:rPr>
          <w:b/>
          <w:bCs/>
        </w:rPr>
        <w:t xml:space="preserve"> </w:t>
      </w:r>
      <w:r>
        <w:rPr>
          <w:b/>
          <w:bCs/>
          <w:rtl/>
        </w:rPr>
        <w:t>קשת</w:t>
      </w:r>
      <w:r>
        <w:rPr>
          <w:b/>
          <w:bCs/>
        </w:rPr>
        <w:t xml:space="preserve"> </w:t>
      </w:r>
      <w:r>
        <w:rPr>
          <w:b/>
          <w:bCs/>
          <w:rtl/>
        </w:rPr>
        <w:t>המשמעויות</w:t>
      </w:r>
      <w:r>
        <w:rPr>
          <w:b/>
          <w:bCs/>
        </w:rPr>
        <w:t xml:space="preserve"> </w:t>
      </w:r>
      <w:r>
        <w:rPr>
          <w:b/>
          <w:bCs/>
          <w:rtl/>
        </w:rPr>
        <w:t>האפשריות.</w:t>
      </w:r>
      <w:r>
        <w:rPr>
          <w:b/>
          <w:bCs/>
        </w:rPr>
        <w:t xml:space="preserve"> </w:t>
      </w:r>
      <w:r>
        <w:rPr>
          <w:b/>
          <w:bCs/>
          <w:rtl/>
        </w:rPr>
        <w:t>אגב,</w:t>
      </w:r>
      <w:r>
        <w:rPr>
          <w:b/>
          <w:bCs/>
        </w:rPr>
        <w:t xml:space="preserve"> </w:t>
      </w:r>
      <w:r>
        <w:rPr>
          <w:b/>
          <w:bCs/>
          <w:rtl/>
        </w:rPr>
        <w:t>מכאן</w:t>
      </w:r>
      <w:r>
        <w:rPr>
          <w:b/>
          <w:bCs/>
        </w:rPr>
        <w:t xml:space="preserve"> </w:t>
      </w:r>
      <w:r>
        <w:rPr>
          <w:b/>
          <w:bCs/>
          <w:rtl/>
        </w:rPr>
        <w:t>גם</w:t>
      </w:r>
      <w:r>
        <w:rPr>
          <w:b/>
          <w:bCs/>
        </w:rPr>
        <w:t xml:space="preserve"> </w:t>
      </w:r>
      <w:r>
        <w:rPr>
          <w:b/>
          <w:bCs/>
          <w:rtl/>
        </w:rPr>
        <w:t>נובע,</w:t>
      </w:r>
      <w:r>
        <w:rPr>
          <w:b/>
          <w:bCs/>
        </w:rPr>
        <w:t xml:space="preserve"> </w:t>
      </w:r>
      <w:r>
        <w:rPr>
          <w:b/>
          <w:bCs/>
          <w:rtl/>
        </w:rPr>
        <w:t>בין</w:t>
      </w:r>
      <w:r>
        <w:rPr>
          <w:b/>
          <w:bCs/>
        </w:rPr>
        <w:t xml:space="preserve"> </w:t>
      </w:r>
      <w:r>
        <w:rPr>
          <w:b/>
          <w:bCs/>
          <w:rtl/>
        </w:rPr>
        <w:t>היתר, כלל</w:t>
      </w:r>
      <w:r>
        <w:rPr>
          <w:b/>
          <w:bCs/>
        </w:rPr>
        <w:t xml:space="preserve"> </w:t>
      </w:r>
      <w:r>
        <w:rPr>
          <w:b/>
          <w:bCs/>
          <w:rtl/>
        </w:rPr>
        <w:t>הפרשנות</w:t>
      </w:r>
      <w:r>
        <w:rPr>
          <w:b/>
          <w:bCs/>
        </w:rPr>
        <w:t xml:space="preserve"> </w:t>
      </w:r>
      <w:r>
        <w:rPr>
          <w:b/>
          <w:bCs/>
          <w:rtl/>
        </w:rPr>
        <w:t>המקובל,</w:t>
      </w:r>
      <w:r>
        <w:rPr>
          <w:b/>
          <w:bCs/>
        </w:rPr>
        <w:t xml:space="preserve"> </w:t>
      </w:r>
      <w:r>
        <w:rPr>
          <w:b/>
          <w:bCs/>
          <w:rtl/>
        </w:rPr>
        <w:t>לפיו</w:t>
      </w:r>
      <w:r>
        <w:rPr>
          <w:b/>
          <w:bCs/>
        </w:rPr>
        <w:t xml:space="preserve"> </w:t>
      </w:r>
      <w:r>
        <w:rPr>
          <w:b/>
          <w:bCs/>
          <w:rtl/>
        </w:rPr>
        <w:t>יתכן</w:t>
      </w:r>
      <w:r>
        <w:rPr>
          <w:b/>
          <w:bCs/>
        </w:rPr>
        <w:t xml:space="preserve"> </w:t>
      </w:r>
      <w:r>
        <w:rPr>
          <w:b/>
          <w:bCs/>
          <w:rtl/>
        </w:rPr>
        <w:t>ולאותו</w:t>
      </w:r>
      <w:r>
        <w:rPr>
          <w:b/>
          <w:bCs/>
        </w:rPr>
        <w:t xml:space="preserve"> </w:t>
      </w:r>
      <w:r>
        <w:rPr>
          <w:b/>
          <w:bCs/>
          <w:rtl/>
        </w:rPr>
        <w:t>ביטוי</w:t>
      </w:r>
      <w:r>
        <w:rPr>
          <w:b/>
          <w:bCs/>
        </w:rPr>
        <w:t xml:space="preserve"> </w:t>
      </w:r>
      <w:r>
        <w:rPr>
          <w:b/>
          <w:bCs/>
          <w:rtl/>
        </w:rPr>
        <w:t>יהיו</w:t>
      </w:r>
      <w:r>
        <w:rPr>
          <w:b/>
          <w:bCs/>
        </w:rPr>
        <w:t xml:space="preserve"> </w:t>
      </w:r>
      <w:r>
        <w:rPr>
          <w:b/>
          <w:bCs/>
          <w:rtl/>
        </w:rPr>
        <w:t>משמעויות</w:t>
      </w:r>
      <w:r>
        <w:rPr>
          <w:b/>
          <w:bCs/>
        </w:rPr>
        <w:t xml:space="preserve"> </w:t>
      </w:r>
      <w:r>
        <w:rPr>
          <w:b/>
          <w:bCs/>
          <w:rtl/>
        </w:rPr>
        <w:t>שונות</w:t>
      </w:r>
      <w:r>
        <w:rPr>
          <w:b/>
          <w:bCs/>
        </w:rPr>
        <w:t xml:space="preserve"> </w:t>
      </w:r>
      <w:r>
        <w:rPr>
          <w:b/>
          <w:bCs/>
          <w:rtl/>
        </w:rPr>
        <w:t>בחוקים</w:t>
      </w:r>
      <w:r>
        <w:rPr>
          <w:b/>
          <w:bCs/>
        </w:rPr>
        <w:t xml:space="preserve"> </w:t>
      </w:r>
      <w:r>
        <w:rPr>
          <w:b/>
          <w:bCs/>
          <w:rtl/>
        </w:rPr>
        <w:t>שונים</w:t>
      </w:r>
      <w:r>
        <w:rPr>
          <w:b/>
          <w:bCs/>
        </w:rPr>
        <w:t xml:space="preserve"> </w:t>
      </w:r>
      <w:r>
        <w:rPr>
          <w:b/>
          <w:bCs/>
          <w:rtl/>
        </w:rPr>
        <w:t>או</w:t>
      </w:r>
      <w:r>
        <w:rPr>
          <w:b/>
          <w:bCs/>
        </w:rPr>
        <w:t xml:space="preserve"> </w:t>
      </w:r>
      <w:r>
        <w:rPr>
          <w:b/>
          <w:bCs/>
          <w:rtl/>
        </w:rPr>
        <w:t>בהקשרים</w:t>
      </w:r>
      <w:r>
        <w:rPr>
          <w:b/>
          <w:bCs/>
        </w:rPr>
        <w:t xml:space="preserve"> </w:t>
      </w:r>
      <w:r>
        <w:rPr>
          <w:b/>
          <w:bCs/>
          <w:rtl/>
        </w:rPr>
        <w:t>שונים</w:t>
      </w:r>
      <w:r>
        <w:rPr>
          <w:b/>
          <w:bCs/>
        </w:rPr>
        <w:t xml:space="preserve"> </w:t>
      </w:r>
      <w:r>
        <w:rPr>
          <w:b/>
          <w:bCs/>
          <w:rtl/>
        </w:rPr>
        <w:t>באותו</w:t>
      </w:r>
      <w:r>
        <w:rPr>
          <w:b/>
          <w:bCs/>
        </w:rPr>
        <w:t xml:space="preserve"> </w:t>
      </w:r>
      <w:r>
        <w:rPr>
          <w:b/>
          <w:bCs/>
          <w:rtl/>
        </w:rPr>
        <w:t>חוק. המשמעויות</w:t>
      </w:r>
      <w:r>
        <w:rPr>
          <w:b/>
          <w:bCs/>
        </w:rPr>
        <w:t xml:space="preserve"> </w:t>
      </w:r>
      <w:r>
        <w:rPr>
          <w:b/>
          <w:bCs/>
          <w:rtl/>
        </w:rPr>
        <w:t>השונות</w:t>
      </w:r>
      <w:r>
        <w:rPr>
          <w:b/>
          <w:bCs/>
        </w:rPr>
        <w:t xml:space="preserve"> </w:t>
      </w:r>
      <w:r>
        <w:rPr>
          <w:b/>
          <w:bCs/>
          <w:rtl/>
        </w:rPr>
        <w:t>מושפעות</w:t>
      </w:r>
      <w:r>
        <w:rPr>
          <w:b/>
          <w:bCs/>
        </w:rPr>
        <w:t xml:space="preserve"> </w:t>
      </w:r>
      <w:r>
        <w:rPr>
          <w:b/>
          <w:bCs/>
          <w:rtl/>
        </w:rPr>
        <w:t>מן</w:t>
      </w:r>
      <w:r>
        <w:rPr>
          <w:b/>
          <w:bCs/>
        </w:rPr>
        <w:t xml:space="preserve"> </w:t>
      </w:r>
      <w:r>
        <w:rPr>
          <w:b/>
          <w:bCs/>
          <w:rtl/>
        </w:rPr>
        <w:t>הקשר</w:t>
      </w:r>
      <w:r>
        <w:rPr>
          <w:b/>
          <w:bCs/>
        </w:rPr>
        <w:t xml:space="preserve"> </w:t>
      </w:r>
      <w:r>
        <w:rPr>
          <w:b/>
          <w:bCs/>
          <w:rtl/>
        </w:rPr>
        <w:t>הניסוחי</w:t>
      </w:r>
      <w:r>
        <w:rPr>
          <w:b/>
          <w:bCs/>
        </w:rPr>
        <w:t xml:space="preserve"> </w:t>
      </w:r>
      <w:r>
        <w:rPr>
          <w:b/>
          <w:bCs/>
          <w:rtl/>
        </w:rPr>
        <w:t>ולעיתים</w:t>
      </w:r>
      <w:r>
        <w:rPr>
          <w:b/>
          <w:bCs/>
        </w:rPr>
        <w:t xml:space="preserve"> </w:t>
      </w:r>
      <w:r>
        <w:rPr>
          <w:b/>
          <w:bCs/>
          <w:rtl/>
        </w:rPr>
        <w:t>אף</w:t>
      </w:r>
      <w:r>
        <w:rPr>
          <w:b/>
          <w:bCs/>
        </w:rPr>
        <w:t xml:space="preserve"> </w:t>
      </w:r>
      <w:r>
        <w:rPr>
          <w:b/>
          <w:bCs/>
          <w:rtl/>
        </w:rPr>
        <w:t>מותחמות</w:t>
      </w:r>
      <w:r>
        <w:rPr>
          <w:b/>
          <w:bCs/>
        </w:rPr>
        <w:t xml:space="preserve"> </w:t>
      </w:r>
      <w:r>
        <w:rPr>
          <w:b/>
          <w:bCs/>
          <w:rtl/>
        </w:rPr>
        <w:t>על</w:t>
      </w:r>
      <w:r>
        <w:rPr>
          <w:b/>
          <w:bCs/>
        </w:rPr>
        <w:t xml:space="preserve"> </w:t>
      </w:r>
      <w:r>
        <w:rPr>
          <w:b/>
          <w:bCs/>
          <w:rtl/>
        </w:rPr>
        <w:t>ידיו;</w:t>
      </w:r>
      <w:r>
        <w:rPr>
          <w:b/>
          <w:bCs/>
        </w:rPr>
        <w:t xml:space="preserve"> </w:t>
      </w:r>
      <w:r>
        <w:rPr>
          <w:b/>
          <w:bCs/>
          <w:rtl/>
        </w:rPr>
        <w:t>אולם,</w:t>
      </w:r>
      <w:r>
        <w:rPr>
          <w:b/>
          <w:bCs/>
        </w:rPr>
        <w:t xml:space="preserve"> </w:t>
      </w:r>
      <w:r>
        <w:rPr>
          <w:b/>
          <w:bCs/>
          <w:rtl/>
        </w:rPr>
        <w:t>מגוון</w:t>
      </w:r>
      <w:r>
        <w:rPr>
          <w:b/>
          <w:bCs/>
        </w:rPr>
        <w:t xml:space="preserve"> </w:t>
      </w:r>
      <w:r>
        <w:rPr>
          <w:b/>
          <w:bCs/>
          <w:rtl/>
        </w:rPr>
        <w:t>הפירושים</w:t>
      </w:r>
      <w:r>
        <w:rPr>
          <w:b/>
          <w:bCs/>
        </w:rPr>
        <w:t xml:space="preserve"> </w:t>
      </w:r>
      <w:r>
        <w:rPr>
          <w:b/>
          <w:bCs/>
          <w:rtl/>
        </w:rPr>
        <w:t>יכול</w:t>
      </w:r>
      <w:r>
        <w:rPr>
          <w:b/>
          <w:bCs/>
        </w:rPr>
        <w:t xml:space="preserve"> </w:t>
      </w:r>
      <w:r>
        <w:rPr>
          <w:b/>
          <w:bCs/>
          <w:rtl/>
        </w:rPr>
        <w:t>ויעלה</w:t>
      </w:r>
      <w:r>
        <w:rPr>
          <w:b/>
          <w:bCs/>
        </w:rPr>
        <w:t xml:space="preserve"> </w:t>
      </w:r>
      <w:r>
        <w:rPr>
          <w:b/>
          <w:bCs/>
          <w:rtl/>
        </w:rPr>
        <w:t>מריבוי</w:t>
      </w:r>
      <w:r>
        <w:rPr>
          <w:b/>
          <w:bCs/>
        </w:rPr>
        <w:t xml:space="preserve"> </w:t>
      </w:r>
      <w:r>
        <w:rPr>
          <w:b/>
          <w:bCs/>
          <w:rtl/>
        </w:rPr>
        <w:t>האפשרויות</w:t>
      </w:r>
      <w:r>
        <w:rPr>
          <w:b/>
          <w:bCs/>
        </w:rPr>
        <w:t xml:space="preserve"> </w:t>
      </w:r>
      <w:r>
        <w:rPr>
          <w:b/>
          <w:bCs/>
          <w:rtl/>
        </w:rPr>
        <w:t>הפרשניות</w:t>
      </w:r>
      <w:r>
        <w:rPr>
          <w:b/>
          <w:bCs/>
        </w:rPr>
        <w:t xml:space="preserve"> </w:t>
      </w:r>
      <w:r>
        <w:rPr>
          <w:b/>
          <w:bCs/>
          <w:rtl/>
        </w:rPr>
        <w:t>הנובעות</w:t>
      </w:r>
      <w:r>
        <w:rPr>
          <w:b/>
          <w:bCs/>
        </w:rPr>
        <w:t xml:space="preserve"> </w:t>
      </w:r>
      <w:r>
        <w:rPr>
          <w:b/>
          <w:bCs/>
          <w:rtl/>
        </w:rPr>
        <w:t>ממהותה</w:t>
      </w:r>
      <w:r>
        <w:rPr>
          <w:b/>
          <w:bCs/>
        </w:rPr>
        <w:t xml:space="preserve"> </w:t>
      </w:r>
      <w:r>
        <w:rPr>
          <w:b/>
          <w:bCs/>
          <w:rtl/>
        </w:rPr>
        <w:t>של</w:t>
      </w:r>
      <w:r>
        <w:rPr>
          <w:b/>
          <w:bCs/>
        </w:rPr>
        <w:t xml:space="preserve"> </w:t>
      </w:r>
      <w:r>
        <w:rPr>
          <w:b/>
          <w:bCs/>
          <w:rtl/>
        </w:rPr>
        <w:t>המלה</w:t>
      </w:r>
      <w:r>
        <w:rPr>
          <w:b/>
          <w:bCs/>
        </w:rPr>
        <w:t xml:space="preserve"> </w:t>
      </w:r>
      <w:r>
        <w:rPr>
          <w:b/>
          <w:bCs/>
          <w:rtl/>
        </w:rPr>
        <w:t>ומתוך</w:t>
      </w:r>
      <w:r>
        <w:rPr>
          <w:b/>
          <w:bCs/>
        </w:rPr>
        <w:t xml:space="preserve"> </w:t>
      </w:r>
      <w:r>
        <w:rPr>
          <w:b/>
          <w:bCs/>
          <w:rtl/>
        </w:rPr>
        <w:t>המכלול</w:t>
      </w:r>
      <w:r>
        <w:rPr>
          <w:b/>
          <w:bCs/>
        </w:rPr>
        <w:t xml:space="preserve"> </w:t>
      </w:r>
      <w:r>
        <w:rPr>
          <w:b/>
          <w:bCs/>
          <w:rtl/>
        </w:rPr>
        <w:t>של</w:t>
      </w:r>
      <w:r>
        <w:rPr>
          <w:b/>
          <w:bCs/>
        </w:rPr>
        <w:t xml:space="preserve"> </w:t>
      </w:r>
      <w:r>
        <w:rPr>
          <w:b/>
          <w:bCs/>
          <w:rtl/>
        </w:rPr>
        <w:t>משמעויותיה</w:t>
      </w:r>
      <w:r>
        <w:rPr>
          <w:b/>
          <w:bCs/>
        </w:rPr>
        <w:t>.</w:t>
      </w:r>
    </w:p>
    <w:p w14:paraId="177C94C4" w14:textId="77777777" w:rsidR="0034251D" w:rsidRDefault="0034251D" w:rsidP="00D348D9">
      <w:pPr>
        <w:autoSpaceDE w:val="0"/>
        <w:autoSpaceDN w:val="0"/>
        <w:adjustRightInd w:val="0"/>
        <w:spacing w:before="100" w:after="100" w:line="360" w:lineRule="auto"/>
        <w:ind w:left="1503" w:right="567"/>
        <w:jc w:val="both"/>
        <w:rPr>
          <w:rFonts w:ascii="Arial" w:hAnsi="Arial"/>
          <w:b/>
          <w:bCs/>
        </w:rPr>
      </w:pPr>
      <w:r>
        <w:rPr>
          <w:rFonts w:ascii="Arial" w:hAnsi="Arial"/>
          <w:b/>
          <w:bCs/>
          <w:rtl/>
        </w:rPr>
        <w:t>הפועל</w:t>
      </w:r>
      <w:r>
        <w:rPr>
          <w:rFonts w:ascii="Arial" w:hAnsi="Arial"/>
          <w:b/>
          <w:bCs/>
        </w:rPr>
        <w:t xml:space="preserve"> </w:t>
      </w:r>
      <w:r>
        <w:rPr>
          <w:rFonts w:ascii="Arial" w:hAnsi="Arial"/>
          <w:b/>
          <w:bCs/>
          <w:rtl/>
        </w:rPr>
        <w:t>היוצא</w:t>
      </w:r>
      <w:r>
        <w:rPr>
          <w:rFonts w:ascii="Arial" w:hAnsi="Arial"/>
          <w:b/>
          <w:bCs/>
        </w:rPr>
        <w:t xml:space="preserve"> </w:t>
      </w:r>
      <w:r>
        <w:rPr>
          <w:rFonts w:ascii="Arial" w:hAnsi="Arial"/>
          <w:b/>
          <w:bCs/>
          <w:rtl/>
        </w:rPr>
        <w:t>מן</w:t>
      </w:r>
      <w:r>
        <w:rPr>
          <w:rFonts w:ascii="Arial" w:hAnsi="Arial"/>
          <w:b/>
          <w:bCs/>
        </w:rPr>
        <w:t xml:space="preserve"> </w:t>
      </w:r>
      <w:r>
        <w:rPr>
          <w:rFonts w:ascii="Arial" w:hAnsi="Arial"/>
          <w:b/>
          <w:bCs/>
          <w:rtl/>
        </w:rPr>
        <w:t>האמור</w:t>
      </w:r>
      <w:r>
        <w:rPr>
          <w:rFonts w:ascii="Arial" w:hAnsi="Arial"/>
          <w:b/>
          <w:bCs/>
        </w:rPr>
        <w:t xml:space="preserve"> </w:t>
      </w:r>
      <w:r>
        <w:rPr>
          <w:rFonts w:ascii="Arial" w:hAnsi="Arial"/>
          <w:b/>
          <w:bCs/>
          <w:rtl/>
        </w:rPr>
        <w:t>לעיל</w:t>
      </w:r>
      <w:r>
        <w:rPr>
          <w:rFonts w:ascii="Arial" w:hAnsi="Arial"/>
          <w:b/>
          <w:bCs/>
        </w:rPr>
        <w:t xml:space="preserve"> </w:t>
      </w:r>
      <w:r>
        <w:rPr>
          <w:rFonts w:ascii="Arial" w:hAnsi="Arial"/>
          <w:b/>
          <w:bCs/>
          <w:rtl/>
        </w:rPr>
        <w:t>הוא,</w:t>
      </w:r>
      <w:r>
        <w:rPr>
          <w:rFonts w:ascii="Arial" w:hAnsi="Arial"/>
          <w:b/>
          <w:bCs/>
        </w:rPr>
        <w:t xml:space="preserve"> </w:t>
      </w:r>
      <w:r>
        <w:rPr>
          <w:rFonts w:ascii="Arial" w:hAnsi="Arial"/>
          <w:b/>
          <w:bCs/>
          <w:rtl/>
        </w:rPr>
        <w:t>כי</w:t>
      </w:r>
      <w:r>
        <w:rPr>
          <w:rFonts w:ascii="Arial" w:hAnsi="Arial"/>
          <w:b/>
          <w:bCs/>
        </w:rPr>
        <w:t xml:space="preserve"> </w:t>
      </w:r>
      <w:r>
        <w:rPr>
          <w:rFonts w:ascii="Arial" w:hAnsi="Arial"/>
          <w:b/>
          <w:bCs/>
          <w:rtl/>
        </w:rPr>
        <w:t>בכל</w:t>
      </w:r>
      <w:r>
        <w:rPr>
          <w:rFonts w:ascii="Arial" w:hAnsi="Arial"/>
          <w:b/>
          <w:bCs/>
        </w:rPr>
        <w:t xml:space="preserve"> </w:t>
      </w:r>
      <w:r>
        <w:rPr>
          <w:rFonts w:ascii="Arial" w:hAnsi="Arial"/>
          <w:b/>
          <w:bCs/>
          <w:rtl/>
        </w:rPr>
        <w:t>הקשור</w:t>
      </w:r>
      <w:r>
        <w:rPr>
          <w:rFonts w:ascii="Arial" w:hAnsi="Arial"/>
          <w:b/>
          <w:bCs/>
        </w:rPr>
        <w:t xml:space="preserve"> </w:t>
      </w:r>
      <w:r>
        <w:rPr>
          <w:rFonts w:ascii="Arial" w:hAnsi="Arial"/>
          <w:b/>
          <w:bCs/>
          <w:rtl/>
        </w:rPr>
        <w:t>למובנה</w:t>
      </w:r>
      <w:r>
        <w:rPr>
          <w:rFonts w:ascii="Arial" w:hAnsi="Arial"/>
          <w:b/>
          <w:bCs/>
        </w:rPr>
        <w:t xml:space="preserve"> </w:t>
      </w:r>
      <w:r>
        <w:rPr>
          <w:rFonts w:ascii="Arial" w:hAnsi="Arial"/>
          <w:b/>
          <w:bCs/>
          <w:rtl/>
        </w:rPr>
        <w:t>של</w:t>
      </w:r>
      <w:r>
        <w:rPr>
          <w:rFonts w:ascii="Arial" w:hAnsi="Arial"/>
          <w:b/>
          <w:bCs/>
        </w:rPr>
        <w:t xml:space="preserve"> </w:t>
      </w:r>
      <w:r>
        <w:rPr>
          <w:rFonts w:ascii="Arial" w:hAnsi="Arial"/>
          <w:b/>
          <w:bCs/>
          <w:rtl/>
        </w:rPr>
        <w:t>מילה</w:t>
      </w:r>
      <w:r>
        <w:rPr>
          <w:rFonts w:ascii="Arial" w:hAnsi="Arial"/>
          <w:b/>
          <w:bCs/>
        </w:rPr>
        <w:t xml:space="preserve"> </w:t>
      </w:r>
      <w:r>
        <w:rPr>
          <w:rFonts w:ascii="Arial" w:hAnsi="Arial"/>
          <w:b/>
          <w:bCs/>
          <w:rtl/>
        </w:rPr>
        <w:t>יש</w:t>
      </w:r>
      <w:r>
        <w:rPr>
          <w:rFonts w:ascii="Arial" w:hAnsi="Arial"/>
          <w:b/>
          <w:bCs/>
        </w:rPr>
        <w:t xml:space="preserve"> </w:t>
      </w:r>
      <w:r>
        <w:rPr>
          <w:rFonts w:ascii="Arial" w:hAnsi="Arial"/>
          <w:b/>
          <w:bCs/>
          <w:rtl/>
        </w:rPr>
        <w:t>לפנות</w:t>
      </w:r>
      <w:r>
        <w:rPr>
          <w:rFonts w:ascii="Arial" w:hAnsi="Arial"/>
          <w:b/>
          <w:bCs/>
        </w:rPr>
        <w:t xml:space="preserve"> </w:t>
      </w:r>
      <w:r>
        <w:rPr>
          <w:rFonts w:ascii="Arial" w:hAnsi="Arial"/>
          <w:b/>
          <w:bCs/>
          <w:rtl/>
        </w:rPr>
        <w:t>לכל</w:t>
      </w:r>
      <w:r>
        <w:rPr>
          <w:rFonts w:ascii="Arial" w:hAnsi="Arial"/>
          <w:b/>
          <w:bCs/>
        </w:rPr>
        <w:t xml:space="preserve"> </w:t>
      </w:r>
      <w:r>
        <w:rPr>
          <w:rFonts w:ascii="Arial" w:hAnsi="Arial"/>
          <w:b/>
          <w:bCs/>
          <w:rtl/>
        </w:rPr>
        <w:t>קשת</w:t>
      </w:r>
      <w:r>
        <w:rPr>
          <w:rFonts w:ascii="Arial" w:hAnsi="Arial"/>
          <w:b/>
          <w:bCs/>
        </w:rPr>
        <w:t xml:space="preserve"> </w:t>
      </w:r>
      <w:r>
        <w:rPr>
          <w:rFonts w:ascii="Arial" w:hAnsi="Arial"/>
          <w:b/>
          <w:bCs/>
          <w:rtl/>
        </w:rPr>
        <w:t>האפשרויות</w:t>
      </w:r>
      <w:r>
        <w:rPr>
          <w:rFonts w:ascii="Arial" w:hAnsi="Arial"/>
          <w:b/>
          <w:bCs/>
        </w:rPr>
        <w:t xml:space="preserve"> </w:t>
      </w:r>
      <w:r>
        <w:rPr>
          <w:rFonts w:ascii="Arial" w:hAnsi="Arial"/>
          <w:b/>
          <w:bCs/>
          <w:rtl/>
        </w:rPr>
        <w:t>של</w:t>
      </w:r>
      <w:r>
        <w:rPr>
          <w:rFonts w:ascii="Arial" w:hAnsi="Arial"/>
          <w:b/>
          <w:bCs/>
        </w:rPr>
        <w:t xml:space="preserve"> </w:t>
      </w:r>
      <w:r>
        <w:rPr>
          <w:rFonts w:ascii="Arial" w:hAnsi="Arial"/>
          <w:b/>
          <w:bCs/>
          <w:rtl/>
        </w:rPr>
        <w:t>משמעותה, וכי</w:t>
      </w:r>
      <w:r>
        <w:rPr>
          <w:rFonts w:ascii="Arial" w:hAnsi="Arial"/>
          <w:b/>
          <w:bCs/>
        </w:rPr>
        <w:t xml:space="preserve"> </w:t>
      </w:r>
      <w:r>
        <w:rPr>
          <w:rFonts w:ascii="Arial" w:hAnsi="Arial"/>
          <w:b/>
          <w:bCs/>
          <w:rtl/>
        </w:rPr>
        <w:t>בהיעדר</w:t>
      </w:r>
      <w:r>
        <w:rPr>
          <w:rFonts w:ascii="Arial" w:hAnsi="Arial"/>
          <w:b/>
          <w:bCs/>
        </w:rPr>
        <w:t xml:space="preserve"> </w:t>
      </w:r>
      <w:r>
        <w:rPr>
          <w:rFonts w:ascii="Arial" w:hAnsi="Arial"/>
          <w:b/>
          <w:bCs/>
          <w:rtl/>
        </w:rPr>
        <w:t>אות</w:t>
      </w:r>
      <w:r>
        <w:rPr>
          <w:rFonts w:ascii="Arial" w:hAnsi="Arial"/>
          <w:b/>
          <w:bCs/>
        </w:rPr>
        <w:t xml:space="preserve"> </w:t>
      </w:r>
      <w:r>
        <w:rPr>
          <w:rFonts w:ascii="Arial" w:hAnsi="Arial"/>
          <w:b/>
          <w:bCs/>
          <w:rtl/>
        </w:rPr>
        <w:t>וסימן</w:t>
      </w:r>
      <w:r>
        <w:rPr>
          <w:rFonts w:ascii="Arial" w:hAnsi="Arial"/>
          <w:b/>
          <w:bCs/>
        </w:rPr>
        <w:t xml:space="preserve"> </w:t>
      </w:r>
      <w:r>
        <w:rPr>
          <w:rFonts w:ascii="Arial" w:hAnsi="Arial"/>
          <w:b/>
          <w:bCs/>
          <w:rtl/>
        </w:rPr>
        <w:t>לכך</w:t>
      </w:r>
      <w:r>
        <w:rPr>
          <w:rFonts w:ascii="Arial" w:hAnsi="Arial"/>
          <w:b/>
          <w:bCs/>
        </w:rPr>
        <w:t xml:space="preserve"> </w:t>
      </w:r>
      <w:r>
        <w:rPr>
          <w:rFonts w:ascii="Arial" w:hAnsi="Arial"/>
          <w:b/>
          <w:bCs/>
          <w:rtl/>
        </w:rPr>
        <w:t>באומד</w:t>
      </w:r>
      <w:r>
        <w:rPr>
          <w:rFonts w:ascii="Arial" w:hAnsi="Arial"/>
          <w:b/>
          <w:bCs/>
        </w:rPr>
        <w:t xml:space="preserve"> </w:t>
      </w:r>
      <w:r>
        <w:rPr>
          <w:rFonts w:ascii="Arial" w:hAnsi="Arial"/>
          <w:b/>
          <w:bCs/>
          <w:rtl/>
        </w:rPr>
        <w:t>דעת</w:t>
      </w:r>
      <w:r>
        <w:rPr>
          <w:rFonts w:ascii="Arial" w:hAnsi="Arial"/>
          <w:b/>
          <w:bCs/>
        </w:rPr>
        <w:t xml:space="preserve"> </w:t>
      </w:r>
      <w:r>
        <w:rPr>
          <w:rFonts w:ascii="Arial" w:hAnsi="Arial"/>
          <w:b/>
          <w:bCs/>
          <w:rtl/>
        </w:rPr>
        <w:t>הצדדים</w:t>
      </w:r>
      <w:r>
        <w:rPr>
          <w:rFonts w:ascii="Arial" w:hAnsi="Arial"/>
          <w:b/>
          <w:bCs/>
        </w:rPr>
        <w:t xml:space="preserve"> </w:t>
      </w:r>
      <w:r>
        <w:rPr>
          <w:rFonts w:ascii="Arial" w:hAnsi="Arial"/>
          <w:b/>
          <w:bCs/>
          <w:rtl/>
        </w:rPr>
        <w:t>אין</w:t>
      </w:r>
      <w:r>
        <w:rPr>
          <w:rFonts w:ascii="Arial" w:hAnsi="Arial"/>
          <w:b/>
          <w:bCs/>
        </w:rPr>
        <w:t xml:space="preserve"> </w:t>
      </w:r>
      <w:r>
        <w:rPr>
          <w:rFonts w:ascii="Arial" w:hAnsi="Arial"/>
          <w:b/>
          <w:bCs/>
          <w:rtl/>
        </w:rPr>
        <w:t>לתחום</w:t>
      </w:r>
      <w:r>
        <w:rPr>
          <w:rFonts w:ascii="Arial" w:hAnsi="Arial"/>
          <w:b/>
          <w:bCs/>
        </w:rPr>
        <w:t xml:space="preserve"> </w:t>
      </w:r>
      <w:r>
        <w:rPr>
          <w:rFonts w:ascii="Arial" w:hAnsi="Arial"/>
          <w:b/>
          <w:bCs/>
          <w:rtl/>
        </w:rPr>
        <w:t>ולצמצם</w:t>
      </w:r>
      <w:r>
        <w:rPr>
          <w:rFonts w:ascii="Arial" w:hAnsi="Arial"/>
          <w:b/>
          <w:bCs/>
        </w:rPr>
        <w:t xml:space="preserve"> </w:t>
      </w:r>
      <w:r>
        <w:rPr>
          <w:rFonts w:ascii="Arial" w:hAnsi="Arial"/>
          <w:b/>
          <w:bCs/>
          <w:rtl/>
        </w:rPr>
        <w:t>את</w:t>
      </w:r>
      <w:r>
        <w:rPr>
          <w:rFonts w:ascii="Arial" w:hAnsi="Arial"/>
          <w:b/>
          <w:bCs/>
        </w:rPr>
        <w:t xml:space="preserve"> </w:t>
      </w:r>
      <w:r>
        <w:rPr>
          <w:rFonts w:ascii="Arial" w:hAnsi="Arial"/>
          <w:b/>
          <w:bCs/>
          <w:rtl/>
        </w:rPr>
        <w:t>גבולותיה</w:t>
      </w:r>
      <w:r>
        <w:rPr>
          <w:rFonts w:ascii="Arial" w:hAnsi="Arial"/>
          <w:b/>
          <w:bCs/>
        </w:rPr>
        <w:t xml:space="preserve"> </w:t>
      </w:r>
      <w:r>
        <w:rPr>
          <w:rFonts w:ascii="Arial" w:hAnsi="Arial"/>
          <w:b/>
          <w:bCs/>
          <w:rtl/>
        </w:rPr>
        <w:t>למשמעות</w:t>
      </w:r>
      <w:r>
        <w:rPr>
          <w:rFonts w:ascii="Arial" w:hAnsi="Arial"/>
          <w:b/>
          <w:bCs/>
        </w:rPr>
        <w:t xml:space="preserve"> </w:t>
      </w:r>
      <w:r>
        <w:rPr>
          <w:rFonts w:ascii="Arial" w:hAnsi="Arial"/>
          <w:b/>
          <w:bCs/>
          <w:rtl/>
        </w:rPr>
        <w:t>המקובלת</w:t>
      </w:r>
      <w:r>
        <w:rPr>
          <w:rFonts w:ascii="Arial" w:hAnsi="Arial"/>
          <w:b/>
          <w:bCs/>
        </w:rPr>
        <w:t xml:space="preserve"> </w:t>
      </w:r>
      <w:r>
        <w:rPr>
          <w:rFonts w:ascii="Arial" w:hAnsi="Arial"/>
          <w:b/>
          <w:bCs/>
          <w:rtl/>
        </w:rPr>
        <w:t>בלבד"</w:t>
      </w:r>
      <w:r>
        <w:rPr>
          <w:rFonts w:ascii="Arial" w:hAnsi="Arial"/>
        </w:rPr>
        <w:t>.</w:t>
      </w:r>
    </w:p>
    <w:p w14:paraId="2163E4EB" w14:textId="77777777" w:rsidR="0034251D" w:rsidRDefault="0034251D" w:rsidP="00D348D9">
      <w:pPr>
        <w:spacing w:line="360" w:lineRule="auto"/>
        <w:ind w:left="652" w:hanging="709"/>
        <w:jc w:val="both"/>
        <w:rPr>
          <w:rFonts w:ascii="Arial" w:hAnsi="Arial"/>
        </w:rPr>
      </w:pPr>
    </w:p>
    <w:p w14:paraId="1051CA50" w14:textId="77777777" w:rsidR="0034251D" w:rsidRDefault="0034251D" w:rsidP="00D348D9">
      <w:pPr>
        <w:spacing w:line="360" w:lineRule="auto"/>
        <w:ind w:left="652" w:hanging="709"/>
        <w:jc w:val="both"/>
        <w:rPr>
          <w:rtl/>
        </w:rPr>
      </w:pPr>
      <w:r>
        <w:rPr>
          <w:rFonts w:ascii="Arial" w:hAnsi="Arial"/>
          <w:rtl/>
        </w:rPr>
        <w:tab/>
        <w:t xml:space="preserve">אכן התייחסות זו של בית המשפט העליון אל המונח "אלימות" ניתנה במסגרת הליך אזרחי, ואף אם יש מקום לסברה כי על כללי הפרשנות להיות מותאמים להליכים פליליים, נראה כי גם במישור הפלילי ניתנה למונח "אלימות" פרשנות מרחיבה.  </w:t>
      </w:r>
    </w:p>
    <w:p w14:paraId="2CCB28B8" w14:textId="77777777" w:rsidR="0034251D" w:rsidRDefault="0034251D" w:rsidP="00D348D9">
      <w:pPr>
        <w:spacing w:line="360" w:lineRule="auto"/>
        <w:ind w:left="652"/>
        <w:jc w:val="both"/>
        <w:rPr>
          <w:rtl/>
        </w:rPr>
      </w:pPr>
      <w:r>
        <w:rPr>
          <w:rtl/>
        </w:rPr>
        <w:t>ב</w:t>
      </w:r>
      <w:hyperlink r:id="rId35" w:history="1">
        <w:r w:rsidR="00466323" w:rsidRPr="00466323">
          <w:rPr>
            <w:color w:val="0000FF"/>
            <w:u w:val="single"/>
            <w:rtl/>
          </w:rPr>
          <w:t>רע"פ 8188/09</w:t>
        </w:r>
      </w:hyperlink>
      <w:r>
        <w:rPr>
          <w:rtl/>
        </w:rPr>
        <w:t xml:space="preserve"> </w:t>
      </w:r>
      <w:r>
        <w:rPr>
          <w:b/>
          <w:bCs/>
          <w:rtl/>
        </w:rPr>
        <w:t>שלומי דבורה נגד מדינת ישראל</w:t>
      </w:r>
      <w:r>
        <w:rPr>
          <w:rtl/>
        </w:rPr>
        <w:t xml:space="preserve"> (פורסם בנבו, 25.10.2009) התייחס בית המשפט העליון למושג ה"אלימות": </w:t>
      </w:r>
    </w:p>
    <w:p w14:paraId="08E5E387" w14:textId="77777777" w:rsidR="0034251D" w:rsidRDefault="0034251D" w:rsidP="00D348D9">
      <w:pPr>
        <w:tabs>
          <w:tab w:val="left" w:pos="7740"/>
        </w:tabs>
        <w:spacing w:line="360" w:lineRule="auto"/>
        <w:ind w:left="1219" w:right="567"/>
        <w:jc w:val="both"/>
        <w:rPr>
          <w:rtl/>
        </w:rPr>
      </w:pPr>
      <w:r>
        <w:rPr>
          <w:b/>
          <w:bCs/>
          <w:rtl/>
        </w:rPr>
        <w:t>"מנקודת</w:t>
      </w:r>
      <w:r>
        <w:rPr>
          <w:b/>
          <w:bCs/>
        </w:rPr>
        <w:t xml:space="preserve"> </w:t>
      </w:r>
      <w:r>
        <w:rPr>
          <w:b/>
          <w:bCs/>
          <w:rtl/>
        </w:rPr>
        <w:t>מבטה</w:t>
      </w:r>
      <w:r>
        <w:rPr>
          <w:b/>
          <w:bCs/>
        </w:rPr>
        <w:t xml:space="preserve"> </w:t>
      </w:r>
      <w:r>
        <w:rPr>
          <w:b/>
          <w:bCs/>
          <w:rtl/>
        </w:rPr>
        <w:t>של</w:t>
      </w:r>
      <w:r>
        <w:rPr>
          <w:b/>
          <w:bCs/>
        </w:rPr>
        <w:t xml:space="preserve"> </w:t>
      </w:r>
      <w:r>
        <w:rPr>
          <w:b/>
          <w:bCs/>
          <w:rtl/>
        </w:rPr>
        <w:t>תורת</w:t>
      </w:r>
      <w:r>
        <w:rPr>
          <w:b/>
          <w:bCs/>
        </w:rPr>
        <w:t xml:space="preserve"> </w:t>
      </w:r>
      <w:r>
        <w:rPr>
          <w:b/>
          <w:bCs/>
          <w:rtl/>
        </w:rPr>
        <w:t>המוסר</w:t>
      </w:r>
      <w:r>
        <w:rPr>
          <w:b/>
          <w:bCs/>
        </w:rPr>
        <w:t xml:space="preserve"> </w:t>
      </w:r>
      <w:r>
        <w:rPr>
          <w:b/>
          <w:bCs/>
          <w:rtl/>
        </w:rPr>
        <w:t>אפשר</w:t>
      </w:r>
      <w:r>
        <w:rPr>
          <w:b/>
          <w:bCs/>
        </w:rPr>
        <w:t xml:space="preserve"> </w:t>
      </w:r>
      <w:r>
        <w:rPr>
          <w:b/>
          <w:bCs/>
          <w:rtl/>
        </w:rPr>
        <w:t>לטעון,</w:t>
      </w:r>
      <w:r>
        <w:rPr>
          <w:b/>
          <w:bCs/>
        </w:rPr>
        <w:t xml:space="preserve"> </w:t>
      </w:r>
      <w:r>
        <w:rPr>
          <w:b/>
          <w:bCs/>
          <w:rtl/>
        </w:rPr>
        <w:t>כי</w:t>
      </w:r>
      <w:r>
        <w:rPr>
          <w:b/>
          <w:bCs/>
        </w:rPr>
        <w:t xml:space="preserve"> </w:t>
      </w:r>
      <w:r>
        <w:rPr>
          <w:b/>
          <w:bCs/>
          <w:rtl/>
        </w:rPr>
        <w:t>בכל</w:t>
      </w:r>
      <w:r>
        <w:rPr>
          <w:b/>
          <w:bCs/>
        </w:rPr>
        <w:t xml:space="preserve"> </w:t>
      </w:r>
      <w:r>
        <w:rPr>
          <w:b/>
          <w:bCs/>
          <w:rtl/>
        </w:rPr>
        <w:t>עבירה</w:t>
      </w:r>
      <w:r>
        <w:rPr>
          <w:b/>
          <w:bCs/>
        </w:rPr>
        <w:t xml:space="preserve"> </w:t>
      </w:r>
      <w:r>
        <w:rPr>
          <w:b/>
          <w:bCs/>
          <w:rtl/>
        </w:rPr>
        <w:t>יש</w:t>
      </w:r>
      <w:r>
        <w:rPr>
          <w:b/>
          <w:bCs/>
        </w:rPr>
        <w:t xml:space="preserve"> </w:t>
      </w:r>
      <w:r>
        <w:rPr>
          <w:b/>
          <w:bCs/>
          <w:rtl/>
        </w:rPr>
        <w:t>מן</w:t>
      </w:r>
      <w:r>
        <w:rPr>
          <w:b/>
          <w:bCs/>
        </w:rPr>
        <w:t xml:space="preserve"> </w:t>
      </w:r>
      <w:r>
        <w:rPr>
          <w:b/>
          <w:bCs/>
          <w:rtl/>
        </w:rPr>
        <w:t>האלימות.</w:t>
      </w:r>
      <w:r>
        <w:rPr>
          <w:b/>
          <w:bCs/>
        </w:rPr>
        <w:t xml:space="preserve"> </w:t>
      </w:r>
      <w:r>
        <w:rPr>
          <w:b/>
          <w:bCs/>
          <w:rtl/>
        </w:rPr>
        <w:t>אך</w:t>
      </w:r>
      <w:r>
        <w:rPr>
          <w:b/>
          <w:bCs/>
        </w:rPr>
        <w:t xml:space="preserve"> </w:t>
      </w:r>
      <w:r>
        <w:rPr>
          <w:b/>
          <w:bCs/>
          <w:rtl/>
        </w:rPr>
        <w:t>במישור</w:t>
      </w:r>
      <w:r>
        <w:rPr>
          <w:b/>
          <w:bCs/>
        </w:rPr>
        <w:t xml:space="preserve"> </w:t>
      </w:r>
      <w:r>
        <w:rPr>
          <w:b/>
          <w:bCs/>
          <w:rtl/>
        </w:rPr>
        <w:t>המשפטי</w:t>
      </w:r>
      <w:r>
        <w:rPr>
          <w:b/>
          <w:bCs/>
        </w:rPr>
        <w:t xml:space="preserve"> </w:t>
      </w:r>
      <w:r>
        <w:rPr>
          <w:b/>
          <w:bCs/>
          <w:rtl/>
        </w:rPr>
        <w:t>ברי</w:t>
      </w:r>
      <w:r>
        <w:rPr>
          <w:b/>
          <w:bCs/>
        </w:rPr>
        <w:t xml:space="preserve"> </w:t>
      </w:r>
      <w:r>
        <w:rPr>
          <w:b/>
          <w:bCs/>
          <w:rtl/>
        </w:rPr>
        <w:t>כי</w:t>
      </w:r>
      <w:r>
        <w:rPr>
          <w:b/>
          <w:bCs/>
        </w:rPr>
        <w:t xml:space="preserve"> </w:t>
      </w:r>
      <w:r>
        <w:rPr>
          <w:b/>
          <w:bCs/>
          <w:rtl/>
        </w:rPr>
        <w:t>אין</w:t>
      </w:r>
      <w:r>
        <w:rPr>
          <w:b/>
          <w:bCs/>
        </w:rPr>
        <w:t xml:space="preserve"> </w:t>
      </w:r>
      <w:r>
        <w:rPr>
          <w:b/>
          <w:bCs/>
          <w:rtl/>
        </w:rPr>
        <w:t>המונח</w:t>
      </w:r>
      <w:r>
        <w:rPr>
          <w:b/>
          <w:bCs/>
        </w:rPr>
        <w:t xml:space="preserve"> </w:t>
      </w:r>
      <w:r>
        <w:rPr>
          <w:b/>
          <w:bCs/>
          <w:rtl/>
        </w:rPr>
        <w:t>אלימות</w:t>
      </w:r>
      <w:r>
        <w:rPr>
          <w:b/>
          <w:bCs/>
        </w:rPr>
        <w:t xml:space="preserve"> </w:t>
      </w:r>
      <w:r>
        <w:rPr>
          <w:b/>
          <w:bCs/>
          <w:rtl/>
        </w:rPr>
        <w:t>מקיף</w:t>
      </w:r>
      <w:r>
        <w:rPr>
          <w:b/>
          <w:bCs/>
        </w:rPr>
        <w:t xml:space="preserve"> </w:t>
      </w:r>
      <w:r>
        <w:rPr>
          <w:b/>
          <w:bCs/>
          <w:rtl/>
        </w:rPr>
        <w:t>את</w:t>
      </w:r>
      <w:r>
        <w:rPr>
          <w:b/>
          <w:bCs/>
        </w:rPr>
        <w:t xml:space="preserve"> </w:t>
      </w:r>
      <w:r>
        <w:rPr>
          <w:b/>
          <w:bCs/>
          <w:rtl/>
        </w:rPr>
        <w:t>שלל</w:t>
      </w:r>
      <w:r>
        <w:rPr>
          <w:b/>
          <w:bCs/>
        </w:rPr>
        <w:t xml:space="preserve"> </w:t>
      </w:r>
      <w:r>
        <w:rPr>
          <w:b/>
          <w:bCs/>
          <w:rtl/>
        </w:rPr>
        <w:t>המעשים</w:t>
      </w:r>
      <w:r>
        <w:rPr>
          <w:b/>
          <w:bCs/>
        </w:rPr>
        <w:t xml:space="preserve"> </w:t>
      </w:r>
      <w:r>
        <w:rPr>
          <w:b/>
          <w:bCs/>
          <w:rtl/>
        </w:rPr>
        <w:t>המנויים</w:t>
      </w:r>
      <w:r>
        <w:rPr>
          <w:b/>
          <w:bCs/>
        </w:rPr>
        <w:t xml:space="preserve"> </w:t>
      </w:r>
      <w:r>
        <w:rPr>
          <w:b/>
          <w:bCs/>
          <w:rtl/>
        </w:rPr>
        <w:t>בדיני</w:t>
      </w:r>
      <w:r>
        <w:rPr>
          <w:b/>
          <w:bCs/>
        </w:rPr>
        <w:t xml:space="preserve"> </w:t>
      </w:r>
      <w:r>
        <w:rPr>
          <w:b/>
          <w:bCs/>
          <w:rtl/>
        </w:rPr>
        <w:t>העונשין</w:t>
      </w:r>
      <w:r>
        <w:rPr>
          <w:b/>
          <w:bCs/>
        </w:rPr>
        <w:t xml:space="preserve"> </w:t>
      </w:r>
      <w:r>
        <w:rPr>
          <w:b/>
          <w:bCs/>
          <w:rtl/>
        </w:rPr>
        <w:t>שלנו. יש</w:t>
      </w:r>
      <w:r>
        <w:rPr>
          <w:b/>
          <w:bCs/>
        </w:rPr>
        <w:t xml:space="preserve"> </w:t>
      </w:r>
      <w:r>
        <w:rPr>
          <w:b/>
          <w:bCs/>
          <w:rtl/>
        </w:rPr>
        <w:t>מבין</w:t>
      </w:r>
      <w:r>
        <w:rPr>
          <w:b/>
          <w:bCs/>
        </w:rPr>
        <w:t xml:space="preserve"> </w:t>
      </w:r>
      <w:r>
        <w:rPr>
          <w:b/>
          <w:bCs/>
          <w:rtl/>
        </w:rPr>
        <w:t>העבירות</w:t>
      </w:r>
      <w:r>
        <w:rPr>
          <w:b/>
          <w:bCs/>
        </w:rPr>
        <w:t xml:space="preserve"> </w:t>
      </w:r>
      <w:r>
        <w:rPr>
          <w:b/>
          <w:bCs/>
          <w:rtl/>
        </w:rPr>
        <w:t>הקולעות</w:t>
      </w:r>
      <w:r>
        <w:rPr>
          <w:b/>
          <w:bCs/>
        </w:rPr>
        <w:t xml:space="preserve"> </w:t>
      </w:r>
      <w:r>
        <w:rPr>
          <w:b/>
          <w:bCs/>
          <w:rtl/>
        </w:rPr>
        <w:t>במובהק</w:t>
      </w:r>
      <w:r>
        <w:rPr>
          <w:b/>
          <w:bCs/>
        </w:rPr>
        <w:t xml:space="preserve"> </w:t>
      </w:r>
      <w:r>
        <w:rPr>
          <w:b/>
          <w:bCs/>
          <w:rtl/>
        </w:rPr>
        <w:t>לגדריה</w:t>
      </w:r>
      <w:r>
        <w:rPr>
          <w:b/>
          <w:bCs/>
        </w:rPr>
        <w:t xml:space="preserve"> </w:t>
      </w:r>
      <w:r>
        <w:rPr>
          <w:b/>
          <w:bCs/>
          <w:rtl/>
        </w:rPr>
        <w:t>של</w:t>
      </w:r>
      <w:r>
        <w:rPr>
          <w:b/>
          <w:bCs/>
        </w:rPr>
        <w:t xml:space="preserve"> </w:t>
      </w:r>
      <w:r>
        <w:rPr>
          <w:b/>
          <w:bCs/>
          <w:rtl/>
        </w:rPr>
        <w:t>התנהגות</w:t>
      </w:r>
      <w:r>
        <w:rPr>
          <w:b/>
          <w:bCs/>
        </w:rPr>
        <w:t xml:space="preserve"> </w:t>
      </w:r>
      <w:r>
        <w:rPr>
          <w:b/>
          <w:bCs/>
          <w:rtl/>
        </w:rPr>
        <w:t>אלימה,</w:t>
      </w:r>
      <w:r>
        <w:rPr>
          <w:b/>
          <w:bCs/>
        </w:rPr>
        <w:t xml:space="preserve"> </w:t>
      </w:r>
      <w:r>
        <w:rPr>
          <w:b/>
          <w:bCs/>
          <w:rtl/>
        </w:rPr>
        <w:t>ויש</w:t>
      </w:r>
      <w:r>
        <w:rPr>
          <w:b/>
          <w:bCs/>
        </w:rPr>
        <w:t xml:space="preserve"> </w:t>
      </w:r>
      <w:r>
        <w:rPr>
          <w:b/>
          <w:bCs/>
          <w:rtl/>
        </w:rPr>
        <w:t>אחרות</w:t>
      </w:r>
      <w:r>
        <w:rPr>
          <w:b/>
          <w:bCs/>
        </w:rPr>
        <w:t xml:space="preserve"> </w:t>
      </w:r>
      <w:r>
        <w:rPr>
          <w:b/>
          <w:bCs/>
          <w:rtl/>
        </w:rPr>
        <w:t>המצריכות</w:t>
      </w:r>
      <w:r>
        <w:rPr>
          <w:b/>
          <w:bCs/>
        </w:rPr>
        <w:t xml:space="preserve"> </w:t>
      </w:r>
      <w:r>
        <w:rPr>
          <w:b/>
          <w:bCs/>
          <w:rtl/>
        </w:rPr>
        <w:t>בחינה</w:t>
      </w:r>
      <w:r>
        <w:rPr>
          <w:b/>
          <w:bCs/>
        </w:rPr>
        <w:t xml:space="preserve"> </w:t>
      </w:r>
      <w:r>
        <w:rPr>
          <w:b/>
          <w:bCs/>
          <w:rtl/>
        </w:rPr>
        <w:t>מעמיקה</w:t>
      </w:r>
      <w:r>
        <w:rPr>
          <w:b/>
          <w:bCs/>
        </w:rPr>
        <w:t xml:space="preserve"> </w:t>
      </w:r>
      <w:r>
        <w:rPr>
          <w:b/>
          <w:bCs/>
          <w:rtl/>
        </w:rPr>
        <w:t>יותר... אמת, לאלימות</w:t>
      </w:r>
      <w:r>
        <w:rPr>
          <w:b/>
          <w:bCs/>
        </w:rPr>
        <w:t xml:space="preserve"> </w:t>
      </w:r>
      <w:r>
        <w:rPr>
          <w:b/>
          <w:bCs/>
          <w:rtl/>
        </w:rPr>
        <w:t>פנים</w:t>
      </w:r>
      <w:r>
        <w:rPr>
          <w:b/>
          <w:bCs/>
        </w:rPr>
        <w:t xml:space="preserve"> </w:t>
      </w:r>
      <w:r>
        <w:rPr>
          <w:b/>
          <w:bCs/>
          <w:rtl/>
        </w:rPr>
        <w:t>רבות. קשת</w:t>
      </w:r>
      <w:r>
        <w:rPr>
          <w:b/>
          <w:bCs/>
        </w:rPr>
        <w:t xml:space="preserve"> </w:t>
      </w:r>
      <w:r>
        <w:rPr>
          <w:b/>
          <w:bCs/>
          <w:rtl/>
        </w:rPr>
        <w:t>המעשים</w:t>
      </w:r>
      <w:r>
        <w:rPr>
          <w:b/>
          <w:bCs/>
        </w:rPr>
        <w:t xml:space="preserve"> </w:t>
      </w:r>
      <w:r>
        <w:rPr>
          <w:b/>
          <w:bCs/>
          <w:rtl/>
        </w:rPr>
        <w:t>הבאים</w:t>
      </w:r>
      <w:r>
        <w:rPr>
          <w:b/>
          <w:bCs/>
        </w:rPr>
        <w:t xml:space="preserve"> </w:t>
      </w:r>
      <w:r>
        <w:rPr>
          <w:b/>
          <w:bCs/>
          <w:rtl/>
        </w:rPr>
        <w:t>בגדרה</w:t>
      </w:r>
      <w:r>
        <w:rPr>
          <w:b/>
          <w:bCs/>
        </w:rPr>
        <w:t xml:space="preserve"> </w:t>
      </w:r>
      <w:r>
        <w:rPr>
          <w:b/>
          <w:bCs/>
          <w:rtl/>
        </w:rPr>
        <w:t>היא</w:t>
      </w:r>
      <w:r>
        <w:rPr>
          <w:b/>
          <w:bCs/>
        </w:rPr>
        <w:t xml:space="preserve"> </w:t>
      </w:r>
      <w:r>
        <w:rPr>
          <w:b/>
          <w:bCs/>
          <w:rtl/>
        </w:rPr>
        <w:t>רחבה</w:t>
      </w:r>
      <w:r>
        <w:t>.</w:t>
      </w:r>
      <w:r>
        <w:rPr>
          <w:b/>
          <w:bCs/>
        </w:rPr>
        <w:t>"</w:t>
      </w:r>
    </w:p>
    <w:p w14:paraId="76566CDC" w14:textId="77777777" w:rsidR="0034251D" w:rsidRDefault="0034251D" w:rsidP="00D348D9">
      <w:pPr>
        <w:spacing w:line="360" w:lineRule="auto"/>
        <w:ind w:left="652" w:hanging="709"/>
        <w:jc w:val="both"/>
        <w:rPr>
          <w:b/>
          <w:bCs/>
          <w:rtl/>
        </w:rPr>
      </w:pPr>
    </w:p>
    <w:p w14:paraId="6C9B2450" w14:textId="77777777" w:rsidR="0034251D" w:rsidRDefault="0034251D" w:rsidP="00D348D9">
      <w:pPr>
        <w:spacing w:line="360" w:lineRule="auto"/>
        <w:ind w:left="652" w:hanging="709"/>
        <w:jc w:val="both"/>
        <w:rPr>
          <w:b/>
          <w:bCs/>
          <w:rtl/>
        </w:rPr>
      </w:pPr>
      <w:r>
        <w:rPr>
          <w:rtl/>
        </w:rPr>
        <w:t>21.</w:t>
      </w:r>
      <w:r>
        <w:rPr>
          <w:b/>
          <w:bCs/>
          <w:rtl/>
        </w:rPr>
        <w:tab/>
      </w:r>
      <w:r>
        <w:rPr>
          <w:rFonts w:ascii="Arial" w:hAnsi="Arial"/>
          <w:rtl/>
        </w:rPr>
        <w:t xml:space="preserve">פשיטא שיסודות עבירת החזקת הנשק (התנהגות-החזקה; נסיבה-נשק; יסוד נפשי של מודעות ויסוד חפצי של מחשבה פלילית) לא חופפים, אף לא באופן חלקי לאיזו מעבירות האלימות הטבעיות והמוכרות המפורטות </w:t>
      </w:r>
      <w:hyperlink r:id="rId36" w:history="1">
        <w:r w:rsidR="00DE7380" w:rsidRPr="00DE7380">
          <w:rPr>
            <w:rFonts w:ascii="Arial" w:hAnsi="Arial"/>
            <w:color w:val="0000FF"/>
            <w:u w:val="single"/>
            <w:rtl/>
          </w:rPr>
          <w:t>בפרק י</w:t>
        </w:r>
      </w:hyperlink>
      <w:r>
        <w:rPr>
          <w:rFonts w:ascii="Arial" w:hAnsi="Arial"/>
          <w:rtl/>
        </w:rPr>
        <w:t>' ל</w:t>
      </w:r>
      <w:hyperlink r:id="rId37" w:history="1">
        <w:r w:rsidR="00466323" w:rsidRPr="00466323">
          <w:rPr>
            <w:rFonts w:ascii="Arial" w:hAnsi="Arial"/>
            <w:color w:val="0000FF"/>
            <w:u w:val="single"/>
            <w:rtl/>
          </w:rPr>
          <w:t>חוק העונשין</w:t>
        </w:r>
      </w:hyperlink>
      <w:r>
        <w:rPr>
          <w:rFonts w:ascii="Arial" w:hAnsi="Arial"/>
          <w:rtl/>
        </w:rPr>
        <w:t xml:space="preserve"> שעניינו בפגיעות גוף, ולכן נראה ממבט ראשון כי אין תחולה למאסר המותנה בענייננו. תימוכין לתפיסה זו ניתן למצוא בעובדה שעבירת החזקת נשק ממוקמת בפרק אחר לגמרי מעבירות האלימות, </w:t>
      </w:r>
      <w:hyperlink r:id="rId38" w:history="1">
        <w:r w:rsidR="00DE7380" w:rsidRPr="00DE7380">
          <w:rPr>
            <w:rStyle w:val="Hyperlink"/>
            <w:rFonts w:ascii="Arial" w:hAnsi="Arial" w:cs="David"/>
            <w:rtl/>
          </w:rPr>
          <w:t>בפרק ח</w:t>
        </w:r>
      </w:hyperlink>
      <w:r>
        <w:rPr>
          <w:rFonts w:ascii="Arial" w:hAnsi="Arial"/>
          <w:rtl/>
        </w:rPr>
        <w:t>' ל</w:t>
      </w:r>
      <w:hyperlink r:id="rId39" w:history="1">
        <w:r w:rsidR="00466323" w:rsidRPr="00466323">
          <w:rPr>
            <w:rFonts w:ascii="Arial" w:hAnsi="Arial"/>
            <w:color w:val="0000FF"/>
            <w:u w:val="single"/>
            <w:rtl/>
          </w:rPr>
          <w:t>חוק העונשין</w:t>
        </w:r>
      </w:hyperlink>
      <w:r>
        <w:rPr>
          <w:rFonts w:ascii="Arial" w:hAnsi="Arial"/>
          <w:rtl/>
        </w:rPr>
        <w:t xml:space="preserve">, שעניינו בפגיעה בסדרי המשטר והחברה ולא </w:t>
      </w:r>
      <w:hyperlink r:id="rId40" w:history="1">
        <w:r w:rsidR="00DE7380" w:rsidRPr="00DE7380">
          <w:rPr>
            <w:rFonts w:ascii="Arial" w:hAnsi="Arial"/>
            <w:color w:val="0000FF"/>
            <w:u w:val="single"/>
            <w:rtl/>
          </w:rPr>
          <w:t>בפרק י'</w:t>
        </w:r>
      </w:hyperlink>
      <w:r>
        <w:rPr>
          <w:rFonts w:ascii="Arial" w:hAnsi="Arial"/>
          <w:rtl/>
        </w:rPr>
        <w:t xml:space="preserve"> שעוסק בעבירות שעניינן פגיעות בגוף.</w:t>
      </w:r>
    </w:p>
    <w:p w14:paraId="16CCFC96" w14:textId="77777777" w:rsidR="0034251D" w:rsidRDefault="0034251D" w:rsidP="00D348D9">
      <w:pPr>
        <w:spacing w:line="360" w:lineRule="auto"/>
        <w:jc w:val="both"/>
        <w:rPr>
          <w:rFonts w:ascii="Arial" w:hAnsi="Arial"/>
          <w:rtl/>
        </w:rPr>
      </w:pPr>
    </w:p>
    <w:p w14:paraId="5102D325" w14:textId="77777777" w:rsidR="0034251D" w:rsidRDefault="0034251D" w:rsidP="00D348D9">
      <w:pPr>
        <w:spacing w:line="360" w:lineRule="auto"/>
        <w:ind w:left="652" w:hanging="709"/>
        <w:jc w:val="both"/>
        <w:rPr>
          <w:rFonts w:ascii="Arial" w:hAnsi="Arial"/>
          <w:rtl/>
        </w:rPr>
      </w:pPr>
      <w:r>
        <w:rPr>
          <w:rFonts w:ascii="Arial" w:hAnsi="Arial"/>
          <w:rtl/>
        </w:rPr>
        <w:t>22.</w:t>
      </w:r>
      <w:r>
        <w:rPr>
          <w:rFonts w:ascii="Arial" w:hAnsi="Arial"/>
          <w:rtl/>
        </w:rPr>
        <w:tab/>
        <w:t xml:space="preserve">חרף האמור, אין מקובל עוד לבחון את תחולת המאסר המותנה על פי מבחן טכני של בחינת יסודות עבירת התנאי והשוואתם אל יסודות העבירה המפעילה, כי אם נכון הוא להשתמש במבחן מהותי, שמשמעותו בחינת מעשיו של הנאשם בעבירה המאוחרת תוך התמקדות בשאלה האם  הם מגשימים באופן מהותי את האיסור שנקבע בעבירת התנאי. </w:t>
      </w:r>
    </w:p>
    <w:p w14:paraId="746B054F" w14:textId="77777777" w:rsidR="0034251D" w:rsidRDefault="0034251D" w:rsidP="00D348D9">
      <w:pPr>
        <w:spacing w:line="360" w:lineRule="auto"/>
        <w:ind w:left="652" w:hanging="709"/>
        <w:jc w:val="both"/>
        <w:rPr>
          <w:rFonts w:ascii="Arial" w:hAnsi="Arial"/>
          <w:rtl/>
        </w:rPr>
      </w:pPr>
    </w:p>
    <w:p w14:paraId="48B7A3DB" w14:textId="77777777" w:rsidR="0034251D" w:rsidRDefault="0034251D" w:rsidP="00D348D9">
      <w:pPr>
        <w:spacing w:line="360" w:lineRule="auto"/>
        <w:ind w:left="652" w:hanging="652"/>
        <w:jc w:val="both"/>
        <w:rPr>
          <w:rFonts w:ascii="Arial" w:hAnsi="Arial"/>
          <w:b/>
          <w:bCs/>
          <w:rtl/>
        </w:rPr>
      </w:pPr>
      <w:r>
        <w:rPr>
          <w:rtl/>
        </w:rPr>
        <w:tab/>
      </w:r>
      <w:r>
        <w:rPr>
          <w:rFonts w:ascii="Arial" w:hAnsi="Arial"/>
          <w:rtl/>
        </w:rPr>
        <w:t>בעניין זה נקבע ב</w:t>
      </w:r>
      <w:hyperlink r:id="rId41" w:history="1">
        <w:r w:rsidR="00466323" w:rsidRPr="00466323">
          <w:rPr>
            <w:rFonts w:ascii="Arial" w:hAnsi="Arial"/>
            <w:color w:val="0000FF"/>
            <w:u w:val="single"/>
            <w:rtl/>
          </w:rPr>
          <w:t>ע"פ 49/80 עמוס מסילתי נגד מדינת ישראל, פ"ד לד</w:t>
        </w:r>
      </w:hyperlink>
      <w:r>
        <w:rPr>
          <w:rFonts w:ascii="Arial" w:hAnsi="Arial"/>
          <w:rtl/>
        </w:rPr>
        <w:t xml:space="preserve">(3) 808 (להלן: "עניין מסילתי"), פסקה 3, קבע בית המשפט העליון את המבחן באמצעותו יקבע האם יש תחולה למאסר מותנה: </w:t>
      </w:r>
    </w:p>
    <w:p w14:paraId="4815E1A6" w14:textId="77777777" w:rsidR="0034251D" w:rsidRDefault="0034251D" w:rsidP="00D348D9">
      <w:pPr>
        <w:tabs>
          <w:tab w:val="left" w:pos="794"/>
        </w:tabs>
        <w:spacing w:line="360" w:lineRule="auto"/>
        <w:ind w:left="1503" w:right="567"/>
        <w:jc w:val="both"/>
        <w:rPr>
          <w:b/>
          <w:bCs/>
          <w:rtl/>
        </w:rPr>
      </w:pPr>
      <w:r>
        <w:rPr>
          <w:rFonts w:ascii="Arial" w:hAnsi="Arial"/>
          <w:b/>
          <w:bCs/>
          <w:rtl/>
        </w:rPr>
        <w:t>"המבחן להפעלת התנאי אינו מבחן טכני-פורמלי אלא מבחן מהותי-ענייני. השאלה אינה אם הנאשם הועמד לדין והורשע בעבירה המפורטת בתנאי (התנאי "גניבה" – ההרשעה "גניבה"), אלא השאלה היא האם התנהגותו הפלילית של הנאשם (עליה הועמד לדין והורשע) מקיימת את היסודות של עבירת התנאי... ההשוואה הראויה אינה בין יסודות עבירת התנאי כפי שהיא מופיעה בספר החוקים, לבין יסודות העבירה בה הורשע הנאשם, כפי שהיא מופיעה בספר החוקים. ההשוואה הראויה היא בין יסודות עבירת התנאי כפי שהיא מופיעה בספר החוקים, לבין היסודות המתקיימים בהתנהגותו של הנאשם, כפי שהורשע עליהם, הלכה למעשה</w:t>
      </w:r>
      <w:r>
        <w:rPr>
          <w:rFonts w:ascii="Arial" w:hAnsi="Arial"/>
          <w:rtl/>
        </w:rPr>
        <w:t xml:space="preserve">". </w:t>
      </w:r>
    </w:p>
    <w:p w14:paraId="0A7E7606" w14:textId="77777777" w:rsidR="0034251D" w:rsidRDefault="0034251D" w:rsidP="00D348D9">
      <w:pPr>
        <w:spacing w:line="360" w:lineRule="auto"/>
        <w:ind w:left="652" w:hanging="709"/>
        <w:jc w:val="both"/>
        <w:rPr>
          <w:b/>
          <w:bCs/>
          <w:rtl/>
        </w:rPr>
      </w:pPr>
    </w:p>
    <w:p w14:paraId="30827A0E" w14:textId="77777777" w:rsidR="0034251D" w:rsidRDefault="0034251D" w:rsidP="00D348D9">
      <w:pPr>
        <w:spacing w:line="360" w:lineRule="auto"/>
        <w:ind w:left="652" w:hanging="709"/>
        <w:jc w:val="both"/>
        <w:rPr>
          <w:rFonts w:ascii="Arial" w:hAnsi="Arial"/>
          <w:rtl/>
        </w:rPr>
      </w:pPr>
      <w:r>
        <w:rPr>
          <w:rtl/>
        </w:rPr>
        <w:t>23.</w:t>
      </w:r>
      <w:r>
        <w:rPr>
          <w:b/>
          <w:bCs/>
          <w:rtl/>
        </w:rPr>
        <w:tab/>
      </w:r>
      <w:r>
        <w:rPr>
          <w:rFonts w:ascii="Arial" w:hAnsi="Arial"/>
          <w:rtl/>
        </w:rPr>
        <w:t xml:space="preserve">בית המשפט העליון נדרש לא פעם לשאלת תחולת מאסר מותנה מקום בו עבירת התנאי הוגדרה כ"עבירת אלימות" או "עבירה שיש בה יסוד של אלימות". במספר פסקי דין נקבע כי גם מקום בו העבירה המאוחרת כללה אך </w:t>
      </w:r>
      <w:r>
        <w:rPr>
          <w:rFonts w:ascii="Arial" w:hAnsi="Arial"/>
          <w:b/>
          <w:bCs/>
          <w:rtl/>
        </w:rPr>
        <w:t>פוטנציאל לפגיעה</w:t>
      </w:r>
      <w:r>
        <w:rPr>
          <w:rFonts w:ascii="Arial" w:hAnsi="Arial"/>
          <w:rtl/>
        </w:rPr>
        <w:t xml:space="preserve">, להבדיל מפגיעה ישירה וממשית, תחשב העבירה כעבירת אלימות באופן מהותי. </w:t>
      </w:r>
    </w:p>
    <w:p w14:paraId="18913591" w14:textId="77777777" w:rsidR="0034251D" w:rsidRDefault="0034251D" w:rsidP="00D348D9">
      <w:pPr>
        <w:spacing w:line="360" w:lineRule="auto"/>
        <w:ind w:left="652" w:hanging="709"/>
        <w:jc w:val="both"/>
        <w:rPr>
          <w:rFonts w:ascii="Arial" w:hAnsi="Arial"/>
          <w:rtl/>
        </w:rPr>
      </w:pPr>
    </w:p>
    <w:p w14:paraId="15C0C449" w14:textId="77777777" w:rsidR="0034251D" w:rsidRDefault="0034251D" w:rsidP="00D348D9">
      <w:pPr>
        <w:spacing w:line="360" w:lineRule="auto"/>
        <w:ind w:left="652"/>
        <w:jc w:val="both"/>
        <w:rPr>
          <w:rFonts w:ascii="Arial" w:hAnsi="Arial"/>
          <w:rtl/>
        </w:rPr>
      </w:pPr>
      <w:r>
        <w:rPr>
          <w:rFonts w:ascii="Arial" w:hAnsi="Arial"/>
          <w:rtl/>
        </w:rPr>
        <w:t>כך למשל ב</w:t>
      </w:r>
      <w:hyperlink r:id="rId42" w:history="1">
        <w:r w:rsidR="00466323" w:rsidRPr="00466323">
          <w:rPr>
            <w:rFonts w:ascii="Arial" w:hAnsi="Arial"/>
            <w:color w:val="0000FF"/>
            <w:u w:val="single"/>
            <w:rtl/>
          </w:rPr>
          <w:t>ע"פ 308/06</w:t>
        </w:r>
      </w:hyperlink>
      <w:r>
        <w:rPr>
          <w:rFonts w:ascii="Arial" w:hAnsi="Arial"/>
          <w:rtl/>
        </w:rPr>
        <w:t xml:space="preserve"> </w:t>
      </w:r>
      <w:r>
        <w:rPr>
          <w:rFonts w:ascii="Arial" w:hAnsi="Arial"/>
          <w:b/>
          <w:bCs/>
          <w:rtl/>
        </w:rPr>
        <w:t xml:space="preserve">מדינת ישראל נגד יונתן סבן </w:t>
      </w:r>
      <w:r>
        <w:rPr>
          <w:rFonts w:ascii="Arial" w:hAnsi="Arial"/>
          <w:rtl/>
        </w:rPr>
        <w:t xml:space="preserve">(פורסם בנבו, 15.05.2006) נדונה סוגיה דומה של תחולת מאסר מותנה בו עבירת התנאי הוגדרה כעבירת אלימות ואילו העבירה המפעילה הייתה עבירה </w:t>
      </w:r>
      <w:r>
        <w:rPr>
          <w:rFonts w:ascii="Arial" w:hAnsi="Arial"/>
          <w:b/>
          <w:bCs/>
          <w:rtl/>
        </w:rPr>
        <w:t>של סיכון חיי אדם בנתיב תחבורה</w:t>
      </w:r>
      <w:r>
        <w:rPr>
          <w:rFonts w:ascii="Arial" w:hAnsi="Arial"/>
          <w:rtl/>
        </w:rPr>
        <w:t xml:space="preserve">. </w:t>
      </w:r>
    </w:p>
    <w:p w14:paraId="1F36D85F" w14:textId="77777777" w:rsidR="0034251D" w:rsidRDefault="0034251D" w:rsidP="00D348D9">
      <w:pPr>
        <w:spacing w:line="360" w:lineRule="auto"/>
        <w:ind w:left="652"/>
        <w:jc w:val="both"/>
        <w:rPr>
          <w:rFonts w:ascii="Arial" w:hAnsi="Arial"/>
          <w:rtl/>
        </w:rPr>
      </w:pPr>
      <w:r>
        <w:rPr>
          <w:rFonts w:ascii="Arial" w:hAnsi="Arial"/>
          <w:rtl/>
        </w:rPr>
        <w:t xml:space="preserve">בית המשפט העליון מצא להחיל המאסר המותנה תוך שהבהיר כי: </w:t>
      </w:r>
    </w:p>
    <w:p w14:paraId="161782AA" w14:textId="77777777" w:rsidR="0034251D" w:rsidRDefault="0034251D" w:rsidP="00D348D9">
      <w:pPr>
        <w:spacing w:line="360" w:lineRule="auto"/>
        <w:ind w:left="1503" w:right="567"/>
        <w:jc w:val="both"/>
        <w:rPr>
          <w:b/>
          <w:bCs/>
          <w:rtl/>
        </w:rPr>
      </w:pPr>
      <w:r>
        <w:rPr>
          <w:rFonts w:ascii="Arial" w:hAnsi="Arial"/>
          <w:rtl/>
        </w:rPr>
        <w:t>"</w:t>
      </w:r>
      <w:r>
        <w:rPr>
          <w:rFonts w:ascii="Arial" w:hAnsi="Arial"/>
          <w:b/>
          <w:bCs/>
          <w:rtl/>
        </w:rPr>
        <w:t>הגדרת עבירת התנאי כ'עבירת אלימות הינה הגדרה רחבה הכוללת בתוכה כל עבירה שעניינה איסור על פגיעת גוף האדם...</w:t>
      </w:r>
      <w:r>
        <w:rPr>
          <w:rFonts w:ascii="Arial" w:hAnsi="Arial"/>
          <w:b/>
          <w:bCs/>
        </w:rPr>
        <w:t xml:space="preserve"> </w:t>
      </w:r>
      <w:r>
        <w:rPr>
          <w:rFonts w:ascii="Arial" w:hAnsi="Arial"/>
          <w:b/>
          <w:bCs/>
          <w:rtl/>
        </w:rPr>
        <w:t>השימוש</w:t>
      </w:r>
      <w:r>
        <w:rPr>
          <w:rFonts w:ascii="Arial" w:hAnsi="Arial"/>
          <w:b/>
          <w:bCs/>
        </w:rPr>
        <w:t xml:space="preserve"> </w:t>
      </w:r>
      <w:r>
        <w:rPr>
          <w:rFonts w:ascii="Arial" w:hAnsi="Arial"/>
          <w:b/>
          <w:bCs/>
          <w:rtl/>
        </w:rPr>
        <w:t>בכלי</w:t>
      </w:r>
      <w:r>
        <w:rPr>
          <w:rFonts w:ascii="Arial" w:hAnsi="Arial"/>
          <w:b/>
          <w:bCs/>
        </w:rPr>
        <w:t xml:space="preserve"> </w:t>
      </w:r>
      <w:r>
        <w:rPr>
          <w:rFonts w:ascii="Arial" w:hAnsi="Arial"/>
          <w:b/>
          <w:bCs/>
          <w:rtl/>
        </w:rPr>
        <w:t>רכב</w:t>
      </w:r>
      <w:r>
        <w:rPr>
          <w:rFonts w:ascii="Arial" w:hAnsi="Arial"/>
          <w:b/>
          <w:bCs/>
        </w:rPr>
        <w:t xml:space="preserve"> </w:t>
      </w:r>
      <w:r>
        <w:rPr>
          <w:rFonts w:ascii="Arial" w:hAnsi="Arial"/>
          <w:b/>
          <w:bCs/>
          <w:rtl/>
        </w:rPr>
        <w:t>כמתואר</w:t>
      </w:r>
      <w:r>
        <w:rPr>
          <w:rFonts w:ascii="Arial" w:hAnsi="Arial"/>
          <w:b/>
          <w:bCs/>
        </w:rPr>
        <w:t xml:space="preserve"> </w:t>
      </w:r>
      <w:r>
        <w:rPr>
          <w:rFonts w:ascii="Arial" w:hAnsi="Arial"/>
          <w:b/>
          <w:bCs/>
          <w:rtl/>
        </w:rPr>
        <w:t>ביסודות</w:t>
      </w:r>
      <w:r>
        <w:rPr>
          <w:rFonts w:ascii="Arial" w:hAnsi="Arial"/>
          <w:b/>
          <w:bCs/>
        </w:rPr>
        <w:t xml:space="preserve"> </w:t>
      </w:r>
      <w:r>
        <w:rPr>
          <w:rFonts w:ascii="Arial" w:hAnsi="Arial"/>
          <w:b/>
          <w:bCs/>
          <w:rtl/>
        </w:rPr>
        <w:t>העבירה</w:t>
      </w:r>
      <w:r>
        <w:rPr>
          <w:rFonts w:ascii="Arial" w:hAnsi="Arial"/>
          <w:b/>
          <w:bCs/>
        </w:rPr>
        <w:t xml:space="preserve"> </w:t>
      </w:r>
      <w:r>
        <w:rPr>
          <w:rFonts w:ascii="Arial" w:hAnsi="Arial"/>
          <w:b/>
          <w:bCs/>
          <w:rtl/>
        </w:rPr>
        <w:t>כרוך</w:t>
      </w:r>
      <w:r>
        <w:rPr>
          <w:rFonts w:ascii="Arial" w:hAnsi="Arial"/>
          <w:b/>
          <w:bCs/>
        </w:rPr>
        <w:t xml:space="preserve"> </w:t>
      </w:r>
      <w:r>
        <w:rPr>
          <w:rFonts w:ascii="Arial" w:hAnsi="Arial"/>
          <w:b/>
          <w:bCs/>
          <w:rtl/>
        </w:rPr>
        <w:t>באלימות</w:t>
      </w:r>
      <w:r>
        <w:rPr>
          <w:rFonts w:ascii="Arial" w:hAnsi="Arial"/>
          <w:b/>
          <w:bCs/>
        </w:rPr>
        <w:t xml:space="preserve"> </w:t>
      </w:r>
      <w:r>
        <w:rPr>
          <w:rFonts w:ascii="Arial" w:hAnsi="Arial"/>
          <w:b/>
          <w:bCs/>
          <w:rtl/>
        </w:rPr>
        <w:t>במובן</w:t>
      </w:r>
      <w:r>
        <w:rPr>
          <w:rFonts w:ascii="Arial" w:hAnsi="Arial"/>
          <w:b/>
          <w:bCs/>
        </w:rPr>
        <w:t xml:space="preserve"> </w:t>
      </w:r>
      <w:r>
        <w:rPr>
          <w:rFonts w:ascii="Arial" w:hAnsi="Arial"/>
          <w:b/>
          <w:bCs/>
          <w:rtl/>
        </w:rPr>
        <w:t>זה</w:t>
      </w:r>
      <w:r>
        <w:rPr>
          <w:rFonts w:ascii="Arial" w:hAnsi="Arial"/>
          <w:b/>
          <w:bCs/>
        </w:rPr>
        <w:t xml:space="preserve"> </w:t>
      </w:r>
      <w:r>
        <w:rPr>
          <w:rFonts w:ascii="Arial" w:hAnsi="Arial"/>
          <w:b/>
          <w:bCs/>
          <w:rtl/>
        </w:rPr>
        <w:t>שהוא</w:t>
      </w:r>
      <w:r>
        <w:rPr>
          <w:rFonts w:ascii="Arial" w:hAnsi="Arial"/>
          <w:b/>
          <w:bCs/>
        </w:rPr>
        <w:t xml:space="preserve"> </w:t>
      </w:r>
      <w:r>
        <w:rPr>
          <w:rFonts w:ascii="Arial" w:hAnsi="Arial"/>
          <w:b/>
          <w:bCs/>
          <w:rtl/>
        </w:rPr>
        <w:t>כורך</w:t>
      </w:r>
      <w:r>
        <w:rPr>
          <w:rFonts w:ascii="Arial" w:hAnsi="Arial"/>
          <w:b/>
          <w:bCs/>
        </w:rPr>
        <w:t xml:space="preserve"> </w:t>
      </w:r>
      <w:r>
        <w:rPr>
          <w:rFonts w:ascii="Arial" w:hAnsi="Arial"/>
          <w:b/>
          <w:bCs/>
          <w:rtl/>
        </w:rPr>
        <w:t>סיכון</w:t>
      </w:r>
      <w:r>
        <w:rPr>
          <w:rFonts w:ascii="Arial" w:hAnsi="Arial"/>
          <w:b/>
          <w:bCs/>
        </w:rPr>
        <w:t xml:space="preserve"> </w:t>
      </w:r>
      <w:r>
        <w:rPr>
          <w:rFonts w:ascii="Arial" w:hAnsi="Arial"/>
          <w:b/>
          <w:bCs/>
          <w:rtl/>
        </w:rPr>
        <w:t>לחיי</w:t>
      </w:r>
      <w:r>
        <w:rPr>
          <w:rFonts w:ascii="Arial" w:hAnsi="Arial"/>
          <w:b/>
          <w:bCs/>
        </w:rPr>
        <w:t xml:space="preserve"> </w:t>
      </w:r>
      <w:r>
        <w:rPr>
          <w:rFonts w:ascii="Arial" w:hAnsi="Arial"/>
          <w:b/>
          <w:bCs/>
          <w:rtl/>
        </w:rPr>
        <w:t>בני</w:t>
      </w:r>
      <w:r>
        <w:rPr>
          <w:rFonts w:ascii="Arial" w:hAnsi="Arial"/>
          <w:b/>
          <w:bCs/>
        </w:rPr>
        <w:t>-</w:t>
      </w:r>
      <w:r>
        <w:rPr>
          <w:rFonts w:ascii="Arial" w:hAnsi="Arial"/>
          <w:b/>
          <w:bCs/>
          <w:rtl/>
        </w:rPr>
        <w:t>אדם</w:t>
      </w:r>
      <w:r>
        <w:rPr>
          <w:rFonts w:ascii="Arial" w:hAnsi="Arial"/>
          <w:b/>
          <w:bCs/>
        </w:rPr>
        <w:t xml:space="preserve"> </w:t>
      </w:r>
      <w:r>
        <w:rPr>
          <w:rFonts w:ascii="Arial" w:hAnsi="Arial"/>
          <w:b/>
          <w:bCs/>
          <w:rtl/>
        </w:rPr>
        <w:t>ושלמות</w:t>
      </w:r>
      <w:r>
        <w:rPr>
          <w:rFonts w:ascii="Arial" w:hAnsi="Arial"/>
          <w:b/>
          <w:bCs/>
        </w:rPr>
        <w:t xml:space="preserve"> </w:t>
      </w:r>
      <w:r>
        <w:rPr>
          <w:rFonts w:ascii="Arial" w:hAnsi="Arial"/>
          <w:b/>
          <w:bCs/>
          <w:rtl/>
        </w:rPr>
        <w:t>גופם. ברי, כי</w:t>
      </w:r>
      <w:r>
        <w:rPr>
          <w:rFonts w:ascii="Arial" w:hAnsi="Arial"/>
          <w:b/>
          <w:bCs/>
        </w:rPr>
        <w:t xml:space="preserve"> </w:t>
      </w:r>
      <w:r>
        <w:rPr>
          <w:rFonts w:ascii="Arial" w:hAnsi="Arial"/>
          <w:b/>
          <w:bCs/>
          <w:rtl/>
        </w:rPr>
        <w:t>אדם</w:t>
      </w:r>
      <w:r>
        <w:rPr>
          <w:rFonts w:ascii="Arial" w:hAnsi="Arial"/>
          <w:b/>
          <w:bCs/>
        </w:rPr>
        <w:t xml:space="preserve"> </w:t>
      </w:r>
      <w:r>
        <w:rPr>
          <w:rFonts w:ascii="Arial" w:hAnsi="Arial"/>
          <w:b/>
          <w:bCs/>
          <w:rtl/>
        </w:rPr>
        <w:t>המסכן</w:t>
      </w:r>
      <w:r>
        <w:rPr>
          <w:rFonts w:ascii="Arial" w:hAnsi="Arial"/>
          <w:b/>
          <w:bCs/>
        </w:rPr>
        <w:t xml:space="preserve"> </w:t>
      </w:r>
      <w:r>
        <w:rPr>
          <w:rFonts w:ascii="Arial" w:hAnsi="Arial"/>
          <w:b/>
          <w:bCs/>
          <w:rtl/>
        </w:rPr>
        <w:t>במזיד</w:t>
      </w:r>
      <w:r>
        <w:rPr>
          <w:rFonts w:ascii="Arial" w:hAnsi="Arial"/>
          <w:b/>
          <w:bCs/>
        </w:rPr>
        <w:t xml:space="preserve"> </w:t>
      </w:r>
      <w:r>
        <w:rPr>
          <w:rFonts w:ascii="Arial" w:hAnsi="Arial"/>
          <w:b/>
          <w:bCs/>
          <w:rtl/>
        </w:rPr>
        <w:t>את</w:t>
      </w:r>
      <w:r>
        <w:rPr>
          <w:rFonts w:ascii="Arial" w:hAnsi="Arial"/>
          <w:b/>
          <w:bCs/>
        </w:rPr>
        <w:t xml:space="preserve"> </w:t>
      </w:r>
      <w:r>
        <w:rPr>
          <w:rFonts w:ascii="Arial" w:hAnsi="Arial"/>
          <w:b/>
          <w:bCs/>
          <w:rtl/>
        </w:rPr>
        <w:t>בטיחותו</w:t>
      </w:r>
      <w:r>
        <w:rPr>
          <w:rFonts w:ascii="Arial" w:hAnsi="Arial"/>
          <w:b/>
          <w:bCs/>
        </w:rPr>
        <w:t xml:space="preserve"> </w:t>
      </w:r>
      <w:r>
        <w:rPr>
          <w:rFonts w:ascii="Arial" w:hAnsi="Arial"/>
          <w:b/>
          <w:bCs/>
          <w:rtl/>
        </w:rPr>
        <w:t>ושלומו</w:t>
      </w:r>
      <w:r>
        <w:rPr>
          <w:rFonts w:ascii="Arial" w:hAnsi="Arial"/>
          <w:b/>
          <w:bCs/>
        </w:rPr>
        <w:t xml:space="preserve"> </w:t>
      </w:r>
      <w:r>
        <w:rPr>
          <w:rFonts w:ascii="Arial" w:hAnsi="Arial"/>
          <w:b/>
          <w:bCs/>
          <w:rtl/>
        </w:rPr>
        <w:t>של</w:t>
      </w:r>
      <w:r>
        <w:rPr>
          <w:rFonts w:ascii="Arial" w:hAnsi="Arial"/>
          <w:b/>
          <w:bCs/>
        </w:rPr>
        <w:t xml:space="preserve"> </w:t>
      </w:r>
      <w:r>
        <w:rPr>
          <w:rFonts w:ascii="Arial" w:hAnsi="Arial"/>
          <w:b/>
          <w:bCs/>
          <w:rtl/>
        </w:rPr>
        <w:t>המשתמש</w:t>
      </w:r>
      <w:r>
        <w:rPr>
          <w:rFonts w:ascii="Arial" w:hAnsi="Arial"/>
          <w:b/>
          <w:bCs/>
        </w:rPr>
        <w:t xml:space="preserve"> </w:t>
      </w:r>
      <w:r>
        <w:rPr>
          <w:rFonts w:ascii="Arial" w:hAnsi="Arial"/>
          <w:b/>
          <w:bCs/>
          <w:rtl/>
        </w:rPr>
        <w:t>בנתיב</w:t>
      </w:r>
      <w:r>
        <w:rPr>
          <w:rFonts w:ascii="Arial" w:hAnsi="Arial"/>
          <w:b/>
          <w:bCs/>
        </w:rPr>
        <w:t xml:space="preserve"> </w:t>
      </w:r>
      <w:r>
        <w:rPr>
          <w:rFonts w:ascii="Arial" w:hAnsi="Arial"/>
          <w:b/>
          <w:bCs/>
          <w:rtl/>
        </w:rPr>
        <w:t>תחבורה</w:t>
      </w:r>
      <w:r>
        <w:rPr>
          <w:rFonts w:ascii="Arial" w:hAnsi="Arial"/>
          <w:b/>
          <w:bCs/>
        </w:rPr>
        <w:t xml:space="preserve"> </w:t>
      </w:r>
      <w:r>
        <w:rPr>
          <w:rFonts w:ascii="Arial" w:hAnsi="Arial"/>
          <w:b/>
          <w:bCs/>
          <w:rtl/>
        </w:rPr>
        <w:t>נוהג</w:t>
      </w:r>
      <w:r>
        <w:rPr>
          <w:rFonts w:ascii="Arial" w:hAnsi="Arial"/>
          <w:b/>
          <w:bCs/>
        </w:rPr>
        <w:t xml:space="preserve"> </w:t>
      </w:r>
      <w:r>
        <w:rPr>
          <w:rFonts w:ascii="Arial" w:hAnsi="Arial"/>
          <w:b/>
          <w:bCs/>
          <w:rtl/>
        </w:rPr>
        <w:t>התנהגות</w:t>
      </w:r>
      <w:r>
        <w:rPr>
          <w:rFonts w:ascii="Arial" w:hAnsi="Arial"/>
          <w:b/>
          <w:bCs/>
        </w:rPr>
        <w:t xml:space="preserve"> </w:t>
      </w:r>
      <w:r>
        <w:rPr>
          <w:rFonts w:ascii="Arial" w:hAnsi="Arial"/>
          <w:b/>
          <w:bCs/>
          <w:rtl/>
        </w:rPr>
        <w:t>אלימה</w:t>
      </w:r>
      <w:r>
        <w:rPr>
          <w:rFonts w:ascii="Arial" w:hAnsi="Arial"/>
          <w:b/>
          <w:bCs/>
        </w:rPr>
        <w:t xml:space="preserve"> </w:t>
      </w:r>
      <w:r>
        <w:rPr>
          <w:rFonts w:ascii="Arial" w:hAnsi="Arial"/>
          <w:b/>
          <w:bCs/>
          <w:rtl/>
        </w:rPr>
        <w:t>כלפיו</w:t>
      </w:r>
      <w:r>
        <w:rPr>
          <w:rFonts w:ascii="Arial" w:hAnsi="Arial"/>
          <w:b/>
          <w:bCs/>
        </w:rPr>
        <w:t xml:space="preserve"> </w:t>
      </w:r>
      <w:r>
        <w:rPr>
          <w:rFonts w:ascii="Arial" w:hAnsi="Arial"/>
          <w:b/>
          <w:bCs/>
          <w:rtl/>
        </w:rPr>
        <w:t>אגב</w:t>
      </w:r>
      <w:r>
        <w:rPr>
          <w:rFonts w:ascii="Arial" w:hAnsi="Arial"/>
          <w:b/>
          <w:bCs/>
        </w:rPr>
        <w:t xml:space="preserve"> </w:t>
      </w:r>
      <w:r>
        <w:rPr>
          <w:rFonts w:ascii="Arial" w:hAnsi="Arial"/>
          <w:b/>
          <w:bCs/>
          <w:rtl/>
        </w:rPr>
        <w:t>השימוש</w:t>
      </w:r>
      <w:r>
        <w:rPr>
          <w:rFonts w:ascii="Arial" w:hAnsi="Arial"/>
          <w:b/>
          <w:bCs/>
        </w:rPr>
        <w:t xml:space="preserve"> </w:t>
      </w:r>
      <w:r>
        <w:rPr>
          <w:rFonts w:ascii="Arial" w:hAnsi="Arial"/>
          <w:b/>
          <w:bCs/>
          <w:rtl/>
        </w:rPr>
        <w:t>ברכב, והוא</w:t>
      </w:r>
      <w:r>
        <w:rPr>
          <w:rFonts w:ascii="Arial" w:hAnsi="Arial"/>
          <w:b/>
          <w:bCs/>
        </w:rPr>
        <w:t xml:space="preserve"> </w:t>
      </w:r>
      <w:r>
        <w:rPr>
          <w:rFonts w:ascii="Arial" w:hAnsi="Arial"/>
          <w:b/>
          <w:bCs/>
          <w:rtl/>
        </w:rPr>
        <w:t>מבצע</w:t>
      </w:r>
      <w:r>
        <w:rPr>
          <w:rFonts w:ascii="Arial" w:hAnsi="Arial"/>
          <w:b/>
          <w:bCs/>
        </w:rPr>
        <w:t xml:space="preserve"> </w:t>
      </w:r>
      <w:r>
        <w:rPr>
          <w:rFonts w:ascii="Arial" w:hAnsi="Arial"/>
          <w:b/>
          <w:bCs/>
          <w:rtl/>
        </w:rPr>
        <w:t>בכך</w:t>
      </w:r>
      <w:r>
        <w:rPr>
          <w:rFonts w:ascii="Arial" w:hAnsi="Arial"/>
          <w:b/>
          <w:bCs/>
        </w:rPr>
        <w:t xml:space="preserve"> </w:t>
      </w:r>
      <w:r>
        <w:rPr>
          <w:rFonts w:ascii="Arial" w:hAnsi="Arial"/>
          <w:b/>
          <w:bCs/>
          <w:rtl/>
        </w:rPr>
        <w:t>עבירת</w:t>
      </w:r>
      <w:r>
        <w:rPr>
          <w:rFonts w:ascii="Arial" w:hAnsi="Arial"/>
          <w:b/>
          <w:bCs/>
        </w:rPr>
        <w:t xml:space="preserve"> </w:t>
      </w:r>
      <w:r>
        <w:rPr>
          <w:rFonts w:ascii="Arial" w:hAnsi="Arial"/>
          <w:b/>
          <w:bCs/>
          <w:rtl/>
        </w:rPr>
        <w:t>אלימות</w:t>
      </w:r>
      <w:r>
        <w:rPr>
          <w:rFonts w:ascii="Arial" w:hAnsi="Arial"/>
          <w:b/>
          <w:bCs/>
        </w:rPr>
        <w:t xml:space="preserve"> </w:t>
      </w:r>
      <w:r>
        <w:rPr>
          <w:rFonts w:ascii="Arial" w:hAnsi="Arial"/>
          <w:b/>
          <w:bCs/>
          <w:rtl/>
        </w:rPr>
        <w:t>על</w:t>
      </w:r>
      <w:r>
        <w:rPr>
          <w:rFonts w:ascii="Arial" w:hAnsi="Arial"/>
          <w:b/>
          <w:bCs/>
        </w:rPr>
        <w:t xml:space="preserve"> </w:t>
      </w:r>
      <w:r>
        <w:rPr>
          <w:rFonts w:ascii="Arial" w:hAnsi="Arial"/>
          <w:b/>
          <w:bCs/>
          <w:rtl/>
        </w:rPr>
        <w:t>פי</w:t>
      </w:r>
      <w:r>
        <w:rPr>
          <w:rFonts w:ascii="Arial" w:hAnsi="Arial"/>
          <w:b/>
          <w:bCs/>
        </w:rPr>
        <w:t xml:space="preserve"> </w:t>
      </w:r>
      <w:r>
        <w:rPr>
          <w:rFonts w:ascii="Arial" w:hAnsi="Arial"/>
          <w:b/>
          <w:bCs/>
          <w:rtl/>
        </w:rPr>
        <w:t>תוכנו</w:t>
      </w:r>
      <w:r>
        <w:rPr>
          <w:rFonts w:ascii="Arial" w:hAnsi="Arial"/>
          <w:b/>
          <w:bCs/>
        </w:rPr>
        <w:t xml:space="preserve"> </w:t>
      </w:r>
      <w:r>
        <w:rPr>
          <w:rFonts w:ascii="Arial" w:hAnsi="Arial"/>
          <w:b/>
          <w:bCs/>
          <w:rtl/>
        </w:rPr>
        <w:t>ומהותו</w:t>
      </w:r>
      <w:r>
        <w:rPr>
          <w:rFonts w:ascii="Arial" w:hAnsi="Arial"/>
          <w:b/>
          <w:bCs/>
        </w:rPr>
        <w:t xml:space="preserve"> </w:t>
      </w:r>
      <w:r>
        <w:rPr>
          <w:rFonts w:ascii="Arial" w:hAnsi="Arial"/>
          <w:b/>
          <w:bCs/>
          <w:rtl/>
        </w:rPr>
        <w:t>של</w:t>
      </w:r>
      <w:r>
        <w:rPr>
          <w:rFonts w:ascii="Arial" w:hAnsi="Arial"/>
          <w:b/>
          <w:bCs/>
        </w:rPr>
        <w:t xml:space="preserve"> </w:t>
      </w:r>
      <w:r>
        <w:rPr>
          <w:rFonts w:ascii="Arial" w:hAnsi="Arial"/>
          <w:b/>
          <w:bCs/>
          <w:rtl/>
        </w:rPr>
        <w:t>מושג</w:t>
      </w:r>
      <w:r>
        <w:rPr>
          <w:rFonts w:ascii="Arial" w:hAnsi="Arial"/>
          <w:b/>
          <w:bCs/>
        </w:rPr>
        <w:t xml:space="preserve"> </w:t>
      </w:r>
      <w:r>
        <w:rPr>
          <w:rFonts w:ascii="Arial" w:hAnsi="Arial"/>
          <w:b/>
          <w:bCs/>
          <w:rtl/>
        </w:rPr>
        <w:t>זה"</w:t>
      </w:r>
      <w:r>
        <w:rPr>
          <w:rFonts w:ascii="Arial" w:hAnsi="Arial"/>
          <w:rtl/>
        </w:rPr>
        <w:t>.</w:t>
      </w:r>
    </w:p>
    <w:p w14:paraId="1EFC788B" w14:textId="77777777" w:rsidR="0034251D" w:rsidRDefault="0034251D" w:rsidP="00D348D9">
      <w:pPr>
        <w:spacing w:line="360" w:lineRule="auto"/>
        <w:ind w:left="652" w:hanging="709"/>
        <w:jc w:val="both"/>
        <w:rPr>
          <w:b/>
          <w:bCs/>
          <w:rtl/>
        </w:rPr>
      </w:pPr>
      <w:r>
        <w:rPr>
          <w:b/>
          <w:bCs/>
          <w:rtl/>
        </w:rPr>
        <w:tab/>
      </w:r>
    </w:p>
    <w:p w14:paraId="56A93C98" w14:textId="77777777" w:rsidR="0034251D" w:rsidRDefault="0034251D" w:rsidP="00D348D9">
      <w:pPr>
        <w:spacing w:line="360" w:lineRule="auto"/>
        <w:ind w:left="652" w:hanging="709"/>
        <w:jc w:val="both"/>
        <w:rPr>
          <w:noProof/>
          <w:rtl/>
        </w:rPr>
      </w:pPr>
      <w:r>
        <w:rPr>
          <w:rtl/>
        </w:rPr>
        <w:tab/>
        <w:t>כך למשל, ב</w:t>
      </w:r>
      <w:hyperlink r:id="rId43" w:history="1">
        <w:r w:rsidR="00466323" w:rsidRPr="00466323">
          <w:rPr>
            <w:color w:val="0000FF"/>
            <w:u w:val="single"/>
            <w:rtl/>
          </w:rPr>
          <w:t>ע"פ 1894/14</w:t>
        </w:r>
      </w:hyperlink>
      <w:r>
        <w:rPr>
          <w:b/>
          <w:bCs/>
          <w:rtl/>
        </w:rPr>
        <w:t xml:space="preserve"> אנדרג'או גבריאל צ'אקול נגד מדינת ישראל </w:t>
      </w:r>
      <w:r>
        <w:rPr>
          <w:rtl/>
        </w:rPr>
        <w:t xml:space="preserve">(פורסם בנבו 13.01.2015) נבחנה שאלת תחולתו של מאסר מותנה בגין עבירות אלימות מקום בו העבירה המפעילה הייתה עבירה של </w:t>
      </w:r>
      <w:r>
        <w:rPr>
          <w:b/>
          <w:bCs/>
          <w:rtl/>
        </w:rPr>
        <w:t>נהיגה תחת השפעת אלכוהול</w:t>
      </w:r>
      <w:r>
        <w:rPr>
          <w:rtl/>
        </w:rPr>
        <w:t xml:space="preserve"> (נהיגה שהובילה למוות ולחבלה של נוסעים שנסעו ברכבו של הנאשם). בית המשפט העליון הדגיש כי: </w:t>
      </w:r>
    </w:p>
    <w:p w14:paraId="358673BA" w14:textId="77777777" w:rsidR="0034251D" w:rsidRDefault="0034251D" w:rsidP="00D348D9">
      <w:pPr>
        <w:spacing w:line="360" w:lineRule="auto"/>
        <w:ind w:left="1503" w:right="567"/>
        <w:jc w:val="both"/>
        <w:rPr>
          <w:b/>
          <w:bCs/>
          <w:u w:val="single"/>
          <w:rtl/>
        </w:rPr>
      </w:pPr>
      <w:r>
        <w:rPr>
          <w:rtl/>
        </w:rPr>
        <w:t>"</w:t>
      </w:r>
      <w:r>
        <w:rPr>
          <w:b/>
          <w:bCs/>
          <w:rtl/>
        </w:rPr>
        <w:t>במקרה</w:t>
      </w:r>
      <w:r>
        <w:rPr>
          <w:b/>
          <w:bCs/>
        </w:rPr>
        <w:t xml:space="preserve"> </w:t>
      </w:r>
      <w:r>
        <w:rPr>
          <w:b/>
          <w:bCs/>
          <w:rtl/>
        </w:rPr>
        <w:t>שלפנינו,</w:t>
      </w:r>
      <w:r>
        <w:rPr>
          <w:b/>
          <w:bCs/>
        </w:rPr>
        <w:t xml:space="preserve"> </w:t>
      </w:r>
      <w:r>
        <w:rPr>
          <w:b/>
          <w:bCs/>
          <w:rtl/>
        </w:rPr>
        <w:t>המערער</w:t>
      </w:r>
      <w:r>
        <w:rPr>
          <w:b/>
          <w:bCs/>
        </w:rPr>
        <w:t xml:space="preserve"> </w:t>
      </w:r>
      <w:r>
        <w:rPr>
          <w:b/>
          <w:bCs/>
          <w:rtl/>
        </w:rPr>
        <w:t>העמיד</w:t>
      </w:r>
      <w:r>
        <w:rPr>
          <w:b/>
          <w:bCs/>
        </w:rPr>
        <w:t xml:space="preserve"> </w:t>
      </w:r>
      <w:r>
        <w:rPr>
          <w:b/>
          <w:bCs/>
          <w:rtl/>
        </w:rPr>
        <w:t>מספר</w:t>
      </w:r>
      <w:r>
        <w:rPr>
          <w:b/>
          <w:bCs/>
        </w:rPr>
        <w:t xml:space="preserve"> </w:t>
      </w:r>
      <w:r>
        <w:rPr>
          <w:b/>
          <w:bCs/>
          <w:rtl/>
        </w:rPr>
        <w:t>חיי</w:t>
      </w:r>
      <w:r>
        <w:rPr>
          <w:b/>
          <w:bCs/>
        </w:rPr>
        <w:t xml:space="preserve"> </w:t>
      </w:r>
      <w:r>
        <w:rPr>
          <w:b/>
          <w:bCs/>
          <w:rtl/>
        </w:rPr>
        <w:t>אדם</w:t>
      </w:r>
      <w:r>
        <w:rPr>
          <w:b/>
          <w:bCs/>
        </w:rPr>
        <w:t xml:space="preserve"> </w:t>
      </w:r>
      <w:r>
        <w:rPr>
          <w:b/>
          <w:bCs/>
          <w:rtl/>
        </w:rPr>
        <w:t>בסיכון</w:t>
      </w:r>
      <w:r>
        <w:rPr>
          <w:b/>
          <w:bCs/>
        </w:rPr>
        <w:t xml:space="preserve"> </w:t>
      </w:r>
      <w:r>
        <w:rPr>
          <w:b/>
          <w:bCs/>
          <w:rtl/>
        </w:rPr>
        <w:t>שעה</w:t>
      </w:r>
      <w:r>
        <w:rPr>
          <w:b/>
          <w:bCs/>
        </w:rPr>
        <w:t xml:space="preserve"> </w:t>
      </w:r>
      <w:r>
        <w:rPr>
          <w:b/>
          <w:bCs/>
          <w:rtl/>
        </w:rPr>
        <w:t>שנכנס</w:t>
      </w:r>
      <w:r>
        <w:rPr>
          <w:b/>
          <w:bCs/>
        </w:rPr>
        <w:t xml:space="preserve"> </w:t>
      </w:r>
      <w:r>
        <w:rPr>
          <w:b/>
          <w:bCs/>
          <w:rtl/>
        </w:rPr>
        <w:t>לרכבו</w:t>
      </w:r>
      <w:r>
        <w:rPr>
          <w:b/>
          <w:bCs/>
        </w:rPr>
        <w:t xml:space="preserve"> </w:t>
      </w:r>
      <w:r>
        <w:rPr>
          <w:b/>
          <w:bCs/>
          <w:rtl/>
        </w:rPr>
        <w:t>כשהוא</w:t>
      </w:r>
      <w:r>
        <w:rPr>
          <w:b/>
          <w:bCs/>
        </w:rPr>
        <w:t xml:space="preserve"> </w:t>
      </w:r>
      <w:r>
        <w:rPr>
          <w:b/>
          <w:bCs/>
          <w:rtl/>
        </w:rPr>
        <w:t>שיכור</w:t>
      </w:r>
      <w:r>
        <w:rPr>
          <w:b/>
          <w:bCs/>
        </w:rPr>
        <w:t xml:space="preserve"> </w:t>
      </w:r>
      <w:r>
        <w:rPr>
          <w:b/>
          <w:bCs/>
          <w:rtl/>
        </w:rPr>
        <w:t>ועייף. כפי</w:t>
      </w:r>
      <w:r>
        <w:rPr>
          <w:b/>
          <w:bCs/>
        </w:rPr>
        <w:t xml:space="preserve"> </w:t>
      </w:r>
      <w:r>
        <w:rPr>
          <w:b/>
          <w:bCs/>
          <w:rtl/>
        </w:rPr>
        <w:t>שנפסק</w:t>
      </w:r>
      <w:r>
        <w:rPr>
          <w:b/>
          <w:bCs/>
        </w:rPr>
        <w:t xml:space="preserve"> </w:t>
      </w:r>
      <w:r>
        <w:rPr>
          <w:b/>
          <w:bCs/>
          <w:rtl/>
        </w:rPr>
        <w:t>בעניין</w:t>
      </w:r>
      <w:r>
        <w:rPr>
          <w:b/>
          <w:bCs/>
        </w:rPr>
        <w:t xml:space="preserve"> </w:t>
      </w:r>
      <w:r>
        <w:rPr>
          <w:b/>
          <w:bCs/>
          <w:rtl/>
        </w:rPr>
        <w:t>סבן, הגדרת</w:t>
      </w:r>
      <w:r>
        <w:rPr>
          <w:b/>
          <w:bCs/>
        </w:rPr>
        <w:t xml:space="preserve"> </w:t>
      </w:r>
      <w:r>
        <w:rPr>
          <w:b/>
          <w:bCs/>
          <w:rtl/>
        </w:rPr>
        <w:t>עבירת</w:t>
      </w:r>
      <w:r>
        <w:rPr>
          <w:b/>
          <w:bCs/>
        </w:rPr>
        <w:t xml:space="preserve"> </w:t>
      </w:r>
      <w:r>
        <w:rPr>
          <w:b/>
          <w:bCs/>
          <w:rtl/>
        </w:rPr>
        <w:t>התנאי</w:t>
      </w:r>
      <w:r>
        <w:rPr>
          <w:b/>
          <w:bCs/>
        </w:rPr>
        <w:t xml:space="preserve"> </w:t>
      </w:r>
      <w:r>
        <w:rPr>
          <w:b/>
          <w:bCs/>
          <w:rtl/>
        </w:rPr>
        <w:t>כ</w:t>
      </w:r>
      <w:r>
        <w:rPr>
          <w:b/>
          <w:bCs/>
        </w:rPr>
        <w:t>"</w:t>
      </w:r>
      <w:r>
        <w:rPr>
          <w:b/>
          <w:bCs/>
          <w:rtl/>
        </w:rPr>
        <w:t>עבירת</w:t>
      </w:r>
      <w:r>
        <w:rPr>
          <w:b/>
          <w:bCs/>
        </w:rPr>
        <w:t xml:space="preserve"> </w:t>
      </w:r>
      <w:r>
        <w:rPr>
          <w:b/>
          <w:bCs/>
          <w:rtl/>
        </w:rPr>
        <w:t>אלימות" היא</w:t>
      </w:r>
      <w:r>
        <w:rPr>
          <w:b/>
          <w:bCs/>
        </w:rPr>
        <w:t xml:space="preserve"> </w:t>
      </w:r>
      <w:r>
        <w:rPr>
          <w:b/>
          <w:bCs/>
          <w:rtl/>
        </w:rPr>
        <w:t>הגדרה</w:t>
      </w:r>
      <w:r>
        <w:rPr>
          <w:b/>
          <w:bCs/>
        </w:rPr>
        <w:t xml:space="preserve"> </w:t>
      </w:r>
      <w:r>
        <w:rPr>
          <w:b/>
          <w:bCs/>
          <w:rtl/>
        </w:rPr>
        <w:t>רחבה</w:t>
      </w:r>
      <w:r>
        <w:rPr>
          <w:b/>
          <w:bCs/>
        </w:rPr>
        <w:t xml:space="preserve"> </w:t>
      </w:r>
      <w:r>
        <w:rPr>
          <w:b/>
          <w:bCs/>
          <w:rtl/>
        </w:rPr>
        <w:t>הכוללת</w:t>
      </w:r>
      <w:r>
        <w:rPr>
          <w:b/>
          <w:bCs/>
        </w:rPr>
        <w:t xml:space="preserve"> </w:t>
      </w:r>
      <w:r>
        <w:rPr>
          <w:b/>
          <w:bCs/>
          <w:rtl/>
        </w:rPr>
        <w:t>בתוכה</w:t>
      </w:r>
      <w:r>
        <w:rPr>
          <w:b/>
          <w:bCs/>
        </w:rPr>
        <w:t xml:space="preserve"> </w:t>
      </w:r>
      <w:r>
        <w:rPr>
          <w:b/>
          <w:bCs/>
          <w:rtl/>
        </w:rPr>
        <w:t>כל</w:t>
      </w:r>
      <w:r>
        <w:rPr>
          <w:b/>
          <w:bCs/>
        </w:rPr>
        <w:t xml:space="preserve"> </w:t>
      </w:r>
      <w:r>
        <w:rPr>
          <w:b/>
          <w:bCs/>
          <w:rtl/>
        </w:rPr>
        <w:t>עבירה</w:t>
      </w:r>
      <w:r>
        <w:rPr>
          <w:b/>
          <w:bCs/>
        </w:rPr>
        <w:t xml:space="preserve"> </w:t>
      </w:r>
      <w:r>
        <w:rPr>
          <w:b/>
          <w:bCs/>
          <w:rtl/>
        </w:rPr>
        <w:t>שעניינה</w:t>
      </w:r>
      <w:r>
        <w:rPr>
          <w:b/>
          <w:bCs/>
        </w:rPr>
        <w:t xml:space="preserve"> </w:t>
      </w:r>
      <w:r>
        <w:rPr>
          <w:b/>
          <w:bCs/>
          <w:rtl/>
        </w:rPr>
        <w:t>איסור</w:t>
      </w:r>
      <w:r>
        <w:rPr>
          <w:b/>
          <w:bCs/>
        </w:rPr>
        <w:t xml:space="preserve"> </w:t>
      </w:r>
      <w:r>
        <w:rPr>
          <w:b/>
          <w:bCs/>
          <w:rtl/>
        </w:rPr>
        <w:t>על</w:t>
      </w:r>
      <w:r>
        <w:rPr>
          <w:b/>
          <w:bCs/>
        </w:rPr>
        <w:t xml:space="preserve"> </w:t>
      </w:r>
      <w:r>
        <w:rPr>
          <w:b/>
          <w:bCs/>
          <w:rtl/>
        </w:rPr>
        <w:t>פגיעה</w:t>
      </w:r>
      <w:r>
        <w:rPr>
          <w:b/>
          <w:bCs/>
        </w:rPr>
        <w:t xml:space="preserve"> </w:t>
      </w:r>
      <w:r>
        <w:rPr>
          <w:b/>
          <w:bCs/>
          <w:rtl/>
        </w:rPr>
        <w:t>בחיי</w:t>
      </w:r>
      <w:r>
        <w:rPr>
          <w:b/>
          <w:bCs/>
        </w:rPr>
        <w:t xml:space="preserve"> </w:t>
      </w:r>
      <w:r>
        <w:rPr>
          <w:b/>
          <w:bCs/>
          <w:rtl/>
        </w:rPr>
        <w:t>אדם</w:t>
      </w:r>
      <w:r>
        <w:rPr>
          <w:b/>
          <w:bCs/>
        </w:rPr>
        <w:t xml:space="preserve"> </w:t>
      </w:r>
      <w:r>
        <w:rPr>
          <w:b/>
          <w:bCs/>
          <w:rtl/>
        </w:rPr>
        <w:t>(שם,</w:t>
      </w:r>
      <w:r>
        <w:rPr>
          <w:b/>
          <w:bCs/>
        </w:rPr>
        <w:t xml:space="preserve"> </w:t>
      </w:r>
      <w:r>
        <w:rPr>
          <w:b/>
          <w:bCs/>
          <w:rtl/>
        </w:rPr>
        <w:t xml:space="preserve">בפסקה </w:t>
      </w:r>
      <w:r>
        <w:rPr>
          <w:b/>
          <w:bCs/>
        </w:rPr>
        <w:t>7</w:t>
      </w:r>
      <w:r>
        <w:rPr>
          <w:b/>
          <w:bCs/>
          <w:rtl/>
        </w:rPr>
        <w:t>) כך, בעניין</w:t>
      </w:r>
      <w:r>
        <w:rPr>
          <w:b/>
          <w:bCs/>
        </w:rPr>
        <w:t xml:space="preserve"> </w:t>
      </w:r>
      <w:r>
        <w:rPr>
          <w:b/>
          <w:bCs/>
          <w:rtl/>
        </w:rPr>
        <w:t>סבן, עבירת</w:t>
      </w:r>
      <w:r>
        <w:rPr>
          <w:b/>
          <w:bCs/>
        </w:rPr>
        <w:t xml:space="preserve"> </w:t>
      </w:r>
      <w:r>
        <w:rPr>
          <w:b/>
          <w:bCs/>
          <w:rtl/>
        </w:rPr>
        <w:t>סיכון</w:t>
      </w:r>
      <w:r>
        <w:rPr>
          <w:b/>
          <w:bCs/>
        </w:rPr>
        <w:t xml:space="preserve"> </w:t>
      </w:r>
      <w:r w:rsidRPr="00F643BA">
        <w:rPr>
          <w:b/>
          <w:bCs/>
          <w:rtl/>
        </w:rPr>
        <w:t>חיי</w:t>
      </w:r>
      <w:r w:rsidRPr="00F643BA">
        <w:rPr>
          <w:b/>
          <w:bCs/>
        </w:rPr>
        <w:t xml:space="preserve"> </w:t>
      </w:r>
      <w:r w:rsidRPr="00F643BA">
        <w:rPr>
          <w:b/>
          <w:bCs/>
          <w:rtl/>
        </w:rPr>
        <w:t>אדם</w:t>
      </w:r>
      <w:r w:rsidRPr="00F643BA">
        <w:rPr>
          <w:b/>
          <w:bCs/>
        </w:rPr>
        <w:t xml:space="preserve"> </w:t>
      </w:r>
      <w:r w:rsidRPr="00F643BA">
        <w:rPr>
          <w:b/>
          <w:bCs/>
          <w:rtl/>
        </w:rPr>
        <w:t>בנתיבי</w:t>
      </w:r>
      <w:r w:rsidRPr="00F643BA">
        <w:rPr>
          <w:b/>
          <w:bCs/>
        </w:rPr>
        <w:t xml:space="preserve"> </w:t>
      </w:r>
      <w:r w:rsidRPr="00F643BA">
        <w:rPr>
          <w:b/>
          <w:bCs/>
          <w:rtl/>
        </w:rPr>
        <w:t>תחבורה, לפי</w:t>
      </w:r>
      <w:r w:rsidRPr="00F643BA">
        <w:rPr>
          <w:b/>
          <w:bCs/>
        </w:rPr>
        <w:t xml:space="preserve"> </w:t>
      </w:r>
      <w:r w:rsidRPr="00466323">
        <w:rPr>
          <w:rFonts w:ascii="Times New Roman" w:hAnsi="Times New Roman" w:cs="Times New Roman"/>
          <w:b/>
          <w:bCs/>
          <w:color w:val="000000"/>
          <w:rtl/>
        </w:rPr>
        <w:t>סעיף</w:t>
      </w:r>
      <w:r w:rsidRPr="00466323">
        <w:rPr>
          <w:rFonts w:ascii="Times New Roman" w:hAnsi="Times New Roman" w:cs="Times New Roman"/>
          <w:b/>
          <w:bCs/>
          <w:color w:val="000000"/>
        </w:rPr>
        <w:t xml:space="preserve"> 332(2)</w:t>
      </w:r>
      <w:r w:rsidRPr="00F643BA">
        <w:rPr>
          <w:b/>
          <w:bCs/>
        </w:rPr>
        <w:t xml:space="preserve"> </w:t>
      </w:r>
      <w:r w:rsidRPr="00F643BA">
        <w:rPr>
          <w:b/>
          <w:bCs/>
          <w:rtl/>
        </w:rPr>
        <w:t>ל</w:t>
      </w:r>
      <w:hyperlink r:id="rId44" w:history="1">
        <w:r w:rsidR="00466323" w:rsidRPr="00466323">
          <w:rPr>
            <w:rFonts w:ascii="Times New Roman" w:hAnsi="Times New Roman" w:cs="Times New Roman"/>
            <w:b/>
            <w:bCs/>
            <w:color w:val="0000FF"/>
            <w:u w:val="single"/>
            <w:rtl/>
          </w:rPr>
          <w:t>חוק העונשין</w:t>
        </w:r>
      </w:hyperlink>
      <w:r w:rsidRPr="00F643BA">
        <w:rPr>
          <w:b/>
          <w:bCs/>
        </w:rPr>
        <w:t xml:space="preserve"> </w:t>
      </w:r>
      <w:r w:rsidRPr="00F643BA">
        <w:rPr>
          <w:b/>
          <w:bCs/>
          <w:rtl/>
        </w:rPr>
        <w:t>נקבעה</w:t>
      </w:r>
      <w:r w:rsidRPr="00F643BA">
        <w:rPr>
          <w:b/>
          <w:bCs/>
        </w:rPr>
        <w:t xml:space="preserve"> </w:t>
      </w:r>
      <w:r w:rsidRPr="00F643BA">
        <w:rPr>
          <w:b/>
          <w:bCs/>
          <w:rtl/>
        </w:rPr>
        <w:t>כעבירת</w:t>
      </w:r>
      <w:r w:rsidRPr="00F643BA">
        <w:rPr>
          <w:b/>
          <w:bCs/>
        </w:rPr>
        <w:t xml:space="preserve"> </w:t>
      </w:r>
      <w:r w:rsidRPr="00F643BA">
        <w:rPr>
          <w:b/>
          <w:bCs/>
          <w:rtl/>
        </w:rPr>
        <w:t>אלימות</w:t>
      </w:r>
      <w:r w:rsidRPr="00F643BA">
        <w:rPr>
          <w:b/>
          <w:bCs/>
        </w:rPr>
        <w:t xml:space="preserve"> </w:t>
      </w:r>
      <w:r w:rsidRPr="00F643BA">
        <w:rPr>
          <w:b/>
          <w:bCs/>
          <w:rtl/>
        </w:rPr>
        <w:t>המפעילה</w:t>
      </w:r>
      <w:r w:rsidRPr="00F643BA">
        <w:rPr>
          <w:b/>
          <w:bCs/>
        </w:rPr>
        <w:t xml:space="preserve"> </w:t>
      </w:r>
      <w:r w:rsidRPr="00F643BA">
        <w:rPr>
          <w:b/>
          <w:bCs/>
          <w:rtl/>
        </w:rPr>
        <w:t>את</w:t>
      </w:r>
      <w:r w:rsidRPr="00F643BA">
        <w:rPr>
          <w:b/>
          <w:bCs/>
        </w:rPr>
        <w:t xml:space="preserve"> </w:t>
      </w:r>
      <w:r w:rsidRPr="00F643BA">
        <w:rPr>
          <w:b/>
          <w:bCs/>
          <w:rtl/>
        </w:rPr>
        <w:t>המאסר</w:t>
      </w:r>
      <w:r w:rsidRPr="00F643BA">
        <w:rPr>
          <w:b/>
          <w:bCs/>
        </w:rPr>
        <w:t xml:space="preserve"> </w:t>
      </w:r>
      <w:r w:rsidRPr="00F643BA">
        <w:rPr>
          <w:b/>
          <w:bCs/>
          <w:rtl/>
        </w:rPr>
        <w:t>המותנה</w:t>
      </w:r>
      <w:r w:rsidRPr="00F643BA">
        <w:rPr>
          <w:b/>
          <w:bCs/>
        </w:rPr>
        <w:t xml:space="preserve"> </w:t>
      </w:r>
      <w:r w:rsidRPr="00F643BA">
        <w:rPr>
          <w:b/>
          <w:bCs/>
          <w:rtl/>
        </w:rPr>
        <w:t>(שם) בענייננו,</w:t>
      </w:r>
      <w:r w:rsidRPr="00F643BA">
        <w:rPr>
          <w:b/>
          <w:bCs/>
        </w:rPr>
        <w:t xml:space="preserve"> </w:t>
      </w:r>
      <w:r w:rsidRPr="00F643BA">
        <w:rPr>
          <w:b/>
          <w:bCs/>
          <w:rtl/>
        </w:rPr>
        <w:t>אמנם</w:t>
      </w:r>
      <w:r w:rsidRPr="00F643BA">
        <w:rPr>
          <w:b/>
          <w:bCs/>
        </w:rPr>
        <w:t xml:space="preserve"> </w:t>
      </w:r>
      <w:r w:rsidRPr="00F643BA">
        <w:rPr>
          <w:b/>
          <w:bCs/>
          <w:rtl/>
        </w:rPr>
        <w:t>מדובר</w:t>
      </w:r>
      <w:r w:rsidRPr="00F643BA">
        <w:rPr>
          <w:b/>
          <w:bCs/>
        </w:rPr>
        <w:t xml:space="preserve"> </w:t>
      </w:r>
      <w:r w:rsidRPr="00F643BA">
        <w:rPr>
          <w:b/>
          <w:bCs/>
          <w:rtl/>
        </w:rPr>
        <w:t>בעבירה</w:t>
      </w:r>
      <w:r w:rsidRPr="00F643BA">
        <w:rPr>
          <w:b/>
          <w:bCs/>
        </w:rPr>
        <w:t xml:space="preserve"> </w:t>
      </w:r>
      <w:r w:rsidRPr="00F643BA">
        <w:rPr>
          <w:b/>
          <w:bCs/>
          <w:rtl/>
        </w:rPr>
        <w:t>שונה, של</w:t>
      </w:r>
      <w:r w:rsidRPr="00F643BA">
        <w:rPr>
          <w:b/>
          <w:bCs/>
        </w:rPr>
        <w:t xml:space="preserve"> </w:t>
      </w:r>
      <w:r w:rsidRPr="00F643BA">
        <w:rPr>
          <w:b/>
          <w:bCs/>
          <w:rtl/>
        </w:rPr>
        <w:t>נהיגה</w:t>
      </w:r>
      <w:r w:rsidRPr="00F643BA">
        <w:rPr>
          <w:b/>
          <w:bCs/>
        </w:rPr>
        <w:t xml:space="preserve"> </w:t>
      </w:r>
      <w:r w:rsidRPr="00F643BA">
        <w:rPr>
          <w:b/>
          <w:bCs/>
          <w:rtl/>
        </w:rPr>
        <w:t>תחת</w:t>
      </w:r>
      <w:r w:rsidRPr="00F643BA">
        <w:rPr>
          <w:b/>
          <w:bCs/>
        </w:rPr>
        <w:t xml:space="preserve"> </w:t>
      </w:r>
      <w:r w:rsidRPr="00F643BA">
        <w:rPr>
          <w:b/>
          <w:bCs/>
          <w:rtl/>
        </w:rPr>
        <w:t>השפעת</w:t>
      </w:r>
      <w:r w:rsidRPr="00F643BA">
        <w:rPr>
          <w:b/>
          <w:bCs/>
        </w:rPr>
        <w:t xml:space="preserve"> </w:t>
      </w:r>
      <w:r w:rsidRPr="00F643BA">
        <w:rPr>
          <w:b/>
          <w:bCs/>
          <w:rtl/>
        </w:rPr>
        <w:t>משקאות</w:t>
      </w:r>
      <w:r w:rsidRPr="00F643BA">
        <w:rPr>
          <w:b/>
          <w:bCs/>
        </w:rPr>
        <w:t xml:space="preserve"> </w:t>
      </w:r>
      <w:r w:rsidRPr="00F643BA">
        <w:rPr>
          <w:b/>
          <w:bCs/>
          <w:rtl/>
        </w:rPr>
        <w:t>משכרים</w:t>
      </w:r>
      <w:r w:rsidRPr="00F643BA">
        <w:rPr>
          <w:b/>
          <w:bCs/>
        </w:rPr>
        <w:t xml:space="preserve"> </w:t>
      </w:r>
      <w:r w:rsidRPr="00F643BA">
        <w:rPr>
          <w:b/>
          <w:bCs/>
          <w:rtl/>
        </w:rPr>
        <w:t>לפי</w:t>
      </w:r>
      <w:r w:rsidRPr="00F643BA">
        <w:rPr>
          <w:b/>
          <w:bCs/>
        </w:rPr>
        <w:t xml:space="preserve"> </w:t>
      </w:r>
      <w:r w:rsidRPr="00466323">
        <w:rPr>
          <w:b/>
          <w:bCs/>
          <w:color w:val="000000"/>
          <w:rtl/>
        </w:rPr>
        <w:t>סעיף</w:t>
      </w:r>
      <w:r w:rsidRPr="00466323">
        <w:rPr>
          <w:b/>
          <w:bCs/>
          <w:color w:val="000000"/>
        </w:rPr>
        <w:t xml:space="preserve"> 62(3)</w:t>
      </w:r>
      <w:r w:rsidRPr="00F643BA">
        <w:rPr>
          <w:b/>
          <w:bCs/>
        </w:rPr>
        <w:t xml:space="preserve"> </w:t>
      </w:r>
      <w:r w:rsidRPr="00F643BA">
        <w:rPr>
          <w:b/>
          <w:bCs/>
          <w:rtl/>
        </w:rPr>
        <w:t>ו</w:t>
      </w:r>
      <w:r w:rsidRPr="00F643BA">
        <w:rPr>
          <w:b/>
          <w:bCs/>
        </w:rPr>
        <w:t>-</w:t>
      </w:r>
      <w:r w:rsidRPr="00466323">
        <w:rPr>
          <w:b/>
          <w:bCs/>
          <w:color w:val="000000"/>
        </w:rPr>
        <w:t>64</w:t>
      </w:r>
      <w:r w:rsidRPr="00466323">
        <w:rPr>
          <w:b/>
          <w:bCs/>
          <w:color w:val="000000"/>
          <w:rtl/>
        </w:rPr>
        <w:t>ב</w:t>
      </w:r>
      <w:r w:rsidRPr="00466323">
        <w:rPr>
          <w:b/>
          <w:bCs/>
          <w:color w:val="000000"/>
        </w:rPr>
        <w:t xml:space="preserve"> (</w:t>
      </w:r>
      <w:r w:rsidRPr="00466323">
        <w:rPr>
          <w:b/>
          <w:bCs/>
          <w:color w:val="000000"/>
          <w:rtl/>
        </w:rPr>
        <w:t>א</w:t>
      </w:r>
      <w:r w:rsidRPr="00466323">
        <w:rPr>
          <w:b/>
          <w:bCs/>
          <w:color w:val="000000"/>
        </w:rPr>
        <w:t>(3)+(4)</w:t>
      </w:r>
      <w:r w:rsidRPr="00F643BA">
        <w:rPr>
          <w:b/>
          <w:bCs/>
        </w:rPr>
        <w:t xml:space="preserve"> </w:t>
      </w:r>
      <w:r w:rsidRPr="00F643BA">
        <w:rPr>
          <w:b/>
          <w:bCs/>
          <w:rtl/>
        </w:rPr>
        <w:t xml:space="preserve"> לפקודה,</w:t>
      </w:r>
      <w:r w:rsidRPr="00F643BA">
        <w:rPr>
          <w:b/>
          <w:bCs/>
        </w:rPr>
        <w:t xml:space="preserve"> </w:t>
      </w:r>
      <w:r w:rsidRPr="00F643BA">
        <w:rPr>
          <w:b/>
          <w:bCs/>
          <w:rtl/>
        </w:rPr>
        <w:t>אשר</w:t>
      </w:r>
      <w:r w:rsidRPr="00F643BA">
        <w:rPr>
          <w:b/>
          <w:bCs/>
        </w:rPr>
        <w:t xml:space="preserve"> </w:t>
      </w:r>
      <w:r w:rsidRPr="00F643BA">
        <w:rPr>
          <w:b/>
          <w:bCs/>
          <w:rtl/>
        </w:rPr>
        <w:t>ביסודותיה</w:t>
      </w:r>
      <w:r w:rsidRPr="00F643BA">
        <w:rPr>
          <w:b/>
          <w:bCs/>
        </w:rPr>
        <w:t xml:space="preserve"> </w:t>
      </w:r>
      <w:r w:rsidRPr="00F643BA">
        <w:rPr>
          <w:b/>
          <w:bCs/>
          <w:rtl/>
        </w:rPr>
        <w:t>הטכניים</w:t>
      </w:r>
      <w:r w:rsidRPr="00F643BA">
        <w:rPr>
          <w:b/>
          <w:bCs/>
        </w:rPr>
        <w:t xml:space="preserve"> </w:t>
      </w:r>
      <w:r w:rsidRPr="00F643BA">
        <w:rPr>
          <w:b/>
          <w:bCs/>
          <w:rtl/>
        </w:rPr>
        <w:t>אינה</w:t>
      </w:r>
      <w:r w:rsidRPr="00F643BA">
        <w:rPr>
          <w:b/>
          <w:bCs/>
        </w:rPr>
        <w:t xml:space="preserve"> </w:t>
      </w:r>
      <w:r w:rsidRPr="00F643BA">
        <w:rPr>
          <w:b/>
          <w:bCs/>
          <w:rtl/>
        </w:rPr>
        <w:t>מגלה</w:t>
      </w:r>
      <w:r w:rsidRPr="00F643BA">
        <w:rPr>
          <w:b/>
          <w:bCs/>
        </w:rPr>
        <w:t xml:space="preserve"> </w:t>
      </w:r>
      <w:r w:rsidRPr="00F643BA">
        <w:rPr>
          <w:b/>
          <w:bCs/>
          <w:rtl/>
        </w:rPr>
        <w:t>יסוד</w:t>
      </w:r>
      <w:r w:rsidRPr="00F643BA">
        <w:rPr>
          <w:b/>
          <w:bCs/>
        </w:rPr>
        <w:t xml:space="preserve"> </w:t>
      </w:r>
      <w:r w:rsidRPr="00F643BA">
        <w:rPr>
          <w:b/>
          <w:bCs/>
          <w:rtl/>
        </w:rPr>
        <w:t>של</w:t>
      </w:r>
      <w:r w:rsidRPr="00F643BA">
        <w:rPr>
          <w:b/>
          <w:bCs/>
        </w:rPr>
        <w:t xml:space="preserve"> </w:t>
      </w:r>
      <w:r w:rsidRPr="00F643BA">
        <w:rPr>
          <w:b/>
          <w:bCs/>
          <w:rtl/>
        </w:rPr>
        <w:t>אלימות,</w:t>
      </w:r>
      <w:r w:rsidRPr="00F643BA">
        <w:rPr>
          <w:b/>
          <w:bCs/>
        </w:rPr>
        <w:t xml:space="preserve"> </w:t>
      </w:r>
      <w:r w:rsidRPr="00F643BA">
        <w:rPr>
          <w:b/>
          <w:bCs/>
          <w:rtl/>
        </w:rPr>
        <w:t>אולם</w:t>
      </w:r>
      <w:r w:rsidRPr="00F643BA">
        <w:rPr>
          <w:b/>
          <w:bCs/>
        </w:rPr>
        <w:t xml:space="preserve"> </w:t>
      </w:r>
      <w:r w:rsidRPr="00F643BA">
        <w:rPr>
          <w:b/>
          <w:bCs/>
          <w:rtl/>
        </w:rPr>
        <w:t>במובנה</w:t>
      </w:r>
      <w:r w:rsidRPr="00F643BA">
        <w:rPr>
          <w:b/>
          <w:bCs/>
        </w:rPr>
        <w:t xml:space="preserve"> </w:t>
      </w:r>
      <w:r w:rsidRPr="00F643BA">
        <w:rPr>
          <w:b/>
          <w:bCs/>
          <w:rtl/>
        </w:rPr>
        <w:t>המהותי</w:t>
      </w:r>
      <w:r w:rsidRPr="00F643BA">
        <w:rPr>
          <w:b/>
          <w:bCs/>
        </w:rPr>
        <w:t xml:space="preserve"> </w:t>
      </w:r>
      <w:r w:rsidRPr="00F643BA">
        <w:rPr>
          <w:b/>
          <w:bCs/>
          <w:rtl/>
        </w:rPr>
        <w:t>משמעותה</w:t>
      </w:r>
      <w:r w:rsidRPr="00F643BA">
        <w:rPr>
          <w:b/>
          <w:bCs/>
        </w:rPr>
        <w:t xml:space="preserve"> </w:t>
      </w:r>
      <w:r w:rsidRPr="00F643BA">
        <w:rPr>
          <w:b/>
          <w:bCs/>
          <w:rtl/>
        </w:rPr>
        <w:t>העמדת</w:t>
      </w:r>
      <w:r w:rsidRPr="00F643BA">
        <w:rPr>
          <w:b/>
          <w:bCs/>
        </w:rPr>
        <w:t xml:space="preserve"> </w:t>
      </w:r>
      <w:r w:rsidRPr="00F643BA">
        <w:rPr>
          <w:b/>
          <w:bCs/>
          <w:rtl/>
        </w:rPr>
        <w:t>חיי</w:t>
      </w:r>
      <w:r w:rsidRPr="00F643BA">
        <w:rPr>
          <w:b/>
          <w:bCs/>
        </w:rPr>
        <w:t xml:space="preserve"> </w:t>
      </w:r>
      <w:r w:rsidRPr="00F643BA">
        <w:rPr>
          <w:b/>
          <w:bCs/>
          <w:rtl/>
        </w:rPr>
        <w:t>אדם</w:t>
      </w:r>
      <w:r w:rsidRPr="00F643BA">
        <w:rPr>
          <w:b/>
          <w:bCs/>
        </w:rPr>
        <w:t xml:space="preserve"> </w:t>
      </w:r>
      <w:r w:rsidRPr="00F643BA">
        <w:rPr>
          <w:b/>
          <w:bCs/>
          <w:rtl/>
        </w:rPr>
        <w:t>בסיכון.</w:t>
      </w:r>
      <w:r>
        <w:rPr>
          <w:b/>
          <w:bCs/>
          <w:u w:val="single"/>
          <w:rtl/>
        </w:rPr>
        <w:t xml:space="preserve"> </w:t>
      </w:r>
      <w:r>
        <w:rPr>
          <w:b/>
          <w:bCs/>
          <w:rtl/>
        </w:rPr>
        <w:t>לצערנו,</w:t>
      </w:r>
      <w:r>
        <w:rPr>
          <w:b/>
          <w:bCs/>
        </w:rPr>
        <w:t xml:space="preserve"> </w:t>
      </w:r>
      <w:r>
        <w:rPr>
          <w:b/>
          <w:bCs/>
          <w:rtl/>
        </w:rPr>
        <w:t>במקרה</w:t>
      </w:r>
      <w:r>
        <w:rPr>
          <w:b/>
          <w:bCs/>
        </w:rPr>
        <w:t xml:space="preserve"> </w:t>
      </w:r>
      <w:r>
        <w:rPr>
          <w:b/>
          <w:bCs/>
          <w:rtl/>
        </w:rPr>
        <w:t>שלפנינו,</w:t>
      </w:r>
      <w:r>
        <w:rPr>
          <w:b/>
          <w:bCs/>
        </w:rPr>
        <w:t xml:space="preserve"> </w:t>
      </w:r>
      <w:r>
        <w:rPr>
          <w:b/>
          <w:bCs/>
          <w:rtl/>
        </w:rPr>
        <w:t>הסיכון</w:t>
      </w:r>
      <w:r>
        <w:rPr>
          <w:b/>
          <w:bCs/>
        </w:rPr>
        <w:t xml:space="preserve"> </w:t>
      </w:r>
      <w:r>
        <w:rPr>
          <w:b/>
          <w:bCs/>
          <w:rtl/>
        </w:rPr>
        <w:t>התממש</w:t>
      </w:r>
      <w:r>
        <w:rPr>
          <w:b/>
          <w:bCs/>
        </w:rPr>
        <w:t xml:space="preserve"> </w:t>
      </w:r>
      <w:r>
        <w:rPr>
          <w:b/>
          <w:bCs/>
          <w:rtl/>
        </w:rPr>
        <w:t>ואכן</w:t>
      </w:r>
      <w:r>
        <w:rPr>
          <w:b/>
          <w:bCs/>
        </w:rPr>
        <w:t xml:space="preserve"> </w:t>
      </w:r>
      <w:r>
        <w:rPr>
          <w:b/>
          <w:bCs/>
          <w:rtl/>
        </w:rPr>
        <w:t>חיי</w:t>
      </w:r>
      <w:r>
        <w:rPr>
          <w:b/>
          <w:bCs/>
        </w:rPr>
        <w:t xml:space="preserve"> </w:t>
      </w:r>
      <w:r>
        <w:rPr>
          <w:b/>
          <w:bCs/>
          <w:rtl/>
        </w:rPr>
        <w:t>אדם</w:t>
      </w:r>
      <w:r>
        <w:rPr>
          <w:b/>
          <w:bCs/>
        </w:rPr>
        <w:t xml:space="preserve"> </w:t>
      </w:r>
      <w:r>
        <w:rPr>
          <w:b/>
          <w:bCs/>
          <w:rtl/>
        </w:rPr>
        <w:t>נקטלו,</w:t>
      </w:r>
      <w:r>
        <w:rPr>
          <w:b/>
          <w:bCs/>
        </w:rPr>
        <w:t xml:space="preserve"> </w:t>
      </w:r>
      <w:r>
        <w:rPr>
          <w:b/>
          <w:bCs/>
          <w:rtl/>
        </w:rPr>
        <w:t>ובהתאם</w:t>
      </w:r>
      <w:r>
        <w:rPr>
          <w:b/>
          <w:bCs/>
        </w:rPr>
        <w:t xml:space="preserve"> </w:t>
      </w:r>
      <w:r>
        <w:rPr>
          <w:b/>
          <w:bCs/>
          <w:rtl/>
        </w:rPr>
        <w:t>המערער</w:t>
      </w:r>
      <w:r>
        <w:rPr>
          <w:b/>
          <w:bCs/>
        </w:rPr>
        <w:t xml:space="preserve"> </w:t>
      </w:r>
      <w:r>
        <w:rPr>
          <w:b/>
          <w:bCs/>
          <w:rtl/>
        </w:rPr>
        <w:t>הואשם</w:t>
      </w:r>
      <w:r>
        <w:rPr>
          <w:b/>
          <w:bCs/>
        </w:rPr>
        <w:t xml:space="preserve"> </w:t>
      </w:r>
      <w:r>
        <w:rPr>
          <w:b/>
          <w:bCs/>
          <w:rtl/>
        </w:rPr>
        <w:t>והורשע</w:t>
      </w:r>
      <w:r>
        <w:rPr>
          <w:b/>
          <w:bCs/>
        </w:rPr>
        <w:t xml:space="preserve"> </w:t>
      </w:r>
      <w:r>
        <w:rPr>
          <w:b/>
          <w:bCs/>
          <w:rtl/>
        </w:rPr>
        <w:t>בעבירת</w:t>
      </w:r>
      <w:r>
        <w:rPr>
          <w:b/>
          <w:bCs/>
        </w:rPr>
        <w:t xml:space="preserve"> </w:t>
      </w:r>
      <w:r>
        <w:rPr>
          <w:b/>
          <w:bCs/>
          <w:rtl/>
        </w:rPr>
        <w:t>הריגה</w:t>
      </w:r>
      <w:r>
        <w:rPr>
          <w:b/>
          <w:bCs/>
        </w:rPr>
        <w:t xml:space="preserve"> </w:t>
      </w:r>
      <w:r>
        <w:rPr>
          <w:b/>
          <w:bCs/>
          <w:rtl/>
        </w:rPr>
        <w:t>לפי</w:t>
      </w:r>
      <w:r>
        <w:rPr>
          <w:b/>
          <w:bCs/>
        </w:rPr>
        <w:t xml:space="preserve"> </w:t>
      </w:r>
      <w:r w:rsidRPr="00466323">
        <w:rPr>
          <w:b/>
          <w:bCs/>
          <w:color w:val="000000"/>
          <w:rtl/>
        </w:rPr>
        <w:t>סעיף</w:t>
      </w:r>
      <w:r w:rsidRPr="00466323">
        <w:rPr>
          <w:b/>
          <w:bCs/>
          <w:color w:val="000000"/>
        </w:rPr>
        <w:t xml:space="preserve"> 298</w:t>
      </w:r>
      <w:r>
        <w:rPr>
          <w:b/>
          <w:bCs/>
        </w:rPr>
        <w:t xml:space="preserve"> </w:t>
      </w:r>
      <w:r>
        <w:rPr>
          <w:b/>
          <w:bCs/>
          <w:rtl/>
        </w:rPr>
        <w:t>ל</w:t>
      </w:r>
      <w:hyperlink r:id="rId45" w:history="1">
        <w:r w:rsidR="00466323" w:rsidRPr="00466323">
          <w:rPr>
            <w:b/>
            <w:bCs/>
            <w:color w:val="0000FF"/>
            <w:u w:val="single"/>
            <w:rtl/>
          </w:rPr>
          <w:t>חוק העונשין</w:t>
        </w:r>
      </w:hyperlink>
      <w:r>
        <w:rPr>
          <w:b/>
          <w:bCs/>
          <w:rtl/>
        </w:rPr>
        <w:t>".</w:t>
      </w:r>
      <w:r>
        <w:rPr>
          <w:rtl/>
        </w:rPr>
        <w:t xml:space="preserve"> (דגש לא במקור, י' ל').</w:t>
      </w:r>
      <w:r>
        <w:rPr>
          <w:b/>
          <w:bCs/>
          <w:rtl/>
        </w:rPr>
        <w:t xml:space="preserve"> </w:t>
      </w:r>
    </w:p>
    <w:p w14:paraId="02127E9D" w14:textId="77777777" w:rsidR="0034251D" w:rsidRDefault="0034251D" w:rsidP="00D348D9">
      <w:pPr>
        <w:spacing w:line="360" w:lineRule="auto"/>
        <w:ind w:left="652" w:hanging="709"/>
        <w:jc w:val="both"/>
        <w:rPr>
          <w:b/>
          <w:bCs/>
        </w:rPr>
      </w:pPr>
    </w:p>
    <w:p w14:paraId="1A9010EC" w14:textId="77777777" w:rsidR="0034251D" w:rsidRDefault="0034251D" w:rsidP="00D348D9">
      <w:pPr>
        <w:spacing w:line="360" w:lineRule="auto"/>
        <w:ind w:left="652" w:hanging="709"/>
        <w:rPr>
          <w:rFonts w:ascii="Arial" w:hAnsi="Arial"/>
          <w:rtl/>
        </w:rPr>
      </w:pPr>
      <w:r>
        <w:rPr>
          <w:rFonts w:ascii="Arial" w:hAnsi="Arial"/>
          <w:rtl/>
        </w:rPr>
        <w:tab/>
        <w:t>כך גם  למשל ב</w:t>
      </w:r>
      <w:hyperlink r:id="rId46" w:history="1">
        <w:r w:rsidR="00466323" w:rsidRPr="00466323">
          <w:rPr>
            <w:rFonts w:ascii="Arial" w:hAnsi="Arial"/>
            <w:color w:val="0000FF"/>
            <w:u w:val="single"/>
            <w:rtl/>
          </w:rPr>
          <w:t>ע"פ 49/88</w:t>
        </w:r>
      </w:hyperlink>
      <w:r>
        <w:rPr>
          <w:rFonts w:ascii="Arial" w:hAnsi="Arial"/>
          <w:rtl/>
        </w:rPr>
        <w:t xml:space="preserve"> </w:t>
      </w:r>
      <w:r>
        <w:rPr>
          <w:rFonts w:ascii="Arial" w:hAnsi="Arial"/>
          <w:b/>
          <w:bCs/>
          <w:rtl/>
        </w:rPr>
        <w:t>חיים רוקח נגד מדינת ישראל</w:t>
      </w:r>
      <w:r>
        <w:rPr>
          <w:rFonts w:ascii="Arial" w:hAnsi="Arial"/>
          <w:rtl/>
        </w:rPr>
        <w:t xml:space="preserve"> (פורסם בנבו, 27.4.1988), פסקה 7 נקבע כי: "</w:t>
      </w:r>
      <w:r>
        <w:rPr>
          <w:b/>
          <w:bCs/>
          <w:rtl/>
        </w:rPr>
        <w:t>שליחת אש בבית-עסק על-ידי שפיכת חומר דליק לתוכו הינה בבחינת מעשה אלימות</w:t>
      </w:r>
      <w:r>
        <w:rPr>
          <w:rtl/>
        </w:rPr>
        <w:t xml:space="preserve">". </w:t>
      </w:r>
    </w:p>
    <w:p w14:paraId="23E5F6F2" w14:textId="77777777" w:rsidR="0034251D" w:rsidRDefault="0034251D" w:rsidP="00D348D9">
      <w:pPr>
        <w:spacing w:line="360" w:lineRule="auto"/>
        <w:rPr>
          <w:rFonts w:ascii="Arial" w:hAnsi="Arial"/>
          <w:b/>
          <w:bCs/>
          <w:rtl/>
        </w:rPr>
      </w:pPr>
    </w:p>
    <w:p w14:paraId="483F57CA" w14:textId="77777777" w:rsidR="0034251D" w:rsidRDefault="0034251D" w:rsidP="00D348D9">
      <w:pPr>
        <w:spacing w:line="360" w:lineRule="auto"/>
        <w:ind w:left="652" w:hanging="709"/>
        <w:jc w:val="both"/>
        <w:rPr>
          <w:rFonts w:ascii="Arial" w:hAnsi="Arial"/>
          <w:rtl/>
        </w:rPr>
      </w:pPr>
      <w:r>
        <w:rPr>
          <w:rFonts w:ascii="Arial" w:hAnsi="Arial"/>
          <w:rtl/>
        </w:rPr>
        <w:tab/>
        <w:t xml:space="preserve">יצוין, כי בית המשפט העליון מצא במקרים מסוימים לקבוע כי גם עבירות שכוונו כלפי רכוש יכול ויוגדרו כעבירת אלימות. ראו למשל </w:t>
      </w:r>
      <w:hyperlink r:id="rId47" w:history="1">
        <w:r w:rsidR="00466323" w:rsidRPr="00466323">
          <w:rPr>
            <w:rFonts w:ascii="Arial" w:hAnsi="Arial"/>
            <w:color w:val="0000FF"/>
            <w:u w:val="single"/>
            <w:rtl/>
          </w:rPr>
          <w:t>רע"פ 6352/12</w:t>
        </w:r>
      </w:hyperlink>
      <w:r>
        <w:rPr>
          <w:rFonts w:ascii="Arial" w:hAnsi="Arial"/>
          <w:rtl/>
        </w:rPr>
        <w:t xml:space="preserve"> </w:t>
      </w:r>
      <w:r>
        <w:rPr>
          <w:rFonts w:ascii="Arial" w:hAnsi="Arial"/>
          <w:b/>
          <w:bCs/>
          <w:rtl/>
        </w:rPr>
        <w:t>מחמוד סעד נגד מדינת ישראל</w:t>
      </w:r>
      <w:r>
        <w:rPr>
          <w:rFonts w:ascii="Arial" w:hAnsi="Arial"/>
          <w:rtl/>
        </w:rPr>
        <w:t xml:space="preserve"> (פורסם בנבו, 23.09.2012) בו נדחתה בקשת רשות ערעור על פסק דינו של בית המשפט המחוזי אשר קבע כי </w:t>
      </w:r>
      <w:r>
        <w:rPr>
          <w:rFonts w:ascii="Arial" w:hAnsi="Arial"/>
          <w:b/>
          <w:bCs/>
          <w:rtl/>
        </w:rPr>
        <w:t>עבירות של חבלה במזיד ברכב וניסיון גניבת רכב</w:t>
      </w:r>
      <w:r>
        <w:rPr>
          <w:rFonts w:ascii="Arial" w:hAnsi="Arial"/>
          <w:rtl/>
        </w:rPr>
        <w:t xml:space="preserve"> יכולות להפעיל מאסר מותנה בו עבירת התנאי היא "עבירה שיש בה יסוד של אלימות והיא פשע". </w:t>
      </w:r>
    </w:p>
    <w:p w14:paraId="4117AADD" w14:textId="77777777" w:rsidR="0034251D" w:rsidRDefault="0034251D" w:rsidP="00D348D9">
      <w:pPr>
        <w:spacing w:line="360" w:lineRule="auto"/>
        <w:jc w:val="both"/>
        <w:rPr>
          <w:rFonts w:ascii="Arial" w:hAnsi="Arial"/>
          <w:rtl/>
        </w:rPr>
      </w:pPr>
    </w:p>
    <w:p w14:paraId="4402A8E4" w14:textId="77777777" w:rsidR="0034251D" w:rsidRDefault="0034251D" w:rsidP="00D348D9">
      <w:pPr>
        <w:spacing w:line="360" w:lineRule="auto"/>
        <w:ind w:left="652" w:hanging="709"/>
        <w:jc w:val="both"/>
        <w:rPr>
          <w:rFonts w:ascii="Arial" w:hAnsi="Arial"/>
          <w:rtl/>
        </w:rPr>
      </w:pPr>
      <w:r>
        <w:rPr>
          <w:rFonts w:ascii="Arial" w:hAnsi="Arial"/>
          <w:rtl/>
        </w:rPr>
        <w:tab/>
        <w:t xml:space="preserve">הנה כי כן, המבחן הוא לא מבחן טכני של בחינת יסודות העבירה או בחינה האם העבירה המפעילה מצויה בפרק של עבירות התנאי, כי אם בחינה מהותית. כך בכלל, וכך גם מקום בו עבירת התנאי הוגדרה כעבירת אלימות, כאשר נקבע כי אלימות יכולה לבוא לידי ביטוי גם כאשר מדובר בהתנהגות שיוצרת אך סיכון או פוטנציאל לפגיעה בחיי אדם או בשלומו.  </w:t>
      </w:r>
    </w:p>
    <w:p w14:paraId="35160D0B" w14:textId="77777777" w:rsidR="0034251D" w:rsidRDefault="0034251D" w:rsidP="00D348D9">
      <w:pPr>
        <w:spacing w:line="360" w:lineRule="auto"/>
        <w:ind w:left="652" w:hanging="709"/>
        <w:rPr>
          <w:rFonts w:ascii="Arial" w:hAnsi="Arial"/>
          <w:b/>
          <w:bCs/>
          <w:rtl/>
        </w:rPr>
      </w:pPr>
    </w:p>
    <w:p w14:paraId="29FF2D26" w14:textId="77777777" w:rsidR="0034251D" w:rsidRDefault="0034251D" w:rsidP="00D348D9">
      <w:pPr>
        <w:tabs>
          <w:tab w:val="left" w:pos="794"/>
        </w:tabs>
        <w:spacing w:line="360" w:lineRule="auto"/>
        <w:ind w:left="652" w:hanging="709"/>
        <w:jc w:val="both"/>
        <w:rPr>
          <w:rFonts w:ascii="Arial" w:hAnsi="Arial"/>
          <w:rtl/>
        </w:rPr>
      </w:pPr>
      <w:r>
        <w:rPr>
          <w:rFonts w:ascii="Arial" w:hAnsi="Arial"/>
          <w:rtl/>
        </w:rPr>
        <w:t>24.</w:t>
      </w:r>
      <w:r>
        <w:rPr>
          <w:rFonts w:ascii="Arial" w:hAnsi="Arial"/>
          <w:rtl/>
        </w:rPr>
        <w:tab/>
        <w:t xml:space="preserve">ומה בעניין "החזקת נשק" – האם היא בבחינת מעשה אלימות? לטעמי התשובה לשאלה הזו צריכה להיות חיובית. </w:t>
      </w:r>
    </w:p>
    <w:p w14:paraId="3D73CF97" w14:textId="77777777" w:rsidR="0034251D" w:rsidRDefault="0034251D" w:rsidP="00D348D9">
      <w:pPr>
        <w:spacing w:line="360" w:lineRule="auto"/>
        <w:ind w:left="652"/>
        <w:jc w:val="both"/>
        <w:rPr>
          <w:rFonts w:ascii="Arial" w:hAnsi="Arial"/>
          <w:rtl/>
        </w:rPr>
      </w:pPr>
      <w:r>
        <w:rPr>
          <w:rFonts w:ascii="Arial" w:hAnsi="Arial"/>
          <w:rtl/>
        </w:rPr>
        <w:t>נשק מעצם טיבו וטבעו הוא חפץ אלים. אף הגדרתו ב</w:t>
      </w:r>
      <w:hyperlink r:id="rId48" w:history="1">
        <w:r w:rsidR="00466323" w:rsidRPr="00466323">
          <w:rPr>
            <w:rFonts w:ascii="Arial" w:hAnsi="Arial"/>
            <w:color w:val="0000FF"/>
            <w:u w:val="single"/>
            <w:rtl/>
          </w:rPr>
          <w:t>חוק העונשין</w:t>
        </w:r>
      </w:hyperlink>
      <w:r>
        <w:rPr>
          <w:rFonts w:ascii="Arial" w:hAnsi="Arial"/>
          <w:rtl/>
        </w:rPr>
        <w:t xml:space="preserve"> מלמדת אודות כך. </w:t>
      </w:r>
      <w:hyperlink r:id="rId49" w:history="1">
        <w:r w:rsidR="00DE7380" w:rsidRPr="00DE7380">
          <w:rPr>
            <w:rFonts w:ascii="Arial" w:hAnsi="Arial"/>
            <w:color w:val="0000FF"/>
            <w:u w:val="single"/>
            <w:rtl/>
          </w:rPr>
          <w:t>סעיף 144(ג')</w:t>
        </w:r>
      </w:hyperlink>
      <w:r>
        <w:rPr>
          <w:rFonts w:ascii="Arial" w:hAnsi="Arial"/>
          <w:rtl/>
        </w:rPr>
        <w:t xml:space="preserve"> ל</w:t>
      </w:r>
      <w:hyperlink r:id="rId50" w:history="1">
        <w:r w:rsidR="00466323" w:rsidRPr="00466323">
          <w:rPr>
            <w:rFonts w:ascii="Arial" w:hAnsi="Arial"/>
            <w:color w:val="0000FF"/>
            <w:u w:val="single"/>
            <w:rtl/>
          </w:rPr>
          <w:t>חוק העונשין</w:t>
        </w:r>
      </w:hyperlink>
      <w:r>
        <w:rPr>
          <w:rFonts w:ascii="Arial" w:hAnsi="Arial"/>
          <w:rtl/>
        </w:rPr>
        <w:t xml:space="preserve"> מגדיר "נשק" בסעיף זה כך: </w:t>
      </w:r>
      <w:r>
        <w:rPr>
          <w:rFonts w:ascii="Arial" w:hAnsi="Arial"/>
          <w:b/>
          <w:bCs/>
          <w:rtl/>
        </w:rPr>
        <w:t>"(1) כלי שסוגל לירות כדור, קלע, פגז, פצצה או כיוצא באלה שבכוחם להמית אדם , וכולל חלק, אריזה בתחמושת של כלי כזה; (2) כלי שסוגל לפלוט חומר הנועד להזיק לאדם, לרבות חלק, אבזר ותחמושת לכלי כאמור... (3) תחמושת, פצצה, רימון או כל חפץ נפיץ אחר שבכוחם להמית אדם או להזיק לו, לרבות חלק של אחד מאלה"</w:t>
      </w:r>
      <w:r>
        <w:rPr>
          <w:rFonts w:ascii="Arial" w:hAnsi="Arial"/>
          <w:rtl/>
        </w:rPr>
        <w:t xml:space="preserve">. </w:t>
      </w:r>
    </w:p>
    <w:p w14:paraId="1EEFA3F5" w14:textId="77777777" w:rsidR="0034251D" w:rsidRDefault="0034251D" w:rsidP="00D348D9">
      <w:pPr>
        <w:spacing w:line="360" w:lineRule="auto"/>
        <w:ind w:left="652" w:hanging="709"/>
        <w:jc w:val="both"/>
        <w:rPr>
          <w:rFonts w:ascii="Arial" w:hAnsi="Arial"/>
          <w:rtl/>
        </w:rPr>
      </w:pPr>
      <w:r>
        <w:rPr>
          <w:rFonts w:ascii="Arial" w:hAnsi="Arial"/>
          <w:rtl/>
        </w:rPr>
        <w:tab/>
        <w:t xml:space="preserve">מן האמור עולה, כי אדם שמחזיק "נשק" מחזיק בכלי שבכוחו להמית אדם ולמצער להזיק לו. משמע מדובר בכלי, חפץ, שהוא בעל יסוד מובנה של אלימות. </w:t>
      </w:r>
    </w:p>
    <w:p w14:paraId="6A71A825" w14:textId="77777777" w:rsidR="0034251D" w:rsidRDefault="0034251D" w:rsidP="00D348D9">
      <w:pPr>
        <w:spacing w:line="360" w:lineRule="auto"/>
        <w:ind w:left="652" w:hanging="709"/>
        <w:jc w:val="both"/>
        <w:rPr>
          <w:rFonts w:ascii="Arial" w:hAnsi="Arial"/>
          <w:rtl/>
        </w:rPr>
      </w:pPr>
    </w:p>
    <w:p w14:paraId="254C91D9" w14:textId="77777777" w:rsidR="0034251D" w:rsidRDefault="0034251D" w:rsidP="00D348D9">
      <w:pPr>
        <w:spacing w:line="360" w:lineRule="auto"/>
        <w:ind w:left="652" w:hanging="709"/>
        <w:jc w:val="both"/>
        <w:rPr>
          <w:rFonts w:ascii="Arial" w:hAnsi="Arial"/>
          <w:rtl/>
        </w:rPr>
      </w:pPr>
    </w:p>
    <w:p w14:paraId="0583F5B9" w14:textId="77777777" w:rsidR="0034251D" w:rsidRDefault="0034251D" w:rsidP="00D348D9">
      <w:pPr>
        <w:spacing w:line="360" w:lineRule="auto"/>
        <w:ind w:left="652" w:hanging="709"/>
        <w:jc w:val="both"/>
        <w:rPr>
          <w:rFonts w:ascii="Arial" w:hAnsi="Arial"/>
          <w:rtl/>
        </w:rPr>
      </w:pPr>
    </w:p>
    <w:p w14:paraId="32765D0D" w14:textId="77777777" w:rsidR="0034251D" w:rsidRDefault="0034251D" w:rsidP="00D348D9">
      <w:pPr>
        <w:spacing w:line="360" w:lineRule="auto"/>
        <w:ind w:left="652" w:hanging="709"/>
        <w:jc w:val="both"/>
        <w:rPr>
          <w:rFonts w:ascii="Arial" w:hAnsi="Arial"/>
          <w:rtl/>
        </w:rPr>
      </w:pPr>
      <w:r>
        <w:rPr>
          <w:rFonts w:ascii="Arial" w:hAnsi="Arial"/>
          <w:rtl/>
        </w:rPr>
        <w:tab/>
        <w:t xml:space="preserve">זאת ועוד, נשק הוא חפץ בעל יסוד מובנה של אלימות לא אך בשל הגדרתו כי אם גם בשל ההכרה של המסוכנות הנובעת ממנו במציאות הישראלית: </w:t>
      </w:r>
    </w:p>
    <w:p w14:paraId="01DC80F6" w14:textId="77777777" w:rsidR="0034251D" w:rsidRDefault="0034251D" w:rsidP="00D348D9">
      <w:pPr>
        <w:spacing w:line="360" w:lineRule="auto"/>
        <w:ind w:left="1503" w:right="567"/>
        <w:jc w:val="both"/>
        <w:rPr>
          <w:rFonts w:ascii="Arial" w:hAnsi="Arial"/>
          <w:b/>
          <w:bCs/>
          <w:rtl/>
        </w:rPr>
      </w:pPr>
      <w:r>
        <w:rPr>
          <w:rFonts w:ascii="Arial" w:hAnsi="Arial"/>
          <w:rtl/>
        </w:rPr>
        <w:t>"</w:t>
      </w:r>
      <w:r>
        <w:rPr>
          <w:rFonts w:ascii="Arial" w:hAnsi="Arial"/>
          <w:b/>
          <w:bCs/>
          <w:rtl/>
        </w:rPr>
        <w:t xml:space="preserve">... 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w:t>
      </w:r>
      <w:r>
        <w:rPr>
          <w:rFonts w:ascii="Arial" w:hAnsi="Arial"/>
          <w:rtl/>
        </w:rPr>
        <w:t>(עניין עוואודה פסקה י').</w:t>
      </w:r>
      <w:r>
        <w:rPr>
          <w:rFonts w:ascii="Arial" w:hAnsi="Arial"/>
          <w:b/>
          <w:bCs/>
          <w:rtl/>
        </w:rPr>
        <w:t xml:space="preserve">  </w:t>
      </w:r>
    </w:p>
    <w:p w14:paraId="034C0A8E" w14:textId="77777777" w:rsidR="0034251D" w:rsidRDefault="0034251D" w:rsidP="00D348D9">
      <w:pPr>
        <w:spacing w:line="360" w:lineRule="auto"/>
        <w:ind w:left="652" w:hanging="709"/>
        <w:jc w:val="both"/>
        <w:rPr>
          <w:rFonts w:ascii="Arial" w:hAnsi="Arial"/>
          <w:b/>
          <w:bCs/>
          <w:rtl/>
        </w:rPr>
      </w:pPr>
    </w:p>
    <w:p w14:paraId="173D8B02" w14:textId="77777777" w:rsidR="0034251D" w:rsidRDefault="0034251D" w:rsidP="005E215D">
      <w:pPr>
        <w:spacing w:line="360" w:lineRule="auto"/>
        <w:ind w:left="652" w:hanging="709"/>
        <w:jc w:val="both"/>
        <w:rPr>
          <w:rtl/>
        </w:rPr>
      </w:pPr>
      <w:r>
        <w:rPr>
          <w:rFonts w:ascii="Arial" w:hAnsi="Arial"/>
          <w:rtl/>
        </w:rPr>
        <w:t>25.</w:t>
      </w:r>
      <w:r>
        <w:rPr>
          <w:rFonts w:ascii="Arial" w:hAnsi="Arial"/>
          <w:rtl/>
        </w:rPr>
        <w:tab/>
      </w:r>
      <w:r>
        <w:rPr>
          <w:rtl/>
        </w:rPr>
        <w:t xml:space="preserve">לטעמי אף נסיבות ביצוע העבירה בענייננו תומכות במסקנה כי החזקת הנשק גיבשה באופן מהותי ובאופן ענייני עבירת אלימות. הנאשם לא החזיק על קיר ביתו כלי ירייה מעוטר בעיטורים ייחודיים, ישן ונושן אותו קיבל בירושה מסבו שהחזיק בו במאה שעברה לשם הדוגמא (מבלי חלילה להכשיר נסיבות אלו). הנאשם החזיק ברובה, מסוג </w:t>
      </w:r>
      <w:r>
        <w:t xml:space="preserve">M-16 </w:t>
      </w:r>
      <w:r>
        <w:rPr>
          <w:rtl/>
        </w:rPr>
        <w:t xml:space="preserve">, שידוע ומוכר כרובה סער, משמע כלי נשק התקפי, כשלצידו מחסנית. לא זו אף זו, הנאשם החזיק את הנשק בתוך רכבו וזאת כשהוא מוטמן בתוך מגבת, שקית ומזרון מגולגל. </w:t>
      </w:r>
    </w:p>
    <w:p w14:paraId="2F0A96A7" w14:textId="77777777" w:rsidR="0034251D" w:rsidRDefault="0034251D" w:rsidP="00D348D9">
      <w:pPr>
        <w:spacing w:line="360" w:lineRule="auto"/>
        <w:ind w:left="652"/>
        <w:jc w:val="both"/>
        <w:rPr>
          <w:noProof/>
          <w:rtl/>
        </w:rPr>
      </w:pPr>
      <w:r>
        <w:rPr>
          <w:rtl/>
        </w:rPr>
        <w:t xml:space="preserve">הסבריו של הנאשם לפיה החזיק את הנשק לצורך תחושת ביטחון עצמי אינם משכנעים ולא קיבלו כל ביטוי בנסיבות הקשורות בביצוע העבירה במסגרת עובדות כתב האישום המתוקן בו הודה. מכל מקום נפסק גם בהקשר זה כי </w:t>
      </w:r>
      <w:r>
        <w:rPr>
          <w:b/>
          <w:bCs/>
          <w:rtl/>
        </w:rPr>
        <w:t>"החזקה</w:t>
      </w:r>
      <w:r>
        <w:rPr>
          <w:b/>
          <w:bCs/>
        </w:rPr>
        <w:t xml:space="preserve"> </w:t>
      </w:r>
      <w:r>
        <w:rPr>
          <w:b/>
          <w:bCs/>
          <w:rtl/>
        </w:rPr>
        <w:t>של</w:t>
      </w:r>
      <w:r>
        <w:rPr>
          <w:b/>
          <w:bCs/>
        </w:rPr>
        <w:t xml:space="preserve"> </w:t>
      </w:r>
      <w:r>
        <w:rPr>
          <w:b/>
          <w:bCs/>
          <w:rtl/>
        </w:rPr>
        <w:t>כלי</w:t>
      </w:r>
      <w:r>
        <w:rPr>
          <w:b/>
          <w:bCs/>
        </w:rPr>
        <w:t xml:space="preserve"> </w:t>
      </w:r>
      <w:r>
        <w:rPr>
          <w:b/>
          <w:bCs/>
          <w:rtl/>
        </w:rPr>
        <w:t>נשק</w:t>
      </w:r>
      <w:r>
        <w:rPr>
          <w:b/>
          <w:bCs/>
        </w:rPr>
        <w:t xml:space="preserve"> </w:t>
      </w:r>
      <w:r>
        <w:rPr>
          <w:b/>
          <w:bCs/>
          <w:rtl/>
        </w:rPr>
        <w:t>על</w:t>
      </w:r>
      <w:r>
        <w:rPr>
          <w:b/>
          <w:bCs/>
        </w:rPr>
        <w:t xml:space="preserve"> </w:t>
      </w:r>
      <w:r>
        <w:rPr>
          <w:b/>
          <w:bCs/>
          <w:rtl/>
        </w:rPr>
        <w:t>ידי</w:t>
      </w:r>
      <w:r>
        <w:rPr>
          <w:b/>
          <w:bCs/>
        </w:rPr>
        <w:t xml:space="preserve"> </w:t>
      </w:r>
      <w:r>
        <w:rPr>
          <w:b/>
          <w:bCs/>
          <w:rtl/>
        </w:rPr>
        <w:t>מי</w:t>
      </w:r>
      <w:r>
        <w:rPr>
          <w:b/>
          <w:bCs/>
        </w:rPr>
        <w:t xml:space="preserve"> </w:t>
      </w:r>
      <w:r>
        <w:rPr>
          <w:b/>
          <w:bCs/>
          <w:rtl/>
        </w:rPr>
        <w:t>שאינו</w:t>
      </w:r>
      <w:r>
        <w:rPr>
          <w:b/>
          <w:bCs/>
        </w:rPr>
        <w:t xml:space="preserve"> </w:t>
      </w:r>
      <w:r>
        <w:rPr>
          <w:b/>
          <w:bCs/>
          <w:rtl/>
        </w:rPr>
        <w:t>מורשה</w:t>
      </w:r>
      <w:r>
        <w:rPr>
          <w:b/>
          <w:bCs/>
        </w:rPr>
        <w:t xml:space="preserve"> </w:t>
      </w:r>
      <w:r>
        <w:rPr>
          <w:b/>
          <w:bCs/>
          <w:rtl/>
        </w:rPr>
        <w:t>בכך</w:t>
      </w:r>
      <w:r>
        <w:rPr>
          <w:b/>
          <w:bCs/>
        </w:rPr>
        <w:t xml:space="preserve"> </w:t>
      </w:r>
      <w:r>
        <w:rPr>
          <w:b/>
          <w:bCs/>
          <w:rtl/>
        </w:rPr>
        <w:t>יש</w:t>
      </w:r>
      <w:r>
        <w:rPr>
          <w:b/>
          <w:bCs/>
        </w:rPr>
        <w:t xml:space="preserve"> </w:t>
      </w:r>
      <w:r>
        <w:rPr>
          <w:b/>
          <w:bCs/>
          <w:rtl/>
        </w:rPr>
        <w:t>בה</w:t>
      </w:r>
      <w:r>
        <w:rPr>
          <w:b/>
          <w:bCs/>
        </w:rPr>
        <w:t xml:space="preserve"> </w:t>
      </w:r>
      <w:r>
        <w:rPr>
          <w:b/>
          <w:bCs/>
          <w:rtl/>
        </w:rPr>
        <w:t>פוטנציאל</w:t>
      </w:r>
      <w:r>
        <w:rPr>
          <w:b/>
          <w:bCs/>
        </w:rPr>
        <w:t xml:space="preserve"> </w:t>
      </w:r>
      <w:r>
        <w:rPr>
          <w:b/>
          <w:bCs/>
          <w:rtl/>
        </w:rPr>
        <w:t>להוביל</w:t>
      </w:r>
      <w:r>
        <w:rPr>
          <w:b/>
          <w:bCs/>
        </w:rPr>
        <w:t xml:space="preserve"> </w:t>
      </w:r>
      <w:r>
        <w:rPr>
          <w:b/>
          <w:bCs/>
          <w:rtl/>
        </w:rPr>
        <w:t>להסלמה</w:t>
      </w:r>
      <w:r>
        <w:rPr>
          <w:b/>
          <w:bCs/>
        </w:rPr>
        <w:t xml:space="preserve"> </w:t>
      </w:r>
      <w:r>
        <w:rPr>
          <w:b/>
          <w:bCs/>
          <w:rtl/>
        </w:rPr>
        <w:t>חמורה</w:t>
      </w:r>
      <w:r>
        <w:rPr>
          <w:b/>
          <w:bCs/>
        </w:rPr>
        <w:t xml:space="preserve"> </w:t>
      </w:r>
      <w:r>
        <w:rPr>
          <w:b/>
          <w:bCs/>
          <w:rtl/>
        </w:rPr>
        <w:t>ולתוצאות</w:t>
      </w:r>
      <w:r>
        <w:rPr>
          <w:b/>
          <w:bCs/>
        </w:rPr>
        <w:t xml:space="preserve"> </w:t>
      </w:r>
      <w:r>
        <w:rPr>
          <w:b/>
          <w:bCs/>
          <w:rtl/>
        </w:rPr>
        <w:t>קשות</w:t>
      </w:r>
      <w:r>
        <w:rPr>
          <w:b/>
          <w:bCs/>
        </w:rPr>
        <w:t xml:space="preserve"> </w:t>
      </w:r>
      <w:r>
        <w:rPr>
          <w:b/>
          <w:bCs/>
          <w:rtl/>
        </w:rPr>
        <w:t>של</w:t>
      </w:r>
      <w:r>
        <w:rPr>
          <w:b/>
          <w:bCs/>
        </w:rPr>
        <w:t xml:space="preserve"> </w:t>
      </w:r>
      <w:r>
        <w:rPr>
          <w:b/>
          <w:bCs/>
          <w:rtl/>
        </w:rPr>
        <w:t>כל</w:t>
      </w:r>
      <w:r>
        <w:rPr>
          <w:b/>
          <w:bCs/>
        </w:rPr>
        <w:t xml:space="preserve"> </w:t>
      </w:r>
      <w:r>
        <w:rPr>
          <w:b/>
          <w:bCs/>
          <w:rtl/>
        </w:rPr>
        <w:t>אירוע</w:t>
      </w:r>
      <w:r>
        <w:rPr>
          <w:b/>
          <w:bCs/>
        </w:rPr>
        <w:t xml:space="preserve"> </w:t>
      </w:r>
      <w:r>
        <w:rPr>
          <w:b/>
          <w:bCs/>
          <w:rtl/>
        </w:rPr>
        <w:t>בו</w:t>
      </w:r>
      <w:r>
        <w:rPr>
          <w:b/>
          <w:bCs/>
        </w:rPr>
        <w:t xml:space="preserve"> </w:t>
      </w:r>
      <w:r>
        <w:rPr>
          <w:b/>
          <w:bCs/>
          <w:rtl/>
        </w:rPr>
        <w:t>יהיה</w:t>
      </w:r>
      <w:r>
        <w:rPr>
          <w:b/>
          <w:bCs/>
        </w:rPr>
        <w:t xml:space="preserve"> </w:t>
      </w:r>
      <w:r>
        <w:rPr>
          <w:b/>
          <w:bCs/>
          <w:rtl/>
        </w:rPr>
        <w:t>מעורב</w:t>
      </w:r>
      <w:r>
        <w:rPr>
          <w:b/>
          <w:bCs/>
        </w:rPr>
        <w:t xml:space="preserve"> </w:t>
      </w:r>
      <w:r>
        <w:rPr>
          <w:b/>
          <w:bCs/>
          <w:rtl/>
        </w:rPr>
        <w:t>אותו</w:t>
      </w:r>
      <w:r>
        <w:rPr>
          <w:b/>
          <w:bCs/>
        </w:rPr>
        <w:t xml:space="preserve"> </w:t>
      </w:r>
      <w:r>
        <w:rPr>
          <w:b/>
          <w:bCs/>
          <w:rtl/>
        </w:rPr>
        <w:t>נושא</w:t>
      </w:r>
      <w:r>
        <w:rPr>
          <w:b/>
          <w:bCs/>
        </w:rPr>
        <w:t xml:space="preserve"> </w:t>
      </w:r>
      <w:r>
        <w:rPr>
          <w:b/>
          <w:bCs/>
          <w:rtl/>
        </w:rPr>
        <w:t>נשק, וזאת</w:t>
      </w:r>
      <w:r>
        <w:rPr>
          <w:b/>
          <w:bCs/>
        </w:rPr>
        <w:t xml:space="preserve"> </w:t>
      </w:r>
      <w:r>
        <w:rPr>
          <w:b/>
          <w:bCs/>
          <w:rtl/>
        </w:rPr>
        <w:t>אף</w:t>
      </w:r>
      <w:r>
        <w:rPr>
          <w:b/>
          <w:bCs/>
        </w:rPr>
        <w:t xml:space="preserve"> </w:t>
      </w:r>
      <w:r>
        <w:rPr>
          <w:b/>
          <w:bCs/>
          <w:rtl/>
        </w:rPr>
        <w:t>מקום</w:t>
      </w:r>
      <w:r>
        <w:rPr>
          <w:b/>
          <w:bCs/>
        </w:rPr>
        <w:t xml:space="preserve"> </w:t>
      </w:r>
      <w:r>
        <w:rPr>
          <w:b/>
          <w:bCs/>
          <w:rtl/>
        </w:rPr>
        <w:t>שהנשק</w:t>
      </w:r>
      <w:r>
        <w:rPr>
          <w:b/>
          <w:bCs/>
        </w:rPr>
        <w:t xml:space="preserve"> </w:t>
      </w:r>
      <w:r>
        <w:rPr>
          <w:b/>
          <w:bCs/>
          <w:rtl/>
        </w:rPr>
        <w:t>מוחזק</w:t>
      </w:r>
      <w:r>
        <w:rPr>
          <w:b/>
          <w:bCs/>
        </w:rPr>
        <w:t xml:space="preserve"> </w:t>
      </w:r>
      <w:r>
        <w:rPr>
          <w:b/>
          <w:bCs/>
          <w:rtl/>
        </w:rPr>
        <w:t>אך</w:t>
      </w:r>
      <w:r>
        <w:rPr>
          <w:b/>
          <w:bCs/>
        </w:rPr>
        <w:t xml:space="preserve"> </w:t>
      </w:r>
      <w:r>
        <w:rPr>
          <w:b/>
          <w:bCs/>
          <w:rtl/>
        </w:rPr>
        <w:t>למטרות</w:t>
      </w:r>
      <w:r>
        <w:rPr>
          <w:b/>
          <w:bCs/>
        </w:rPr>
        <w:t xml:space="preserve"> "</w:t>
      </w:r>
      <w:r>
        <w:rPr>
          <w:b/>
          <w:bCs/>
          <w:rtl/>
        </w:rPr>
        <w:t>הגנה</w:t>
      </w:r>
      <w:r>
        <w:rPr>
          <w:b/>
          <w:bCs/>
        </w:rPr>
        <w:t xml:space="preserve"> </w:t>
      </w:r>
      <w:r>
        <w:rPr>
          <w:b/>
          <w:bCs/>
          <w:rtl/>
        </w:rPr>
        <w:t>עצמית</w:t>
      </w:r>
      <w:r>
        <w:rPr>
          <w:b/>
          <w:bCs/>
        </w:rPr>
        <w:t xml:space="preserve"> </w:t>
      </w:r>
      <w:r>
        <w:rPr>
          <w:b/>
          <w:bCs/>
          <w:rtl/>
        </w:rPr>
        <w:t>בלבד"</w:t>
      </w:r>
      <w:r>
        <w:rPr>
          <w:rtl/>
        </w:rPr>
        <w:t xml:space="preserve"> (</w:t>
      </w:r>
      <w:hyperlink r:id="rId51" w:history="1">
        <w:r w:rsidR="00466323" w:rsidRPr="00466323">
          <w:rPr>
            <w:color w:val="0000FF"/>
            <w:u w:val="single"/>
            <w:rtl/>
          </w:rPr>
          <w:t>רע"פ 5921/08</w:t>
        </w:r>
      </w:hyperlink>
      <w:r>
        <w:rPr>
          <w:rtl/>
        </w:rPr>
        <w:t xml:space="preserve">  </w:t>
      </w:r>
      <w:r>
        <w:rPr>
          <w:b/>
          <w:bCs/>
          <w:rtl/>
        </w:rPr>
        <w:t>רביע רג'בי נגד מדינת ישראל</w:t>
      </w:r>
      <w:r>
        <w:rPr>
          <w:rtl/>
        </w:rPr>
        <w:t xml:space="preserve"> (פורסם בנבו, 6.5.2009); </w:t>
      </w:r>
    </w:p>
    <w:p w14:paraId="44424919" w14:textId="77777777" w:rsidR="0034251D" w:rsidRDefault="0034251D" w:rsidP="00D348D9">
      <w:pPr>
        <w:spacing w:line="360" w:lineRule="auto"/>
        <w:ind w:left="652"/>
        <w:jc w:val="both"/>
        <w:rPr>
          <w:rtl/>
        </w:rPr>
      </w:pPr>
    </w:p>
    <w:p w14:paraId="3DFB0FD6" w14:textId="77777777" w:rsidR="0034251D" w:rsidRDefault="0034251D" w:rsidP="00D348D9">
      <w:pPr>
        <w:spacing w:line="360" w:lineRule="auto"/>
        <w:ind w:left="652"/>
        <w:jc w:val="both"/>
        <w:rPr>
          <w:b/>
          <w:bCs/>
          <w:rtl/>
        </w:rPr>
      </w:pPr>
      <w:r>
        <w:rPr>
          <w:rtl/>
        </w:rPr>
        <w:t>וכן "</w:t>
      </w:r>
      <w:r>
        <w:rPr>
          <w:b/>
          <w:bCs/>
          <w:rtl/>
        </w:rPr>
        <w:t>ואולם</w:t>
      </w:r>
      <w:r>
        <w:rPr>
          <w:b/>
          <w:bCs/>
        </w:rPr>
        <w:t xml:space="preserve"> </w:t>
      </w:r>
      <w:r>
        <w:rPr>
          <w:b/>
          <w:bCs/>
          <w:rtl/>
        </w:rPr>
        <w:t>לטעמי</w:t>
      </w:r>
      <w:r>
        <w:rPr>
          <w:b/>
          <w:bCs/>
        </w:rPr>
        <w:t xml:space="preserve"> </w:t>
      </w:r>
      <w:r>
        <w:rPr>
          <w:b/>
          <w:bCs/>
          <w:rtl/>
        </w:rPr>
        <w:t>יש</w:t>
      </w:r>
      <w:r>
        <w:rPr>
          <w:b/>
          <w:bCs/>
        </w:rPr>
        <w:t xml:space="preserve"> </w:t>
      </w:r>
      <w:r>
        <w:rPr>
          <w:b/>
          <w:bCs/>
          <w:rtl/>
        </w:rPr>
        <w:t>ליתן</w:t>
      </w:r>
      <w:r>
        <w:rPr>
          <w:b/>
          <w:bCs/>
        </w:rPr>
        <w:t xml:space="preserve"> </w:t>
      </w:r>
      <w:r>
        <w:rPr>
          <w:b/>
          <w:bCs/>
          <w:rtl/>
        </w:rPr>
        <w:t>משקל</w:t>
      </w:r>
      <w:r>
        <w:rPr>
          <w:b/>
          <w:bCs/>
        </w:rPr>
        <w:t xml:space="preserve"> </w:t>
      </w:r>
      <w:r>
        <w:rPr>
          <w:b/>
          <w:bCs/>
          <w:rtl/>
        </w:rPr>
        <w:t>בכל</w:t>
      </w:r>
      <w:r>
        <w:rPr>
          <w:b/>
          <w:bCs/>
        </w:rPr>
        <w:t xml:space="preserve"> </w:t>
      </w:r>
      <w:r>
        <w:rPr>
          <w:b/>
          <w:bCs/>
          <w:rtl/>
        </w:rPr>
        <w:t>מקרה</w:t>
      </w:r>
      <w:r>
        <w:rPr>
          <w:b/>
          <w:bCs/>
        </w:rPr>
        <w:t xml:space="preserve"> </w:t>
      </w:r>
      <w:r>
        <w:rPr>
          <w:b/>
          <w:bCs/>
          <w:rtl/>
        </w:rPr>
        <w:t>לסיכון</w:t>
      </w:r>
      <w:r>
        <w:rPr>
          <w:b/>
          <w:bCs/>
        </w:rPr>
        <w:t xml:space="preserve"> </w:t>
      </w:r>
      <w:r>
        <w:rPr>
          <w:b/>
          <w:bCs/>
          <w:rtl/>
        </w:rPr>
        <w:t>הגלום</w:t>
      </w:r>
      <w:r>
        <w:rPr>
          <w:b/>
          <w:bCs/>
        </w:rPr>
        <w:t xml:space="preserve"> </w:t>
      </w:r>
      <w:r>
        <w:rPr>
          <w:b/>
          <w:bCs/>
          <w:rtl/>
        </w:rPr>
        <w:t>בכך</w:t>
      </w:r>
      <w:r>
        <w:rPr>
          <w:b/>
          <w:bCs/>
        </w:rPr>
        <w:t xml:space="preserve"> </w:t>
      </w:r>
      <w:r>
        <w:rPr>
          <w:b/>
          <w:bCs/>
          <w:rtl/>
        </w:rPr>
        <w:t>שנשק</w:t>
      </w:r>
      <w:r>
        <w:rPr>
          <w:b/>
          <w:bCs/>
        </w:rPr>
        <w:t xml:space="preserve"> </w:t>
      </w:r>
      <w:r>
        <w:rPr>
          <w:b/>
          <w:bCs/>
          <w:rtl/>
        </w:rPr>
        <w:t>בעל</w:t>
      </w:r>
      <w:r>
        <w:rPr>
          <w:b/>
          <w:bCs/>
        </w:rPr>
        <w:t xml:space="preserve"> </w:t>
      </w:r>
      <w:r>
        <w:rPr>
          <w:b/>
          <w:bCs/>
          <w:rtl/>
        </w:rPr>
        <w:t>פוטנציאל</w:t>
      </w:r>
      <w:r>
        <w:rPr>
          <w:b/>
          <w:bCs/>
        </w:rPr>
        <w:t xml:space="preserve"> </w:t>
      </w:r>
      <w:r>
        <w:rPr>
          <w:b/>
          <w:bCs/>
          <w:rtl/>
        </w:rPr>
        <w:t>קטילה</w:t>
      </w:r>
      <w:r>
        <w:rPr>
          <w:b/>
          <w:bCs/>
        </w:rPr>
        <w:t xml:space="preserve"> </w:t>
      </w:r>
      <w:r>
        <w:rPr>
          <w:b/>
          <w:bCs/>
          <w:rtl/>
        </w:rPr>
        <w:t>מוחזק</w:t>
      </w:r>
      <w:r>
        <w:rPr>
          <w:b/>
          <w:bCs/>
        </w:rPr>
        <w:t xml:space="preserve"> </w:t>
      </w:r>
      <w:r>
        <w:rPr>
          <w:b/>
          <w:bCs/>
          <w:rtl/>
        </w:rPr>
        <w:t>מבלי</w:t>
      </w:r>
      <w:r>
        <w:rPr>
          <w:b/>
          <w:bCs/>
        </w:rPr>
        <w:t xml:space="preserve"> </w:t>
      </w:r>
      <w:r>
        <w:rPr>
          <w:b/>
          <w:bCs/>
          <w:rtl/>
        </w:rPr>
        <w:t>שיש</w:t>
      </w:r>
      <w:r>
        <w:rPr>
          <w:b/>
          <w:bCs/>
        </w:rPr>
        <w:t xml:space="preserve"> </w:t>
      </w:r>
      <w:r>
        <w:rPr>
          <w:b/>
          <w:bCs/>
          <w:rtl/>
        </w:rPr>
        <w:t>עליו</w:t>
      </w:r>
      <w:r>
        <w:rPr>
          <w:b/>
          <w:bCs/>
        </w:rPr>
        <w:t xml:space="preserve"> </w:t>
      </w:r>
      <w:r>
        <w:rPr>
          <w:b/>
          <w:bCs/>
          <w:rtl/>
        </w:rPr>
        <w:t>ועל</w:t>
      </w:r>
      <w:r>
        <w:rPr>
          <w:b/>
          <w:bCs/>
        </w:rPr>
        <w:t xml:space="preserve"> </w:t>
      </w:r>
      <w:r>
        <w:rPr>
          <w:b/>
          <w:bCs/>
          <w:rtl/>
        </w:rPr>
        <w:t>בעליו</w:t>
      </w:r>
      <w:r>
        <w:rPr>
          <w:b/>
          <w:bCs/>
        </w:rPr>
        <w:t xml:space="preserve"> </w:t>
      </w:r>
      <w:r>
        <w:rPr>
          <w:b/>
          <w:bCs/>
          <w:rtl/>
        </w:rPr>
        <w:t>פיקוח</w:t>
      </w:r>
      <w:r>
        <w:rPr>
          <w:b/>
          <w:bCs/>
        </w:rPr>
        <w:t xml:space="preserve"> </w:t>
      </w:r>
      <w:r>
        <w:rPr>
          <w:b/>
          <w:bCs/>
          <w:rtl/>
        </w:rPr>
        <w:t>מוסדר</w:t>
      </w:r>
      <w:r>
        <w:rPr>
          <w:b/>
          <w:bCs/>
        </w:rPr>
        <w:t xml:space="preserve"> </w:t>
      </w:r>
      <w:r>
        <w:rPr>
          <w:b/>
          <w:bCs/>
          <w:rtl/>
        </w:rPr>
        <w:t>של</w:t>
      </w:r>
      <w:r>
        <w:rPr>
          <w:b/>
          <w:bCs/>
        </w:rPr>
        <w:t xml:space="preserve"> </w:t>
      </w:r>
      <w:r>
        <w:rPr>
          <w:b/>
          <w:bCs/>
          <w:rtl/>
        </w:rPr>
        <w:t>הרשויות,</w:t>
      </w:r>
      <w:r>
        <w:rPr>
          <w:b/>
          <w:bCs/>
        </w:rPr>
        <w:t xml:space="preserve"> </w:t>
      </w:r>
      <w:r>
        <w:rPr>
          <w:b/>
          <w:bCs/>
          <w:rtl/>
        </w:rPr>
        <w:t>כאשר</w:t>
      </w:r>
      <w:r>
        <w:rPr>
          <w:b/>
          <w:bCs/>
        </w:rPr>
        <w:t xml:space="preserve"> </w:t>
      </w:r>
      <w:r>
        <w:rPr>
          <w:b/>
          <w:bCs/>
          <w:rtl/>
        </w:rPr>
        <w:t>המחזיק</w:t>
      </w:r>
      <w:r>
        <w:rPr>
          <w:b/>
          <w:bCs/>
        </w:rPr>
        <w:t xml:space="preserve"> </w:t>
      </w:r>
      <w:r>
        <w:rPr>
          <w:b/>
          <w:bCs/>
          <w:rtl/>
        </w:rPr>
        <w:t>נתון</w:t>
      </w:r>
      <w:r>
        <w:rPr>
          <w:b/>
          <w:bCs/>
        </w:rPr>
        <w:t xml:space="preserve"> </w:t>
      </w:r>
      <w:r>
        <w:rPr>
          <w:b/>
          <w:bCs/>
          <w:rtl/>
        </w:rPr>
        <w:t>תמיד</w:t>
      </w:r>
      <w:r>
        <w:rPr>
          <w:b/>
          <w:bCs/>
        </w:rPr>
        <w:t xml:space="preserve"> </w:t>
      </w:r>
      <w:r>
        <w:rPr>
          <w:b/>
          <w:bCs/>
          <w:rtl/>
        </w:rPr>
        <w:t>לסיכון</w:t>
      </w:r>
      <w:r>
        <w:rPr>
          <w:b/>
          <w:bCs/>
        </w:rPr>
        <w:t xml:space="preserve"> </w:t>
      </w:r>
      <w:r>
        <w:rPr>
          <w:b/>
          <w:bCs/>
          <w:rtl/>
        </w:rPr>
        <w:t>שיתפתה</w:t>
      </w:r>
      <w:r>
        <w:rPr>
          <w:b/>
          <w:bCs/>
        </w:rPr>
        <w:t xml:space="preserve"> </w:t>
      </w:r>
      <w:r>
        <w:rPr>
          <w:b/>
          <w:bCs/>
          <w:rtl/>
        </w:rPr>
        <w:t>לעשות</w:t>
      </w:r>
      <w:r>
        <w:rPr>
          <w:b/>
          <w:bCs/>
        </w:rPr>
        <w:t xml:space="preserve"> </w:t>
      </w:r>
      <w:r>
        <w:rPr>
          <w:b/>
          <w:bCs/>
          <w:rtl/>
        </w:rPr>
        <w:t>שימוש</w:t>
      </w:r>
      <w:r>
        <w:rPr>
          <w:b/>
          <w:bCs/>
        </w:rPr>
        <w:t xml:space="preserve"> </w:t>
      </w:r>
      <w:r>
        <w:rPr>
          <w:b/>
          <w:bCs/>
          <w:rtl/>
        </w:rPr>
        <w:t>בנשק, ולו</w:t>
      </w:r>
      <w:r>
        <w:rPr>
          <w:b/>
          <w:bCs/>
        </w:rPr>
        <w:t xml:space="preserve"> </w:t>
      </w:r>
      <w:r>
        <w:rPr>
          <w:b/>
          <w:bCs/>
          <w:rtl/>
        </w:rPr>
        <w:t>ברגעי</w:t>
      </w:r>
      <w:r>
        <w:rPr>
          <w:b/>
          <w:bCs/>
        </w:rPr>
        <w:t xml:space="preserve"> </w:t>
      </w:r>
      <w:r>
        <w:rPr>
          <w:b/>
          <w:bCs/>
          <w:rtl/>
        </w:rPr>
        <w:t>לחץ</w:t>
      </w:r>
      <w:r>
        <w:rPr>
          <w:b/>
          <w:bCs/>
        </w:rPr>
        <w:t xml:space="preserve"> </w:t>
      </w:r>
      <w:r>
        <w:rPr>
          <w:b/>
          <w:bCs/>
          <w:rtl/>
        </w:rPr>
        <w:t>ופחד. סיכון</w:t>
      </w:r>
      <w:r>
        <w:rPr>
          <w:b/>
          <w:bCs/>
        </w:rPr>
        <w:t xml:space="preserve"> </w:t>
      </w:r>
      <w:r>
        <w:rPr>
          <w:b/>
          <w:bCs/>
          <w:rtl/>
        </w:rPr>
        <w:t>זה</w:t>
      </w:r>
      <w:r>
        <w:rPr>
          <w:b/>
          <w:bCs/>
        </w:rPr>
        <w:t xml:space="preserve"> </w:t>
      </w:r>
      <w:r>
        <w:rPr>
          <w:b/>
          <w:bCs/>
          <w:rtl/>
        </w:rPr>
        <w:t>שנשקף</w:t>
      </w:r>
      <w:r>
        <w:rPr>
          <w:b/>
          <w:bCs/>
        </w:rPr>
        <w:t xml:space="preserve"> </w:t>
      </w:r>
      <w:r>
        <w:rPr>
          <w:b/>
          <w:bCs/>
          <w:rtl/>
        </w:rPr>
        <w:t>לציבור</w:t>
      </w:r>
      <w:r>
        <w:rPr>
          <w:b/>
          <w:bCs/>
        </w:rPr>
        <w:t xml:space="preserve"> </w:t>
      </w:r>
      <w:r>
        <w:rPr>
          <w:b/>
          <w:bCs/>
          <w:rtl/>
        </w:rPr>
        <w:t>צריך</w:t>
      </w:r>
      <w:r>
        <w:rPr>
          <w:b/>
          <w:bCs/>
        </w:rPr>
        <w:t xml:space="preserve"> </w:t>
      </w:r>
      <w:r>
        <w:rPr>
          <w:b/>
          <w:bCs/>
          <w:rtl/>
        </w:rPr>
        <w:t>להילקח</w:t>
      </w:r>
      <w:r>
        <w:rPr>
          <w:b/>
          <w:bCs/>
        </w:rPr>
        <w:t xml:space="preserve"> </w:t>
      </w:r>
      <w:r>
        <w:rPr>
          <w:b/>
          <w:bCs/>
          <w:rtl/>
        </w:rPr>
        <w:t>בחשבון</w:t>
      </w:r>
      <w:r>
        <w:rPr>
          <w:b/>
          <w:bCs/>
        </w:rPr>
        <w:t xml:space="preserve"> </w:t>
      </w:r>
      <w:r>
        <w:rPr>
          <w:b/>
          <w:bCs/>
          <w:rtl/>
        </w:rPr>
        <w:t>על</w:t>
      </w:r>
      <w:r>
        <w:rPr>
          <w:b/>
          <w:bCs/>
        </w:rPr>
        <w:t xml:space="preserve"> </w:t>
      </w:r>
      <w:r>
        <w:rPr>
          <w:b/>
          <w:bCs/>
          <w:rtl/>
        </w:rPr>
        <w:t>ידי</w:t>
      </w:r>
      <w:r>
        <w:rPr>
          <w:b/>
          <w:bCs/>
        </w:rPr>
        <w:t xml:space="preserve"> </w:t>
      </w:r>
      <w:r>
        <w:rPr>
          <w:b/>
          <w:bCs/>
          <w:rtl/>
        </w:rPr>
        <w:t>כל</w:t>
      </w:r>
      <w:r>
        <w:rPr>
          <w:b/>
          <w:bCs/>
        </w:rPr>
        <w:t xml:space="preserve"> </w:t>
      </w:r>
      <w:r>
        <w:rPr>
          <w:b/>
          <w:bCs/>
          <w:rtl/>
        </w:rPr>
        <w:t>מי</w:t>
      </w:r>
      <w:r>
        <w:rPr>
          <w:b/>
          <w:bCs/>
        </w:rPr>
        <w:t xml:space="preserve"> </w:t>
      </w:r>
      <w:r>
        <w:rPr>
          <w:b/>
          <w:bCs/>
          <w:rtl/>
        </w:rPr>
        <w:t>שמחזיק</w:t>
      </w:r>
      <w:r>
        <w:rPr>
          <w:b/>
          <w:bCs/>
        </w:rPr>
        <w:t xml:space="preserve"> </w:t>
      </w:r>
      <w:r>
        <w:rPr>
          <w:b/>
          <w:bCs/>
          <w:rtl/>
        </w:rPr>
        <w:t>בידו</w:t>
      </w:r>
      <w:r>
        <w:rPr>
          <w:b/>
          <w:bCs/>
        </w:rPr>
        <w:t xml:space="preserve"> </w:t>
      </w:r>
      <w:r>
        <w:rPr>
          <w:b/>
          <w:bCs/>
          <w:rtl/>
        </w:rPr>
        <w:t>נשק</w:t>
      </w:r>
      <w:r>
        <w:rPr>
          <w:b/>
          <w:bCs/>
        </w:rPr>
        <w:t xml:space="preserve"> </w:t>
      </w:r>
      <w:r>
        <w:rPr>
          <w:b/>
          <w:bCs/>
          <w:rtl/>
        </w:rPr>
        <w:t>שלא</w:t>
      </w:r>
      <w:r>
        <w:rPr>
          <w:b/>
          <w:bCs/>
        </w:rPr>
        <w:t xml:space="preserve"> </w:t>
      </w:r>
      <w:r>
        <w:rPr>
          <w:b/>
          <w:bCs/>
          <w:rtl/>
        </w:rPr>
        <w:t>כדין</w:t>
      </w:r>
      <w:r>
        <w:rPr>
          <w:b/>
          <w:bCs/>
        </w:rPr>
        <w:t xml:space="preserve"> - </w:t>
      </w:r>
      <w:r>
        <w:rPr>
          <w:b/>
          <w:bCs/>
          <w:rtl/>
        </w:rPr>
        <w:t>גם</w:t>
      </w:r>
      <w:r>
        <w:rPr>
          <w:b/>
          <w:bCs/>
        </w:rPr>
        <w:t xml:space="preserve"> </w:t>
      </w:r>
      <w:r>
        <w:rPr>
          <w:b/>
          <w:bCs/>
          <w:rtl/>
        </w:rPr>
        <w:t>אם</w:t>
      </w:r>
      <w:r>
        <w:rPr>
          <w:b/>
          <w:bCs/>
        </w:rPr>
        <w:t xml:space="preserve"> </w:t>
      </w:r>
      <w:r>
        <w:rPr>
          <w:b/>
          <w:bCs/>
          <w:rtl/>
        </w:rPr>
        <w:t>אין</w:t>
      </w:r>
      <w:r>
        <w:rPr>
          <w:b/>
          <w:bCs/>
        </w:rPr>
        <w:t xml:space="preserve"> </w:t>
      </w:r>
      <w:r>
        <w:rPr>
          <w:b/>
          <w:bCs/>
          <w:rtl/>
        </w:rPr>
        <w:t>הנשק</w:t>
      </w:r>
      <w:r>
        <w:rPr>
          <w:b/>
          <w:bCs/>
        </w:rPr>
        <w:t xml:space="preserve"> </w:t>
      </w:r>
      <w:r>
        <w:rPr>
          <w:b/>
          <w:bCs/>
          <w:rtl/>
        </w:rPr>
        <w:t>מוחזק</w:t>
      </w:r>
      <w:r>
        <w:rPr>
          <w:b/>
          <w:bCs/>
        </w:rPr>
        <w:t xml:space="preserve"> </w:t>
      </w:r>
      <w:r>
        <w:rPr>
          <w:b/>
          <w:bCs/>
          <w:rtl/>
        </w:rPr>
        <w:t>למטרת</w:t>
      </w:r>
      <w:r>
        <w:rPr>
          <w:b/>
          <w:bCs/>
        </w:rPr>
        <w:t xml:space="preserve"> </w:t>
      </w:r>
      <w:r>
        <w:rPr>
          <w:b/>
          <w:bCs/>
          <w:rtl/>
        </w:rPr>
        <w:t>ביצוען</w:t>
      </w:r>
      <w:r>
        <w:rPr>
          <w:b/>
          <w:bCs/>
        </w:rPr>
        <w:t xml:space="preserve"> </w:t>
      </w:r>
      <w:r>
        <w:rPr>
          <w:b/>
          <w:bCs/>
          <w:rtl/>
        </w:rPr>
        <w:t>של</w:t>
      </w:r>
      <w:r>
        <w:rPr>
          <w:b/>
          <w:bCs/>
        </w:rPr>
        <w:t xml:space="preserve"> </w:t>
      </w:r>
      <w:r>
        <w:rPr>
          <w:b/>
          <w:bCs/>
          <w:rtl/>
        </w:rPr>
        <w:t>עבירות</w:t>
      </w:r>
      <w:r>
        <w:rPr>
          <w:b/>
          <w:bCs/>
        </w:rPr>
        <w:t xml:space="preserve"> </w:t>
      </w:r>
      <w:r>
        <w:rPr>
          <w:b/>
          <w:bCs/>
          <w:rtl/>
        </w:rPr>
        <w:t>אחרות...אכן, הנסיבות</w:t>
      </w:r>
      <w:r>
        <w:rPr>
          <w:b/>
          <w:bCs/>
        </w:rPr>
        <w:t xml:space="preserve"> </w:t>
      </w:r>
      <w:r>
        <w:rPr>
          <w:b/>
          <w:bCs/>
          <w:rtl/>
        </w:rPr>
        <w:t>של</w:t>
      </w:r>
      <w:r>
        <w:rPr>
          <w:b/>
          <w:bCs/>
        </w:rPr>
        <w:t xml:space="preserve"> </w:t>
      </w:r>
      <w:r>
        <w:rPr>
          <w:b/>
          <w:bCs/>
          <w:rtl/>
        </w:rPr>
        <w:t>נשיאת</w:t>
      </w:r>
      <w:r>
        <w:rPr>
          <w:b/>
          <w:bCs/>
        </w:rPr>
        <w:t xml:space="preserve"> </w:t>
      </w:r>
      <w:r>
        <w:rPr>
          <w:b/>
          <w:bCs/>
          <w:rtl/>
        </w:rPr>
        <w:t>הנשק</w:t>
      </w:r>
      <w:r>
        <w:rPr>
          <w:b/>
          <w:bCs/>
        </w:rPr>
        <w:t xml:space="preserve"> </w:t>
      </w:r>
      <w:r>
        <w:rPr>
          <w:b/>
          <w:bCs/>
          <w:rtl/>
        </w:rPr>
        <w:t>במקרה</w:t>
      </w:r>
      <w:r>
        <w:rPr>
          <w:b/>
          <w:bCs/>
        </w:rPr>
        <w:t xml:space="preserve"> </w:t>
      </w:r>
      <w:r>
        <w:rPr>
          <w:b/>
          <w:bCs/>
          <w:rtl/>
        </w:rPr>
        <w:t>זה</w:t>
      </w:r>
      <w:r>
        <w:rPr>
          <w:b/>
          <w:bCs/>
        </w:rPr>
        <w:t xml:space="preserve"> </w:t>
      </w:r>
      <w:r>
        <w:rPr>
          <w:b/>
          <w:bCs/>
          <w:rtl/>
        </w:rPr>
        <w:t>אינן</w:t>
      </w:r>
      <w:r>
        <w:rPr>
          <w:b/>
          <w:bCs/>
        </w:rPr>
        <w:t xml:space="preserve"> </w:t>
      </w:r>
      <w:r>
        <w:rPr>
          <w:b/>
          <w:bCs/>
          <w:rtl/>
        </w:rPr>
        <w:t>מציבות</w:t>
      </w:r>
      <w:r>
        <w:rPr>
          <w:b/>
          <w:bCs/>
        </w:rPr>
        <w:t xml:space="preserve"> </w:t>
      </w:r>
      <w:r>
        <w:rPr>
          <w:b/>
          <w:bCs/>
          <w:rtl/>
        </w:rPr>
        <w:t>את</w:t>
      </w:r>
      <w:r>
        <w:rPr>
          <w:b/>
          <w:bCs/>
        </w:rPr>
        <w:t xml:space="preserve"> </w:t>
      </w:r>
      <w:r>
        <w:rPr>
          <w:b/>
          <w:bCs/>
          <w:rtl/>
        </w:rPr>
        <w:t>האירוע</w:t>
      </w:r>
      <w:r>
        <w:rPr>
          <w:b/>
          <w:bCs/>
        </w:rPr>
        <w:t xml:space="preserve"> </w:t>
      </w:r>
      <w:r>
        <w:rPr>
          <w:b/>
          <w:bCs/>
          <w:rtl/>
        </w:rPr>
        <w:t>ברף</w:t>
      </w:r>
      <w:r>
        <w:rPr>
          <w:b/>
          <w:bCs/>
        </w:rPr>
        <w:t xml:space="preserve"> </w:t>
      </w:r>
      <w:r>
        <w:rPr>
          <w:b/>
          <w:bCs/>
          <w:rtl/>
        </w:rPr>
        <w:t>הגבוה</w:t>
      </w:r>
      <w:r>
        <w:rPr>
          <w:b/>
          <w:bCs/>
        </w:rPr>
        <w:t xml:space="preserve"> </w:t>
      </w:r>
      <w:r>
        <w:rPr>
          <w:b/>
          <w:bCs/>
          <w:rtl/>
        </w:rPr>
        <w:t>והחמור</w:t>
      </w:r>
      <w:r>
        <w:rPr>
          <w:b/>
          <w:bCs/>
        </w:rPr>
        <w:t xml:space="preserve"> </w:t>
      </w:r>
      <w:r>
        <w:rPr>
          <w:b/>
          <w:bCs/>
          <w:rtl/>
        </w:rPr>
        <w:t>של</w:t>
      </w:r>
      <w:r>
        <w:rPr>
          <w:b/>
          <w:bCs/>
        </w:rPr>
        <w:t xml:space="preserve"> </w:t>
      </w:r>
      <w:r>
        <w:rPr>
          <w:b/>
          <w:bCs/>
          <w:rtl/>
        </w:rPr>
        <w:t>מגוון</w:t>
      </w:r>
      <w:r>
        <w:rPr>
          <w:b/>
          <w:bCs/>
        </w:rPr>
        <w:t xml:space="preserve"> </w:t>
      </w:r>
      <w:r>
        <w:rPr>
          <w:b/>
          <w:bCs/>
          <w:rtl/>
        </w:rPr>
        <w:t>התרחישים</w:t>
      </w:r>
      <w:r>
        <w:rPr>
          <w:b/>
          <w:bCs/>
        </w:rPr>
        <w:t xml:space="preserve"> </w:t>
      </w:r>
      <w:r>
        <w:rPr>
          <w:b/>
          <w:bCs/>
          <w:rtl/>
        </w:rPr>
        <w:t>בהם</w:t>
      </w:r>
      <w:r>
        <w:rPr>
          <w:b/>
          <w:bCs/>
        </w:rPr>
        <w:t xml:space="preserve"> </w:t>
      </w:r>
      <w:r>
        <w:rPr>
          <w:b/>
          <w:bCs/>
          <w:rtl/>
        </w:rPr>
        <w:t>עשויה</w:t>
      </w:r>
      <w:r>
        <w:rPr>
          <w:b/>
          <w:bCs/>
        </w:rPr>
        <w:t xml:space="preserve"> </w:t>
      </w:r>
      <w:r>
        <w:rPr>
          <w:b/>
          <w:bCs/>
          <w:rtl/>
        </w:rPr>
        <w:t>העבירה</w:t>
      </w:r>
      <w:r>
        <w:rPr>
          <w:b/>
          <w:bCs/>
        </w:rPr>
        <w:t xml:space="preserve"> </w:t>
      </w:r>
      <w:r>
        <w:rPr>
          <w:b/>
          <w:bCs/>
          <w:rtl/>
        </w:rPr>
        <w:t>להתבצע</w:t>
      </w:r>
      <w:r>
        <w:rPr>
          <w:b/>
          <w:bCs/>
        </w:rPr>
        <w:t xml:space="preserve"> .</w:t>
      </w:r>
      <w:r>
        <w:rPr>
          <w:b/>
          <w:bCs/>
          <w:rtl/>
        </w:rPr>
        <w:t>ויחד</w:t>
      </w:r>
      <w:r>
        <w:rPr>
          <w:b/>
          <w:bCs/>
        </w:rPr>
        <w:t xml:space="preserve"> </w:t>
      </w:r>
      <w:r>
        <w:rPr>
          <w:b/>
          <w:bCs/>
          <w:rtl/>
        </w:rPr>
        <w:t>עם</w:t>
      </w:r>
      <w:r>
        <w:rPr>
          <w:b/>
          <w:bCs/>
        </w:rPr>
        <w:t xml:space="preserve"> </w:t>
      </w:r>
      <w:r>
        <w:rPr>
          <w:b/>
          <w:bCs/>
          <w:rtl/>
        </w:rPr>
        <w:t>זאת,</w:t>
      </w:r>
      <w:r>
        <w:rPr>
          <w:b/>
          <w:bCs/>
        </w:rPr>
        <w:t xml:space="preserve"> </w:t>
      </w:r>
      <w:r>
        <w:rPr>
          <w:b/>
          <w:bCs/>
          <w:rtl/>
        </w:rPr>
        <w:t>כפי</w:t>
      </w:r>
      <w:r>
        <w:rPr>
          <w:b/>
          <w:bCs/>
        </w:rPr>
        <w:t xml:space="preserve"> </w:t>
      </w:r>
      <w:r>
        <w:rPr>
          <w:b/>
          <w:bCs/>
          <w:rtl/>
        </w:rPr>
        <w:t>שציין</w:t>
      </w:r>
      <w:r>
        <w:rPr>
          <w:b/>
          <w:bCs/>
        </w:rPr>
        <w:t xml:space="preserve"> </w:t>
      </w:r>
      <w:r>
        <w:rPr>
          <w:b/>
          <w:bCs/>
          <w:rtl/>
        </w:rPr>
        <w:t>בית</w:t>
      </w:r>
      <w:r>
        <w:rPr>
          <w:b/>
          <w:bCs/>
        </w:rPr>
        <w:t xml:space="preserve"> </w:t>
      </w:r>
      <w:r>
        <w:rPr>
          <w:b/>
          <w:bCs/>
          <w:rtl/>
        </w:rPr>
        <w:t>המשפט</w:t>
      </w:r>
      <w:r>
        <w:rPr>
          <w:b/>
          <w:bCs/>
        </w:rPr>
        <w:t xml:space="preserve"> </w:t>
      </w:r>
      <w:r>
        <w:rPr>
          <w:b/>
          <w:bCs/>
          <w:rtl/>
        </w:rPr>
        <w:t>המחוזי,</w:t>
      </w:r>
      <w:r>
        <w:rPr>
          <w:b/>
          <w:bCs/>
        </w:rPr>
        <w:t xml:space="preserve"> </w:t>
      </w:r>
      <w:r>
        <w:rPr>
          <w:b/>
          <w:bCs/>
          <w:rtl/>
        </w:rPr>
        <w:t>עצם</w:t>
      </w:r>
      <w:r>
        <w:rPr>
          <w:b/>
          <w:bCs/>
        </w:rPr>
        <w:t xml:space="preserve"> </w:t>
      </w:r>
      <w:r>
        <w:rPr>
          <w:b/>
          <w:bCs/>
          <w:rtl/>
        </w:rPr>
        <w:t>נשיאת</w:t>
      </w:r>
      <w:r>
        <w:rPr>
          <w:b/>
          <w:bCs/>
        </w:rPr>
        <w:t xml:space="preserve"> </w:t>
      </w:r>
      <w:r>
        <w:rPr>
          <w:b/>
          <w:bCs/>
          <w:rtl/>
        </w:rPr>
        <w:t>נשק</w:t>
      </w:r>
      <w:r>
        <w:rPr>
          <w:b/>
          <w:bCs/>
        </w:rPr>
        <w:t xml:space="preserve"> </w:t>
      </w:r>
      <w:r>
        <w:rPr>
          <w:b/>
          <w:bCs/>
          <w:rtl/>
        </w:rPr>
        <w:t>חם</w:t>
      </w:r>
      <w:r>
        <w:rPr>
          <w:b/>
          <w:bCs/>
        </w:rPr>
        <w:t xml:space="preserve"> </w:t>
      </w:r>
      <w:r>
        <w:rPr>
          <w:b/>
          <w:bCs/>
          <w:rtl/>
        </w:rPr>
        <w:t>בציבור</w:t>
      </w:r>
      <w:r>
        <w:rPr>
          <w:b/>
          <w:bCs/>
        </w:rPr>
        <w:t xml:space="preserve"> </w:t>
      </w:r>
      <w:r>
        <w:rPr>
          <w:b/>
          <w:bCs/>
          <w:rtl/>
        </w:rPr>
        <w:t>שלא</w:t>
      </w:r>
      <w:r>
        <w:rPr>
          <w:b/>
          <w:bCs/>
        </w:rPr>
        <w:t xml:space="preserve"> </w:t>
      </w:r>
      <w:r>
        <w:rPr>
          <w:b/>
          <w:bCs/>
          <w:rtl/>
        </w:rPr>
        <w:t>כדין, ובפרט</w:t>
      </w:r>
      <w:r>
        <w:rPr>
          <w:b/>
          <w:bCs/>
        </w:rPr>
        <w:t xml:space="preserve"> </w:t>
      </w:r>
      <w:r>
        <w:rPr>
          <w:b/>
          <w:bCs/>
          <w:rtl/>
        </w:rPr>
        <w:t>על</w:t>
      </w:r>
      <w:r>
        <w:rPr>
          <w:b/>
          <w:bCs/>
        </w:rPr>
        <w:t xml:space="preserve"> </w:t>
      </w:r>
      <w:r>
        <w:rPr>
          <w:b/>
          <w:bCs/>
          <w:rtl/>
        </w:rPr>
        <w:t>ידי</w:t>
      </w:r>
      <w:r>
        <w:rPr>
          <w:b/>
          <w:bCs/>
        </w:rPr>
        <w:t xml:space="preserve"> </w:t>
      </w:r>
      <w:r>
        <w:rPr>
          <w:b/>
          <w:bCs/>
          <w:rtl/>
        </w:rPr>
        <w:t>אדם</w:t>
      </w:r>
      <w:r>
        <w:rPr>
          <w:b/>
          <w:bCs/>
        </w:rPr>
        <w:t xml:space="preserve"> </w:t>
      </w:r>
      <w:r>
        <w:rPr>
          <w:b/>
          <w:bCs/>
          <w:rtl/>
        </w:rPr>
        <w:t>בלתי</w:t>
      </w:r>
      <w:r>
        <w:rPr>
          <w:b/>
          <w:bCs/>
        </w:rPr>
        <w:t xml:space="preserve"> </w:t>
      </w:r>
      <w:r>
        <w:rPr>
          <w:b/>
          <w:bCs/>
          <w:rtl/>
        </w:rPr>
        <w:t>מיומן</w:t>
      </w:r>
      <w:r>
        <w:rPr>
          <w:b/>
          <w:bCs/>
        </w:rPr>
        <w:t xml:space="preserve"> </w:t>
      </w:r>
      <w:r>
        <w:rPr>
          <w:b/>
          <w:bCs/>
          <w:rtl/>
        </w:rPr>
        <w:t>החושש</w:t>
      </w:r>
      <w:r>
        <w:rPr>
          <w:b/>
          <w:bCs/>
        </w:rPr>
        <w:t xml:space="preserve"> </w:t>
      </w:r>
      <w:r>
        <w:rPr>
          <w:b/>
          <w:bCs/>
          <w:rtl/>
        </w:rPr>
        <w:t>כי</w:t>
      </w:r>
      <w:r>
        <w:rPr>
          <w:b/>
          <w:bCs/>
        </w:rPr>
        <w:t xml:space="preserve"> </w:t>
      </w:r>
      <w:r>
        <w:rPr>
          <w:b/>
          <w:bCs/>
          <w:rtl/>
        </w:rPr>
        <w:t>ימצא</w:t>
      </w:r>
      <w:r>
        <w:rPr>
          <w:b/>
          <w:bCs/>
        </w:rPr>
        <w:t xml:space="preserve"> </w:t>
      </w:r>
      <w:r>
        <w:rPr>
          <w:b/>
          <w:bCs/>
          <w:rtl/>
        </w:rPr>
        <w:t>עצמו</w:t>
      </w:r>
      <w:r>
        <w:rPr>
          <w:b/>
          <w:bCs/>
        </w:rPr>
        <w:t xml:space="preserve"> </w:t>
      </w:r>
      <w:r>
        <w:rPr>
          <w:b/>
          <w:bCs/>
          <w:rtl/>
        </w:rPr>
        <w:t>במצב</w:t>
      </w:r>
      <w:r>
        <w:rPr>
          <w:b/>
          <w:bCs/>
        </w:rPr>
        <w:t xml:space="preserve"> </w:t>
      </w:r>
      <w:r>
        <w:rPr>
          <w:b/>
          <w:bCs/>
          <w:rtl/>
        </w:rPr>
        <w:t>בו</w:t>
      </w:r>
      <w:r>
        <w:rPr>
          <w:b/>
          <w:bCs/>
        </w:rPr>
        <w:t xml:space="preserve"> </w:t>
      </w:r>
      <w:r>
        <w:rPr>
          <w:b/>
          <w:bCs/>
          <w:rtl/>
        </w:rPr>
        <w:t>ייאלץ</w:t>
      </w:r>
      <w:r>
        <w:rPr>
          <w:b/>
          <w:bCs/>
        </w:rPr>
        <w:t xml:space="preserve"> </w:t>
      </w:r>
      <w:r>
        <w:rPr>
          <w:b/>
          <w:bCs/>
          <w:rtl/>
        </w:rPr>
        <w:t>להגיב</w:t>
      </w:r>
      <w:r>
        <w:rPr>
          <w:b/>
          <w:bCs/>
        </w:rPr>
        <w:t xml:space="preserve"> </w:t>
      </w:r>
      <w:r>
        <w:rPr>
          <w:b/>
          <w:bCs/>
          <w:rtl/>
        </w:rPr>
        <w:t>לתקיפה</w:t>
      </w:r>
      <w:r>
        <w:rPr>
          <w:b/>
          <w:bCs/>
        </w:rPr>
        <w:t xml:space="preserve"> </w:t>
      </w:r>
      <w:r>
        <w:rPr>
          <w:b/>
          <w:bCs/>
          <w:rtl/>
        </w:rPr>
        <w:t>או</w:t>
      </w:r>
      <w:r>
        <w:rPr>
          <w:b/>
          <w:bCs/>
        </w:rPr>
        <w:t xml:space="preserve"> </w:t>
      </w:r>
      <w:r>
        <w:rPr>
          <w:b/>
          <w:bCs/>
          <w:rtl/>
        </w:rPr>
        <w:t>לאיום</w:t>
      </w:r>
      <w:r>
        <w:rPr>
          <w:b/>
          <w:bCs/>
        </w:rPr>
        <w:t xml:space="preserve"> </w:t>
      </w:r>
      <w:r>
        <w:rPr>
          <w:b/>
          <w:bCs/>
          <w:rtl/>
        </w:rPr>
        <w:t>אפשריים,</w:t>
      </w:r>
      <w:r>
        <w:rPr>
          <w:b/>
          <w:bCs/>
        </w:rPr>
        <w:t xml:space="preserve"> </w:t>
      </w:r>
      <w:r>
        <w:rPr>
          <w:b/>
          <w:bCs/>
          <w:rtl/>
        </w:rPr>
        <w:t>יש</w:t>
      </w:r>
      <w:r>
        <w:rPr>
          <w:b/>
          <w:bCs/>
        </w:rPr>
        <w:t xml:space="preserve"> </w:t>
      </w:r>
      <w:r>
        <w:rPr>
          <w:b/>
          <w:bCs/>
          <w:rtl/>
        </w:rPr>
        <w:t>בה</w:t>
      </w:r>
      <w:r>
        <w:rPr>
          <w:b/>
          <w:bCs/>
        </w:rPr>
        <w:t xml:space="preserve"> </w:t>
      </w:r>
      <w:r>
        <w:rPr>
          <w:b/>
          <w:bCs/>
          <w:rtl/>
        </w:rPr>
        <w:t>סיכון</w:t>
      </w:r>
      <w:r>
        <w:rPr>
          <w:b/>
          <w:bCs/>
        </w:rPr>
        <w:t xml:space="preserve"> </w:t>
      </w:r>
      <w:r>
        <w:rPr>
          <w:b/>
          <w:bCs/>
          <w:rtl/>
        </w:rPr>
        <w:t>לשלום</w:t>
      </w:r>
      <w:r>
        <w:rPr>
          <w:b/>
          <w:bCs/>
        </w:rPr>
        <w:t xml:space="preserve"> </w:t>
      </w:r>
      <w:r>
        <w:rPr>
          <w:b/>
          <w:bCs/>
          <w:rtl/>
        </w:rPr>
        <w:t>הציבור</w:t>
      </w:r>
      <w:r>
        <w:rPr>
          <w:b/>
          <w:bCs/>
        </w:rPr>
        <w:t xml:space="preserve"> </w:t>
      </w:r>
      <w:r>
        <w:rPr>
          <w:b/>
          <w:bCs/>
          <w:rtl/>
        </w:rPr>
        <w:t>ולביטחונו"</w:t>
      </w:r>
      <w:r>
        <w:rPr>
          <w:rtl/>
        </w:rPr>
        <w:t>. (</w:t>
      </w:r>
      <w:hyperlink r:id="rId52" w:history="1">
        <w:r w:rsidR="00466323" w:rsidRPr="00466323">
          <w:rPr>
            <w:color w:val="0000FF"/>
            <w:u w:val="single"/>
            <w:rtl/>
          </w:rPr>
          <w:t>ע"פ 3300/06</w:t>
        </w:r>
      </w:hyperlink>
      <w:r>
        <w:rPr>
          <w:rtl/>
        </w:rPr>
        <w:t xml:space="preserve"> </w:t>
      </w:r>
      <w:r>
        <w:rPr>
          <w:b/>
          <w:bCs/>
          <w:rtl/>
        </w:rPr>
        <w:t>סולטאן אבו סנינה נגד מדינת ישראל</w:t>
      </w:r>
      <w:r>
        <w:rPr>
          <w:rtl/>
        </w:rPr>
        <w:t xml:space="preserve"> (פורסם בנבו, 10.8.2006); </w:t>
      </w:r>
    </w:p>
    <w:p w14:paraId="639B50B8" w14:textId="77777777" w:rsidR="0034251D" w:rsidRDefault="0034251D" w:rsidP="00D348D9">
      <w:pPr>
        <w:spacing w:line="360" w:lineRule="auto"/>
        <w:ind w:left="652"/>
        <w:jc w:val="both"/>
      </w:pPr>
    </w:p>
    <w:p w14:paraId="587483BA" w14:textId="77777777" w:rsidR="0034251D" w:rsidRDefault="0034251D" w:rsidP="00D348D9">
      <w:pPr>
        <w:spacing w:line="360" w:lineRule="auto"/>
        <w:ind w:left="652" w:hanging="709"/>
        <w:jc w:val="both"/>
        <w:rPr>
          <w:rFonts w:ascii="Arial" w:hAnsi="Arial"/>
          <w:rtl/>
        </w:rPr>
      </w:pPr>
      <w:r>
        <w:rPr>
          <w:rFonts w:ascii="Arial" w:hAnsi="Arial"/>
          <w:rtl/>
        </w:rPr>
        <w:tab/>
        <w:t>וכן: "</w:t>
      </w:r>
      <w:r>
        <w:rPr>
          <w:rFonts w:ascii="Arial" w:hAnsi="Arial"/>
          <w:b/>
          <w:bCs/>
          <w:rtl/>
        </w:rPr>
        <w:t xml:space="preserve">כלי נשק דמוי </w:t>
      </w:r>
      <w:r>
        <w:rPr>
          <w:rFonts w:ascii="Arial" w:hAnsi="Arial"/>
          <w:b/>
          <w:bCs/>
        </w:rPr>
        <w:t xml:space="preserve"> M-16</w:t>
      </w:r>
      <w:r>
        <w:rPr>
          <w:rFonts w:ascii="Arial" w:hAnsi="Arial"/>
          <w:b/>
          <w:bCs/>
          <w:rtl/>
        </w:rPr>
        <w:t xml:space="preserve"> כמו זה שביקש העורר למכור, לא נועד לסריגת גרביים, ומי שרוכש אותו עושה זאת לצרכים פליליים מובהקים, וחלילה גם לביצוע מעשי טרור"</w:t>
      </w:r>
      <w:r>
        <w:rPr>
          <w:rFonts w:ascii="Arial" w:hAnsi="Arial"/>
          <w:rtl/>
        </w:rPr>
        <w:t xml:space="preserve"> (</w:t>
      </w:r>
      <w:hyperlink r:id="rId53" w:history="1">
        <w:r w:rsidR="00466323" w:rsidRPr="00466323">
          <w:rPr>
            <w:rFonts w:ascii="Arial" w:hAnsi="Arial"/>
            <w:color w:val="0000FF"/>
            <w:u w:val="single"/>
            <w:rtl/>
          </w:rPr>
          <w:t>בש"פ 6036/17</w:t>
        </w:r>
      </w:hyperlink>
      <w:r>
        <w:rPr>
          <w:rFonts w:ascii="Arial" w:hAnsi="Arial"/>
          <w:rtl/>
        </w:rPr>
        <w:t xml:space="preserve"> </w:t>
      </w:r>
      <w:r>
        <w:rPr>
          <w:rFonts w:ascii="Arial" w:hAnsi="Arial"/>
          <w:b/>
          <w:bCs/>
          <w:rtl/>
        </w:rPr>
        <w:t>אסמעיל אבו עבד נגד מדינת ישראל</w:t>
      </w:r>
      <w:r>
        <w:rPr>
          <w:rFonts w:ascii="Arial" w:hAnsi="Arial"/>
          <w:rtl/>
        </w:rPr>
        <w:t xml:space="preserve"> (פורסם בנבו, 2.8.2017) פסקה 5). </w:t>
      </w:r>
      <w:r>
        <w:rPr>
          <w:rFonts w:cs="Times New Roman"/>
        </w:rPr>
        <w:t xml:space="preserve"> </w:t>
      </w:r>
    </w:p>
    <w:p w14:paraId="08EE4B18" w14:textId="77777777" w:rsidR="0034251D" w:rsidRDefault="0034251D" w:rsidP="00D348D9">
      <w:pPr>
        <w:spacing w:before="240" w:line="360" w:lineRule="auto"/>
        <w:ind w:left="652" w:hanging="652"/>
        <w:jc w:val="both"/>
        <w:rPr>
          <w:rFonts w:ascii="Arial" w:hAnsi="Arial"/>
          <w:rtl/>
        </w:rPr>
      </w:pPr>
      <w:r>
        <w:rPr>
          <w:rFonts w:ascii="Arial" w:hAnsi="Arial"/>
          <w:rtl/>
        </w:rPr>
        <w:t>26.</w:t>
      </w:r>
      <w:r>
        <w:rPr>
          <w:rFonts w:ascii="Arial" w:hAnsi="Arial"/>
          <w:rtl/>
        </w:rPr>
        <w:tab/>
        <w:t>ב</w:t>
      </w:r>
      <w:hyperlink r:id="rId54" w:history="1">
        <w:r w:rsidR="00466323" w:rsidRPr="00466323">
          <w:rPr>
            <w:rFonts w:ascii="Arial" w:hAnsi="Arial"/>
            <w:color w:val="0000FF"/>
            <w:u w:val="single"/>
            <w:rtl/>
          </w:rPr>
          <w:t>ע"פ (מחוזי-מרכז) 7062-04-18</w:t>
        </w:r>
      </w:hyperlink>
      <w:r>
        <w:rPr>
          <w:rFonts w:ascii="Arial" w:hAnsi="Arial"/>
          <w:rtl/>
        </w:rPr>
        <w:t xml:space="preserve"> </w:t>
      </w:r>
      <w:r>
        <w:rPr>
          <w:rFonts w:ascii="Arial" w:hAnsi="Arial"/>
          <w:b/>
          <w:bCs/>
          <w:rtl/>
        </w:rPr>
        <w:t xml:space="preserve">ישראל איאסו ואח' נגד מדינת ישראל </w:t>
      </w:r>
      <w:r>
        <w:rPr>
          <w:rFonts w:ascii="Arial" w:hAnsi="Arial"/>
          <w:rtl/>
        </w:rPr>
        <w:t xml:space="preserve"> (פורסם בנבו, 7.5.2019) (להלן: "עניין איאסו") שבעניינו הוגשה בקשת רשות הערעור בעניין איאסו כמפורט לעיל, התייחס בית המשפט המחוזי לסוגיה זהה לזו שבענייננו וקבע כי:</w:t>
      </w:r>
    </w:p>
    <w:p w14:paraId="38C38700" w14:textId="77777777" w:rsidR="0034251D" w:rsidRDefault="0034251D" w:rsidP="00D348D9">
      <w:pPr>
        <w:pStyle w:val="ListParagraph"/>
        <w:spacing w:before="240" w:line="360" w:lineRule="auto"/>
        <w:jc w:val="both"/>
        <w:rPr>
          <w:rFonts w:ascii="Arial" w:hAnsi="Arial"/>
          <w:b/>
          <w:bCs/>
          <w:noProof w:val="0"/>
          <w:rtl/>
        </w:rPr>
      </w:pPr>
      <w:r>
        <w:rPr>
          <w:rFonts w:ascii="Arial" w:hAnsi="Arial"/>
          <w:noProof w:val="0"/>
          <w:rtl/>
        </w:rPr>
        <w:t>"</w:t>
      </w:r>
      <w:r>
        <w:rPr>
          <w:rFonts w:ascii="Arial" w:hAnsi="Arial"/>
          <w:b/>
          <w:bCs/>
          <w:noProof w:val="0"/>
          <w:rtl/>
        </w:rPr>
        <w:t xml:space="preserve">הנה כי כן, במעשי המערער 1, שהורשע בהחזקת נשק, היה טמון סיכון רב, והעובדה שקיימת הסתברות לא מבוטלת שכתוצאה מהחזקת הנשק תגרם פגיעה בחיי אדם או בשלמות גופו, מחייבת לדידנו הכרה במעשיו כעבירות שיש בהן "יסוד של אלימות" המצדיקים את הפעלת המאסר המותנה שהוטל עליו בתיק קודם. </w:t>
      </w:r>
    </w:p>
    <w:p w14:paraId="401ED614" w14:textId="77777777" w:rsidR="0034251D" w:rsidRDefault="0034251D" w:rsidP="00D348D9">
      <w:pPr>
        <w:pStyle w:val="ListParagraph"/>
        <w:spacing w:before="240" w:line="360" w:lineRule="auto"/>
        <w:jc w:val="both"/>
        <w:rPr>
          <w:rFonts w:ascii="Arial" w:hAnsi="Arial"/>
          <w:b/>
          <w:bCs/>
          <w:noProof w:val="0"/>
          <w:rtl/>
        </w:rPr>
      </w:pPr>
      <w:r>
        <w:rPr>
          <w:rFonts w:ascii="Arial" w:hAnsi="Arial"/>
          <w:b/>
          <w:bCs/>
          <w:noProof w:val="0"/>
          <w:rtl/>
        </w:rPr>
        <w:t>מסקנה זו מתחזקת אף לנוכח העובדה כי קיימת פגיעה בערך חברתי משותף בעצם ביצוען של עבירות של החזקת נשק ועבירות אלימות – זה ערך ההגנה על שלמות הגוף וביטחונו של אדם, כפי שאף ציין בית המשפט קמא...</w:t>
      </w:r>
    </w:p>
    <w:p w14:paraId="7A079740" w14:textId="77777777" w:rsidR="0034251D" w:rsidRDefault="0034251D" w:rsidP="00D348D9">
      <w:pPr>
        <w:pStyle w:val="ListParagraph"/>
        <w:spacing w:before="240" w:line="360" w:lineRule="auto"/>
        <w:jc w:val="both"/>
        <w:rPr>
          <w:rFonts w:ascii="Arial" w:hAnsi="Arial"/>
          <w:b/>
          <w:bCs/>
          <w:noProof w:val="0"/>
          <w:rtl/>
        </w:rPr>
      </w:pPr>
      <w:r>
        <w:rPr>
          <w:rFonts w:ascii="Arial" w:hAnsi="Arial"/>
          <w:b/>
          <w:bCs/>
          <w:noProof w:val="0"/>
          <w:rtl/>
        </w:rPr>
        <w:t>נראה לנו כי המערער 1 בהחלט היה אמור לצפות כי התנאי שחל על כל עבירה "שיש בה יסוד של אלימות" יחול גם על עבירה של החזקת נשק, כשם שמצופה מאדם המחזיק כלי נשק לצפות שכלי הנשק, בפרט בהיותו טעון ומוכן לירי, יוביל לתוצאות הרסניות"</w:t>
      </w:r>
      <w:r>
        <w:rPr>
          <w:rFonts w:ascii="Arial" w:hAnsi="Arial"/>
          <w:noProof w:val="0"/>
          <w:rtl/>
        </w:rPr>
        <w:t>.</w:t>
      </w:r>
      <w:r>
        <w:rPr>
          <w:rFonts w:ascii="Arial" w:hAnsi="Arial"/>
          <w:b/>
          <w:bCs/>
          <w:noProof w:val="0"/>
          <w:rtl/>
        </w:rPr>
        <w:t xml:space="preserve"> </w:t>
      </w:r>
    </w:p>
    <w:p w14:paraId="1042783A" w14:textId="77777777" w:rsidR="0034251D" w:rsidRDefault="0034251D" w:rsidP="00D348D9">
      <w:pPr>
        <w:spacing w:line="360" w:lineRule="auto"/>
        <w:ind w:left="652" w:hanging="709"/>
        <w:jc w:val="both"/>
        <w:rPr>
          <w:rFonts w:ascii="Arial" w:hAnsi="Arial"/>
          <w:b/>
          <w:bCs/>
          <w:rtl/>
        </w:rPr>
      </w:pPr>
    </w:p>
    <w:p w14:paraId="610AF3DA" w14:textId="77777777" w:rsidR="0034251D" w:rsidRDefault="0034251D" w:rsidP="00D348D9">
      <w:pPr>
        <w:spacing w:line="360" w:lineRule="auto"/>
        <w:ind w:left="652"/>
        <w:jc w:val="both"/>
        <w:rPr>
          <w:rFonts w:ascii="Arial" w:hAnsi="Arial"/>
          <w:rtl/>
        </w:rPr>
      </w:pPr>
      <w:r>
        <w:rPr>
          <w:rFonts w:ascii="Arial" w:hAnsi="Arial"/>
          <w:rtl/>
        </w:rPr>
        <w:t>בעניינו של איאסו דחה בית המשפט העליון את בקשת רשות הערעור שהוגשה, תוך שהודגש בפסקה 11 להחלטה,  כי: "</w:t>
      </w:r>
      <w:r>
        <w:rPr>
          <w:rFonts w:ascii="Arial" w:hAnsi="Arial"/>
          <w:b/>
          <w:bCs/>
          <w:rtl/>
        </w:rPr>
        <w:t>אני סבור כי העבירה בה הורשע המבקש מקימה יסוד של אלימות. כאמור, המבקש נתפס כשהוא מחזיק, יחד עם אחר, נשק מאולתר ובו מחסנית עם תשעה כדורים, כשהוא טעון ומוכן לירי. בנסיבות אלה, הגם שהחזרת הנשק לכשעצמה לא הובילה לתוצאה האפשרית של פגיעה בחיי אדם או בשלמות גופו, הרי שאין ספק שהיא יצרה סיכון ממשי לחיי אדם"</w:t>
      </w:r>
      <w:r>
        <w:rPr>
          <w:rFonts w:ascii="Arial" w:hAnsi="Arial"/>
          <w:rtl/>
        </w:rPr>
        <w:t>.</w:t>
      </w:r>
      <w:r>
        <w:rPr>
          <w:rFonts w:ascii="Arial" w:hAnsi="Arial"/>
          <w:b/>
          <w:bCs/>
          <w:rtl/>
        </w:rPr>
        <w:t xml:space="preserve"> </w:t>
      </w:r>
    </w:p>
    <w:p w14:paraId="7C39E788" w14:textId="77777777" w:rsidR="0034251D" w:rsidRDefault="0034251D" w:rsidP="00D348D9">
      <w:pPr>
        <w:spacing w:line="360" w:lineRule="auto"/>
        <w:ind w:left="652"/>
        <w:jc w:val="both"/>
        <w:rPr>
          <w:rFonts w:ascii="Arial" w:hAnsi="Arial"/>
          <w:rtl/>
        </w:rPr>
      </w:pPr>
    </w:p>
    <w:p w14:paraId="5474377A" w14:textId="77777777" w:rsidR="0034251D" w:rsidRDefault="0034251D" w:rsidP="00D348D9">
      <w:pPr>
        <w:spacing w:line="360" w:lineRule="auto"/>
        <w:ind w:left="652"/>
        <w:jc w:val="both"/>
        <w:rPr>
          <w:rFonts w:ascii="Arial" w:hAnsi="Arial"/>
          <w:rtl/>
        </w:rPr>
      </w:pPr>
      <w:r>
        <w:rPr>
          <w:rFonts w:ascii="Arial" w:hAnsi="Arial"/>
          <w:rtl/>
        </w:rPr>
        <w:t xml:space="preserve">אכן, בעניינו הנשק לא היה טעון בכדורים, ואולם לא ניתן לומר שבעניינו עצם החזקתו של נשק התקפי דוגמת </w:t>
      </w:r>
      <w:r>
        <w:rPr>
          <w:rFonts w:ascii="Arial" w:hAnsi="Arial"/>
        </w:rPr>
        <w:t xml:space="preserve">M-16 </w:t>
      </w:r>
      <w:r>
        <w:rPr>
          <w:rFonts w:ascii="Arial" w:hAnsi="Arial"/>
          <w:rtl/>
        </w:rPr>
        <w:t xml:space="preserve"> בידי מי שלא הוכשר לכך ומי שלא הורשה לכך לא נוצר סיכון לחיי אדם, ולא מהוות מעשה אלים. </w:t>
      </w:r>
    </w:p>
    <w:p w14:paraId="098132E4" w14:textId="77777777" w:rsidR="0034251D" w:rsidRDefault="0034251D" w:rsidP="00D348D9">
      <w:pPr>
        <w:spacing w:line="360" w:lineRule="auto"/>
        <w:ind w:left="652"/>
        <w:jc w:val="both"/>
        <w:rPr>
          <w:rFonts w:ascii="Arial" w:hAnsi="Arial"/>
          <w:rtl/>
        </w:rPr>
      </w:pPr>
    </w:p>
    <w:p w14:paraId="3C8A1A10" w14:textId="77777777" w:rsidR="0034251D" w:rsidRDefault="0034251D" w:rsidP="00D348D9">
      <w:pPr>
        <w:spacing w:line="360" w:lineRule="auto"/>
        <w:ind w:left="652" w:hanging="709"/>
        <w:jc w:val="both"/>
        <w:rPr>
          <w:rFonts w:ascii="Arial" w:hAnsi="Arial"/>
          <w:rtl/>
        </w:rPr>
      </w:pPr>
      <w:r>
        <w:rPr>
          <w:rFonts w:ascii="Arial" w:hAnsi="Arial"/>
          <w:rtl/>
        </w:rPr>
        <w:t xml:space="preserve">     27.</w:t>
      </w:r>
      <w:r>
        <w:rPr>
          <w:rFonts w:ascii="Arial" w:hAnsi="Arial"/>
          <w:rtl/>
        </w:rPr>
        <w:tab/>
        <w:t xml:space="preserve">לתוצאה דומה בדבר תחולת התנאי בענייננו ניתן להגיע גם באמצעות מבחן משפטי אחר. לאחרונה, במסגרת </w:t>
      </w:r>
      <w:hyperlink r:id="rId55" w:history="1">
        <w:r w:rsidR="00466323" w:rsidRPr="00466323">
          <w:rPr>
            <w:rFonts w:ascii="Arial" w:hAnsi="Arial"/>
            <w:color w:val="0000FF"/>
            <w:u w:val="single"/>
            <w:rtl/>
          </w:rPr>
          <w:t>ע"פ 2352/19</w:t>
        </w:r>
      </w:hyperlink>
      <w:r>
        <w:rPr>
          <w:rFonts w:ascii="Arial" w:hAnsi="Arial"/>
          <w:rtl/>
        </w:rPr>
        <w:t xml:space="preserve"> </w:t>
      </w:r>
      <w:r>
        <w:rPr>
          <w:rFonts w:ascii="Arial" w:hAnsi="Arial"/>
          <w:b/>
          <w:bCs/>
          <w:rtl/>
        </w:rPr>
        <w:t xml:space="preserve">דנילוב נ' מדינת ישראל </w:t>
      </w:r>
      <w:r>
        <w:rPr>
          <w:rFonts w:ascii="Arial" w:hAnsi="Arial"/>
          <w:rtl/>
        </w:rPr>
        <w:t>(פורסם בנבו, 15.10.2019),  נדרש בית המשפט העליון למבחן המשפטי הראוי לצורך בחינת תחולת מאסר מותנה מקום בו עבירת התנאי נקבעה על-פי סוג עבירה, כבענייננו. בית המשפט העליון הבהיר כי:</w:t>
      </w:r>
    </w:p>
    <w:p w14:paraId="1916AB5C" w14:textId="77777777" w:rsidR="0034251D" w:rsidRDefault="0034251D" w:rsidP="00D348D9">
      <w:pPr>
        <w:spacing w:line="360" w:lineRule="auto"/>
        <w:ind w:left="652" w:hanging="709"/>
        <w:jc w:val="both"/>
        <w:rPr>
          <w:rFonts w:ascii="Arial" w:hAnsi="Arial"/>
          <w:rtl/>
        </w:rPr>
      </w:pPr>
      <w:r>
        <w:rPr>
          <w:rFonts w:ascii="Arial" w:hAnsi="Arial"/>
          <w:b/>
          <w:bCs/>
          <w:rtl/>
        </w:rPr>
        <w:tab/>
        <w:t>"...מבחן היסודות האמור</w:t>
      </w:r>
      <w:r>
        <w:rPr>
          <w:rFonts w:ascii="Arial" w:hAnsi="Arial"/>
          <w:rtl/>
        </w:rPr>
        <w:t xml:space="preserve"> (השוואת יסודות העבירה המפעילה עם יסודות עבירת התנאי שהוזכר בעניין מסילתי  י' ל') </w:t>
      </w:r>
      <w:r>
        <w:rPr>
          <w:rFonts w:ascii="Arial" w:hAnsi="Arial"/>
          <w:b/>
          <w:bCs/>
          <w:rtl/>
        </w:rPr>
        <w:t>איננו חל כאשר עבירת התנאי מוגדרת באמצעות משפחת עבירות, דוגמת 'עבירות נגד רכוש', 'עבירות סמים', 'עבירות מין' או 'עבירות אלימות' – ולא באמצעות סעיפי עבירה ספציפיים כמו במקרה שלפנינו. במקרים אלו, ובהם בלבד, יחול מבחן אחר: מבחן הרציונל, אשר מתמקד בערך החברתי המוגן על ידי האיסורים הקבועים בעבירות התנאי. השאלה שתישאל בגדרו של מבחן זה, אם כן, היא האם הנאשם פגע באותו ערך חברתי מוגן כאשר ביצע את העבירה הנוספת"</w:t>
      </w:r>
      <w:r>
        <w:rPr>
          <w:rFonts w:ascii="Arial" w:hAnsi="Arial"/>
          <w:rtl/>
        </w:rPr>
        <w:t>.</w:t>
      </w:r>
    </w:p>
    <w:p w14:paraId="15B8B035" w14:textId="77777777" w:rsidR="0034251D" w:rsidRDefault="0034251D" w:rsidP="00D348D9">
      <w:pPr>
        <w:spacing w:line="360" w:lineRule="auto"/>
        <w:ind w:left="652" w:hanging="709"/>
        <w:jc w:val="both"/>
        <w:rPr>
          <w:rFonts w:ascii="Arial" w:hAnsi="Arial"/>
          <w:rtl/>
        </w:rPr>
      </w:pPr>
      <w:r>
        <w:rPr>
          <w:rFonts w:ascii="Arial" w:hAnsi="Arial"/>
          <w:rtl/>
        </w:rPr>
        <w:tab/>
      </w:r>
    </w:p>
    <w:p w14:paraId="694C952D" w14:textId="77777777" w:rsidR="0034251D" w:rsidRDefault="0034251D" w:rsidP="00D348D9">
      <w:pPr>
        <w:spacing w:line="360" w:lineRule="auto"/>
        <w:ind w:left="652" w:hanging="709"/>
        <w:jc w:val="both"/>
        <w:rPr>
          <w:rFonts w:ascii="Arial" w:hAnsi="Arial"/>
          <w:rtl/>
        </w:rPr>
      </w:pPr>
      <w:r>
        <w:rPr>
          <w:rFonts w:ascii="Arial" w:hAnsi="Arial"/>
          <w:rtl/>
        </w:rPr>
        <w:t>28.</w:t>
      </w:r>
      <w:r>
        <w:rPr>
          <w:rFonts w:ascii="Arial" w:hAnsi="Arial"/>
          <w:rtl/>
        </w:rPr>
        <w:tab/>
        <w:t>הערכים החברתיים המוגנים על ידי האיסורים הקבועים בעבירת התנאי בענייננו, "עבירת אלימות" הם "</w:t>
      </w:r>
      <w:r>
        <w:rPr>
          <w:rFonts w:ascii="Arial" w:hAnsi="Arial"/>
          <w:b/>
          <w:bCs/>
          <w:rtl/>
        </w:rPr>
        <w:t>שלמות הגוף והנפש וההגנה על הביטחון</w:t>
      </w:r>
      <w:r>
        <w:rPr>
          <w:rFonts w:ascii="Arial" w:hAnsi="Arial"/>
          <w:rtl/>
        </w:rPr>
        <w:t xml:space="preserve">" (ראו למשל </w:t>
      </w:r>
      <w:hyperlink r:id="rId56" w:history="1">
        <w:r w:rsidR="00466323" w:rsidRPr="00466323">
          <w:rPr>
            <w:rFonts w:ascii="Arial" w:hAnsi="Arial"/>
            <w:color w:val="0000FF"/>
            <w:u w:val="single"/>
            <w:rtl/>
          </w:rPr>
          <w:t>ע"פ 799/19</w:t>
        </w:r>
      </w:hyperlink>
      <w:r>
        <w:rPr>
          <w:rFonts w:ascii="Arial" w:hAnsi="Arial"/>
          <w:rtl/>
        </w:rPr>
        <w:t xml:space="preserve"> </w:t>
      </w:r>
      <w:r>
        <w:rPr>
          <w:rFonts w:ascii="Arial" w:hAnsi="Arial"/>
          <w:b/>
          <w:bCs/>
          <w:rtl/>
        </w:rPr>
        <w:t>טגבו צ'קול נגד מדינת ישראל</w:t>
      </w:r>
      <w:r>
        <w:rPr>
          <w:rFonts w:ascii="Arial" w:hAnsi="Arial"/>
          <w:rtl/>
        </w:rPr>
        <w:t xml:space="preserve">, [פורסם בנבו, 18.7.2019] פסקה 9). לערכים אלה ניתן להוסיף גם ערכים מוגנים של כבוד האדם ושלוות נפשו. </w:t>
      </w:r>
    </w:p>
    <w:p w14:paraId="3A03DAD5" w14:textId="77777777" w:rsidR="0034251D" w:rsidRDefault="0034251D" w:rsidP="00D348D9">
      <w:pPr>
        <w:spacing w:line="360" w:lineRule="auto"/>
        <w:ind w:left="652" w:hanging="709"/>
        <w:jc w:val="both"/>
        <w:rPr>
          <w:rFonts w:ascii="Arial" w:hAnsi="Arial"/>
          <w:rtl/>
        </w:rPr>
      </w:pPr>
    </w:p>
    <w:p w14:paraId="40EEDE0B" w14:textId="77777777" w:rsidR="0034251D" w:rsidRDefault="0034251D" w:rsidP="00D348D9">
      <w:pPr>
        <w:spacing w:line="360" w:lineRule="auto"/>
        <w:ind w:left="652" w:hanging="709"/>
        <w:jc w:val="both"/>
        <w:rPr>
          <w:rFonts w:ascii="Arial" w:hAnsi="Arial"/>
          <w:rtl/>
        </w:rPr>
      </w:pPr>
      <w:r>
        <w:rPr>
          <w:rFonts w:ascii="Arial" w:hAnsi="Arial"/>
          <w:rtl/>
        </w:rPr>
        <w:tab/>
        <w:t>ובאילו ערכים מוגנים פגע הנאשם עת ביצע את עבירת החזקת הנשק? ביחס לעבירות נשק נאמר כי: "</w:t>
      </w:r>
      <w:r>
        <w:rPr>
          <w:rFonts w:ascii="Arial" w:hAnsi="Arial"/>
          <w:b/>
          <w:bCs/>
          <w:rtl/>
        </w:rPr>
        <w:t xml:space="preserve">בית משפט זה עמד לא פעם על החומרה הרבה שבעבירות נשק ועל הפגיעה בערכים המוגנים של שלמות הגוף, חיי אדם ושלום וביטחון ציבור הנפגעים מעבירות אלה... חומרת עבירות אלו גלומה בפוטנציאל הנזק..." </w:t>
      </w:r>
      <w:r>
        <w:rPr>
          <w:rFonts w:ascii="Arial" w:hAnsi="Arial"/>
          <w:rtl/>
        </w:rPr>
        <w:t>(</w:t>
      </w:r>
      <w:hyperlink r:id="rId57" w:history="1">
        <w:r w:rsidR="00466323" w:rsidRPr="00466323">
          <w:rPr>
            <w:rFonts w:ascii="Arial" w:hAnsi="Arial"/>
            <w:color w:val="0000FF"/>
            <w:u w:val="single"/>
            <w:rtl/>
          </w:rPr>
          <w:t>ע"פ 971/19</w:t>
        </w:r>
      </w:hyperlink>
      <w:r>
        <w:rPr>
          <w:rFonts w:ascii="Arial" w:hAnsi="Arial"/>
          <w:rtl/>
        </w:rPr>
        <w:t xml:space="preserve"> </w:t>
      </w:r>
      <w:r>
        <w:rPr>
          <w:rFonts w:ascii="Arial" w:hAnsi="Arial"/>
          <w:b/>
          <w:bCs/>
          <w:rtl/>
        </w:rPr>
        <w:t xml:space="preserve">מדינת ישראל נ' מחמד געביס </w:t>
      </w:r>
      <w:r>
        <w:rPr>
          <w:rFonts w:ascii="Arial" w:hAnsi="Arial"/>
          <w:rtl/>
        </w:rPr>
        <w:t>[פורסם בנבו, 11.7.2019], פסקה 8). וכן "</w:t>
      </w:r>
      <w:r>
        <w:rPr>
          <w:rFonts w:ascii="Arial" w:hAnsi="Arial"/>
          <w:b/>
          <w:bCs/>
          <w:rtl/>
        </w:rPr>
        <w:t xml:space="preserve">בית משפט זה הדגיש לא אחת את חומרתן של העבירות </w:t>
      </w:r>
      <w:r>
        <w:rPr>
          <w:rFonts w:ascii="Arial" w:hAnsi="Arial"/>
          <w:b/>
          <w:bCs/>
          <w:u w:val="single"/>
          <w:rtl/>
        </w:rPr>
        <w:t>השונות</w:t>
      </w:r>
      <w:r>
        <w:rPr>
          <w:rFonts w:ascii="Arial" w:hAnsi="Arial"/>
          <w:b/>
          <w:bCs/>
          <w:rtl/>
        </w:rPr>
        <w:t xml:space="preserve"> בנשק אשר מסכנות באופן ישיר את שלום הציבור וביטחונו</w:t>
      </w:r>
      <w:r>
        <w:rPr>
          <w:rFonts w:ascii="Arial" w:hAnsi="Arial"/>
          <w:rtl/>
        </w:rPr>
        <w:t>" (</w:t>
      </w:r>
      <w:hyperlink r:id="rId58" w:history="1">
        <w:r w:rsidR="00466323" w:rsidRPr="00466323">
          <w:rPr>
            <w:rFonts w:ascii="Arial" w:hAnsi="Arial"/>
            <w:color w:val="0000FF"/>
            <w:u w:val="single"/>
            <w:rtl/>
          </w:rPr>
          <w:t>ע"פ 785/15</w:t>
        </w:r>
      </w:hyperlink>
      <w:r>
        <w:rPr>
          <w:rFonts w:ascii="Arial" w:hAnsi="Arial"/>
          <w:rtl/>
        </w:rPr>
        <w:t xml:space="preserve"> </w:t>
      </w:r>
      <w:r>
        <w:rPr>
          <w:rFonts w:ascii="Arial" w:hAnsi="Arial"/>
          <w:b/>
          <w:bCs/>
          <w:rtl/>
        </w:rPr>
        <w:t xml:space="preserve">פואקה נגד מדינת ישראל </w:t>
      </w:r>
      <w:r>
        <w:rPr>
          <w:rFonts w:ascii="Arial" w:hAnsi="Arial"/>
          <w:rtl/>
        </w:rPr>
        <w:t xml:space="preserve">[פורסם בנבו, 6.12.2015], פסקה 16); וכן עניין איאסו בפסקה 15, דגש לא במקור, י'ל'). </w:t>
      </w:r>
    </w:p>
    <w:p w14:paraId="26C91C79" w14:textId="77777777" w:rsidR="0034251D" w:rsidRDefault="0034251D" w:rsidP="00D348D9">
      <w:pPr>
        <w:spacing w:line="360" w:lineRule="auto"/>
        <w:rPr>
          <w:rFonts w:ascii="Arial" w:hAnsi="Arial"/>
          <w:rtl/>
        </w:rPr>
      </w:pPr>
    </w:p>
    <w:p w14:paraId="0C560495" w14:textId="77777777" w:rsidR="0034251D" w:rsidRDefault="0034251D" w:rsidP="00D348D9">
      <w:pPr>
        <w:spacing w:line="360" w:lineRule="auto"/>
        <w:ind w:left="652" w:hanging="652"/>
        <w:jc w:val="both"/>
        <w:rPr>
          <w:rFonts w:ascii="Arial" w:hAnsi="Arial"/>
          <w:rtl/>
        </w:rPr>
      </w:pPr>
      <w:r>
        <w:rPr>
          <w:rFonts w:ascii="Arial" w:hAnsi="Arial"/>
          <w:rtl/>
        </w:rPr>
        <w:t>29.</w:t>
      </w:r>
      <w:r>
        <w:rPr>
          <w:rFonts w:ascii="Arial" w:hAnsi="Arial"/>
          <w:rtl/>
        </w:rPr>
        <w:tab/>
        <w:t xml:space="preserve">הנה כי כן, אף אם ניישם את מבחן הרציונל נגיע למסקנה זהה בדבר תחולתו של המאסר המותנה. הערכים המוגנים עליהם ביקש בית משפט השלום להגן באמצעות עבירת התנאי –עבירת אלימות– הם אותם ערכים בהם פגע הנאשם כשהחזיק את הנשק. המדובר בערכים של הגנה על חיי אדם, שלמות הגוף ושלום הציבור. </w:t>
      </w:r>
    </w:p>
    <w:p w14:paraId="5AFA8B90" w14:textId="77777777" w:rsidR="0034251D" w:rsidRDefault="0034251D" w:rsidP="00D348D9">
      <w:pPr>
        <w:spacing w:line="360" w:lineRule="auto"/>
        <w:ind w:left="652" w:hanging="652"/>
        <w:rPr>
          <w:rFonts w:ascii="Arial" w:hAnsi="Arial"/>
          <w:rtl/>
        </w:rPr>
      </w:pPr>
      <w:r>
        <w:rPr>
          <w:rFonts w:ascii="Arial" w:hAnsi="Arial"/>
          <w:rtl/>
        </w:rPr>
        <w:tab/>
      </w:r>
    </w:p>
    <w:p w14:paraId="58C8FF6F" w14:textId="77777777" w:rsidR="0034251D" w:rsidRDefault="0034251D" w:rsidP="00D348D9">
      <w:pPr>
        <w:spacing w:line="360" w:lineRule="auto"/>
        <w:ind w:left="652" w:hanging="652"/>
        <w:rPr>
          <w:rFonts w:ascii="Arial" w:hAnsi="Arial"/>
          <w:rtl/>
        </w:rPr>
      </w:pPr>
      <w:r>
        <w:rPr>
          <w:rFonts w:ascii="Arial" w:hAnsi="Arial"/>
          <w:rtl/>
        </w:rPr>
        <w:t>30.</w:t>
      </w:r>
      <w:r>
        <w:rPr>
          <w:rFonts w:ascii="Arial" w:hAnsi="Arial"/>
          <w:rtl/>
        </w:rPr>
        <w:tab/>
        <w:t xml:space="preserve">מכל הטעמים שפורטו מעלה, דהיינו הן על בסיס המבחן המהותי והן על בסיס מבחן הרציונל (מבחן הערכים המוגנים) סבורני כי יש מקום גם להפעיל את ההתחייבות הכספית שהוטלה על הנאשם במסגרת </w:t>
      </w:r>
      <w:r w:rsidR="00466323" w:rsidRPr="00D22436">
        <w:rPr>
          <w:rFonts w:ascii="Arial" w:hAnsi="Arial"/>
          <w:rtl/>
        </w:rPr>
        <w:t>ת"פ 16256-02-17</w:t>
      </w:r>
      <w:r>
        <w:rPr>
          <w:rFonts w:ascii="Arial" w:hAnsi="Arial"/>
          <w:rtl/>
        </w:rPr>
        <w:t xml:space="preserve">, אשר במסגרתה התחייב "שלא לעבור כל עבירת אלימות". </w:t>
      </w:r>
    </w:p>
    <w:p w14:paraId="31FC2349" w14:textId="77777777" w:rsidR="0034251D" w:rsidRDefault="0034251D" w:rsidP="00D348D9">
      <w:pPr>
        <w:spacing w:line="360" w:lineRule="auto"/>
        <w:ind w:left="652" w:hanging="652"/>
        <w:rPr>
          <w:rFonts w:ascii="Arial" w:hAnsi="Arial"/>
          <w:rtl/>
        </w:rPr>
      </w:pPr>
    </w:p>
    <w:p w14:paraId="30E278D1" w14:textId="77777777" w:rsidR="0034251D" w:rsidRDefault="0034251D" w:rsidP="00D348D9">
      <w:pPr>
        <w:spacing w:line="360" w:lineRule="auto"/>
        <w:ind w:left="652" w:hanging="652"/>
        <w:jc w:val="both"/>
        <w:rPr>
          <w:rFonts w:ascii="Arial" w:hAnsi="Arial"/>
          <w:rtl/>
        </w:rPr>
      </w:pPr>
      <w:r>
        <w:rPr>
          <w:rFonts w:ascii="Arial" w:hAnsi="Arial"/>
          <w:rtl/>
        </w:rPr>
        <w:t>31.</w:t>
      </w:r>
      <w:r>
        <w:rPr>
          <w:rFonts w:ascii="Arial" w:hAnsi="Arial"/>
          <w:rtl/>
        </w:rPr>
        <w:tab/>
        <w:t xml:space="preserve">שאלה נפרדת שעלתה במסגרת הטיעונים לעונש היא שאלת אופן הפעלת המאסר המותנה, מקום בו ימצא כי המאסר המותנה הוא אכן בר הפעלה. ב"כ הנאשם טען כי במקרה שכזה יש מקום לחפיפת המאסר המותנה וזאת משום שלא היה מודע לקיומו של המאסר המותנה עד לתחילת הדיון בטיעונים לעונש, כאשר הבהיר כי אף במלך המשא ומתן שהתנהל בין הצדדים לא הוזכר המאסר המותנה. </w:t>
      </w:r>
    </w:p>
    <w:p w14:paraId="7B41C6D5" w14:textId="77777777" w:rsidR="0034251D" w:rsidRDefault="0034251D" w:rsidP="00D348D9">
      <w:pPr>
        <w:spacing w:line="360" w:lineRule="auto"/>
        <w:ind w:left="652" w:hanging="652"/>
        <w:rPr>
          <w:rFonts w:ascii="Arial" w:hAnsi="Arial"/>
          <w:rtl/>
        </w:rPr>
      </w:pPr>
    </w:p>
    <w:p w14:paraId="2575E293" w14:textId="77777777" w:rsidR="0034251D" w:rsidRDefault="0034251D" w:rsidP="00D348D9">
      <w:pPr>
        <w:spacing w:line="360" w:lineRule="auto"/>
        <w:ind w:left="652" w:hanging="652"/>
        <w:jc w:val="both"/>
        <w:rPr>
          <w:rFonts w:ascii="Arial" w:hAnsi="Arial"/>
          <w:rtl/>
        </w:rPr>
      </w:pPr>
      <w:r>
        <w:rPr>
          <w:rFonts w:ascii="Arial" w:hAnsi="Arial"/>
          <w:rtl/>
        </w:rPr>
        <w:tab/>
      </w:r>
      <w:hyperlink r:id="rId59" w:history="1">
        <w:r w:rsidR="00DE7380" w:rsidRPr="00DE7380">
          <w:rPr>
            <w:rFonts w:ascii="Arial" w:hAnsi="Arial"/>
            <w:color w:val="0000FF"/>
            <w:u w:val="single"/>
            <w:rtl/>
          </w:rPr>
          <w:t>סעיף 58</w:t>
        </w:r>
      </w:hyperlink>
      <w:r>
        <w:rPr>
          <w:rFonts w:ascii="Arial" w:hAnsi="Arial"/>
          <w:rtl/>
        </w:rPr>
        <w:t xml:space="preserve"> ל</w:t>
      </w:r>
      <w:hyperlink r:id="rId60" w:history="1">
        <w:r w:rsidR="00466323" w:rsidRPr="00466323">
          <w:rPr>
            <w:rFonts w:ascii="Arial" w:hAnsi="Arial"/>
            <w:color w:val="0000FF"/>
            <w:u w:val="single"/>
            <w:rtl/>
          </w:rPr>
          <w:t>חוק העונשין</w:t>
        </w:r>
      </w:hyperlink>
      <w:r>
        <w:rPr>
          <w:rFonts w:ascii="Arial" w:hAnsi="Arial"/>
          <w:rtl/>
        </w:rPr>
        <w:t xml:space="preserve"> קובע כלל ולפיו "</w:t>
      </w:r>
      <w:r>
        <w:rPr>
          <w:rFonts w:ascii="Arial" w:hAnsi="Arial"/>
          <w:b/>
          <w:bCs/>
          <w:rtl/>
        </w:rPr>
        <w:t>מי שהוטל עליו עונש מאסר בשל עבירה נוספת והופעל נגדו עונש המאסר על תנאי, ישא, על אף האמור בסעיף 45, את שתי תקופות המאסר בזו אחר זו, זולת אם בית המשפט שהרשיעו בשל העבירה הנוספת ציווה, מטעמים שירשמו, ששתי התקופות כולן או מקצתן יהיו חופפות</w:t>
      </w:r>
      <w:r>
        <w:rPr>
          <w:rFonts w:ascii="Arial" w:hAnsi="Arial"/>
          <w:rtl/>
        </w:rPr>
        <w:t xml:space="preserve">". </w:t>
      </w:r>
    </w:p>
    <w:p w14:paraId="3681EB5C" w14:textId="77777777" w:rsidR="0034251D" w:rsidRDefault="0034251D" w:rsidP="00D348D9">
      <w:pPr>
        <w:spacing w:line="360" w:lineRule="auto"/>
        <w:ind w:left="652" w:hanging="652"/>
        <w:rPr>
          <w:rFonts w:ascii="Arial" w:hAnsi="Arial"/>
          <w:rtl/>
        </w:rPr>
      </w:pPr>
    </w:p>
    <w:p w14:paraId="312EE69D" w14:textId="77777777" w:rsidR="0034251D" w:rsidRDefault="0034251D" w:rsidP="00D348D9">
      <w:pPr>
        <w:spacing w:line="360" w:lineRule="auto"/>
        <w:ind w:left="652" w:hanging="652"/>
        <w:jc w:val="both"/>
        <w:rPr>
          <w:rFonts w:ascii="Arial" w:hAnsi="Arial"/>
          <w:rtl/>
        </w:rPr>
      </w:pPr>
      <w:r>
        <w:rPr>
          <w:rFonts w:ascii="Arial" w:hAnsi="Arial"/>
          <w:rtl/>
        </w:rPr>
        <w:tab/>
        <w:t xml:space="preserve">נוכח האמור, נראה כי יש להורות על הפעלת המאסר המותנה במצטבר לעונש המאסר שיוטל על הנאשם במסגרת התיק שבכותרת. </w:t>
      </w:r>
    </w:p>
    <w:p w14:paraId="6F51E5BB" w14:textId="77777777" w:rsidR="0034251D" w:rsidRDefault="0034251D" w:rsidP="00D348D9">
      <w:pPr>
        <w:spacing w:line="360" w:lineRule="auto"/>
        <w:ind w:left="652" w:hanging="652"/>
        <w:rPr>
          <w:rFonts w:ascii="Arial" w:hAnsi="Arial"/>
          <w:rtl/>
        </w:rPr>
      </w:pPr>
    </w:p>
    <w:p w14:paraId="33E728D3" w14:textId="77777777" w:rsidR="0034251D" w:rsidRDefault="0034251D" w:rsidP="005E215D">
      <w:pPr>
        <w:spacing w:line="360" w:lineRule="auto"/>
        <w:ind w:left="652" w:hanging="652"/>
        <w:jc w:val="both"/>
        <w:rPr>
          <w:rFonts w:ascii="Arial" w:hAnsi="Arial"/>
          <w:rtl/>
        </w:rPr>
      </w:pPr>
      <w:r>
        <w:rPr>
          <w:rFonts w:ascii="Arial" w:hAnsi="Arial"/>
          <w:rtl/>
        </w:rPr>
        <w:tab/>
        <w:t xml:space="preserve">לטעמי אין מקום לקבל את טענת הסנגור לחפיפת המאסר המותנה למאסר שיוטל בשל כך שלא היה מודע לקיומו עד למועד הטיעונים לעונש. ב"כ הנאשם אישר כי המאסר המותנה מצוין במסגרת הרישום הפלילי שהעתקו הועבר לעיונו, ומכאן שאין לב"כ הנאשם להלין אלא על עצמו בעניין זה. </w:t>
      </w:r>
    </w:p>
    <w:p w14:paraId="46160416" w14:textId="77777777" w:rsidR="0034251D" w:rsidRDefault="0034251D" w:rsidP="00D348D9">
      <w:pPr>
        <w:spacing w:line="360" w:lineRule="auto"/>
        <w:ind w:left="652" w:hanging="652"/>
        <w:rPr>
          <w:rFonts w:ascii="Arial" w:hAnsi="Arial"/>
          <w:rtl/>
        </w:rPr>
      </w:pPr>
    </w:p>
    <w:p w14:paraId="55A7AD3D" w14:textId="77777777" w:rsidR="0034251D" w:rsidRDefault="0034251D" w:rsidP="00D348D9">
      <w:pPr>
        <w:spacing w:line="360" w:lineRule="auto"/>
        <w:ind w:left="652" w:hanging="652"/>
        <w:jc w:val="both"/>
        <w:rPr>
          <w:rFonts w:ascii="Arial" w:hAnsi="Arial"/>
          <w:rtl/>
        </w:rPr>
      </w:pPr>
      <w:r>
        <w:rPr>
          <w:rFonts w:ascii="Arial" w:hAnsi="Arial"/>
          <w:rtl/>
        </w:rPr>
        <w:tab/>
        <w:t xml:space="preserve">יחד עם זאת, אם מצאתי לחפוף באופן משמעותי את המאסר המותנה למאסר שיוטל על הנאשם במסגרת התיק שבכותרת, הרי שהדבר נעשה בשל הזיקה הלא מובהקת שבין עבירת התנאי לעבירה המפעילה (ראו </w:t>
      </w:r>
      <w:hyperlink r:id="rId61" w:history="1">
        <w:r w:rsidR="00466323" w:rsidRPr="00466323">
          <w:rPr>
            <w:rFonts w:ascii="Arial" w:hAnsi="Arial"/>
            <w:color w:val="0000FF"/>
            <w:u w:val="single"/>
            <w:rtl/>
          </w:rPr>
          <w:t>ע"פ 2336/16</w:t>
        </w:r>
      </w:hyperlink>
      <w:r>
        <w:rPr>
          <w:rFonts w:ascii="Arial" w:hAnsi="Arial"/>
          <w:rtl/>
        </w:rPr>
        <w:t xml:space="preserve"> </w:t>
      </w:r>
      <w:r>
        <w:rPr>
          <w:rFonts w:ascii="Arial" w:hAnsi="Arial"/>
          <w:b/>
          <w:bCs/>
          <w:rtl/>
        </w:rPr>
        <w:t>ריאד מזראייב נגד מדינת ישראל</w:t>
      </w:r>
      <w:r>
        <w:rPr>
          <w:rFonts w:ascii="Arial" w:hAnsi="Arial"/>
          <w:rtl/>
        </w:rPr>
        <w:t xml:space="preserve"> [פורסם בנבו, 14.12.2017], פסקה 32) ובשל כך שהודה הנאשם במיוחס לו ולקח אחריות על מעשיו. </w:t>
      </w:r>
    </w:p>
    <w:p w14:paraId="1CADD08F" w14:textId="77777777" w:rsidR="0034251D" w:rsidRDefault="0034251D" w:rsidP="00D348D9">
      <w:pPr>
        <w:spacing w:line="360" w:lineRule="auto"/>
        <w:ind w:left="652" w:hanging="709"/>
        <w:jc w:val="both"/>
        <w:rPr>
          <w:rFonts w:ascii="Arial" w:hAnsi="Arial"/>
          <w:rtl/>
        </w:rPr>
      </w:pPr>
    </w:p>
    <w:p w14:paraId="5326B7CB" w14:textId="77777777" w:rsidR="0034251D" w:rsidRDefault="0034251D" w:rsidP="00D348D9">
      <w:pPr>
        <w:spacing w:line="360" w:lineRule="auto"/>
        <w:ind w:left="652" w:hanging="709"/>
        <w:jc w:val="both"/>
        <w:rPr>
          <w:rFonts w:ascii="Arial" w:hAnsi="Arial"/>
          <w:rtl/>
        </w:rPr>
      </w:pPr>
    </w:p>
    <w:p w14:paraId="0F65C948" w14:textId="77777777" w:rsidR="0034251D" w:rsidRDefault="0034251D" w:rsidP="00D348D9">
      <w:pPr>
        <w:spacing w:line="360" w:lineRule="auto"/>
        <w:ind w:left="652" w:hanging="709"/>
        <w:jc w:val="both"/>
        <w:rPr>
          <w:rtl/>
        </w:rPr>
      </w:pPr>
      <w:r>
        <w:rPr>
          <w:rtl/>
        </w:rPr>
        <w:t>32.</w:t>
      </w:r>
      <w:r>
        <w:rPr>
          <w:rtl/>
        </w:rPr>
        <w:tab/>
        <w:t>לאור כל האמור לעיל, אני גוזר על הנאשם את העונשים הבאים:</w:t>
      </w:r>
    </w:p>
    <w:p w14:paraId="4EE77D29" w14:textId="77777777" w:rsidR="0034251D" w:rsidRDefault="0034251D" w:rsidP="000F0A96">
      <w:pPr>
        <w:spacing w:line="360" w:lineRule="auto"/>
        <w:ind w:left="652"/>
        <w:contextualSpacing/>
        <w:jc w:val="both"/>
        <w:rPr>
          <w:rtl/>
        </w:rPr>
      </w:pPr>
      <w:r>
        <w:rPr>
          <w:rtl/>
        </w:rPr>
        <w:t>א.</w:t>
      </w:r>
      <w:r>
        <w:rPr>
          <w:rtl/>
        </w:rPr>
        <w:tab/>
        <w:t xml:space="preserve">22 חודשי מאסר בפועל.  </w:t>
      </w:r>
    </w:p>
    <w:p w14:paraId="21B97BF7" w14:textId="77777777" w:rsidR="0034251D" w:rsidRDefault="0034251D" w:rsidP="00D348D9">
      <w:pPr>
        <w:spacing w:line="360" w:lineRule="auto"/>
        <w:ind w:left="652"/>
        <w:contextualSpacing/>
        <w:jc w:val="both"/>
      </w:pPr>
    </w:p>
    <w:p w14:paraId="63D5860D" w14:textId="77777777" w:rsidR="0034251D" w:rsidRPr="005E215D" w:rsidRDefault="0034251D" w:rsidP="000F0A96">
      <w:pPr>
        <w:spacing w:line="360" w:lineRule="auto"/>
        <w:ind w:left="1440" w:hanging="788"/>
        <w:contextualSpacing/>
        <w:jc w:val="both"/>
      </w:pPr>
      <w:r>
        <w:rPr>
          <w:rtl/>
        </w:rPr>
        <w:t>ב.</w:t>
      </w:r>
      <w:r>
        <w:rPr>
          <w:rtl/>
        </w:rPr>
        <w:tab/>
        <w:t>אני מפעיל את המאסר המותנה בן 4 חודשים מ</w:t>
      </w:r>
      <w:r w:rsidR="00466323" w:rsidRPr="00D22436">
        <w:rPr>
          <w:rtl/>
        </w:rPr>
        <w:t>ת"פ 16256-02-17</w:t>
      </w:r>
      <w:r>
        <w:rPr>
          <w:rtl/>
        </w:rPr>
        <w:t xml:space="preserve"> באופן שמחציתו תרוצה במצטבר לעונש המאסר שהוטל על הנאשם במסגרת תיק זה, ומחציתו תרוצה בחופף. </w:t>
      </w:r>
      <w:r>
        <w:rPr>
          <w:b/>
          <w:bCs/>
          <w:rtl/>
        </w:rPr>
        <w:t xml:space="preserve">     </w:t>
      </w:r>
    </w:p>
    <w:p w14:paraId="118479F7" w14:textId="77777777" w:rsidR="0034251D" w:rsidRDefault="0034251D" w:rsidP="000F0A96">
      <w:pPr>
        <w:spacing w:line="360" w:lineRule="auto"/>
        <w:ind w:left="663" w:firstLine="777"/>
        <w:contextualSpacing/>
        <w:jc w:val="both"/>
        <w:rPr>
          <w:rtl/>
        </w:rPr>
      </w:pPr>
      <w:r>
        <w:rPr>
          <w:b/>
          <w:bCs/>
          <w:rtl/>
        </w:rPr>
        <w:t>סך הכל ירצה הנאשם 24 חודשי מאסר בפועל החל מיום המעצר</w:t>
      </w:r>
      <w:r>
        <w:rPr>
          <w:rtl/>
        </w:rPr>
        <w:t>.</w:t>
      </w:r>
    </w:p>
    <w:p w14:paraId="2247B905" w14:textId="77777777" w:rsidR="0034251D" w:rsidRDefault="0034251D" w:rsidP="00D348D9">
      <w:pPr>
        <w:spacing w:line="360" w:lineRule="auto"/>
        <w:ind w:left="652"/>
        <w:contextualSpacing/>
        <w:jc w:val="both"/>
      </w:pPr>
    </w:p>
    <w:p w14:paraId="3491C8D0" w14:textId="77777777" w:rsidR="0034251D" w:rsidRDefault="0034251D" w:rsidP="000F0A96">
      <w:pPr>
        <w:spacing w:line="360" w:lineRule="auto"/>
        <w:ind w:left="1440" w:hanging="788"/>
        <w:jc w:val="both"/>
        <w:rPr>
          <w:rtl/>
        </w:rPr>
      </w:pPr>
      <w:r>
        <w:rPr>
          <w:rtl/>
        </w:rPr>
        <w:t>ג.</w:t>
      </w:r>
      <w:r>
        <w:rPr>
          <w:rtl/>
        </w:rPr>
        <w:tab/>
        <w:t xml:space="preserve">12 חודשי מאסר על תנאי, לתקופה של 3 שנים מיום שחרורו מן המאסר, שהנאשם לא יעבור עבירת נשק לפי </w:t>
      </w:r>
      <w:hyperlink r:id="rId62" w:history="1">
        <w:r w:rsidR="00DE7380" w:rsidRPr="00DE7380">
          <w:rPr>
            <w:color w:val="0000FF"/>
            <w:u w:val="single"/>
            <w:rtl/>
          </w:rPr>
          <w:t>סעיף 144</w:t>
        </w:r>
      </w:hyperlink>
      <w:r>
        <w:rPr>
          <w:rtl/>
        </w:rPr>
        <w:t xml:space="preserve"> ל</w:t>
      </w:r>
      <w:hyperlink r:id="rId63" w:history="1">
        <w:r w:rsidR="00466323" w:rsidRPr="00466323">
          <w:rPr>
            <w:color w:val="0000FF"/>
            <w:u w:val="single"/>
            <w:rtl/>
          </w:rPr>
          <w:t>חוק העונשין</w:t>
        </w:r>
      </w:hyperlink>
      <w:r>
        <w:rPr>
          <w:rtl/>
        </w:rPr>
        <w:t xml:space="preserve"> על חלופותיו השונות. </w:t>
      </w:r>
    </w:p>
    <w:p w14:paraId="57D19ECA" w14:textId="77777777" w:rsidR="0034251D" w:rsidRDefault="0034251D" w:rsidP="00D348D9">
      <w:pPr>
        <w:spacing w:line="360" w:lineRule="auto"/>
        <w:ind w:left="652" w:hanging="709"/>
        <w:jc w:val="both"/>
        <w:rPr>
          <w:rtl/>
        </w:rPr>
      </w:pPr>
    </w:p>
    <w:p w14:paraId="1FC59350" w14:textId="77777777" w:rsidR="0034251D" w:rsidRDefault="0034251D" w:rsidP="000F0A96">
      <w:pPr>
        <w:spacing w:line="360" w:lineRule="auto"/>
        <w:ind w:left="1440" w:hanging="788"/>
        <w:jc w:val="both"/>
        <w:rPr>
          <w:rtl/>
        </w:rPr>
      </w:pPr>
      <w:r>
        <w:rPr>
          <w:rtl/>
        </w:rPr>
        <w:t>ד.</w:t>
      </w:r>
      <w:r>
        <w:rPr>
          <w:rtl/>
        </w:rPr>
        <w:tab/>
        <w:t xml:space="preserve">קנס בסך 3,000 ₪ או 20 ימי מאסר תמורתו. הקנס ישולם ב-5 שיעורים חודשיים שווים ורצופים, החל מיום 1.3.2020. </w:t>
      </w:r>
    </w:p>
    <w:p w14:paraId="79B11510" w14:textId="77777777" w:rsidR="0034251D" w:rsidRDefault="0034251D" w:rsidP="00D348D9">
      <w:pPr>
        <w:spacing w:line="360" w:lineRule="auto"/>
        <w:ind w:left="652" w:hanging="709"/>
        <w:jc w:val="both"/>
        <w:rPr>
          <w:rtl/>
        </w:rPr>
      </w:pPr>
    </w:p>
    <w:p w14:paraId="1981FF13" w14:textId="77777777" w:rsidR="0034251D" w:rsidRDefault="0034251D" w:rsidP="000F0A96">
      <w:pPr>
        <w:spacing w:line="360" w:lineRule="auto"/>
        <w:ind w:left="1440" w:hanging="788"/>
        <w:jc w:val="both"/>
        <w:rPr>
          <w:rtl/>
        </w:rPr>
      </w:pPr>
      <w:r>
        <w:rPr>
          <w:rtl/>
        </w:rPr>
        <w:t>ה.</w:t>
      </w:r>
      <w:r>
        <w:rPr>
          <w:rtl/>
        </w:rPr>
        <w:tab/>
        <w:t>אני מפעיל את ההתחייבות הכספית בת 5,000 ₪ מ</w:t>
      </w:r>
      <w:r w:rsidR="00466323" w:rsidRPr="00D22436">
        <w:rPr>
          <w:rtl/>
        </w:rPr>
        <w:t>ת"פ 16256-02-17</w:t>
      </w:r>
      <w:r>
        <w:rPr>
          <w:rtl/>
        </w:rPr>
        <w:t xml:space="preserve">. הנאשם ישלם סכום זה ב – 10 שיעורים חודשיים שווים ורצופים החל מיום 1.3.2020. </w:t>
      </w:r>
    </w:p>
    <w:p w14:paraId="2B2343E9" w14:textId="77777777" w:rsidR="0034251D" w:rsidRDefault="0034251D" w:rsidP="00D348D9">
      <w:pPr>
        <w:spacing w:line="360" w:lineRule="auto"/>
        <w:ind w:left="652" w:hanging="709"/>
        <w:jc w:val="both"/>
        <w:rPr>
          <w:rtl/>
        </w:rPr>
      </w:pPr>
    </w:p>
    <w:p w14:paraId="02F10A7B" w14:textId="77777777" w:rsidR="0034251D" w:rsidRDefault="0034251D" w:rsidP="00712CF9">
      <w:pPr>
        <w:spacing w:line="360" w:lineRule="auto"/>
        <w:ind w:left="652" w:hanging="709"/>
        <w:jc w:val="both"/>
        <w:rPr>
          <w:rtl/>
        </w:rPr>
      </w:pPr>
      <w:r>
        <w:rPr>
          <w:rtl/>
        </w:rPr>
        <w:t>ניתן בזאת צו להשמדת המוצגים– הנשק והמחסנית, וזאת בכפוף לחלוף תקופת הערעור.</w:t>
      </w:r>
    </w:p>
    <w:p w14:paraId="742BB313" w14:textId="77777777" w:rsidR="0034251D" w:rsidRDefault="0034251D" w:rsidP="00D348D9">
      <w:pPr>
        <w:spacing w:line="360" w:lineRule="auto"/>
        <w:ind w:left="652" w:hanging="709"/>
        <w:jc w:val="both"/>
        <w:rPr>
          <w:rFonts w:ascii="Times New Roman" w:hAnsi="Times New Roman"/>
          <w:rtl/>
        </w:rPr>
      </w:pPr>
    </w:p>
    <w:p w14:paraId="4B81C80E" w14:textId="77777777" w:rsidR="0034251D" w:rsidRDefault="0034251D" w:rsidP="00D348D9">
      <w:pPr>
        <w:spacing w:line="360" w:lineRule="auto"/>
        <w:ind w:left="652" w:hanging="709"/>
        <w:jc w:val="both"/>
        <w:rPr>
          <w:b/>
          <w:bCs/>
          <w:rtl/>
        </w:rPr>
      </w:pPr>
      <w:r>
        <w:rPr>
          <w:b/>
          <w:bCs/>
          <w:rtl/>
        </w:rPr>
        <w:t xml:space="preserve">זכות ערעור לבית המשפט העליון בתוך 45 יום. </w:t>
      </w:r>
    </w:p>
    <w:p w14:paraId="4CE49E12" w14:textId="77777777" w:rsidR="0034251D" w:rsidRDefault="0034251D" w:rsidP="00D348D9">
      <w:pPr>
        <w:spacing w:line="360" w:lineRule="auto"/>
        <w:ind w:left="652" w:hanging="709"/>
        <w:jc w:val="both"/>
        <w:rPr>
          <w:b/>
          <w:bCs/>
          <w:sz w:val="6"/>
          <w:szCs w:val="6"/>
          <w:rtl/>
        </w:rPr>
      </w:pPr>
      <w:r>
        <w:rPr>
          <w:b/>
          <w:bCs/>
          <w:sz w:val="6"/>
          <w:szCs w:val="6"/>
          <w:rtl/>
        </w:rPr>
        <w:t>&lt;#3#&gt;</w:t>
      </w:r>
    </w:p>
    <w:p w14:paraId="79910256" w14:textId="77777777" w:rsidR="0034251D" w:rsidRDefault="0034251D" w:rsidP="003B08F6">
      <w:pPr>
        <w:rPr>
          <w:rtl/>
        </w:rPr>
      </w:pPr>
    </w:p>
    <w:p w14:paraId="4B13895D" w14:textId="77777777" w:rsidR="0034251D" w:rsidRDefault="00466323" w:rsidP="003B08F6">
      <w:pPr>
        <w:rPr>
          <w:rtl/>
        </w:rPr>
      </w:pPr>
      <w:bookmarkStart w:id="8" w:name="Nitan"/>
      <w:r>
        <w:rPr>
          <w:b/>
          <w:bCs/>
          <w:rtl/>
        </w:rPr>
        <w:t xml:space="preserve">ניתנה והודעה היום ט"ו טבת תש"פ, 12/01/2020 במעמד הנוכחים. </w:t>
      </w:r>
      <w:bookmarkEnd w:id="8"/>
    </w:p>
    <w:p w14:paraId="478992D2" w14:textId="77777777" w:rsidR="00466323" w:rsidRPr="00466323" w:rsidRDefault="00466323" w:rsidP="000F0A96">
      <w:pPr>
        <w:jc w:val="both"/>
        <w:rPr>
          <w:color w:val="FFFFFF"/>
          <w:sz w:val="2"/>
          <w:szCs w:val="2"/>
          <w:rtl/>
        </w:rPr>
      </w:pPr>
      <w:r w:rsidRPr="00466323">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66323" w14:paraId="79DB9014" w14:textId="77777777" w:rsidTr="004B7149">
        <w:trPr>
          <w:trHeight w:val="316"/>
          <w:jc w:val="right"/>
        </w:trPr>
        <w:tc>
          <w:tcPr>
            <w:tcW w:w="3936" w:type="dxa"/>
            <w:vAlign w:val="bottom"/>
          </w:tcPr>
          <w:p w14:paraId="03D25A8F" w14:textId="77777777" w:rsidR="00466323" w:rsidRPr="00466323" w:rsidRDefault="00466323" w:rsidP="004B7149">
            <w:pPr>
              <w:jc w:val="center"/>
              <w:rPr>
                <w:rFonts w:ascii="Times New Roman" w:hAnsi="Times New Roman" w:cs="Times New Roman"/>
                <w:color w:val="FFFFFF"/>
                <w:sz w:val="2"/>
                <w:szCs w:val="2"/>
              </w:rPr>
            </w:pPr>
            <w:r w:rsidRPr="00466323">
              <w:rPr>
                <w:rFonts w:ascii="Times New Roman" w:hAnsi="Times New Roman" w:cs="Times New Roman"/>
                <w:color w:val="FFFFFF"/>
                <w:sz w:val="2"/>
                <w:szCs w:val="2"/>
                <w:rtl/>
              </w:rPr>
              <w:t>54678313</w:t>
            </w:r>
          </w:p>
          <w:p w14:paraId="37E8D260" w14:textId="77777777" w:rsidR="00466323" w:rsidRPr="00034CF9" w:rsidRDefault="00466323" w:rsidP="004B7149">
            <w:pPr>
              <w:jc w:val="center"/>
              <w:rPr>
                <w:rFonts w:ascii="Times New Roman" w:hAnsi="Times New Roman" w:cs="Times New Roman"/>
                <w:rtl/>
              </w:rPr>
            </w:pPr>
          </w:p>
        </w:tc>
      </w:tr>
      <w:tr w:rsidR="00466323" w14:paraId="039121F8" w14:textId="77777777" w:rsidTr="004B7149">
        <w:trPr>
          <w:trHeight w:val="361"/>
          <w:jc w:val="right"/>
        </w:trPr>
        <w:tc>
          <w:tcPr>
            <w:tcW w:w="3936" w:type="dxa"/>
          </w:tcPr>
          <w:p w14:paraId="77333BFC" w14:textId="77777777" w:rsidR="00466323" w:rsidRPr="00034CF9" w:rsidRDefault="00466323" w:rsidP="004B7149">
            <w:pPr>
              <w:jc w:val="center"/>
              <w:rPr>
                <w:rFonts w:ascii="Times New Roman" w:hAnsi="Times New Roman"/>
                <w:b/>
                <w:bCs/>
                <w:rtl/>
              </w:rPr>
            </w:pPr>
            <w:r w:rsidRPr="00034CF9">
              <w:rPr>
                <w:rFonts w:ascii="Times New Roman" w:hAnsi="Times New Roman"/>
                <w:b/>
                <w:bCs/>
                <w:rtl/>
              </w:rPr>
              <w:t>יובל ליבדרו, שופט</w:t>
            </w:r>
          </w:p>
        </w:tc>
      </w:tr>
    </w:tbl>
    <w:p w14:paraId="71D0DE77" w14:textId="77777777" w:rsidR="0034251D" w:rsidRPr="000F0A96" w:rsidRDefault="0034251D" w:rsidP="000F0A96">
      <w:pPr>
        <w:jc w:val="both"/>
        <w:rPr>
          <w:rtl/>
        </w:rPr>
      </w:pPr>
      <w:r>
        <w:rPr>
          <w:rtl/>
        </w:rPr>
        <w:t xml:space="preserve"> </w:t>
      </w:r>
    </w:p>
    <w:p w14:paraId="74F35DFC" w14:textId="77777777" w:rsidR="0034251D" w:rsidRPr="00466323" w:rsidRDefault="0034251D" w:rsidP="00466323">
      <w:pPr>
        <w:keepNext/>
        <w:rPr>
          <w:color w:val="000000"/>
          <w:sz w:val="22"/>
          <w:szCs w:val="22"/>
        </w:rPr>
      </w:pPr>
      <w:r>
        <w:rPr>
          <w:rtl/>
        </w:rPr>
        <w:t>הוקלד</w:t>
      </w:r>
      <w:r>
        <w:t xml:space="preserve"> </w:t>
      </w:r>
      <w:r>
        <w:rPr>
          <w:rtl/>
        </w:rPr>
        <w:t>על</w:t>
      </w:r>
      <w:r>
        <w:t xml:space="preserve"> </w:t>
      </w:r>
      <w:r>
        <w:rPr>
          <w:rtl/>
        </w:rPr>
        <w:t>ידי</w:t>
      </w:r>
      <w:r>
        <w:t xml:space="preserve"> </w:t>
      </w:r>
      <w:r>
        <w:rPr>
          <w:rtl/>
        </w:rPr>
        <w:t>קורין</w:t>
      </w:r>
      <w:r>
        <w:t xml:space="preserve"> </w:t>
      </w:r>
      <w:r>
        <w:rPr>
          <w:rtl/>
        </w:rPr>
        <w:t>בן</w:t>
      </w:r>
      <w:r>
        <w:t xml:space="preserve"> </w:t>
      </w:r>
      <w:r>
        <w:rPr>
          <w:rtl/>
        </w:rPr>
        <w:t>שבת</w:t>
      </w:r>
    </w:p>
    <w:p w14:paraId="376975F9" w14:textId="77777777" w:rsidR="00466323" w:rsidRPr="00466323" w:rsidRDefault="00466323" w:rsidP="00466323">
      <w:pPr>
        <w:keepNext/>
        <w:rPr>
          <w:color w:val="000000"/>
          <w:sz w:val="22"/>
          <w:szCs w:val="22"/>
          <w:rtl/>
        </w:rPr>
      </w:pPr>
      <w:r w:rsidRPr="00466323">
        <w:rPr>
          <w:color w:val="000000"/>
          <w:sz w:val="22"/>
          <w:szCs w:val="22"/>
          <w:rtl/>
        </w:rPr>
        <w:t>יובל ליבדרו 54678313</w:t>
      </w:r>
    </w:p>
    <w:p w14:paraId="63DF9ACF" w14:textId="77777777" w:rsidR="00466323" w:rsidRDefault="00466323" w:rsidP="00466323">
      <w:r w:rsidRPr="00466323">
        <w:rPr>
          <w:color w:val="000000"/>
          <w:rtl/>
        </w:rPr>
        <w:t>נוסח מסמך זה כפוף לשינויי ניסוח ועריכה</w:t>
      </w:r>
    </w:p>
    <w:p w14:paraId="1442F0BC" w14:textId="77777777" w:rsidR="00466323" w:rsidRDefault="00466323" w:rsidP="00466323">
      <w:pPr>
        <w:rPr>
          <w:rtl/>
        </w:rPr>
      </w:pPr>
    </w:p>
    <w:p w14:paraId="671A2799" w14:textId="77777777" w:rsidR="00466323" w:rsidRDefault="00466323" w:rsidP="00466323">
      <w:pPr>
        <w:jc w:val="center"/>
        <w:rPr>
          <w:color w:val="0000FF"/>
          <w:u w:val="single"/>
        </w:rPr>
      </w:pPr>
      <w:hyperlink r:id="rId64" w:history="1">
        <w:r>
          <w:rPr>
            <w:color w:val="0000FF"/>
            <w:u w:val="single"/>
            <w:rtl/>
          </w:rPr>
          <w:t>בעניין עריכה ושינויים במסמכי פסיקה, חקיקה ועוד באתר נבו – הקש כאן</w:t>
        </w:r>
      </w:hyperlink>
    </w:p>
    <w:p w14:paraId="716E0779" w14:textId="77777777" w:rsidR="00466323" w:rsidRPr="00466323" w:rsidRDefault="00466323" w:rsidP="00466323">
      <w:pPr>
        <w:jc w:val="center"/>
        <w:rPr>
          <w:color w:val="0000FF"/>
          <w:u w:val="single"/>
        </w:rPr>
      </w:pPr>
    </w:p>
    <w:sectPr w:rsidR="00466323" w:rsidRPr="00466323" w:rsidSect="00466323">
      <w:headerReference w:type="even" r:id="rId65"/>
      <w:headerReference w:type="default" r:id="rId66"/>
      <w:footerReference w:type="even" r:id="rId67"/>
      <w:footerReference w:type="default" r:id="rId68"/>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E176F" w14:textId="77777777" w:rsidR="00D8796D" w:rsidRDefault="00D8796D">
      <w:r>
        <w:separator/>
      </w:r>
    </w:p>
  </w:endnote>
  <w:endnote w:type="continuationSeparator" w:id="0">
    <w:p w14:paraId="20A0A7E5" w14:textId="77777777" w:rsidR="00D8796D" w:rsidRDefault="00D87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88C51" w14:textId="77777777" w:rsidR="004A5864" w:rsidRDefault="004A5864" w:rsidP="0046632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667BD4C4" w14:textId="77777777" w:rsidR="004A5864" w:rsidRPr="00466323" w:rsidRDefault="004A5864" w:rsidP="00466323">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85D3" w14:textId="77777777" w:rsidR="004A5864" w:rsidRDefault="004A5864" w:rsidP="00466323">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834B88">
      <w:rPr>
        <w:rFonts w:ascii="FrankRuehl" w:hAnsi="FrankRuehl" w:cs="FrankRuehl"/>
        <w:noProof/>
        <w:rtl/>
      </w:rPr>
      <w:t>1</w:t>
    </w:r>
    <w:r>
      <w:rPr>
        <w:rFonts w:ascii="FrankRuehl" w:hAnsi="FrankRuehl" w:cs="FrankRuehl"/>
        <w:rtl/>
      </w:rPr>
      <w:fldChar w:fldCharType="end"/>
    </w:r>
  </w:p>
  <w:p w14:paraId="157ECDC4" w14:textId="77777777" w:rsidR="004A5864" w:rsidRPr="00466323" w:rsidRDefault="004A5864" w:rsidP="00466323">
    <w:pPr>
      <w:pStyle w:val="a4"/>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05E97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FDB06" w14:textId="77777777" w:rsidR="00D8796D" w:rsidRDefault="00D8796D">
      <w:r>
        <w:separator/>
      </w:r>
    </w:p>
  </w:footnote>
  <w:footnote w:type="continuationSeparator" w:id="0">
    <w:p w14:paraId="4FF37D73" w14:textId="77777777" w:rsidR="00D8796D" w:rsidRDefault="00D87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81890" w14:textId="77777777" w:rsidR="004A5864" w:rsidRPr="00466323" w:rsidRDefault="004A5864" w:rsidP="0046632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54607-07-19</w:t>
    </w:r>
    <w:r>
      <w:rPr>
        <w:color w:val="000000"/>
        <w:sz w:val="22"/>
        <w:szCs w:val="22"/>
        <w:rtl/>
      </w:rPr>
      <w:tab/>
      <w:t xml:space="preserve"> מדינת ישראל נ' יעקוב ג'בור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674A" w14:textId="77777777" w:rsidR="004A5864" w:rsidRPr="00466323" w:rsidRDefault="004A5864" w:rsidP="0046632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54607-07-19</w:t>
    </w:r>
    <w:r>
      <w:rPr>
        <w:color w:val="000000"/>
        <w:sz w:val="22"/>
        <w:szCs w:val="22"/>
        <w:rtl/>
      </w:rPr>
      <w:tab/>
      <w:t xml:space="preserve"> מדינת ישראל נ' יעקוב ג'בור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50651"/>
    <w:multiLevelType w:val="hybridMultilevel"/>
    <w:tmpl w:val="E5601360"/>
    <w:lvl w:ilvl="0" w:tplc="654EE976">
      <w:start w:val="1"/>
      <w:numFmt w:val="hebrew1"/>
      <w:lvlText w:val="%1."/>
      <w:lvlJc w:val="left"/>
      <w:pPr>
        <w:ind w:left="2858" w:hanging="720"/>
      </w:pPr>
      <w:rPr>
        <w:rFonts w:cs="Times New Roman"/>
        <w:szCs w:val="24"/>
      </w:rPr>
    </w:lvl>
    <w:lvl w:ilvl="1" w:tplc="04090019">
      <w:start w:val="1"/>
      <w:numFmt w:val="lowerLetter"/>
      <w:lvlText w:val="%2."/>
      <w:lvlJc w:val="left"/>
      <w:pPr>
        <w:ind w:left="3218" w:hanging="360"/>
      </w:pPr>
      <w:rPr>
        <w:rFonts w:cs="Times New Roman"/>
      </w:rPr>
    </w:lvl>
    <w:lvl w:ilvl="2" w:tplc="0409001B">
      <w:start w:val="1"/>
      <w:numFmt w:val="lowerRoman"/>
      <w:lvlText w:val="%3."/>
      <w:lvlJc w:val="right"/>
      <w:pPr>
        <w:ind w:left="3938" w:hanging="180"/>
      </w:pPr>
      <w:rPr>
        <w:rFonts w:cs="Times New Roman"/>
      </w:rPr>
    </w:lvl>
    <w:lvl w:ilvl="3" w:tplc="0409000F">
      <w:start w:val="1"/>
      <w:numFmt w:val="decimal"/>
      <w:lvlText w:val="%4."/>
      <w:lvlJc w:val="left"/>
      <w:pPr>
        <w:ind w:left="4658" w:hanging="360"/>
      </w:pPr>
      <w:rPr>
        <w:rFonts w:cs="Times New Roman"/>
      </w:rPr>
    </w:lvl>
    <w:lvl w:ilvl="4" w:tplc="04090019">
      <w:start w:val="1"/>
      <w:numFmt w:val="lowerLetter"/>
      <w:lvlText w:val="%5."/>
      <w:lvlJc w:val="left"/>
      <w:pPr>
        <w:ind w:left="5378" w:hanging="360"/>
      </w:pPr>
      <w:rPr>
        <w:rFonts w:cs="Times New Roman"/>
      </w:rPr>
    </w:lvl>
    <w:lvl w:ilvl="5" w:tplc="0409001B">
      <w:start w:val="1"/>
      <w:numFmt w:val="lowerRoman"/>
      <w:lvlText w:val="%6."/>
      <w:lvlJc w:val="right"/>
      <w:pPr>
        <w:ind w:left="6098" w:hanging="180"/>
      </w:pPr>
      <w:rPr>
        <w:rFonts w:cs="Times New Roman"/>
      </w:rPr>
    </w:lvl>
    <w:lvl w:ilvl="6" w:tplc="0409000F">
      <w:start w:val="1"/>
      <w:numFmt w:val="decimal"/>
      <w:lvlText w:val="%7."/>
      <w:lvlJc w:val="left"/>
      <w:pPr>
        <w:ind w:left="6818" w:hanging="360"/>
      </w:pPr>
      <w:rPr>
        <w:rFonts w:cs="Times New Roman"/>
      </w:rPr>
    </w:lvl>
    <w:lvl w:ilvl="7" w:tplc="04090019">
      <w:start w:val="1"/>
      <w:numFmt w:val="lowerLetter"/>
      <w:lvlText w:val="%8."/>
      <w:lvlJc w:val="left"/>
      <w:pPr>
        <w:ind w:left="7538" w:hanging="360"/>
      </w:pPr>
      <w:rPr>
        <w:rFonts w:cs="Times New Roman"/>
      </w:rPr>
    </w:lvl>
    <w:lvl w:ilvl="8" w:tplc="0409001B">
      <w:start w:val="1"/>
      <w:numFmt w:val="lowerRoman"/>
      <w:lvlText w:val="%9."/>
      <w:lvlJc w:val="right"/>
      <w:pPr>
        <w:ind w:left="8258" w:hanging="180"/>
      </w:pPr>
      <w:rPr>
        <w:rFonts w:cs="Times New Roman"/>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448431604">
    <w:abstractNumId w:val="15"/>
  </w:num>
  <w:num w:numId="2" w16cid:durableId="219176693">
    <w:abstractNumId w:val="6"/>
  </w:num>
  <w:num w:numId="3" w16cid:durableId="609047476">
    <w:abstractNumId w:val="13"/>
  </w:num>
  <w:num w:numId="4" w16cid:durableId="1842506884">
    <w:abstractNumId w:val="12"/>
  </w:num>
  <w:num w:numId="5" w16cid:durableId="1526555533">
    <w:abstractNumId w:val="5"/>
  </w:num>
  <w:num w:numId="6" w16cid:durableId="1968927982">
    <w:abstractNumId w:val="7"/>
  </w:num>
  <w:num w:numId="7" w16cid:durableId="365104190">
    <w:abstractNumId w:val="17"/>
  </w:num>
  <w:num w:numId="8" w16cid:durableId="1574775846">
    <w:abstractNumId w:val="1"/>
  </w:num>
  <w:num w:numId="9" w16cid:durableId="1510948297">
    <w:abstractNumId w:val="11"/>
  </w:num>
  <w:num w:numId="10" w16cid:durableId="310719432">
    <w:abstractNumId w:val="9"/>
  </w:num>
  <w:num w:numId="11" w16cid:durableId="1326084631">
    <w:abstractNumId w:val="4"/>
  </w:num>
  <w:num w:numId="12" w16cid:durableId="782918102">
    <w:abstractNumId w:val="16"/>
  </w:num>
  <w:num w:numId="13" w16cid:durableId="285161717">
    <w:abstractNumId w:val="10"/>
  </w:num>
  <w:num w:numId="14" w16cid:durableId="1092896300">
    <w:abstractNumId w:val="3"/>
  </w:num>
  <w:num w:numId="15" w16cid:durableId="1203516038">
    <w:abstractNumId w:val="14"/>
  </w:num>
  <w:num w:numId="16" w16cid:durableId="229661290">
    <w:abstractNumId w:val="2"/>
  </w:num>
  <w:num w:numId="17" w16cid:durableId="1309671935">
    <w:abstractNumId w:val="8"/>
  </w:num>
  <w:num w:numId="18" w16cid:durableId="11049547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4607-07-19"/>
    <w:docVar w:name="caseId" w:val="76640794"/>
    <w:docVar w:name="deriveClass" w:val="NGCS.Protocol.BL.Client.ProtocolBLClientCriminal"/>
    <w:docVar w:name="firstPageNumber" w:val="7"/>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10269129"/>
    <w:docVar w:name="releaseSign" w:val="0"/>
    <w:docVar w:name="sittingDateTime" w:val="12/01/2020 09:00     "/>
    <w:docVar w:name="sittingId" w:val="87819380"/>
    <w:docVar w:name="sittingTypeId" w:val="-1"/>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34CF9"/>
    <w:rsid w:val="00053909"/>
    <w:rsid w:val="000555F0"/>
    <w:rsid w:val="000608AB"/>
    <w:rsid w:val="00074BD2"/>
    <w:rsid w:val="000962A6"/>
    <w:rsid w:val="000A4C4B"/>
    <w:rsid w:val="000C3D5F"/>
    <w:rsid w:val="000C7499"/>
    <w:rsid w:val="000E37CD"/>
    <w:rsid w:val="000F0A96"/>
    <w:rsid w:val="00100765"/>
    <w:rsid w:val="00100FD9"/>
    <w:rsid w:val="00115104"/>
    <w:rsid w:val="00130DA3"/>
    <w:rsid w:val="00131385"/>
    <w:rsid w:val="00137D59"/>
    <w:rsid w:val="0014434E"/>
    <w:rsid w:val="001526FC"/>
    <w:rsid w:val="0016231B"/>
    <w:rsid w:val="00163279"/>
    <w:rsid w:val="001666D0"/>
    <w:rsid w:val="001705B8"/>
    <w:rsid w:val="00174C6C"/>
    <w:rsid w:val="00180246"/>
    <w:rsid w:val="0018244B"/>
    <w:rsid w:val="001A63A4"/>
    <w:rsid w:val="001B6568"/>
    <w:rsid w:val="001E6DFB"/>
    <w:rsid w:val="002063A6"/>
    <w:rsid w:val="00227A15"/>
    <w:rsid w:val="00237F64"/>
    <w:rsid w:val="00245547"/>
    <w:rsid w:val="002633B3"/>
    <w:rsid w:val="00267E0F"/>
    <w:rsid w:val="002736EA"/>
    <w:rsid w:val="00296868"/>
    <w:rsid w:val="002A1C94"/>
    <w:rsid w:val="002C6209"/>
    <w:rsid w:val="002E24EE"/>
    <w:rsid w:val="002F455E"/>
    <w:rsid w:val="002F5A82"/>
    <w:rsid w:val="00301481"/>
    <w:rsid w:val="00340759"/>
    <w:rsid w:val="0034100C"/>
    <w:rsid w:val="0034251D"/>
    <w:rsid w:val="00342D84"/>
    <w:rsid w:val="00347ACF"/>
    <w:rsid w:val="003578FE"/>
    <w:rsid w:val="00383BCA"/>
    <w:rsid w:val="003943D9"/>
    <w:rsid w:val="003B08F6"/>
    <w:rsid w:val="003F6EFC"/>
    <w:rsid w:val="00440118"/>
    <w:rsid w:val="00442655"/>
    <w:rsid w:val="00445270"/>
    <w:rsid w:val="004473FE"/>
    <w:rsid w:val="00462725"/>
    <w:rsid w:val="00466323"/>
    <w:rsid w:val="004752AF"/>
    <w:rsid w:val="00486DEE"/>
    <w:rsid w:val="00494C2F"/>
    <w:rsid w:val="004A5864"/>
    <w:rsid w:val="004B7149"/>
    <w:rsid w:val="004C0CA7"/>
    <w:rsid w:val="004D4B57"/>
    <w:rsid w:val="004F4B4A"/>
    <w:rsid w:val="00503959"/>
    <w:rsid w:val="00510083"/>
    <w:rsid w:val="00532A9F"/>
    <w:rsid w:val="00551705"/>
    <w:rsid w:val="00560CB1"/>
    <w:rsid w:val="00564AAC"/>
    <w:rsid w:val="00577444"/>
    <w:rsid w:val="0058186B"/>
    <w:rsid w:val="005832BA"/>
    <w:rsid w:val="00594F89"/>
    <w:rsid w:val="005B395D"/>
    <w:rsid w:val="005D47FD"/>
    <w:rsid w:val="005D68B0"/>
    <w:rsid w:val="005D6FD9"/>
    <w:rsid w:val="005E215D"/>
    <w:rsid w:val="00600219"/>
    <w:rsid w:val="00601F75"/>
    <w:rsid w:val="006110FD"/>
    <w:rsid w:val="00612093"/>
    <w:rsid w:val="0061652F"/>
    <w:rsid w:val="00620E3F"/>
    <w:rsid w:val="00623CCF"/>
    <w:rsid w:val="00631222"/>
    <w:rsid w:val="00633BA9"/>
    <w:rsid w:val="00635C8E"/>
    <w:rsid w:val="006424C7"/>
    <w:rsid w:val="006830E7"/>
    <w:rsid w:val="006A4D3D"/>
    <w:rsid w:val="006B639D"/>
    <w:rsid w:val="006C2240"/>
    <w:rsid w:val="006D72D1"/>
    <w:rsid w:val="006E3A90"/>
    <w:rsid w:val="006F0E02"/>
    <w:rsid w:val="00700409"/>
    <w:rsid w:val="00701199"/>
    <w:rsid w:val="00712CF9"/>
    <w:rsid w:val="007268D9"/>
    <w:rsid w:val="007378AE"/>
    <w:rsid w:val="007378FE"/>
    <w:rsid w:val="007669D7"/>
    <w:rsid w:val="00770F7C"/>
    <w:rsid w:val="00781736"/>
    <w:rsid w:val="00791EB6"/>
    <w:rsid w:val="007B6499"/>
    <w:rsid w:val="007C0D02"/>
    <w:rsid w:val="007D4DDF"/>
    <w:rsid w:val="007D71BF"/>
    <w:rsid w:val="007E4ADE"/>
    <w:rsid w:val="007F1508"/>
    <w:rsid w:val="007F46CA"/>
    <w:rsid w:val="007F4959"/>
    <w:rsid w:val="008100EF"/>
    <w:rsid w:val="0081212E"/>
    <w:rsid w:val="008138D1"/>
    <w:rsid w:val="008147C4"/>
    <w:rsid w:val="00816980"/>
    <w:rsid w:val="00833BD9"/>
    <w:rsid w:val="00834B88"/>
    <w:rsid w:val="0083639D"/>
    <w:rsid w:val="008411C5"/>
    <w:rsid w:val="0085535F"/>
    <w:rsid w:val="00873A53"/>
    <w:rsid w:val="0088228B"/>
    <w:rsid w:val="008B5819"/>
    <w:rsid w:val="008D15AB"/>
    <w:rsid w:val="008D7896"/>
    <w:rsid w:val="008E7204"/>
    <w:rsid w:val="00927BB3"/>
    <w:rsid w:val="00934BA1"/>
    <w:rsid w:val="0094049A"/>
    <w:rsid w:val="0094092B"/>
    <w:rsid w:val="00943E5D"/>
    <w:rsid w:val="009474AF"/>
    <w:rsid w:val="009521C7"/>
    <w:rsid w:val="00960E66"/>
    <w:rsid w:val="00966439"/>
    <w:rsid w:val="0097713F"/>
    <w:rsid w:val="0098094C"/>
    <w:rsid w:val="009857E4"/>
    <w:rsid w:val="009B24E2"/>
    <w:rsid w:val="009B3B98"/>
    <w:rsid w:val="009C08D6"/>
    <w:rsid w:val="009D7934"/>
    <w:rsid w:val="009E46EC"/>
    <w:rsid w:val="009E6E0A"/>
    <w:rsid w:val="00A04531"/>
    <w:rsid w:val="00A1573A"/>
    <w:rsid w:val="00A25356"/>
    <w:rsid w:val="00A47A67"/>
    <w:rsid w:val="00A64302"/>
    <w:rsid w:val="00A64696"/>
    <w:rsid w:val="00A67D1A"/>
    <w:rsid w:val="00A910BF"/>
    <w:rsid w:val="00A9385E"/>
    <w:rsid w:val="00AA3C0A"/>
    <w:rsid w:val="00AB1CE7"/>
    <w:rsid w:val="00AC7677"/>
    <w:rsid w:val="00AD1366"/>
    <w:rsid w:val="00B24CA7"/>
    <w:rsid w:val="00B30584"/>
    <w:rsid w:val="00B44123"/>
    <w:rsid w:val="00B6568E"/>
    <w:rsid w:val="00B66459"/>
    <w:rsid w:val="00B82C03"/>
    <w:rsid w:val="00B870E1"/>
    <w:rsid w:val="00BA3141"/>
    <w:rsid w:val="00BD13A0"/>
    <w:rsid w:val="00BF00B0"/>
    <w:rsid w:val="00BF1FBE"/>
    <w:rsid w:val="00C4595F"/>
    <w:rsid w:val="00C471D1"/>
    <w:rsid w:val="00C50277"/>
    <w:rsid w:val="00C518EA"/>
    <w:rsid w:val="00C667A1"/>
    <w:rsid w:val="00C81ABE"/>
    <w:rsid w:val="00C8613B"/>
    <w:rsid w:val="00CA022A"/>
    <w:rsid w:val="00CA26CF"/>
    <w:rsid w:val="00CB6B34"/>
    <w:rsid w:val="00D0615F"/>
    <w:rsid w:val="00D22436"/>
    <w:rsid w:val="00D23D09"/>
    <w:rsid w:val="00D2736A"/>
    <w:rsid w:val="00D348D9"/>
    <w:rsid w:val="00D57D9B"/>
    <w:rsid w:val="00D76785"/>
    <w:rsid w:val="00D86190"/>
    <w:rsid w:val="00D8796D"/>
    <w:rsid w:val="00DA7A07"/>
    <w:rsid w:val="00DC3CD8"/>
    <w:rsid w:val="00DC4526"/>
    <w:rsid w:val="00DC7E11"/>
    <w:rsid w:val="00DD4926"/>
    <w:rsid w:val="00DE7380"/>
    <w:rsid w:val="00DF69AA"/>
    <w:rsid w:val="00E06ED4"/>
    <w:rsid w:val="00E15F20"/>
    <w:rsid w:val="00E37759"/>
    <w:rsid w:val="00E4581A"/>
    <w:rsid w:val="00E620AB"/>
    <w:rsid w:val="00E679BB"/>
    <w:rsid w:val="00E74C55"/>
    <w:rsid w:val="00E74FCF"/>
    <w:rsid w:val="00E866B5"/>
    <w:rsid w:val="00EA333A"/>
    <w:rsid w:val="00EB1D9D"/>
    <w:rsid w:val="00ED3ADB"/>
    <w:rsid w:val="00F24B4E"/>
    <w:rsid w:val="00F30675"/>
    <w:rsid w:val="00F449AC"/>
    <w:rsid w:val="00F53B32"/>
    <w:rsid w:val="00F56690"/>
    <w:rsid w:val="00F56B3A"/>
    <w:rsid w:val="00F579C4"/>
    <w:rsid w:val="00F643BA"/>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01DEC51"/>
  <w15:chartTrackingRefBased/>
  <w15:docId w15:val="{F62CC9C4-795A-4C9C-B7E5-C9D7FBAB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267E0F"/>
    <w:rPr>
      <w:rFonts w:ascii="Times New Roman" w:eastAsia="David" w:hAnsi="Times New Roman"/>
      <w:b/>
      <w:bCs/>
      <w:u w:val="single"/>
    </w:rPr>
  </w:style>
  <w:style w:type="character" w:styleId="Hyperlink">
    <w:name w:val="Hyperlink"/>
    <w:semiHidden/>
    <w:rsid w:val="00D348D9"/>
    <w:rPr>
      <w:rFonts w:ascii="Times New Roman" w:hAnsi="Times New Roman" w:cs="Times New Roman"/>
      <w:color w:val="0000FF"/>
      <w:u w:val="single"/>
    </w:rPr>
  </w:style>
  <w:style w:type="paragraph" w:customStyle="1" w:styleId="ListParagraph">
    <w:name w:val="List Paragraph"/>
    <w:basedOn w:val="a"/>
    <w:qFormat/>
    <w:rsid w:val="00D348D9"/>
    <w:pPr>
      <w:ind w:left="720"/>
      <w:contextualSpacing/>
    </w:pPr>
    <w:rPr>
      <w:rFonts w:ascii="Times New Roman" w:eastAsia="David" w:hAnsi="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case/22006503" TargetMode="External"/><Relationship Id="rId21" Type="http://schemas.openxmlformats.org/officeDocument/2006/relationships/hyperlink" Target="http://www.nevo.co.il/case/6473037" TargetMode="External"/><Relationship Id="rId42" Type="http://schemas.openxmlformats.org/officeDocument/2006/relationships/hyperlink" Target="http://www.nevo.co.il/case/5691883" TargetMode="External"/><Relationship Id="rId47" Type="http://schemas.openxmlformats.org/officeDocument/2006/relationships/hyperlink" Target="http://www.nevo.co.il/case/5594340" TargetMode="External"/><Relationship Id="rId63" Type="http://schemas.openxmlformats.org/officeDocument/2006/relationships/hyperlink" Target="http://www.nevo.co.il/law/70301" TargetMode="External"/><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144.a" TargetMode="External"/><Relationship Id="rId29" Type="http://schemas.openxmlformats.org/officeDocument/2006/relationships/hyperlink" Target="http://www.nevo.co.il/case/22607175"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5878682" TargetMode="External"/><Relationship Id="rId32" Type="http://schemas.openxmlformats.org/officeDocument/2006/relationships/hyperlink" Target="http://www.nevo.co.il/case/6032952"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jC"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22863591" TargetMode="External"/><Relationship Id="rId58" Type="http://schemas.openxmlformats.org/officeDocument/2006/relationships/hyperlink" Target="http://www.nevo.co.il/case/20007334" TargetMode="External"/><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www.nevo.co.il/case/21053257" TargetMode="External"/><Relationship Id="rId19" Type="http://schemas.openxmlformats.org/officeDocument/2006/relationships/hyperlink" Target="http://www.nevo.co.il/case/6024035" TargetMode="External"/><Relationship Id="rId14" Type="http://schemas.openxmlformats.org/officeDocument/2006/relationships/hyperlink" Target="http://www.nevo.co.il/law/70301/JC" TargetMode="External"/><Relationship Id="rId22" Type="http://schemas.openxmlformats.org/officeDocument/2006/relationships/hyperlink" Target="http://www.nevo.co.il/case/26032623" TargetMode="External"/><Relationship Id="rId27" Type="http://schemas.openxmlformats.org/officeDocument/2006/relationships/hyperlink" Target="http://www.nevo.co.il/case/6058757" TargetMode="External"/><Relationship Id="rId30" Type="http://schemas.openxmlformats.org/officeDocument/2006/relationships/hyperlink" Target="http://www.nevo.co.il/case/25040393" TargetMode="External"/><Relationship Id="rId35" Type="http://schemas.openxmlformats.org/officeDocument/2006/relationships/hyperlink" Target="http://www.nevo.co.il/case/6123025" TargetMode="External"/><Relationship Id="rId43" Type="http://schemas.openxmlformats.org/officeDocument/2006/relationships/hyperlink" Target="http://www.nevo.co.il/case/19999484"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25388948"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70301" TargetMode="External"/><Relationship Id="rId51" Type="http://schemas.openxmlformats.org/officeDocument/2006/relationships/hyperlink" Target="http://www.nevo.co.il/case/6040482" TargetMode="External"/><Relationship Id="rId3" Type="http://schemas.openxmlformats.org/officeDocument/2006/relationships/styles" Target="styles.xml"/><Relationship Id="rId12" Type="http://schemas.openxmlformats.org/officeDocument/2006/relationships/hyperlink" Target="http://www.nevo.co.il/law/70301/144.c"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949290" TargetMode="External"/><Relationship Id="rId33" Type="http://schemas.openxmlformats.org/officeDocument/2006/relationships/hyperlink" Target="http://www.nevo.co.il/case/6065628" TargetMode="External"/><Relationship Id="rId38" Type="http://schemas.openxmlformats.org/officeDocument/2006/relationships/hyperlink" Target="http://www.nevo.co.il/law/70301/JC" TargetMode="External"/><Relationship Id="rId46" Type="http://schemas.openxmlformats.org/officeDocument/2006/relationships/hyperlink" Target="http://www.nevo.co.il/case/17935566" TargetMode="External"/><Relationship Id="rId59" Type="http://schemas.openxmlformats.org/officeDocument/2006/relationships/hyperlink" Target="http://www.nevo.co.il/law/70301/58" TargetMode="External"/><Relationship Id="rId67" Type="http://schemas.openxmlformats.org/officeDocument/2006/relationships/footer" Target="footer1.xml"/><Relationship Id="rId20" Type="http://schemas.openxmlformats.org/officeDocument/2006/relationships/hyperlink" Target="http://www.nevo.co.il/case/5958231" TargetMode="External"/><Relationship Id="rId41" Type="http://schemas.openxmlformats.org/officeDocument/2006/relationships/hyperlink" Target="http://www.nevo.co.il/case/17942576" TargetMode="External"/><Relationship Id="rId54" Type="http://schemas.openxmlformats.org/officeDocument/2006/relationships/hyperlink" Target="http://www.nevo.co.il/case/23844658" TargetMode="External"/><Relationship Id="rId62" Type="http://schemas.openxmlformats.org/officeDocument/2006/relationships/hyperlink" Target="http://www.nevo.co.il/law/70301/144" TargetMode="External"/><Relationship Id="rId7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jC" TargetMode="External"/><Relationship Id="rId23" Type="http://schemas.openxmlformats.org/officeDocument/2006/relationships/hyperlink" Target="http://www.nevo.co.il/case/5724364" TargetMode="External"/><Relationship Id="rId28" Type="http://schemas.openxmlformats.org/officeDocument/2006/relationships/hyperlink" Target="http://www.nevo.co.il/case/25063920" TargetMode="External"/><Relationship Id="rId36" Type="http://schemas.openxmlformats.org/officeDocument/2006/relationships/hyperlink" Target="http://www.nevo.co.il/law/70301/HC" TargetMode="External"/><Relationship Id="rId49" Type="http://schemas.openxmlformats.org/officeDocument/2006/relationships/hyperlink" Target="http://www.nevo.co.il/law/70301/144.c" TargetMode="External"/><Relationship Id="rId57" Type="http://schemas.openxmlformats.org/officeDocument/2006/relationships/hyperlink" Target="http://www.nevo.co.il/case/25430243" TargetMode="External"/><Relationship Id="rId10" Type="http://schemas.openxmlformats.org/officeDocument/2006/relationships/hyperlink" Target="http://www.nevo.co.il/law/70301/144" TargetMode="External"/><Relationship Id="rId31" Type="http://schemas.openxmlformats.org/officeDocument/2006/relationships/hyperlink" Target="http://www.nevo.co.il/case/24263426"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5887664" TargetMode="External"/><Relationship Id="rId60" Type="http://schemas.openxmlformats.org/officeDocument/2006/relationships/hyperlink" Target="http://www.nevo.co.il/law/70301"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evo.co.il/law/70301/58" TargetMode="External"/><Relationship Id="rId13" Type="http://schemas.openxmlformats.org/officeDocument/2006/relationships/hyperlink" Target="http://www.nevo.co.il/law/70301/HC" TargetMode="External"/><Relationship Id="rId18" Type="http://schemas.openxmlformats.org/officeDocument/2006/relationships/hyperlink" Target="http://www.nevo.co.il/case/6000182"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17924506"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2558556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5537</Words>
  <Characters>27686</Characters>
  <Application>Microsoft Office Word</Application>
  <DocSecurity>0</DocSecurity>
  <Lines>230</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33157</CharactersWithSpaces>
  <SharedDoc>false</SharedDoc>
  <HLinks>
    <vt:vector size="342" baseType="variant">
      <vt:variant>
        <vt:i4>393283</vt:i4>
      </vt:variant>
      <vt:variant>
        <vt:i4>168</vt:i4>
      </vt:variant>
      <vt:variant>
        <vt:i4>0</vt:i4>
      </vt:variant>
      <vt:variant>
        <vt:i4>5</vt:i4>
      </vt:variant>
      <vt:variant>
        <vt:lpwstr>http://www.nevo.co.il/advertisements/nevo-100.doc</vt:lpwstr>
      </vt:variant>
      <vt:variant>
        <vt:lpwstr/>
      </vt:variant>
      <vt:variant>
        <vt:i4>7995492</vt:i4>
      </vt:variant>
      <vt:variant>
        <vt:i4>165</vt:i4>
      </vt:variant>
      <vt:variant>
        <vt:i4>0</vt:i4>
      </vt:variant>
      <vt:variant>
        <vt:i4>5</vt:i4>
      </vt:variant>
      <vt:variant>
        <vt:lpwstr>http://www.nevo.co.il/law/70301</vt:lpwstr>
      </vt:variant>
      <vt:variant>
        <vt:lpwstr/>
      </vt:variant>
      <vt:variant>
        <vt:i4>6357092</vt:i4>
      </vt:variant>
      <vt:variant>
        <vt:i4>162</vt:i4>
      </vt:variant>
      <vt:variant>
        <vt:i4>0</vt:i4>
      </vt:variant>
      <vt:variant>
        <vt:i4>5</vt:i4>
      </vt:variant>
      <vt:variant>
        <vt:lpwstr>http://www.nevo.co.il/law/70301/144</vt:lpwstr>
      </vt:variant>
      <vt:variant>
        <vt:lpwstr/>
      </vt:variant>
      <vt:variant>
        <vt:i4>3407986</vt:i4>
      </vt:variant>
      <vt:variant>
        <vt:i4>159</vt:i4>
      </vt:variant>
      <vt:variant>
        <vt:i4>0</vt:i4>
      </vt:variant>
      <vt:variant>
        <vt:i4>5</vt:i4>
      </vt:variant>
      <vt:variant>
        <vt:lpwstr>http://www.nevo.co.il/case/21053257</vt:lpwstr>
      </vt:variant>
      <vt:variant>
        <vt:lpwstr/>
      </vt:variant>
      <vt:variant>
        <vt:i4>7995492</vt:i4>
      </vt:variant>
      <vt:variant>
        <vt:i4>156</vt:i4>
      </vt:variant>
      <vt:variant>
        <vt:i4>0</vt:i4>
      </vt:variant>
      <vt:variant>
        <vt:i4>5</vt:i4>
      </vt:variant>
      <vt:variant>
        <vt:lpwstr>http://www.nevo.co.il/law/70301</vt:lpwstr>
      </vt:variant>
      <vt:variant>
        <vt:lpwstr/>
      </vt:variant>
      <vt:variant>
        <vt:i4>7143520</vt:i4>
      </vt:variant>
      <vt:variant>
        <vt:i4>153</vt:i4>
      </vt:variant>
      <vt:variant>
        <vt:i4>0</vt:i4>
      </vt:variant>
      <vt:variant>
        <vt:i4>5</vt:i4>
      </vt:variant>
      <vt:variant>
        <vt:lpwstr>http://www.nevo.co.il/law/70301/58</vt:lpwstr>
      </vt:variant>
      <vt:variant>
        <vt:lpwstr/>
      </vt:variant>
      <vt:variant>
        <vt:i4>3539063</vt:i4>
      </vt:variant>
      <vt:variant>
        <vt:i4>150</vt:i4>
      </vt:variant>
      <vt:variant>
        <vt:i4>0</vt:i4>
      </vt:variant>
      <vt:variant>
        <vt:i4>5</vt:i4>
      </vt:variant>
      <vt:variant>
        <vt:lpwstr>http://www.nevo.co.il/case/20007334</vt:lpwstr>
      </vt:variant>
      <vt:variant>
        <vt:lpwstr/>
      </vt:variant>
      <vt:variant>
        <vt:i4>3276912</vt:i4>
      </vt:variant>
      <vt:variant>
        <vt:i4>147</vt:i4>
      </vt:variant>
      <vt:variant>
        <vt:i4>0</vt:i4>
      </vt:variant>
      <vt:variant>
        <vt:i4>5</vt:i4>
      </vt:variant>
      <vt:variant>
        <vt:lpwstr>http://www.nevo.co.il/case/25430243</vt:lpwstr>
      </vt:variant>
      <vt:variant>
        <vt:lpwstr/>
      </vt:variant>
      <vt:variant>
        <vt:i4>3997808</vt:i4>
      </vt:variant>
      <vt:variant>
        <vt:i4>144</vt:i4>
      </vt:variant>
      <vt:variant>
        <vt:i4>0</vt:i4>
      </vt:variant>
      <vt:variant>
        <vt:i4>5</vt:i4>
      </vt:variant>
      <vt:variant>
        <vt:lpwstr>http://www.nevo.co.il/case/25388948</vt:lpwstr>
      </vt:variant>
      <vt:variant>
        <vt:lpwstr/>
      </vt:variant>
      <vt:variant>
        <vt:i4>3407996</vt:i4>
      </vt:variant>
      <vt:variant>
        <vt:i4>141</vt:i4>
      </vt:variant>
      <vt:variant>
        <vt:i4>0</vt:i4>
      </vt:variant>
      <vt:variant>
        <vt:i4>5</vt:i4>
      </vt:variant>
      <vt:variant>
        <vt:lpwstr>http://www.nevo.co.il/case/25585562</vt:lpwstr>
      </vt:variant>
      <vt:variant>
        <vt:lpwstr/>
      </vt:variant>
      <vt:variant>
        <vt:i4>3866741</vt:i4>
      </vt:variant>
      <vt:variant>
        <vt:i4>138</vt:i4>
      </vt:variant>
      <vt:variant>
        <vt:i4>0</vt:i4>
      </vt:variant>
      <vt:variant>
        <vt:i4>5</vt:i4>
      </vt:variant>
      <vt:variant>
        <vt:lpwstr>http://www.nevo.co.il/case/23844658</vt:lpwstr>
      </vt:variant>
      <vt:variant>
        <vt:lpwstr/>
      </vt:variant>
      <vt:variant>
        <vt:i4>3145845</vt:i4>
      </vt:variant>
      <vt:variant>
        <vt:i4>135</vt:i4>
      </vt:variant>
      <vt:variant>
        <vt:i4>0</vt:i4>
      </vt:variant>
      <vt:variant>
        <vt:i4>5</vt:i4>
      </vt:variant>
      <vt:variant>
        <vt:lpwstr>http://www.nevo.co.il/case/22863591</vt:lpwstr>
      </vt:variant>
      <vt:variant>
        <vt:lpwstr/>
      </vt:variant>
      <vt:variant>
        <vt:i4>4128893</vt:i4>
      </vt:variant>
      <vt:variant>
        <vt:i4>132</vt:i4>
      </vt:variant>
      <vt:variant>
        <vt:i4>0</vt:i4>
      </vt:variant>
      <vt:variant>
        <vt:i4>5</vt:i4>
      </vt:variant>
      <vt:variant>
        <vt:lpwstr>http://www.nevo.co.il/case/5887664</vt:lpwstr>
      </vt:variant>
      <vt:variant>
        <vt:lpwstr/>
      </vt:variant>
      <vt:variant>
        <vt:i4>3407996</vt:i4>
      </vt:variant>
      <vt:variant>
        <vt:i4>129</vt:i4>
      </vt:variant>
      <vt:variant>
        <vt:i4>0</vt:i4>
      </vt:variant>
      <vt:variant>
        <vt:i4>5</vt:i4>
      </vt:variant>
      <vt:variant>
        <vt:lpwstr>http://www.nevo.co.il/case/6040482</vt:lpwstr>
      </vt:variant>
      <vt:variant>
        <vt:lpwstr/>
      </vt:variant>
      <vt:variant>
        <vt:i4>7995492</vt:i4>
      </vt:variant>
      <vt:variant>
        <vt:i4>126</vt:i4>
      </vt:variant>
      <vt:variant>
        <vt:i4>0</vt:i4>
      </vt:variant>
      <vt:variant>
        <vt:i4>5</vt:i4>
      </vt:variant>
      <vt:variant>
        <vt:lpwstr>http://www.nevo.co.il/law/70301</vt:lpwstr>
      </vt:variant>
      <vt:variant>
        <vt:lpwstr/>
      </vt:variant>
      <vt:variant>
        <vt:i4>5177424</vt:i4>
      </vt:variant>
      <vt:variant>
        <vt:i4>123</vt:i4>
      </vt:variant>
      <vt:variant>
        <vt:i4>0</vt:i4>
      </vt:variant>
      <vt:variant>
        <vt:i4>5</vt:i4>
      </vt:variant>
      <vt:variant>
        <vt:lpwstr>http://www.nevo.co.il/law/70301/144.c</vt:lpwstr>
      </vt:variant>
      <vt:variant>
        <vt:lpwstr/>
      </vt:variant>
      <vt:variant>
        <vt:i4>7995492</vt:i4>
      </vt:variant>
      <vt:variant>
        <vt:i4>120</vt:i4>
      </vt:variant>
      <vt:variant>
        <vt:i4>0</vt:i4>
      </vt:variant>
      <vt:variant>
        <vt:i4>5</vt:i4>
      </vt:variant>
      <vt:variant>
        <vt:lpwstr>http://www.nevo.co.il/law/70301</vt:lpwstr>
      </vt:variant>
      <vt:variant>
        <vt:lpwstr/>
      </vt:variant>
      <vt:variant>
        <vt:i4>4128881</vt:i4>
      </vt:variant>
      <vt:variant>
        <vt:i4>117</vt:i4>
      </vt:variant>
      <vt:variant>
        <vt:i4>0</vt:i4>
      </vt:variant>
      <vt:variant>
        <vt:i4>5</vt:i4>
      </vt:variant>
      <vt:variant>
        <vt:lpwstr>http://www.nevo.co.il/case/5594340</vt:lpwstr>
      </vt:variant>
      <vt:variant>
        <vt:lpwstr/>
      </vt:variant>
      <vt:variant>
        <vt:i4>3866741</vt:i4>
      </vt:variant>
      <vt:variant>
        <vt:i4>114</vt:i4>
      </vt:variant>
      <vt:variant>
        <vt:i4>0</vt:i4>
      </vt:variant>
      <vt:variant>
        <vt:i4>5</vt:i4>
      </vt:variant>
      <vt:variant>
        <vt:lpwstr>http://www.nevo.co.il/case/17935566</vt:lpwstr>
      </vt:variant>
      <vt:variant>
        <vt:lpwstr/>
      </vt:variant>
      <vt:variant>
        <vt:i4>7995492</vt:i4>
      </vt:variant>
      <vt:variant>
        <vt:i4>111</vt:i4>
      </vt:variant>
      <vt:variant>
        <vt:i4>0</vt:i4>
      </vt:variant>
      <vt:variant>
        <vt:i4>5</vt:i4>
      </vt:variant>
      <vt:variant>
        <vt:lpwstr>http://www.nevo.co.il/law/70301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3735664</vt:i4>
      </vt:variant>
      <vt:variant>
        <vt:i4>105</vt:i4>
      </vt:variant>
      <vt:variant>
        <vt:i4>0</vt:i4>
      </vt:variant>
      <vt:variant>
        <vt:i4>5</vt:i4>
      </vt:variant>
      <vt:variant>
        <vt:lpwstr>http://www.nevo.co.il/case/19999484</vt:lpwstr>
      </vt:variant>
      <vt:variant>
        <vt:lpwstr/>
      </vt:variant>
      <vt:variant>
        <vt:i4>3604603</vt:i4>
      </vt:variant>
      <vt:variant>
        <vt:i4>102</vt:i4>
      </vt:variant>
      <vt:variant>
        <vt:i4>0</vt:i4>
      </vt:variant>
      <vt:variant>
        <vt:i4>5</vt:i4>
      </vt:variant>
      <vt:variant>
        <vt:lpwstr>http://www.nevo.co.il/case/5691883</vt:lpwstr>
      </vt:variant>
      <vt:variant>
        <vt:lpwstr/>
      </vt:variant>
      <vt:variant>
        <vt:i4>3997810</vt:i4>
      </vt:variant>
      <vt:variant>
        <vt:i4>99</vt:i4>
      </vt:variant>
      <vt:variant>
        <vt:i4>0</vt:i4>
      </vt:variant>
      <vt:variant>
        <vt:i4>5</vt:i4>
      </vt:variant>
      <vt:variant>
        <vt:lpwstr>http://www.nevo.co.il/case/17942576</vt:lpwstr>
      </vt:variant>
      <vt:variant>
        <vt:lpwstr/>
      </vt:variant>
      <vt:variant>
        <vt:i4>3539007</vt:i4>
      </vt:variant>
      <vt:variant>
        <vt:i4>96</vt:i4>
      </vt:variant>
      <vt:variant>
        <vt:i4>0</vt:i4>
      </vt:variant>
      <vt:variant>
        <vt:i4>5</vt:i4>
      </vt:variant>
      <vt:variant>
        <vt:lpwstr>http://www.nevo.co.il/law/70301/jC</vt:lpwstr>
      </vt:variant>
      <vt:variant>
        <vt:lpwstr/>
      </vt:variant>
      <vt:variant>
        <vt:i4>7995492</vt:i4>
      </vt:variant>
      <vt:variant>
        <vt:i4>93</vt:i4>
      </vt:variant>
      <vt:variant>
        <vt:i4>0</vt:i4>
      </vt:variant>
      <vt:variant>
        <vt:i4>5</vt:i4>
      </vt:variant>
      <vt:variant>
        <vt:lpwstr>http://www.nevo.co.il/law/70301</vt:lpwstr>
      </vt:variant>
      <vt:variant>
        <vt:lpwstr/>
      </vt:variant>
      <vt:variant>
        <vt:i4>3539007</vt:i4>
      </vt:variant>
      <vt:variant>
        <vt:i4>90</vt:i4>
      </vt:variant>
      <vt:variant>
        <vt:i4>0</vt:i4>
      </vt:variant>
      <vt:variant>
        <vt:i4>5</vt:i4>
      </vt:variant>
      <vt:variant>
        <vt:lpwstr>http://www.nevo.co.il/law/70301/JC</vt:lpwstr>
      </vt:variant>
      <vt:variant>
        <vt:lpwstr/>
      </vt:variant>
      <vt:variant>
        <vt:i4>7995492</vt:i4>
      </vt:variant>
      <vt:variant>
        <vt:i4>87</vt:i4>
      </vt:variant>
      <vt:variant>
        <vt:i4>0</vt:i4>
      </vt:variant>
      <vt:variant>
        <vt:i4>5</vt:i4>
      </vt:variant>
      <vt:variant>
        <vt:lpwstr>http://www.nevo.co.il/law/70301</vt:lpwstr>
      </vt:variant>
      <vt:variant>
        <vt:lpwstr/>
      </vt:variant>
      <vt:variant>
        <vt:i4>3539005</vt:i4>
      </vt:variant>
      <vt:variant>
        <vt:i4>84</vt:i4>
      </vt:variant>
      <vt:variant>
        <vt:i4>0</vt:i4>
      </vt:variant>
      <vt:variant>
        <vt:i4>5</vt:i4>
      </vt:variant>
      <vt:variant>
        <vt:lpwstr>http://www.nevo.co.il/law/70301/HC</vt:lpwstr>
      </vt:variant>
      <vt:variant>
        <vt:lpwstr/>
      </vt:variant>
      <vt:variant>
        <vt:i4>3211380</vt:i4>
      </vt:variant>
      <vt:variant>
        <vt:i4>81</vt:i4>
      </vt:variant>
      <vt:variant>
        <vt:i4>0</vt:i4>
      </vt:variant>
      <vt:variant>
        <vt:i4>5</vt:i4>
      </vt:variant>
      <vt:variant>
        <vt:lpwstr>http://www.nevo.co.il/case/6123025</vt:lpwstr>
      </vt:variant>
      <vt:variant>
        <vt:lpwstr/>
      </vt:variant>
      <vt:variant>
        <vt:i4>3932276</vt:i4>
      </vt:variant>
      <vt:variant>
        <vt:i4>78</vt:i4>
      </vt:variant>
      <vt:variant>
        <vt:i4>0</vt:i4>
      </vt:variant>
      <vt:variant>
        <vt:i4>5</vt:i4>
      </vt:variant>
      <vt:variant>
        <vt:lpwstr>http://www.nevo.co.il/case/17924506</vt:lpwstr>
      </vt:variant>
      <vt:variant>
        <vt:lpwstr/>
      </vt:variant>
      <vt:variant>
        <vt:i4>4063347</vt:i4>
      </vt:variant>
      <vt:variant>
        <vt:i4>75</vt:i4>
      </vt:variant>
      <vt:variant>
        <vt:i4>0</vt:i4>
      </vt:variant>
      <vt:variant>
        <vt:i4>5</vt:i4>
      </vt:variant>
      <vt:variant>
        <vt:lpwstr>http://www.nevo.co.il/case/6065628</vt:lpwstr>
      </vt:variant>
      <vt:variant>
        <vt:lpwstr/>
      </vt:variant>
      <vt:variant>
        <vt:i4>4063347</vt:i4>
      </vt:variant>
      <vt:variant>
        <vt:i4>72</vt:i4>
      </vt:variant>
      <vt:variant>
        <vt:i4>0</vt:i4>
      </vt:variant>
      <vt:variant>
        <vt:i4>5</vt:i4>
      </vt:variant>
      <vt:variant>
        <vt:lpwstr>http://www.nevo.co.il/case/6032952</vt:lpwstr>
      </vt:variant>
      <vt:variant>
        <vt:lpwstr/>
      </vt:variant>
      <vt:variant>
        <vt:i4>3211378</vt:i4>
      </vt:variant>
      <vt:variant>
        <vt:i4>69</vt:i4>
      </vt:variant>
      <vt:variant>
        <vt:i4>0</vt:i4>
      </vt:variant>
      <vt:variant>
        <vt:i4>5</vt:i4>
      </vt:variant>
      <vt:variant>
        <vt:lpwstr>http://www.nevo.co.il/case/24263426</vt:lpwstr>
      </vt:variant>
      <vt:variant>
        <vt:lpwstr/>
      </vt:variant>
      <vt:variant>
        <vt:i4>3866742</vt:i4>
      </vt:variant>
      <vt:variant>
        <vt:i4>66</vt:i4>
      </vt:variant>
      <vt:variant>
        <vt:i4>0</vt:i4>
      </vt:variant>
      <vt:variant>
        <vt:i4>5</vt:i4>
      </vt:variant>
      <vt:variant>
        <vt:lpwstr>http://www.nevo.co.il/case/25040393</vt:lpwstr>
      </vt:variant>
      <vt:variant>
        <vt:lpwstr/>
      </vt:variant>
      <vt:variant>
        <vt:i4>3407991</vt:i4>
      </vt:variant>
      <vt:variant>
        <vt:i4>63</vt:i4>
      </vt:variant>
      <vt:variant>
        <vt:i4>0</vt:i4>
      </vt:variant>
      <vt:variant>
        <vt:i4>5</vt:i4>
      </vt:variant>
      <vt:variant>
        <vt:lpwstr>http://www.nevo.co.il/case/22607175</vt:lpwstr>
      </vt:variant>
      <vt:variant>
        <vt:lpwstr/>
      </vt:variant>
      <vt:variant>
        <vt:i4>3342462</vt:i4>
      </vt:variant>
      <vt:variant>
        <vt:i4>60</vt:i4>
      </vt:variant>
      <vt:variant>
        <vt:i4>0</vt:i4>
      </vt:variant>
      <vt:variant>
        <vt:i4>5</vt:i4>
      </vt:variant>
      <vt:variant>
        <vt:lpwstr>http://www.nevo.co.il/case/25063920</vt:lpwstr>
      </vt:variant>
      <vt:variant>
        <vt:lpwstr/>
      </vt:variant>
      <vt:variant>
        <vt:i4>3342457</vt:i4>
      </vt:variant>
      <vt:variant>
        <vt:i4>57</vt:i4>
      </vt:variant>
      <vt:variant>
        <vt:i4>0</vt:i4>
      </vt:variant>
      <vt:variant>
        <vt:i4>5</vt:i4>
      </vt:variant>
      <vt:variant>
        <vt:lpwstr>http://www.nevo.co.il/case/6058757</vt:lpwstr>
      </vt:variant>
      <vt:variant>
        <vt:lpwstr/>
      </vt:variant>
      <vt:variant>
        <vt:i4>3407987</vt:i4>
      </vt:variant>
      <vt:variant>
        <vt:i4>54</vt:i4>
      </vt:variant>
      <vt:variant>
        <vt:i4>0</vt:i4>
      </vt:variant>
      <vt:variant>
        <vt:i4>5</vt:i4>
      </vt:variant>
      <vt:variant>
        <vt:lpwstr>http://www.nevo.co.il/case/22006503</vt:lpwstr>
      </vt:variant>
      <vt:variant>
        <vt:lpwstr/>
      </vt:variant>
      <vt:variant>
        <vt:i4>3145853</vt:i4>
      </vt:variant>
      <vt:variant>
        <vt:i4>51</vt:i4>
      </vt:variant>
      <vt:variant>
        <vt:i4>0</vt:i4>
      </vt:variant>
      <vt:variant>
        <vt:i4>5</vt:i4>
      </vt:variant>
      <vt:variant>
        <vt:lpwstr>http://www.nevo.co.il/case/6949290</vt:lpwstr>
      </vt:variant>
      <vt:variant>
        <vt:lpwstr/>
      </vt:variant>
      <vt:variant>
        <vt:i4>3539068</vt:i4>
      </vt:variant>
      <vt:variant>
        <vt:i4>48</vt:i4>
      </vt:variant>
      <vt:variant>
        <vt:i4>0</vt:i4>
      </vt:variant>
      <vt:variant>
        <vt:i4>5</vt:i4>
      </vt:variant>
      <vt:variant>
        <vt:lpwstr>http://www.nevo.co.il/case/5878682</vt:lpwstr>
      </vt:variant>
      <vt:variant>
        <vt:lpwstr/>
      </vt:variant>
      <vt:variant>
        <vt:i4>3145841</vt:i4>
      </vt:variant>
      <vt:variant>
        <vt:i4>45</vt:i4>
      </vt:variant>
      <vt:variant>
        <vt:i4>0</vt:i4>
      </vt:variant>
      <vt:variant>
        <vt:i4>5</vt:i4>
      </vt:variant>
      <vt:variant>
        <vt:lpwstr>http://www.nevo.co.il/case/5724364</vt:lpwstr>
      </vt:variant>
      <vt:variant>
        <vt:lpwstr/>
      </vt:variant>
      <vt:variant>
        <vt:i4>3276919</vt:i4>
      </vt:variant>
      <vt:variant>
        <vt:i4>42</vt:i4>
      </vt:variant>
      <vt:variant>
        <vt:i4>0</vt:i4>
      </vt:variant>
      <vt:variant>
        <vt:i4>5</vt:i4>
      </vt:variant>
      <vt:variant>
        <vt:lpwstr>http://www.nevo.co.il/case/26032623</vt:lpwstr>
      </vt:variant>
      <vt:variant>
        <vt:lpwstr/>
      </vt:variant>
      <vt:variant>
        <vt:i4>3539056</vt:i4>
      </vt:variant>
      <vt:variant>
        <vt:i4>39</vt:i4>
      </vt:variant>
      <vt:variant>
        <vt:i4>0</vt:i4>
      </vt:variant>
      <vt:variant>
        <vt:i4>5</vt:i4>
      </vt:variant>
      <vt:variant>
        <vt:lpwstr>http://www.nevo.co.il/case/6473037</vt:lpwstr>
      </vt:variant>
      <vt:variant>
        <vt:lpwstr/>
      </vt:variant>
      <vt:variant>
        <vt:i4>3342454</vt:i4>
      </vt:variant>
      <vt:variant>
        <vt:i4>36</vt:i4>
      </vt:variant>
      <vt:variant>
        <vt:i4>0</vt:i4>
      </vt:variant>
      <vt:variant>
        <vt:i4>5</vt:i4>
      </vt:variant>
      <vt:variant>
        <vt:lpwstr>http://www.nevo.co.il/case/5958231</vt:lpwstr>
      </vt:variant>
      <vt:variant>
        <vt:lpwstr/>
      </vt:variant>
      <vt:variant>
        <vt:i4>3211379</vt:i4>
      </vt:variant>
      <vt:variant>
        <vt:i4>33</vt:i4>
      </vt:variant>
      <vt:variant>
        <vt:i4>0</vt:i4>
      </vt:variant>
      <vt:variant>
        <vt:i4>5</vt:i4>
      </vt:variant>
      <vt:variant>
        <vt:lpwstr>http://www.nevo.co.il/case/6024035</vt:lpwstr>
      </vt:variant>
      <vt:variant>
        <vt:lpwstr/>
      </vt:variant>
      <vt:variant>
        <vt:i4>3473532</vt:i4>
      </vt:variant>
      <vt:variant>
        <vt:i4>30</vt:i4>
      </vt:variant>
      <vt:variant>
        <vt:i4>0</vt:i4>
      </vt:variant>
      <vt:variant>
        <vt:i4>5</vt:i4>
      </vt:variant>
      <vt:variant>
        <vt:lpwstr>http://www.nevo.co.il/case/6000182</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3539007</vt:i4>
      </vt:variant>
      <vt:variant>
        <vt:i4>21</vt:i4>
      </vt:variant>
      <vt:variant>
        <vt:i4>0</vt:i4>
      </vt:variant>
      <vt:variant>
        <vt:i4>5</vt:i4>
      </vt:variant>
      <vt:variant>
        <vt:lpwstr>http://www.nevo.co.il/law/70301/jC</vt:lpwstr>
      </vt:variant>
      <vt:variant>
        <vt:lpwstr/>
      </vt:variant>
      <vt:variant>
        <vt:i4>3539007</vt:i4>
      </vt:variant>
      <vt:variant>
        <vt:i4>18</vt:i4>
      </vt:variant>
      <vt:variant>
        <vt:i4>0</vt:i4>
      </vt:variant>
      <vt:variant>
        <vt:i4>5</vt:i4>
      </vt:variant>
      <vt:variant>
        <vt:lpwstr>http://www.nevo.co.il/law/70301/JC</vt:lpwstr>
      </vt:variant>
      <vt:variant>
        <vt:lpwstr/>
      </vt:variant>
      <vt:variant>
        <vt:i4>3539005</vt:i4>
      </vt:variant>
      <vt:variant>
        <vt:i4>15</vt:i4>
      </vt:variant>
      <vt:variant>
        <vt:i4>0</vt:i4>
      </vt:variant>
      <vt:variant>
        <vt:i4>5</vt:i4>
      </vt:variant>
      <vt:variant>
        <vt:lpwstr>http://www.nevo.co.il/law/70301/HC</vt:lpwstr>
      </vt:variant>
      <vt:variant>
        <vt:lpwstr/>
      </vt:variant>
      <vt:variant>
        <vt:i4>5177424</vt:i4>
      </vt:variant>
      <vt:variant>
        <vt:i4>12</vt:i4>
      </vt:variant>
      <vt:variant>
        <vt:i4>0</vt:i4>
      </vt:variant>
      <vt:variant>
        <vt:i4>5</vt:i4>
      </vt:variant>
      <vt:variant>
        <vt:lpwstr>http://www.nevo.co.il/law/70301/144.c</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7143520</vt:i4>
      </vt:variant>
      <vt:variant>
        <vt:i4>3</vt:i4>
      </vt:variant>
      <vt:variant>
        <vt:i4>0</vt:i4>
      </vt:variant>
      <vt:variant>
        <vt:i4>5</vt:i4>
      </vt:variant>
      <vt:variant>
        <vt:lpwstr>http://www.nevo.co.il/law/70301/58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cp:lastPrinted>2020-01-12T07:41:00Z</cp:lastPrinted>
  <dcterms:created xsi:type="dcterms:W3CDTF">2023-12-07T12:24:00Z</dcterms:created>
  <dcterms:modified xsi:type="dcterms:W3CDTF">2023-12-07T12:24:00Z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54607</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יעקוב ג'בור</vt:lpwstr>
  </property>
  <property fmtid="{D5CDD505-2E9C-101B-9397-08002B2CF9AE}" pid="10" name="LAWYER">
    <vt:lpwstr>ענבל חיים;סמיר אבו עאבד</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20200112</vt:lpwstr>
  </property>
  <property fmtid="{D5CDD505-2E9C-101B-9397-08002B2CF9AE}" pid="14" name="TYPE_N_DATE">
    <vt:lpwstr>39020200112</vt:lpwstr>
  </property>
  <property fmtid="{D5CDD505-2E9C-101B-9397-08002B2CF9AE}" pid="15" name="WORDNUMPAGES">
    <vt:lpwstr>15</vt:lpwstr>
  </property>
  <property fmtid="{D5CDD505-2E9C-101B-9397-08002B2CF9AE}" pid="16" name="TYPE_ABS_DATE">
    <vt:lpwstr>390120200112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6000182;6024035;5958231;6473037;26032623;5724364;5878682;6949290;22006503;6058757;25063920;22607175;25040393;24263426;6032952;6065628;17924506;6123025;17942576;5691883;19999484;17935566;5594340;6040482;5887664;22863591;23844658;25585562;25388948</vt:lpwstr>
  </property>
  <property fmtid="{D5CDD505-2E9C-101B-9397-08002B2CF9AE}" pid="36" name="CASESLISTTMP2">
    <vt:lpwstr>25430243;20007334;21053257</vt:lpwstr>
  </property>
  <property fmtid="{D5CDD505-2E9C-101B-9397-08002B2CF9AE}" pid="37" name="LAWLISTTMP1">
    <vt:lpwstr>70301/144.a;HC;JC;jC;144.c;058;144</vt:lpwstr>
  </property>
  <property fmtid="{D5CDD505-2E9C-101B-9397-08002B2CF9AE}" pid="38" name="METAKZER">
    <vt:lpwstr>מיכל</vt:lpwstr>
  </property>
  <property fmtid="{D5CDD505-2E9C-101B-9397-08002B2CF9AE}" pid="39" name="NOSE1ID">
    <vt:lpwstr>77;77;77</vt:lpwstr>
  </property>
  <property fmtid="{D5CDD505-2E9C-101B-9397-08002B2CF9AE}" pid="40" name="NOSE2ID">
    <vt:lpwstr>1446;1446;1446</vt:lpwstr>
  </property>
  <property fmtid="{D5CDD505-2E9C-101B-9397-08002B2CF9AE}" pid="41" name="NOSE3ID">
    <vt:lpwstr>13800;8984;8977</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נשק</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מדיניות ענישה: עבירות אלימות</vt:lpwstr>
  </property>
  <property fmtid="{D5CDD505-2E9C-101B-9397-08002B2CF9AE}" pid="48" name="NOSE13">
    <vt:lpwstr>עונשין</vt:lpwstr>
  </property>
  <property fmtid="{D5CDD505-2E9C-101B-9397-08002B2CF9AE}" pid="49" name="NOSE23">
    <vt:lpwstr>ענישה</vt:lpwstr>
  </property>
  <property fmtid="{D5CDD505-2E9C-101B-9397-08002B2CF9AE}" pid="50" name="NOSE33">
    <vt:lpwstr>הפעלת מאסר על תנאי</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20200114</vt:lpwstr>
  </property>
</Properties>
</file>