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EB6593" w:rsidRPr="00C9463C" w14:paraId="16613985" w14:textId="77777777" w:rsidTr="0043570F">
        <w:trPr>
          <w:trHeight w:hRule="exact" w:val="418"/>
          <w:jc w:val="center"/>
        </w:trPr>
        <w:tc>
          <w:tcPr>
            <w:tcW w:w="8721" w:type="dxa"/>
            <w:gridSpan w:val="2"/>
          </w:tcPr>
          <w:p w14:paraId="179A52A5" w14:textId="77777777" w:rsidR="00EB6593" w:rsidRPr="00C9463C" w:rsidRDefault="00EB6593" w:rsidP="000D47D4">
            <w:pPr>
              <w:pStyle w:val="a3"/>
              <w:jc w:val="center"/>
              <w:rPr>
                <w:rFonts w:ascii="Tahoma" w:hAnsi="Tahoma" w:cs="Tahoma"/>
                <w:color w:val="000080"/>
                <w:rtl/>
              </w:rPr>
            </w:pPr>
            <w:bookmarkStart w:id="0" w:name="LastJudge"/>
            <w:r w:rsidRPr="00C9463C">
              <w:rPr>
                <w:rFonts w:ascii="Tahoma" w:hAnsi="Tahoma" w:cs="Tahoma"/>
                <w:b/>
                <w:bCs/>
                <w:color w:val="000080"/>
                <w:rtl/>
              </w:rPr>
              <w:t>בית המשפט המחוזי בחיפה</w:t>
            </w:r>
          </w:p>
        </w:tc>
      </w:tr>
      <w:tr w:rsidR="00EB6593" w:rsidRPr="00C9463C" w14:paraId="67762862" w14:textId="77777777" w:rsidTr="0043570F">
        <w:trPr>
          <w:trHeight w:val="337"/>
          <w:jc w:val="center"/>
        </w:trPr>
        <w:tc>
          <w:tcPr>
            <w:tcW w:w="5056" w:type="dxa"/>
          </w:tcPr>
          <w:p w14:paraId="2AE851EC" w14:textId="77777777" w:rsidR="00EB6593" w:rsidRPr="00C9463C" w:rsidRDefault="00EB6593" w:rsidP="000D47D4">
            <w:pPr>
              <w:rPr>
                <w:rFonts w:cs="FrankRuehl"/>
                <w:sz w:val="28"/>
                <w:szCs w:val="28"/>
                <w:rtl/>
              </w:rPr>
            </w:pPr>
            <w:r w:rsidRPr="00C9463C">
              <w:rPr>
                <w:rFonts w:cs="FrankRuehl"/>
                <w:sz w:val="28"/>
                <w:szCs w:val="28"/>
                <w:rtl/>
              </w:rPr>
              <w:t>ת"פ</w:t>
            </w:r>
            <w:r w:rsidRPr="00C9463C">
              <w:rPr>
                <w:rFonts w:cs="FrankRuehl" w:hint="cs"/>
                <w:sz w:val="28"/>
                <w:szCs w:val="28"/>
                <w:rtl/>
              </w:rPr>
              <w:t xml:space="preserve"> </w:t>
            </w:r>
            <w:r w:rsidRPr="00C9463C">
              <w:rPr>
                <w:rFonts w:cs="FrankRuehl"/>
                <w:sz w:val="28"/>
                <w:szCs w:val="28"/>
                <w:rtl/>
              </w:rPr>
              <w:t>5578-08-19</w:t>
            </w:r>
            <w:r w:rsidRPr="00C9463C">
              <w:rPr>
                <w:rFonts w:cs="FrankRuehl" w:hint="cs"/>
                <w:sz w:val="28"/>
                <w:szCs w:val="28"/>
                <w:rtl/>
              </w:rPr>
              <w:t xml:space="preserve"> </w:t>
            </w:r>
            <w:r w:rsidRPr="00C9463C">
              <w:rPr>
                <w:rFonts w:cs="FrankRuehl"/>
                <w:sz w:val="28"/>
                <w:szCs w:val="28"/>
                <w:rtl/>
              </w:rPr>
              <w:t>מדינת ישראל נ' אבראהים</w:t>
            </w:r>
          </w:p>
          <w:p w14:paraId="2D9BA3D3" w14:textId="77777777" w:rsidR="00EB6593" w:rsidRPr="00C9463C" w:rsidRDefault="00EB6593" w:rsidP="000D47D4">
            <w:pPr>
              <w:pStyle w:val="a3"/>
              <w:rPr>
                <w:rFonts w:cs="FrankRuehl"/>
                <w:sz w:val="28"/>
                <w:szCs w:val="28"/>
                <w:rtl/>
              </w:rPr>
            </w:pPr>
          </w:p>
        </w:tc>
        <w:tc>
          <w:tcPr>
            <w:tcW w:w="3665" w:type="dxa"/>
          </w:tcPr>
          <w:p w14:paraId="46E8AE5E" w14:textId="77777777" w:rsidR="00EB6593" w:rsidRPr="00C9463C" w:rsidRDefault="00EB6593" w:rsidP="000D47D4">
            <w:pPr>
              <w:pStyle w:val="a3"/>
              <w:jc w:val="right"/>
              <w:rPr>
                <w:rFonts w:cs="FrankRuehl"/>
                <w:sz w:val="28"/>
                <w:szCs w:val="28"/>
                <w:rtl/>
              </w:rPr>
            </w:pPr>
          </w:p>
        </w:tc>
      </w:tr>
    </w:tbl>
    <w:p w14:paraId="3AF82872" w14:textId="77777777" w:rsidR="00EB6593" w:rsidRPr="00C9463C" w:rsidRDefault="00EB6593" w:rsidP="00EB6593">
      <w:pPr>
        <w:pStyle w:val="a3"/>
        <w:rPr>
          <w:rtl/>
        </w:rPr>
      </w:pPr>
      <w:r w:rsidRPr="00C9463C">
        <w:rPr>
          <w:rFonts w:hint="cs"/>
          <w:rtl/>
        </w:rPr>
        <w:t xml:space="preserve"> </w:t>
      </w:r>
    </w:p>
    <w:p w14:paraId="5D346605" w14:textId="77777777" w:rsidR="00EB6593" w:rsidRPr="00C9463C" w:rsidRDefault="00EB6593" w:rsidP="00EB6593">
      <w:pPr>
        <w:jc w:val="both"/>
        <w:rPr>
          <w:rtl/>
        </w:rPr>
      </w:pPr>
    </w:p>
    <w:p w14:paraId="3E3AA808" w14:textId="77777777" w:rsidR="00EB6593" w:rsidRPr="00C9463C" w:rsidRDefault="00EB6593" w:rsidP="00EB6593">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B6593" w:rsidRPr="00C9463C" w14:paraId="6F84ADD9" w14:textId="77777777" w:rsidTr="00EB6593">
        <w:trPr>
          <w:trHeight w:val="295"/>
          <w:jc w:val="center"/>
        </w:trPr>
        <w:tc>
          <w:tcPr>
            <w:tcW w:w="923" w:type="dxa"/>
            <w:tcBorders>
              <w:top w:val="nil"/>
              <w:left w:val="nil"/>
              <w:bottom w:val="nil"/>
              <w:right w:val="nil"/>
            </w:tcBorders>
            <w:shd w:val="clear" w:color="auto" w:fill="auto"/>
          </w:tcPr>
          <w:p w14:paraId="6B4D090E" w14:textId="77777777" w:rsidR="00EB6593" w:rsidRPr="00C9463C" w:rsidRDefault="00EB6593" w:rsidP="00EB6593">
            <w:pPr>
              <w:jc w:val="both"/>
              <w:rPr>
                <w:rFonts w:ascii="Arial" w:hAnsi="Arial" w:cs="FrankRuehl"/>
                <w:sz w:val="28"/>
                <w:szCs w:val="28"/>
              </w:rPr>
            </w:pPr>
            <w:r w:rsidRPr="00C9463C">
              <w:rPr>
                <w:rFonts w:ascii="Arial" w:hAnsi="Arial" w:cs="FrankRuehl" w:hint="cs"/>
                <w:sz w:val="28"/>
                <w:szCs w:val="28"/>
                <w:rtl/>
              </w:rPr>
              <w:t>ב</w:t>
            </w:r>
            <w:r w:rsidRPr="00C9463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561493D" w14:textId="77777777" w:rsidR="00EB6593" w:rsidRPr="00C9463C" w:rsidRDefault="00EB6593" w:rsidP="00EB6593">
            <w:pPr>
              <w:jc w:val="both"/>
              <w:rPr>
                <w:rFonts w:ascii="Arial" w:hAnsi="Arial"/>
                <w:b/>
                <w:bCs/>
                <w:rtl/>
              </w:rPr>
            </w:pPr>
            <w:r w:rsidRPr="00C9463C">
              <w:rPr>
                <w:rFonts w:ascii="Arial" w:hAnsi="Arial" w:hint="cs"/>
                <w:b/>
                <w:bCs/>
                <w:rtl/>
              </w:rPr>
              <w:t>כבוד ה</w:t>
            </w:r>
            <w:r w:rsidRPr="00C9463C">
              <w:rPr>
                <w:rFonts w:ascii="Arial" w:hAnsi="Arial"/>
                <w:b/>
                <w:bCs/>
                <w:rtl/>
              </w:rPr>
              <w:t>שופטת</w:t>
            </w:r>
            <w:r w:rsidRPr="00C9463C">
              <w:rPr>
                <w:rFonts w:ascii="Arial" w:hAnsi="Arial" w:hint="cs"/>
                <w:b/>
                <w:bCs/>
                <w:rtl/>
              </w:rPr>
              <w:t xml:space="preserve">  </w:t>
            </w:r>
            <w:r w:rsidRPr="00C9463C">
              <w:rPr>
                <w:rFonts w:ascii="Arial" w:hAnsi="Arial"/>
                <w:b/>
                <w:bCs/>
                <w:rtl/>
              </w:rPr>
              <w:t>רונית בש</w:t>
            </w:r>
          </w:p>
          <w:p w14:paraId="0043530D" w14:textId="77777777" w:rsidR="00EB6593" w:rsidRPr="00C9463C" w:rsidRDefault="00EB6593" w:rsidP="00EB6593">
            <w:pPr>
              <w:jc w:val="both"/>
              <w:rPr>
                <w:rtl/>
              </w:rPr>
            </w:pPr>
          </w:p>
          <w:p w14:paraId="31D5BB71" w14:textId="77777777" w:rsidR="00EB6593" w:rsidRPr="00C9463C" w:rsidRDefault="00EB6593" w:rsidP="00EB6593">
            <w:pPr>
              <w:jc w:val="both"/>
              <w:rPr>
                <w:rFonts w:ascii="Arial" w:hAnsi="Arial" w:cs="FrankRuehl"/>
                <w:sz w:val="28"/>
                <w:szCs w:val="28"/>
              </w:rPr>
            </w:pPr>
          </w:p>
        </w:tc>
      </w:tr>
      <w:tr w:rsidR="00EB6593" w:rsidRPr="00C9463C" w14:paraId="61369753" w14:textId="77777777" w:rsidTr="00EB6593">
        <w:trPr>
          <w:trHeight w:val="355"/>
          <w:jc w:val="center"/>
        </w:trPr>
        <w:tc>
          <w:tcPr>
            <w:tcW w:w="923" w:type="dxa"/>
            <w:tcBorders>
              <w:top w:val="nil"/>
              <w:left w:val="nil"/>
              <w:bottom w:val="nil"/>
              <w:right w:val="nil"/>
            </w:tcBorders>
            <w:shd w:val="clear" w:color="auto" w:fill="auto"/>
          </w:tcPr>
          <w:p w14:paraId="500E5737" w14:textId="77777777" w:rsidR="00EB6593" w:rsidRPr="00C9463C" w:rsidRDefault="00EB6593" w:rsidP="00EB6593">
            <w:pPr>
              <w:jc w:val="both"/>
              <w:rPr>
                <w:rFonts w:ascii="Arial" w:hAnsi="Arial" w:cs="FrankRuehl"/>
                <w:sz w:val="28"/>
                <w:szCs w:val="28"/>
              </w:rPr>
            </w:pPr>
            <w:bookmarkStart w:id="1" w:name="FirstAppellant"/>
            <w:r w:rsidRPr="00C9463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134BCB6" w14:textId="77777777" w:rsidR="00EB6593" w:rsidRPr="00C9463C" w:rsidRDefault="00EB6593" w:rsidP="00EB6593">
            <w:pPr>
              <w:jc w:val="both"/>
            </w:pPr>
            <w:r w:rsidRPr="00C9463C">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6F3862E3" w14:textId="77777777" w:rsidR="00EB6593" w:rsidRPr="00C9463C" w:rsidRDefault="00EB6593" w:rsidP="00EB6593">
            <w:pPr>
              <w:jc w:val="both"/>
              <w:rPr>
                <w:rFonts w:ascii="Arial" w:hAnsi="Arial" w:cs="FrankRuehl"/>
                <w:sz w:val="28"/>
                <w:szCs w:val="28"/>
              </w:rPr>
            </w:pPr>
          </w:p>
        </w:tc>
      </w:tr>
      <w:bookmarkEnd w:id="1"/>
      <w:tr w:rsidR="00EB6593" w:rsidRPr="00C9463C" w14:paraId="245C836C" w14:textId="77777777" w:rsidTr="00EB6593">
        <w:trPr>
          <w:trHeight w:val="355"/>
          <w:jc w:val="center"/>
        </w:trPr>
        <w:tc>
          <w:tcPr>
            <w:tcW w:w="923" w:type="dxa"/>
            <w:tcBorders>
              <w:top w:val="nil"/>
              <w:left w:val="nil"/>
              <w:bottom w:val="nil"/>
              <w:right w:val="nil"/>
            </w:tcBorders>
            <w:shd w:val="clear" w:color="auto" w:fill="auto"/>
          </w:tcPr>
          <w:p w14:paraId="0658248C" w14:textId="77777777" w:rsidR="00EB6593" w:rsidRPr="00C9463C" w:rsidRDefault="00EB6593" w:rsidP="00EB659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7EB6B8" w14:textId="77777777" w:rsidR="00EB6593" w:rsidRPr="00C9463C" w:rsidRDefault="00EB6593" w:rsidP="00EB6593">
            <w:pPr>
              <w:jc w:val="both"/>
              <w:rPr>
                <w:b/>
                <w:bCs/>
                <w:rtl/>
              </w:rPr>
            </w:pPr>
          </w:p>
        </w:tc>
        <w:tc>
          <w:tcPr>
            <w:tcW w:w="3771" w:type="dxa"/>
            <w:tcBorders>
              <w:top w:val="nil"/>
              <w:left w:val="nil"/>
              <w:bottom w:val="nil"/>
              <w:right w:val="nil"/>
            </w:tcBorders>
            <w:shd w:val="clear" w:color="auto" w:fill="auto"/>
          </w:tcPr>
          <w:p w14:paraId="5E34A2F5" w14:textId="77777777" w:rsidR="00EB6593" w:rsidRPr="00C9463C" w:rsidRDefault="00EB6593" w:rsidP="00EB6593">
            <w:pPr>
              <w:jc w:val="both"/>
              <w:rPr>
                <w:rFonts w:ascii="Arial" w:hAnsi="Arial" w:cs="FrankRuehl"/>
                <w:b/>
                <w:bCs/>
                <w:sz w:val="28"/>
                <w:szCs w:val="28"/>
                <w:rtl/>
              </w:rPr>
            </w:pPr>
            <w:r w:rsidRPr="00C9463C">
              <w:rPr>
                <w:rFonts w:ascii="Arial" w:hAnsi="Arial" w:cs="FrankRuehl" w:hint="cs"/>
                <w:b/>
                <w:bCs/>
                <w:sz w:val="28"/>
                <w:szCs w:val="28"/>
                <w:rtl/>
              </w:rPr>
              <w:t>ה</w:t>
            </w:r>
            <w:r w:rsidRPr="00C9463C">
              <w:rPr>
                <w:rFonts w:ascii="Arial" w:hAnsi="Arial" w:cs="FrankRuehl"/>
                <w:b/>
                <w:bCs/>
                <w:sz w:val="28"/>
                <w:szCs w:val="28"/>
                <w:rtl/>
              </w:rPr>
              <w:t>מאשימה</w:t>
            </w:r>
          </w:p>
        </w:tc>
      </w:tr>
      <w:tr w:rsidR="00EB6593" w:rsidRPr="00C9463C" w14:paraId="1F37384A" w14:textId="77777777" w:rsidTr="00EB6593">
        <w:trPr>
          <w:trHeight w:val="355"/>
          <w:jc w:val="center"/>
        </w:trPr>
        <w:tc>
          <w:tcPr>
            <w:tcW w:w="923" w:type="dxa"/>
            <w:tcBorders>
              <w:top w:val="nil"/>
              <w:left w:val="nil"/>
              <w:bottom w:val="nil"/>
              <w:right w:val="nil"/>
            </w:tcBorders>
            <w:shd w:val="clear" w:color="auto" w:fill="auto"/>
          </w:tcPr>
          <w:p w14:paraId="0C2A87BA" w14:textId="77777777" w:rsidR="00EB6593" w:rsidRPr="00C9463C" w:rsidRDefault="00EB6593" w:rsidP="00EB659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6A5949B" w14:textId="77777777" w:rsidR="00EB6593" w:rsidRPr="00C9463C" w:rsidRDefault="00EB6593" w:rsidP="00EB6593">
            <w:pPr>
              <w:jc w:val="both"/>
              <w:rPr>
                <w:rFonts w:ascii="Arial" w:hAnsi="Arial" w:cs="FrankRuehl"/>
                <w:b/>
                <w:bCs/>
                <w:sz w:val="28"/>
                <w:szCs w:val="28"/>
                <w:rtl/>
              </w:rPr>
            </w:pPr>
          </w:p>
          <w:p w14:paraId="2942D454" w14:textId="77777777" w:rsidR="00EB6593" w:rsidRPr="00C9463C" w:rsidRDefault="00EB6593" w:rsidP="00EB6593">
            <w:pPr>
              <w:jc w:val="both"/>
              <w:rPr>
                <w:rFonts w:ascii="Arial" w:hAnsi="Arial" w:cs="FrankRuehl"/>
                <w:b/>
                <w:bCs/>
                <w:sz w:val="28"/>
                <w:szCs w:val="28"/>
                <w:rtl/>
              </w:rPr>
            </w:pPr>
            <w:r w:rsidRPr="00C9463C">
              <w:rPr>
                <w:rFonts w:ascii="Arial" w:hAnsi="Arial" w:cs="FrankRuehl"/>
                <w:b/>
                <w:bCs/>
                <w:sz w:val="28"/>
                <w:szCs w:val="28"/>
                <w:rtl/>
              </w:rPr>
              <w:t>נגד</w:t>
            </w:r>
          </w:p>
          <w:p w14:paraId="03D86213" w14:textId="77777777" w:rsidR="00EB6593" w:rsidRPr="00C9463C" w:rsidRDefault="00EB6593" w:rsidP="00EB6593">
            <w:pPr>
              <w:jc w:val="both"/>
              <w:rPr>
                <w:rFonts w:ascii="Arial" w:hAnsi="Arial" w:cs="FrankRuehl"/>
                <w:sz w:val="28"/>
                <w:szCs w:val="28"/>
              </w:rPr>
            </w:pPr>
          </w:p>
        </w:tc>
      </w:tr>
      <w:tr w:rsidR="00EB6593" w:rsidRPr="00C9463C" w14:paraId="1194BC15" w14:textId="77777777" w:rsidTr="00EB6593">
        <w:trPr>
          <w:trHeight w:val="355"/>
          <w:jc w:val="center"/>
        </w:trPr>
        <w:tc>
          <w:tcPr>
            <w:tcW w:w="923" w:type="dxa"/>
            <w:tcBorders>
              <w:top w:val="nil"/>
              <w:left w:val="nil"/>
              <w:bottom w:val="nil"/>
              <w:right w:val="nil"/>
            </w:tcBorders>
            <w:shd w:val="clear" w:color="auto" w:fill="auto"/>
          </w:tcPr>
          <w:p w14:paraId="24772A01" w14:textId="77777777" w:rsidR="00EB6593" w:rsidRPr="00C9463C" w:rsidRDefault="00EB6593" w:rsidP="00EB659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A9327E8" w14:textId="77777777" w:rsidR="00EB6593" w:rsidRPr="00C9463C" w:rsidRDefault="00EB6593" w:rsidP="00EB6593">
            <w:pPr>
              <w:jc w:val="both"/>
              <w:rPr>
                <w:b/>
                <w:bCs/>
                <w:rtl/>
              </w:rPr>
            </w:pPr>
            <w:r w:rsidRPr="00C9463C">
              <w:rPr>
                <w:rFonts w:ascii="Arial" w:hAnsi="Arial" w:cs="FrankRuehl"/>
                <w:b/>
                <w:bCs/>
                <w:sz w:val="28"/>
                <w:szCs w:val="28"/>
                <w:rtl/>
              </w:rPr>
              <w:t>גולן אבראהים</w:t>
            </w:r>
          </w:p>
        </w:tc>
        <w:tc>
          <w:tcPr>
            <w:tcW w:w="3771" w:type="dxa"/>
            <w:tcBorders>
              <w:top w:val="nil"/>
              <w:left w:val="nil"/>
              <w:bottom w:val="nil"/>
              <w:right w:val="nil"/>
            </w:tcBorders>
            <w:shd w:val="clear" w:color="auto" w:fill="auto"/>
          </w:tcPr>
          <w:p w14:paraId="4A6EA3F5" w14:textId="77777777" w:rsidR="00EB6593" w:rsidRPr="00C9463C" w:rsidRDefault="00EB6593" w:rsidP="00EB6593">
            <w:pPr>
              <w:jc w:val="both"/>
              <w:rPr>
                <w:rFonts w:ascii="Arial" w:hAnsi="Arial" w:cs="FrankRuehl"/>
                <w:sz w:val="28"/>
                <w:szCs w:val="28"/>
              </w:rPr>
            </w:pPr>
          </w:p>
        </w:tc>
      </w:tr>
      <w:tr w:rsidR="00EB6593" w:rsidRPr="00C9463C" w14:paraId="6D8F491B" w14:textId="77777777" w:rsidTr="00EB6593">
        <w:trPr>
          <w:trHeight w:val="355"/>
          <w:jc w:val="center"/>
        </w:trPr>
        <w:tc>
          <w:tcPr>
            <w:tcW w:w="923" w:type="dxa"/>
            <w:tcBorders>
              <w:top w:val="nil"/>
              <w:left w:val="nil"/>
              <w:bottom w:val="nil"/>
              <w:right w:val="nil"/>
            </w:tcBorders>
            <w:shd w:val="clear" w:color="auto" w:fill="auto"/>
          </w:tcPr>
          <w:p w14:paraId="12002F73" w14:textId="77777777" w:rsidR="00EB6593" w:rsidRPr="00C9463C" w:rsidRDefault="00EB6593" w:rsidP="00EB659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C28FCA3" w14:textId="77777777" w:rsidR="00EB6593" w:rsidRPr="00C9463C" w:rsidRDefault="00EB6593" w:rsidP="00EB6593">
            <w:pPr>
              <w:jc w:val="both"/>
              <w:rPr>
                <w:b/>
                <w:bCs/>
                <w:rtl/>
              </w:rPr>
            </w:pPr>
          </w:p>
        </w:tc>
        <w:tc>
          <w:tcPr>
            <w:tcW w:w="3771" w:type="dxa"/>
            <w:tcBorders>
              <w:top w:val="nil"/>
              <w:left w:val="nil"/>
              <w:bottom w:val="nil"/>
              <w:right w:val="nil"/>
            </w:tcBorders>
            <w:shd w:val="clear" w:color="auto" w:fill="auto"/>
          </w:tcPr>
          <w:p w14:paraId="3B70B2FC" w14:textId="77777777" w:rsidR="00EB6593" w:rsidRPr="00C9463C" w:rsidRDefault="00EB6593" w:rsidP="00EB6593">
            <w:pPr>
              <w:jc w:val="both"/>
              <w:rPr>
                <w:rFonts w:ascii="Arial" w:hAnsi="Arial" w:cs="FrankRuehl"/>
                <w:b/>
                <w:bCs/>
                <w:sz w:val="28"/>
                <w:szCs w:val="28"/>
              </w:rPr>
            </w:pPr>
            <w:r w:rsidRPr="00C9463C">
              <w:rPr>
                <w:rFonts w:ascii="Arial" w:hAnsi="Arial" w:cs="FrankRuehl" w:hint="cs"/>
                <w:b/>
                <w:bCs/>
                <w:sz w:val="28"/>
                <w:szCs w:val="28"/>
                <w:rtl/>
              </w:rPr>
              <w:t>ה</w:t>
            </w:r>
            <w:r w:rsidRPr="00C9463C">
              <w:rPr>
                <w:rFonts w:ascii="Arial" w:hAnsi="Arial" w:cs="FrankRuehl"/>
                <w:b/>
                <w:bCs/>
                <w:sz w:val="28"/>
                <w:szCs w:val="28"/>
                <w:rtl/>
              </w:rPr>
              <w:t>נאשם</w:t>
            </w:r>
          </w:p>
        </w:tc>
      </w:tr>
    </w:tbl>
    <w:p w14:paraId="2CF48FAA" w14:textId="77777777" w:rsidR="0043570F" w:rsidRPr="0043570F" w:rsidRDefault="0043570F" w:rsidP="0043570F">
      <w:pPr>
        <w:spacing w:before="120" w:after="120" w:line="240" w:lineRule="exact"/>
        <w:ind w:left="283" w:hanging="283"/>
        <w:jc w:val="both"/>
        <w:rPr>
          <w:rFonts w:ascii="FrankRuehl" w:hAnsi="FrankRuehl" w:cs="FrankRuehl"/>
          <w:rtl/>
        </w:rPr>
      </w:pPr>
      <w:bookmarkStart w:id="2" w:name="LawTable"/>
      <w:bookmarkEnd w:id="2"/>
      <w:r w:rsidRPr="0043570F">
        <w:rPr>
          <w:rFonts w:ascii="FrankRuehl" w:hAnsi="FrankRuehl" w:cs="FrankRuehl"/>
          <w:rtl/>
        </w:rPr>
        <w:t xml:space="preserve">חקיקה שאוזכרה: </w:t>
      </w:r>
    </w:p>
    <w:p w14:paraId="3D38342A" w14:textId="77777777" w:rsidR="0043570F" w:rsidRPr="0043570F" w:rsidRDefault="0043570F" w:rsidP="0043570F">
      <w:pPr>
        <w:spacing w:before="120" w:after="120" w:line="240" w:lineRule="exact"/>
        <w:ind w:left="283" w:hanging="283"/>
        <w:jc w:val="both"/>
        <w:rPr>
          <w:rFonts w:ascii="FrankRuehl" w:hAnsi="FrankRuehl" w:cs="FrankRuehl"/>
          <w:color w:val="0000FF"/>
          <w:rtl/>
        </w:rPr>
      </w:pPr>
      <w:hyperlink r:id="rId7" w:history="1">
        <w:r w:rsidRPr="0043570F">
          <w:rPr>
            <w:rStyle w:val="Hyperlink"/>
            <w:rFonts w:ascii="FrankRuehl" w:hAnsi="FrankRuehl" w:cs="FrankRuehl"/>
            <w:rtl/>
          </w:rPr>
          <w:t>חוק העונשין, תשל"ז-1977</w:t>
        </w:r>
      </w:hyperlink>
      <w:r w:rsidRPr="0043570F">
        <w:rPr>
          <w:rFonts w:ascii="FrankRuehl" w:hAnsi="FrankRuehl" w:cs="FrankRuehl"/>
          <w:color w:val="0000FF"/>
          <w:u w:val="single"/>
          <w:rtl/>
        </w:rPr>
        <w:t xml:space="preserve">: סע'  </w:t>
      </w:r>
      <w:hyperlink r:id="rId8" w:history="1">
        <w:r w:rsidRPr="0043570F">
          <w:rPr>
            <w:rStyle w:val="Hyperlink"/>
            <w:rFonts w:ascii="FrankRuehl" w:hAnsi="FrankRuehl" w:cs="FrankRuehl"/>
          </w:rPr>
          <w:t>29</w:t>
        </w:r>
      </w:hyperlink>
      <w:r w:rsidRPr="0043570F">
        <w:rPr>
          <w:rFonts w:ascii="FrankRuehl" w:hAnsi="FrankRuehl" w:cs="FrankRuehl"/>
          <w:color w:val="0000FF"/>
          <w:u w:val="single"/>
          <w:rtl/>
        </w:rPr>
        <w:t xml:space="preserve">, </w:t>
      </w:r>
      <w:hyperlink r:id="rId9" w:history="1">
        <w:r w:rsidRPr="0043570F">
          <w:rPr>
            <w:rStyle w:val="Hyperlink"/>
            <w:rFonts w:ascii="FrankRuehl" w:hAnsi="FrankRuehl" w:cs="FrankRuehl"/>
          </w:rPr>
          <w:t>40</w:t>
        </w:r>
        <w:r w:rsidRPr="0043570F">
          <w:rPr>
            <w:rStyle w:val="Hyperlink"/>
            <w:rFonts w:ascii="FrankRuehl" w:hAnsi="FrankRuehl" w:cs="FrankRuehl"/>
            <w:rtl/>
          </w:rPr>
          <w:t>ב</w:t>
        </w:r>
      </w:hyperlink>
      <w:r w:rsidRPr="0043570F">
        <w:rPr>
          <w:rFonts w:ascii="FrankRuehl" w:hAnsi="FrankRuehl" w:cs="FrankRuehl"/>
          <w:color w:val="0000FF"/>
          <w:u w:val="single"/>
          <w:rtl/>
        </w:rPr>
        <w:t xml:space="preserve">, </w:t>
      </w:r>
      <w:hyperlink r:id="rId10" w:history="1">
        <w:r w:rsidRPr="0043570F">
          <w:rPr>
            <w:rStyle w:val="Hyperlink"/>
            <w:rFonts w:ascii="FrankRuehl" w:hAnsi="FrankRuehl" w:cs="FrankRuehl"/>
          </w:rPr>
          <w:t>40</w:t>
        </w:r>
        <w:r w:rsidRPr="0043570F">
          <w:rPr>
            <w:rStyle w:val="Hyperlink"/>
            <w:rFonts w:ascii="FrankRuehl" w:hAnsi="FrankRuehl" w:cs="FrankRuehl"/>
            <w:rtl/>
          </w:rPr>
          <w:t>ג</w:t>
        </w:r>
      </w:hyperlink>
      <w:r w:rsidRPr="0043570F">
        <w:rPr>
          <w:rFonts w:ascii="FrankRuehl" w:hAnsi="FrankRuehl" w:cs="FrankRuehl"/>
          <w:color w:val="0000FF"/>
          <w:u w:val="single"/>
          <w:rtl/>
        </w:rPr>
        <w:t xml:space="preserve">, </w:t>
      </w:r>
      <w:hyperlink r:id="rId11" w:history="1">
        <w:r w:rsidRPr="0043570F">
          <w:rPr>
            <w:rStyle w:val="Hyperlink"/>
            <w:rFonts w:ascii="FrankRuehl" w:hAnsi="FrankRuehl" w:cs="FrankRuehl"/>
          </w:rPr>
          <w:t>40</w:t>
        </w:r>
        <w:r w:rsidRPr="0043570F">
          <w:rPr>
            <w:rStyle w:val="Hyperlink"/>
            <w:rFonts w:ascii="FrankRuehl" w:hAnsi="FrankRuehl" w:cs="FrankRuehl"/>
            <w:rtl/>
          </w:rPr>
          <w:t>ט</w:t>
        </w:r>
      </w:hyperlink>
      <w:r w:rsidRPr="0043570F">
        <w:rPr>
          <w:rFonts w:ascii="FrankRuehl" w:hAnsi="FrankRuehl" w:cs="FrankRuehl"/>
          <w:color w:val="0000FF"/>
          <w:u w:val="single"/>
          <w:rtl/>
        </w:rPr>
        <w:t xml:space="preserve">, </w:t>
      </w:r>
      <w:hyperlink r:id="rId12" w:history="1">
        <w:r w:rsidRPr="0043570F">
          <w:rPr>
            <w:rStyle w:val="Hyperlink"/>
            <w:rFonts w:ascii="FrankRuehl" w:hAnsi="FrankRuehl" w:cs="FrankRuehl"/>
          </w:rPr>
          <w:t>144</w:t>
        </w:r>
      </w:hyperlink>
      <w:r w:rsidRPr="0043570F">
        <w:rPr>
          <w:rFonts w:ascii="FrankRuehl" w:hAnsi="FrankRuehl" w:cs="FrankRuehl"/>
          <w:color w:val="0000FF"/>
          <w:u w:val="single"/>
          <w:rtl/>
        </w:rPr>
        <w:t xml:space="preserve">, </w:t>
      </w:r>
      <w:hyperlink r:id="rId13" w:history="1">
        <w:r w:rsidRPr="0043570F">
          <w:rPr>
            <w:rStyle w:val="Hyperlink"/>
            <w:rFonts w:ascii="FrankRuehl" w:hAnsi="FrankRuehl" w:cs="FrankRuehl"/>
          </w:rPr>
          <w:t>144</w:t>
        </w:r>
      </w:hyperlink>
      <w:r w:rsidRPr="0043570F">
        <w:rPr>
          <w:rFonts w:ascii="FrankRuehl" w:hAnsi="FrankRuehl" w:cs="FrankRuehl"/>
          <w:color w:val="0000FF"/>
          <w:rtl/>
        </w:rPr>
        <w:t xml:space="preserve">(א), </w:t>
      </w:r>
      <w:hyperlink r:id="rId14" w:history="1">
        <w:r w:rsidRPr="0043570F">
          <w:rPr>
            <w:rStyle w:val="Hyperlink"/>
            <w:rFonts w:ascii="FrankRuehl" w:hAnsi="FrankRuehl" w:cs="FrankRuehl"/>
          </w:rPr>
          <w:t>144</w:t>
        </w:r>
      </w:hyperlink>
      <w:r w:rsidRPr="0043570F">
        <w:rPr>
          <w:rFonts w:ascii="FrankRuehl" w:hAnsi="FrankRuehl" w:cs="FrankRuehl"/>
          <w:color w:val="0000FF"/>
          <w:rtl/>
        </w:rPr>
        <w:t xml:space="preserve">(ב), </w:t>
      </w:r>
      <w:hyperlink r:id="rId15" w:history="1">
        <w:r w:rsidRPr="0043570F">
          <w:rPr>
            <w:rStyle w:val="Hyperlink"/>
            <w:rFonts w:ascii="FrankRuehl" w:hAnsi="FrankRuehl" w:cs="FrankRuehl"/>
          </w:rPr>
          <w:t>245</w:t>
        </w:r>
      </w:hyperlink>
      <w:r w:rsidRPr="0043570F">
        <w:rPr>
          <w:rFonts w:ascii="FrankRuehl" w:hAnsi="FrankRuehl" w:cs="FrankRuehl"/>
          <w:color w:val="0000FF"/>
          <w:rtl/>
        </w:rPr>
        <w:t xml:space="preserve">(א), </w:t>
      </w:r>
      <w:hyperlink r:id="rId16" w:history="1">
        <w:r w:rsidRPr="0043570F">
          <w:rPr>
            <w:rStyle w:val="Hyperlink"/>
            <w:rFonts w:ascii="FrankRuehl" w:hAnsi="FrankRuehl" w:cs="FrankRuehl"/>
          </w:rPr>
          <w:t>275</w:t>
        </w:r>
      </w:hyperlink>
    </w:p>
    <w:p w14:paraId="30360D12" w14:textId="77777777" w:rsidR="0043570F" w:rsidRPr="0043570F" w:rsidRDefault="0043570F" w:rsidP="0043570F">
      <w:pPr>
        <w:spacing w:before="120" w:after="120" w:line="240" w:lineRule="exact"/>
        <w:ind w:left="283" w:hanging="283"/>
        <w:jc w:val="both"/>
        <w:rPr>
          <w:rFonts w:ascii="FrankRuehl" w:hAnsi="FrankRuehl" w:cs="FrankRuehl"/>
          <w:color w:val="0000FF"/>
          <w:rtl/>
        </w:rPr>
      </w:pPr>
      <w:hyperlink r:id="rId17" w:history="1">
        <w:r w:rsidRPr="0043570F">
          <w:rPr>
            <w:rStyle w:val="Hyperlink"/>
            <w:rFonts w:ascii="FrankRuehl" w:hAnsi="FrankRuehl" w:cs="FrankRuehl"/>
            <w:rtl/>
          </w:rPr>
          <w:t>תקנות התעבורה, תשכ"א-1961 - לא מרובדות</w:t>
        </w:r>
      </w:hyperlink>
      <w:r w:rsidRPr="0043570F">
        <w:rPr>
          <w:rFonts w:ascii="FrankRuehl" w:hAnsi="FrankRuehl" w:cs="FrankRuehl"/>
          <w:color w:val="0000FF"/>
          <w:u w:val="single"/>
          <w:rtl/>
        </w:rPr>
        <w:t xml:space="preserve">: סע'  </w:t>
      </w:r>
      <w:hyperlink r:id="rId18" w:history="1">
        <w:r w:rsidRPr="0043570F">
          <w:rPr>
            <w:rStyle w:val="Hyperlink"/>
            <w:rFonts w:ascii="FrankRuehl" w:hAnsi="FrankRuehl" w:cs="FrankRuehl"/>
          </w:rPr>
          <w:t>21</w:t>
        </w:r>
      </w:hyperlink>
      <w:r w:rsidRPr="0043570F">
        <w:rPr>
          <w:rFonts w:ascii="FrankRuehl" w:hAnsi="FrankRuehl" w:cs="FrankRuehl"/>
          <w:color w:val="0000FF"/>
          <w:rtl/>
        </w:rPr>
        <w:t xml:space="preserve">(ג), </w:t>
      </w:r>
      <w:hyperlink r:id="rId19" w:history="1">
        <w:r w:rsidRPr="0043570F">
          <w:rPr>
            <w:rStyle w:val="Hyperlink"/>
            <w:rFonts w:ascii="FrankRuehl" w:hAnsi="FrankRuehl" w:cs="FrankRuehl"/>
          </w:rPr>
          <w:t>22</w:t>
        </w:r>
      </w:hyperlink>
      <w:r w:rsidRPr="0043570F">
        <w:rPr>
          <w:rFonts w:ascii="FrankRuehl" w:hAnsi="FrankRuehl" w:cs="FrankRuehl"/>
          <w:color w:val="0000FF"/>
          <w:rtl/>
        </w:rPr>
        <w:t>(א)</w:t>
      </w:r>
    </w:p>
    <w:p w14:paraId="24A02EE7" w14:textId="77777777" w:rsidR="0043570F" w:rsidRPr="0043570F" w:rsidRDefault="0043570F" w:rsidP="0043570F">
      <w:pPr>
        <w:spacing w:before="120" w:after="120" w:line="240" w:lineRule="exact"/>
        <w:ind w:left="283" w:hanging="283"/>
        <w:jc w:val="both"/>
        <w:rPr>
          <w:rFonts w:ascii="FrankRuehl" w:hAnsi="FrankRuehl" w:cs="FrankRuehl"/>
          <w:color w:val="0000FF"/>
          <w:rtl/>
        </w:rPr>
      </w:pPr>
      <w:hyperlink r:id="rId20" w:history="1">
        <w:r w:rsidRPr="0043570F">
          <w:rPr>
            <w:rStyle w:val="Hyperlink"/>
            <w:rFonts w:ascii="FrankRuehl" w:hAnsi="FrankRuehl" w:cs="FrankRuehl"/>
            <w:rtl/>
          </w:rPr>
          <w:t>פקודת התעבורה [נוסח חדש</w:t>
        </w:r>
        <w:r w:rsidRPr="0043570F">
          <w:rPr>
            <w:rStyle w:val="Hyperlink"/>
            <w:rFonts w:ascii="FrankRuehl" w:hAnsi="FrankRuehl" w:cs="FrankRuehl"/>
          </w:rPr>
          <w:t>]</w:t>
        </w:r>
      </w:hyperlink>
      <w:r w:rsidRPr="0043570F">
        <w:rPr>
          <w:rFonts w:ascii="FrankRuehl" w:hAnsi="FrankRuehl" w:cs="FrankRuehl"/>
          <w:color w:val="0000FF"/>
          <w:u w:val="single"/>
          <w:rtl/>
        </w:rPr>
        <w:t xml:space="preserve">: סע'  </w:t>
      </w:r>
      <w:hyperlink r:id="rId21" w:history="1">
        <w:r w:rsidRPr="0043570F">
          <w:rPr>
            <w:rStyle w:val="Hyperlink"/>
            <w:rFonts w:ascii="FrankRuehl" w:hAnsi="FrankRuehl" w:cs="FrankRuehl"/>
          </w:rPr>
          <w:t>38</w:t>
        </w:r>
      </w:hyperlink>
      <w:r w:rsidRPr="0043570F">
        <w:rPr>
          <w:rFonts w:ascii="FrankRuehl" w:hAnsi="FrankRuehl" w:cs="FrankRuehl"/>
          <w:color w:val="0000FF"/>
          <w:rtl/>
        </w:rPr>
        <w:t xml:space="preserve">(2), </w:t>
      </w:r>
      <w:hyperlink r:id="rId22" w:history="1">
        <w:r w:rsidRPr="0043570F">
          <w:rPr>
            <w:rStyle w:val="Hyperlink"/>
            <w:rFonts w:ascii="FrankRuehl" w:hAnsi="FrankRuehl" w:cs="FrankRuehl"/>
          </w:rPr>
          <w:t>62</w:t>
        </w:r>
      </w:hyperlink>
      <w:r w:rsidRPr="0043570F">
        <w:rPr>
          <w:rFonts w:ascii="FrankRuehl" w:hAnsi="FrankRuehl" w:cs="FrankRuehl"/>
          <w:color w:val="0000FF"/>
          <w:rtl/>
        </w:rPr>
        <w:t xml:space="preserve">(2), </w:t>
      </w:r>
      <w:hyperlink r:id="rId23" w:history="1">
        <w:r w:rsidRPr="0043570F">
          <w:rPr>
            <w:rStyle w:val="Hyperlink"/>
            <w:rFonts w:ascii="FrankRuehl" w:hAnsi="FrankRuehl" w:cs="FrankRuehl"/>
          </w:rPr>
          <w:t>62</w:t>
        </w:r>
      </w:hyperlink>
      <w:r w:rsidRPr="0043570F">
        <w:rPr>
          <w:rFonts w:ascii="FrankRuehl" w:hAnsi="FrankRuehl" w:cs="FrankRuehl"/>
          <w:color w:val="0000FF"/>
          <w:rtl/>
        </w:rPr>
        <w:t>(8)</w:t>
      </w:r>
    </w:p>
    <w:p w14:paraId="303412B6" w14:textId="77777777" w:rsidR="00EB6593" w:rsidRPr="0043570F" w:rsidRDefault="00EB6593" w:rsidP="0043570F">
      <w:pPr>
        <w:jc w:val="both"/>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6593" w14:paraId="333A9731" w14:textId="77777777" w:rsidTr="00EB6593">
        <w:trPr>
          <w:trHeight w:val="355"/>
          <w:jc w:val="center"/>
        </w:trPr>
        <w:tc>
          <w:tcPr>
            <w:tcW w:w="8820" w:type="dxa"/>
            <w:tcBorders>
              <w:top w:val="nil"/>
              <w:left w:val="nil"/>
              <w:bottom w:val="nil"/>
              <w:right w:val="nil"/>
            </w:tcBorders>
            <w:shd w:val="clear" w:color="auto" w:fill="auto"/>
          </w:tcPr>
          <w:p w14:paraId="58BE8BD5" w14:textId="77777777" w:rsidR="00C9463C" w:rsidRPr="00C9463C" w:rsidRDefault="00C9463C" w:rsidP="00C9463C">
            <w:pPr>
              <w:jc w:val="center"/>
              <w:rPr>
                <w:rFonts w:ascii="Arial" w:hAnsi="Arial" w:cs="FrankRuehl"/>
                <w:b/>
                <w:bCs/>
                <w:sz w:val="32"/>
                <w:szCs w:val="32"/>
                <w:u w:val="single"/>
                <w:rtl/>
              </w:rPr>
            </w:pPr>
            <w:bookmarkStart w:id="4" w:name="PsakDin" w:colFirst="0" w:colLast="0"/>
            <w:bookmarkEnd w:id="0"/>
            <w:r w:rsidRPr="00C9463C">
              <w:rPr>
                <w:rFonts w:ascii="Arial" w:hAnsi="Arial" w:cs="FrankRuehl"/>
                <w:b/>
                <w:bCs/>
                <w:sz w:val="32"/>
                <w:szCs w:val="32"/>
                <w:u w:val="single"/>
                <w:rtl/>
              </w:rPr>
              <w:t>גזר דין</w:t>
            </w:r>
          </w:p>
          <w:p w14:paraId="210761AB" w14:textId="77777777" w:rsidR="00EB6593" w:rsidRPr="00C9463C" w:rsidRDefault="00EB6593" w:rsidP="00C9463C">
            <w:pPr>
              <w:jc w:val="center"/>
              <w:rPr>
                <w:rFonts w:ascii="Arial" w:hAnsi="Arial" w:cs="FrankRuehl"/>
                <w:bCs/>
                <w:sz w:val="32"/>
                <w:szCs w:val="32"/>
                <w:u w:val="single"/>
                <w:rtl/>
              </w:rPr>
            </w:pPr>
          </w:p>
        </w:tc>
      </w:tr>
      <w:bookmarkEnd w:id="4"/>
    </w:tbl>
    <w:p w14:paraId="69C703DF" w14:textId="77777777" w:rsidR="00EB6593" w:rsidRPr="00B05847" w:rsidRDefault="00EB6593" w:rsidP="00EB6593">
      <w:pPr>
        <w:jc w:val="center"/>
        <w:rPr>
          <w:rFonts w:ascii="Arial" w:hAnsi="Arial"/>
          <w:rtl/>
        </w:rPr>
      </w:pPr>
    </w:p>
    <w:p w14:paraId="12EC7062" w14:textId="77777777" w:rsidR="00EB6593" w:rsidRPr="00B05847" w:rsidRDefault="00EB6593" w:rsidP="00EB6593">
      <w:pPr>
        <w:jc w:val="center"/>
        <w:rPr>
          <w:rFonts w:ascii="Arial" w:hAnsi="Arial"/>
          <w:rtl/>
        </w:rPr>
      </w:pPr>
    </w:p>
    <w:p w14:paraId="13A0286F" w14:textId="77777777" w:rsidR="00EB6593" w:rsidRDefault="00EB6593" w:rsidP="00EB6593">
      <w:pPr>
        <w:spacing w:line="360" w:lineRule="auto"/>
        <w:jc w:val="both"/>
        <w:rPr>
          <w:rtl/>
        </w:rPr>
      </w:pPr>
      <w:r>
        <w:rPr>
          <w:rFonts w:hint="cs"/>
          <w:rtl/>
        </w:rPr>
        <w:t>1.</w:t>
      </w:r>
      <w:r>
        <w:rPr>
          <w:rtl/>
        </w:rPr>
        <w:tab/>
      </w:r>
      <w:bookmarkStart w:id="5" w:name="ABSTRACT_START"/>
      <w:bookmarkEnd w:id="5"/>
      <w:r w:rsidRPr="003B4562">
        <w:rPr>
          <w:rtl/>
        </w:rPr>
        <w:t>הנאשם הורשע בתיק זה, על פי הודאתו בעובדות כתב האישום שתוקן, במסגרת של הסדר טיעון, וזאת בביצוע עבירה של נשיא</w:t>
      </w:r>
      <w:r>
        <w:rPr>
          <w:rFonts w:hint="cs"/>
          <w:rtl/>
        </w:rPr>
        <w:t>ת</w:t>
      </w:r>
      <w:r w:rsidRPr="003B4562">
        <w:rPr>
          <w:rtl/>
        </w:rPr>
        <w:t xml:space="preserve"> נשק </w:t>
      </w:r>
      <w:r>
        <w:rPr>
          <w:rFonts w:hint="cs"/>
          <w:rtl/>
        </w:rPr>
        <w:t xml:space="preserve">והובלת נשק </w:t>
      </w:r>
      <w:r w:rsidRPr="003B4562">
        <w:rPr>
          <w:rtl/>
        </w:rPr>
        <w:t xml:space="preserve">שלא כדין, לפי </w:t>
      </w:r>
      <w:hyperlink r:id="rId24" w:history="1">
        <w:r w:rsidR="0043570F" w:rsidRPr="0043570F">
          <w:rPr>
            <w:rStyle w:val="Hyperlink"/>
            <w:color w:val="0000FF"/>
            <w:rtl/>
          </w:rPr>
          <w:t>סעיף 144(ב)</w:t>
        </w:r>
      </w:hyperlink>
      <w:r w:rsidRPr="003B4562">
        <w:rPr>
          <w:rtl/>
        </w:rPr>
        <w:t xml:space="preserve"> רישא ל</w:t>
      </w:r>
      <w:hyperlink r:id="rId25" w:history="1">
        <w:r w:rsidR="00C9463C" w:rsidRPr="00C9463C">
          <w:rPr>
            <w:color w:val="0000FF"/>
            <w:u w:val="single"/>
            <w:rtl/>
          </w:rPr>
          <w:t>חוק העונשין</w:t>
        </w:r>
      </w:hyperlink>
      <w:r w:rsidRPr="003B4562">
        <w:rPr>
          <w:rtl/>
        </w:rPr>
        <w:t>, הת</w:t>
      </w:r>
      <w:r>
        <w:rPr>
          <w:rtl/>
        </w:rPr>
        <w:t xml:space="preserve">של"ז-1977 (להלן: </w:t>
      </w:r>
      <w:r w:rsidRPr="003B4562">
        <w:rPr>
          <w:rFonts w:ascii="Miriam" w:hAnsi="Miriam" w:cs="Miriam"/>
          <w:rtl/>
        </w:rPr>
        <w:t>חוק העונשין</w:t>
      </w:r>
      <w:r>
        <w:rPr>
          <w:rtl/>
        </w:rPr>
        <w:t xml:space="preserve">). </w:t>
      </w:r>
      <w:r>
        <w:rPr>
          <w:rFonts w:hint="cs"/>
          <w:rtl/>
        </w:rPr>
        <w:t xml:space="preserve">הסדר הטיעון לא כלל הסכמה לעניין העונש. </w:t>
      </w:r>
    </w:p>
    <w:p w14:paraId="023BF315" w14:textId="77777777" w:rsidR="00EB6593" w:rsidRDefault="00EB6593" w:rsidP="00EB6593">
      <w:pPr>
        <w:spacing w:line="360" w:lineRule="auto"/>
        <w:jc w:val="both"/>
        <w:rPr>
          <w:rtl/>
        </w:rPr>
      </w:pPr>
      <w:bookmarkStart w:id="6" w:name="ABSTRACT_END"/>
      <w:bookmarkEnd w:id="6"/>
    </w:p>
    <w:p w14:paraId="50E92E6A" w14:textId="77777777" w:rsidR="00EB6593" w:rsidRPr="0067541D" w:rsidRDefault="00EB6593" w:rsidP="00EB6593">
      <w:pPr>
        <w:spacing w:line="360" w:lineRule="auto"/>
        <w:jc w:val="both"/>
        <w:rPr>
          <w:u w:val="single"/>
          <w:rtl/>
        </w:rPr>
      </w:pPr>
      <w:r w:rsidRPr="0067541D">
        <w:rPr>
          <w:rFonts w:ascii="Miriam" w:hAnsi="Miriam" w:cs="Miriam"/>
          <w:u w:val="single"/>
          <w:rtl/>
        </w:rPr>
        <w:t>כתב האישום המתוקן</w:t>
      </w:r>
      <w:r w:rsidRPr="0067541D">
        <w:rPr>
          <w:rFonts w:hint="cs"/>
          <w:u w:val="single"/>
          <w:rtl/>
        </w:rPr>
        <w:t xml:space="preserve"> (להלן גם: </w:t>
      </w:r>
      <w:r w:rsidRPr="0067541D">
        <w:rPr>
          <w:rFonts w:ascii="Miriam" w:hAnsi="Miriam" w:cs="Miriam"/>
          <w:u w:val="single"/>
          <w:rtl/>
        </w:rPr>
        <w:t>כתב האישום</w:t>
      </w:r>
      <w:r w:rsidRPr="0067541D">
        <w:rPr>
          <w:rFonts w:hint="cs"/>
          <w:u w:val="single"/>
          <w:rtl/>
        </w:rPr>
        <w:t>)</w:t>
      </w:r>
    </w:p>
    <w:p w14:paraId="1CA684C9" w14:textId="77777777" w:rsidR="00EB6593" w:rsidRDefault="00EB6593" w:rsidP="00EB6593">
      <w:pPr>
        <w:spacing w:line="360" w:lineRule="auto"/>
        <w:jc w:val="both"/>
        <w:rPr>
          <w:rtl/>
        </w:rPr>
      </w:pPr>
    </w:p>
    <w:p w14:paraId="3B40C931" w14:textId="77777777" w:rsidR="00EB6593" w:rsidRDefault="00EB6593" w:rsidP="00EB6593">
      <w:pPr>
        <w:spacing w:line="360" w:lineRule="auto"/>
        <w:jc w:val="both"/>
        <w:rPr>
          <w:rtl/>
        </w:rPr>
      </w:pPr>
      <w:r>
        <w:rPr>
          <w:rFonts w:hint="cs"/>
          <w:rtl/>
        </w:rPr>
        <w:t>2.</w:t>
      </w:r>
      <w:r>
        <w:rPr>
          <w:rFonts w:hint="cs"/>
          <w:rtl/>
        </w:rPr>
        <w:tab/>
        <w:t>בתאריך 24/07/19 בשעה 20:00 לערך, נסעו הנאשם וסעיד בן חאתם גאנם (להלן:</w:t>
      </w:r>
      <w:r>
        <w:rPr>
          <w:rFonts w:ascii="Miriam" w:hAnsi="Miriam" w:cs="Miriam" w:hint="cs"/>
          <w:rtl/>
        </w:rPr>
        <w:t xml:space="preserve"> </w:t>
      </w:r>
      <w:r w:rsidRPr="00650D56">
        <w:rPr>
          <w:rFonts w:ascii="Miriam" w:hAnsi="Miriam" w:cs="Miriam"/>
          <w:rtl/>
        </w:rPr>
        <w:t>סעיד</w:t>
      </w:r>
      <w:r>
        <w:rPr>
          <w:rFonts w:hint="cs"/>
          <w:rtl/>
        </w:rPr>
        <w:t xml:space="preserve">) ברכב פולקסווגן (להלן: </w:t>
      </w:r>
      <w:r w:rsidRPr="00650D56">
        <w:rPr>
          <w:rFonts w:ascii="Miriam" w:hAnsi="Miriam" w:cs="Miriam"/>
          <w:rtl/>
        </w:rPr>
        <w:t>הרכב</w:t>
      </w:r>
      <w:r>
        <w:rPr>
          <w:rFonts w:hint="cs"/>
          <w:rtl/>
        </w:rPr>
        <w:t>), הנמצא בבעלותו של הנאשם, ברחוב צר, סמוך לביתו של הנאשם. סעיד נהג ברכב, והנאשם ישב לצדו.</w:t>
      </w:r>
    </w:p>
    <w:p w14:paraId="3F734327" w14:textId="77777777" w:rsidR="00EB6593" w:rsidRDefault="00EB6593" w:rsidP="00EB6593">
      <w:pPr>
        <w:spacing w:line="360" w:lineRule="auto"/>
        <w:jc w:val="both"/>
        <w:rPr>
          <w:rtl/>
        </w:rPr>
      </w:pPr>
      <w:r>
        <w:rPr>
          <w:rtl/>
        </w:rPr>
        <w:tab/>
      </w:r>
    </w:p>
    <w:p w14:paraId="43E40DA7" w14:textId="77777777" w:rsidR="00EB6593" w:rsidRDefault="00EB6593" w:rsidP="00EB6593">
      <w:pPr>
        <w:spacing w:line="360" w:lineRule="auto"/>
        <w:ind w:firstLine="720"/>
        <w:jc w:val="both"/>
        <w:rPr>
          <w:rtl/>
        </w:rPr>
      </w:pPr>
      <w:r>
        <w:rPr>
          <w:rFonts w:hint="cs"/>
          <w:rtl/>
        </w:rPr>
        <w:t xml:space="preserve">במהלך הנסיעה ברכב, כמתואר לעיל, הנאשם הוביל ונשא גרב אשר הכיל רימון יד הלם סנוור </w:t>
      </w:r>
      <w:r>
        <w:rPr>
          <w:rFonts w:hint="cs"/>
        </w:rPr>
        <w:t>M7290</w:t>
      </w:r>
      <w:r>
        <w:rPr>
          <w:rFonts w:hint="cs"/>
          <w:rtl/>
        </w:rPr>
        <w:t xml:space="preserve"> (להלן: </w:t>
      </w:r>
      <w:r w:rsidRPr="00650D56">
        <w:rPr>
          <w:rFonts w:ascii="Miriam" w:hAnsi="Miriam" w:cs="Miriam"/>
          <w:rtl/>
        </w:rPr>
        <w:t>רימון ההלם),</w:t>
      </w:r>
      <w:r>
        <w:rPr>
          <w:rFonts w:hint="cs"/>
          <w:rtl/>
        </w:rPr>
        <w:t xml:space="preserve"> אשר היה עטוף בניילון נצמד, וזאת ללא רשות על פי דין. בכוחו של רימון ההלם להזיק לאדם בעת התפוצצותו. </w:t>
      </w:r>
    </w:p>
    <w:p w14:paraId="1EEC9B62" w14:textId="77777777" w:rsidR="00EB6593" w:rsidRDefault="00EB6593" w:rsidP="00EB6593">
      <w:pPr>
        <w:spacing w:line="360" w:lineRule="auto"/>
        <w:jc w:val="both"/>
        <w:rPr>
          <w:rtl/>
        </w:rPr>
      </w:pPr>
    </w:p>
    <w:p w14:paraId="7611BEAA" w14:textId="77777777" w:rsidR="00EB6593" w:rsidRDefault="00EB6593" w:rsidP="00EB6593">
      <w:pPr>
        <w:spacing w:line="360" w:lineRule="auto"/>
        <w:jc w:val="both"/>
        <w:rPr>
          <w:rtl/>
        </w:rPr>
      </w:pPr>
      <w:r>
        <w:rPr>
          <w:rtl/>
        </w:rPr>
        <w:tab/>
      </w:r>
      <w:r>
        <w:rPr>
          <w:rFonts w:hint="cs"/>
          <w:rtl/>
        </w:rPr>
        <w:t>בהמשך למתואר לעיל , בלשי המשטרה אלכסנדר רולבורד, שלום ספיר ואשר דנינו, אשר נסעו ברכב משטרתי במסגרת מילוי תפקידם, פנו לכיוון הרכב וסימנו לנהג לעצור.</w:t>
      </w:r>
    </w:p>
    <w:p w14:paraId="21CC6537" w14:textId="77777777" w:rsidR="00EB6593" w:rsidRDefault="00EB6593" w:rsidP="00EB6593">
      <w:pPr>
        <w:spacing w:line="360" w:lineRule="auto"/>
        <w:jc w:val="both"/>
        <w:rPr>
          <w:rtl/>
        </w:rPr>
      </w:pPr>
    </w:p>
    <w:p w14:paraId="3953A05C" w14:textId="77777777" w:rsidR="00EB6593" w:rsidRDefault="00EB6593" w:rsidP="00EB6593">
      <w:pPr>
        <w:spacing w:line="360" w:lineRule="auto"/>
        <w:jc w:val="both"/>
        <w:rPr>
          <w:rtl/>
        </w:rPr>
      </w:pPr>
      <w:r>
        <w:rPr>
          <w:rtl/>
        </w:rPr>
        <w:tab/>
      </w:r>
      <w:r>
        <w:rPr>
          <w:rFonts w:hint="cs"/>
          <w:rtl/>
        </w:rPr>
        <w:t>סעיד עצר את הרכב והנאשם וסעיד יצאו מהרכב תוך שהנאשם הסתיר את רימון ההלם בכף ידו, התכופף במהירות והחביא אותו מתחת לרכב.</w:t>
      </w:r>
    </w:p>
    <w:p w14:paraId="583BB7CC" w14:textId="77777777" w:rsidR="00EB6593" w:rsidRDefault="00EB6593" w:rsidP="00EB6593">
      <w:pPr>
        <w:spacing w:line="360" w:lineRule="auto"/>
        <w:jc w:val="both"/>
        <w:rPr>
          <w:rtl/>
        </w:rPr>
      </w:pPr>
    </w:p>
    <w:p w14:paraId="0606E6CD" w14:textId="77777777" w:rsidR="00EB6593" w:rsidRPr="00B05847" w:rsidRDefault="00EB6593" w:rsidP="00EB6593">
      <w:pPr>
        <w:spacing w:line="360" w:lineRule="auto"/>
        <w:jc w:val="both"/>
        <w:rPr>
          <w:rtl/>
        </w:rPr>
      </w:pPr>
      <w:r>
        <w:rPr>
          <w:rtl/>
        </w:rPr>
        <w:tab/>
      </w:r>
      <w:r>
        <w:rPr>
          <w:rFonts w:hint="cs"/>
          <w:rtl/>
        </w:rPr>
        <w:t>במעשיו המתוארים לעיל, נשא הנאשם  והוביל נשק, ללא רשות על פי דין לנשיאתו או להובלתו.</w:t>
      </w:r>
    </w:p>
    <w:p w14:paraId="51D10A35" w14:textId="77777777" w:rsidR="00EB6593" w:rsidRDefault="00EB6593" w:rsidP="00EB6593">
      <w:pPr>
        <w:spacing w:line="360" w:lineRule="auto"/>
        <w:jc w:val="both"/>
        <w:rPr>
          <w:rtl/>
        </w:rPr>
      </w:pPr>
    </w:p>
    <w:p w14:paraId="5B8174E2" w14:textId="77777777" w:rsidR="00EB6593" w:rsidRPr="0067541D" w:rsidRDefault="00EB6593" w:rsidP="00EB6593">
      <w:pPr>
        <w:spacing w:line="360" w:lineRule="auto"/>
        <w:jc w:val="both"/>
        <w:rPr>
          <w:rFonts w:ascii="Miriam" w:hAnsi="Miriam" w:cs="Miriam"/>
          <w:u w:val="single"/>
          <w:rtl/>
        </w:rPr>
      </w:pPr>
      <w:r w:rsidRPr="0067541D">
        <w:rPr>
          <w:rFonts w:ascii="Miriam" w:hAnsi="Miriam" w:cs="Miriam"/>
          <w:u w:val="single"/>
          <w:rtl/>
        </w:rPr>
        <w:t>תסקיר שירות המבחן</w:t>
      </w:r>
    </w:p>
    <w:p w14:paraId="106DF5F2" w14:textId="77777777" w:rsidR="00EB6593" w:rsidRDefault="00EB6593" w:rsidP="00EB6593">
      <w:pPr>
        <w:spacing w:line="360" w:lineRule="auto"/>
        <w:jc w:val="both"/>
        <w:rPr>
          <w:rFonts w:ascii="Miriam" w:hAnsi="Miriam" w:cs="Miriam"/>
          <w:rtl/>
        </w:rPr>
      </w:pPr>
    </w:p>
    <w:p w14:paraId="6580F158" w14:textId="77777777" w:rsidR="00EB6593" w:rsidRDefault="00EB6593" w:rsidP="00EB6593">
      <w:pPr>
        <w:spacing w:line="360" w:lineRule="auto"/>
        <w:jc w:val="both"/>
        <w:rPr>
          <w:rFonts w:ascii="David" w:hAnsi="David"/>
          <w:rtl/>
        </w:rPr>
      </w:pPr>
      <w:r>
        <w:rPr>
          <w:rFonts w:ascii="David" w:hAnsi="David" w:hint="cs"/>
          <w:rtl/>
        </w:rPr>
        <w:t>3.</w:t>
      </w:r>
      <w:r>
        <w:rPr>
          <w:rFonts w:ascii="David" w:hAnsi="David" w:hint="cs"/>
          <w:rtl/>
        </w:rPr>
        <w:tab/>
        <w:t>מתסקיר שירות המבחן עולה, כי הנאשם בן 25, רווק, מתגורר יחד עם בני משפחתו. המשפחה מתוארת כנורמטיבית ותומכת. מדבריו של הנאשם בפני שירות המבחן ומדו"ח סוציאלי מטעם הלשכה לשירותים חברתיים שהוצג בפני שירות המבחן, עולה כי מצבה הכלכלי של המשפחה קשה. הנאשם השתמט משירותו הצבאי ובגין כך נשפט וריצה מאסר של 55 יום בכלא צבאי. בהתייחס לעבירה שבפנינו, ציין שירות המבחן כי הנאשם לקח אחריות חלקית ופורמלית לביצועה. הנאשם לא ידע להסביר את המניע לביצוע העבירה, ולדבריו לא שקל לעומק את מעשיו אולם היום מבין את משמעותם. הנאשם ביטא צער וחרטה על התנהגותו ועל הנטל הכבד עמו הוריו מתמודדים בעקבות ביצוע העבירה. שירות המבחן התרשם כי הנאשם מתקשה לראות את התנהגותו הפוגענית והבעת החרטה שלו ממוקדת בתחושת קורבנות ופגיעות ופחות ביכולת לחיבור לפוטנציאל הפגיעה בחברה.</w:t>
      </w:r>
    </w:p>
    <w:p w14:paraId="1EB7B229" w14:textId="77777777" w:rsidR="00EB6593" w:rsidRDefault="00EB6593" w:rsidP="00EB6593">
      <w:pPr>
        <w:spacing w:line="360" w:lineRule="auto"/>
        <w:jc w:val="both"/>
        <w:rPr>
          <w:rFonts w:ascii="David" w:hAnsi="David"/>
          <w:rtl/>
        </w:rPr>
      </w:pPr>
    </w:p>
    <w:p w14:paraId="083A85AC" w14:textId="77777777" w:rsidR="00EB6593" w:rsidRDefault="00EB6593" w:rsidP="00EB6593">
      <w:pPr>
        <w:spacing w:line="360" w:lineRule="auto"/>
        <w:jc w:val="both"/>
        <w:rPr>
          <w:rFonts w:ascii="David" w:hAnsi="David"/>
          <w:rtl/>
        </w:rPr>
      </w:pPr>
      <w:r>
        <w:rPr>
          <w:rFonts w:ascii="David" w:hAnsi="David" w:hint="cs"/>
          <w:rtl/>
        </w:rPr>
        <w:t>4.</w:t>
      </w:r>
      <w:r>
        <w:rPr>
          <w:rFonts w:ascii="David" w:hAnsi="David" w:hint="cs"/>
          <w:rtl/>
        </w:rPr>
        <w:tab/>
        <w:t xml:space="preserve">עוד התרשם שירות המבחן מיכולתו הנמוכה של הנאשם לערוך שיקול דעת במצבים מעוררי לחץ ומתקשורת שמאופיינית  בהסתרה ובערפול. הנאשם גילה חוסר מוטיבציה לביצוע שינוי ושלל נזקקות טיפולית בכל תחום שהוא. שירות המבחן העריך כי עמדותיו של הנאשם אינן פרו חברתיות באופן מובהק, תוך שסבר כי שליחתו של הנאשם למאסר מאחורי סורג ובריח עלולה להגדיל את סיכוייו להתחבר לעולם העברייני וזאת נוכח מאפייני אישיותו. בשיחה טלפונית שקיים שירות המבחן </w:t>
      </w:r>
      <w:r w:rsidRPr="00AF19B6">
        <w:rPr>
          <w:rFonts w:ascii="David" w:hAnsi="David" w:hint="cs"/>
          <w:rtl/>
        </w:rPr>
        <w:t xml:space="preserve">בעת </w:t>
      </w:r>
      <w:r>
        <w:rPr>
          <w:rFonts w:ascii="David" w:hAnsi="David" w:hint="cs"/>
          <w:rtl/>
        </w:rPr>
        <w:t xml:space="preserve">משבר הקורונה </w:t>
      </w:r>
      <w:r w:rsidRPr="00AF19B6">
        <w:rPr>
          <w:rFonts w:ascii="David" w:hAnsi="David" w:hint="cs"/>
          <w:rtl/>
        </w:rPr>
        <w:t>ביטא הנאשם צורך מילולי בשילובו בטיפול. שירות המבחן התר</w:t>
      </w:r>
      <w:r>
        <w:rPr>
          <w:rFonts w:ascii="David" w:hAnsi="David" w:hint="cs"/>
          <w:rtl/>
        </w:rPr>
        <w:t xml:space="preserve">שם כי הצורך בטיפול שביטא הנאשם </w:t>
      </w:r>
      <w:r w:rsidRPr="00AF19B6">
        <w:rPr>
          <w:rFonts w:ascii="David" w:hAnsi="David" w:hint="cs"/>
          <w:rtl/>
        </w:rPr>
        <w:t xml:space="preserve">מונע ממוטיבציה חיצונית בלבד ומאימת הדין ולא מתוך רצון טיפולי או ממוכנות לעריכת תהליך של התבוננות ושינוי. </w:t>
      </w:r>
      <w:r>
        <w:rPr>
          <w:rFonts w:ascii="David" w:hAnsi="David" w:hint="cs"/>
          <w:rtl/>
        </w:rPr>
        <w:t xml:space="preserve">עם זאת, העריך שרות המבחן כי מעצרו של הנאשם וההליך המשפטי היוו גורם משמעותי ומרתיע עבורו. </w:t>
      </w:r>
      <w:r w:rsidRPr="00AF19B6">
        <w:rPr>
          <w:rFonts w:ascii="David" w:hAnsi="David" w:hint="cs"/>
          <w:rtl/>
        </w:rPr>
        <w:t xml:space="preserve">לאחר שקילת </w:t>
      </w:r>
      <w:r>
        <w:rPr>
          <w:rFonts w:ascii="David" w:hAnsi="David" w:hint="cs"/>
          <w:rtl/>
        </w:rPr>
        <w:t xml:space="preserve">מכלול </w:t>
      </w:r>
      <w:r w:rsidRPr="00AF19B6">
        <w:rPr>
          <w:rFonts w:ascii="David" w:hAnsi="David" w:hint="cs"/>
          <w:rtl/>
        </w:rPr>
        <w:t>ג</w:t>
      </w:r>
      <w:r>
        <w:rPr>
          <w:rFonts w:ascii="David" w:hAnsi="David" w:hint="cs"/>
          <w:rtl/>
        </w:rPr>
        <w:t>ורמי הסיכוי אל מול גורמי הסיכון</w:t>
      </w:r>
      <w:r w:rsidRPr="00AF19B6">
        <w:rPr>
          <w:rFonts w:ascii="David" w:hAnsi="David" w:hint="cs"/>
          <w:rtl/>
        </w:rPr>
        <w:t xml:space="preserve"> מעריך שירות המבחן כי גורמי הסיכון להישנות עביר</w:t>
      </w:r>
      <w:r>
        <w:rPr>
          <w:rFonts w:ascii="David" w:hAnsi="David" w:hint="cs"/>
          <w:rtl/>
        </w:rPr>
        <w:t>ה</w:t>
      </w:r>
      <w:r w:rsidRPr="00AF19B6">
        <w:rPr>
          <w:rFonts w:ascii="David" w:hAnsi="David" w:hint="cs"/>
          <w:rtl/>
        </w:rPr>
        <w:t xml:space="preserve"> עולים על גורמי הסיכוי לשיקום ולפיכך  נמנע מלבוא בהמלצה טיפולית בעניינו של הנאשם.</w:t>
      </w:r>
    </w:p>
    <w:p w14:paraId="4826C27E" w14:textId="77777777" w:rsidR="00EB6593" w:rsidRDefault="00EB6593" w:rsidP="00EB6593">
      <w:pPr>
        <w:spacing w:line="360" w:lineRule="auto"/>
        <w:jc w:val="both"/>
        <w:rPr>
          <w:rFonts w:ascii="David" w:hAnsi="David"/>
          <w:rtl/>
        </w:rPr>
      </w:pPr>
    </w:p>
    <w:p w14:paraId="12003FA8" w14:textId="77777777" w:rsidR="00EB6593" w:rsidRPr="0067541D" w:rsidRDefault="00EB6593" w:rsidP="00EB6593">
      <w:pPr>
        <w:spacing w:line="360" w:lineRule="auto"/>
        <w:jc w:val="both"/>
        <w:rPr>
          <w:rFonts w:ascii="Miriam" w:hAnsi="Miriam" w:cs="Miriam"/>
          <w:u w:val="single"/>
          <w:rtl/>
        </w:rPr>
      </w:pPr>
      <w:r w:rsidRPr="0067541D">
        <w:rPr>
          <w:rFonts w:ascii="Miriam" w:hAnsi="Miriam" w:cs="Miriam"/>
          <w:u w:val="single"/>
          <w:rtl/>
        </w:rPr>
        <w:lastRenderedPageBreak/>
        <w:t>טיעוני הצדדים לעונש</w:t>
      </w:r>
    </w:p>
    <w:p w14:paraId="2E96C861" w14:textId="77777777" w:rsidR="00EB6593" w:rsidRDefault="00EB6593" w:rsidP="00EB6593">
      <w:pPr>
        <w:spacing w:line="360" w:lineRule="auto"/>
        <w:jc w:val="both"/>
        <w:rPr>
          <w:rFonts w:ascii="David" w:hAnsi="David"/>
          <w:u w:val="single"/>
          <w:rtl/>
        </w:rPr>
      </w:pPr>
    </w:p>
    <w:p w14:paraId="6991FB7D" w14:textId="77777777" w:rsidR="00EB6593" w:rsidRDefault="00EB6593" w:rsidP="00EB6593">
      <w:pPr>
        <w:spacing w:line="360" w:lineRule="auto"/>
        <w:jc w:val="both"/>
        <w:rPr>
          <w:rFonts w:ascii="David" w:hAnsi="David"/>
          <w:rtl/>
        </w:rPr>
      </w:pPr>
      <w:r w:rsidRPr="00921BA4">
        <w:rPr>
          <w:rFonts w:ascii="David" w:hAnsi="David" w:hint="cs"/>
          <w:rtl/>
        </w:rPr>
        <w:t xml:space="preserve">5. </w:t>
      </w:r>
      <w:r w:rsidRPr="00921BA4">
        <w:rPr>
          <w:rFonts w:ascii="David" w:hAnsi="David" w:hint="cs"/>
          <w:rtl/>
        </w:rPr>
        <w:tab/>
      </w:r>
      <w:r>
        <w:rPr>
          <w:rFonts w:ascii="David" w:hAnsi="David" w:hint="cs"/>
          <w:rtl/>
        </w:rPr>
        <w:t xml:space="preserve">ב"כ המאשימה הגיש את טיעוניו לעונש בכתב בתיק זה והוסיף  וטען  בקצרה בעל-פה בדיון בפניי.  בטיעוניו לעונש, סקר ב"כ המאשימה את עובדות כתב האישום, תוך שציין כי עבירה של החזקת נשק הינה עבירה חמורה, בין היתר, נוכח זמינותו של נשק חם ורב עוצמה והיותו בעל פוטנציאל להסלמה בעבירות אלימות מסוגים שונים.  ב"כ המאשימה הוסיף בהתייחס לרימון הלם, כי אומנם אין לו פוטנציאל להמית כי אם פוטנציאל פציעה בלבד, אולם אין בכך כדי להפחית מחומרת העבירה. </w:t>
      </w:r>
    </w:p>
    <w:p w14:paraId="2069EAD7" w14:textId="77777777" w:rsidR="00EB6593" w:rsidRDefault="00EB6593" w:rsidP="00EB6593">
      <w:pPr>
        <w:spacing w:line="360" w:lineRule="auto"/>
        <w:jc w:val="both"/>
        <w:rPr>
          <w:rFonts w:ascii="David" w:hAnsi="David"/>
          <w:rtl/>
        </w:rPr>
      </w:pPr>
    </w:p>
    <w:p w14:paraId="1A62FA52" w14:textId="77777777" w:rsidR="00EB6593" w:rsidRDefault="00EB6593" w:rsidP="00EB6593">
      <w:pPr>
        <w:spacing w:line="360" w:lineRule="auto"/>
        <w:jc w:val="both"/>
        <w:rPr>
          <w:rFonts w:ascii="David" w:hAnsi="David"/>
          <w:rtl/>
        </w:rPr>
      </w:pPr>
      <w:r>
        <w:rPr>
          <w:rFonts w:ascii="David" w:hAnsi="David" w:hint="cs"/>
          <w:rtl/>
        </w:rPr>
        <w:t xml:space="preserve">6. </w:t>
      </w:r>
      <w:r>
        <w:rPr>
          <w:rFonts w:ascii="David" w:hAnsi="David" w:hint="cs"/>
          <w:rtl/>
        </w:rPr>
        <w:tab/>
        <w:t xml:space="preserve">עוד ציין ב"כ המאשימה, כי הערכים החברתיים שנפגעו  בגין מעשיו של הנאשם, הם הגנה על שלמות גופו של אדם, הגנה על בטחון הציבור ושלומו ושלטון החוק. נטען כי הפסיקה קבעה כי יש לתת מעמד של בכורה בעבירות מסוג זה לאינטרס הציבורי ולהרתעת הפרט על פני הנסיבות האישיות של העבריין.  </w:t>
      </w:r>
    </w:p>
    <w:p w14:paraId="6229E8D0" w14:textId="77777777" w:rsidR="00EB6593" w:rsidRDefault="00EB6593" w:rsidP="00EB6593">
      <w:pPr>
        <w:spacing w:line="360" w:lineRule="auto"/>
        <w:jc w:val="both"/>
        <w:rPr>
          <w:rFonts w:ascii="David" w:hAnsi="David"/>
          <w:rtl/>
        </w:rPr>
      </w:pPr>
    </w:p>
    <w:p w14:paraId="7CD56945" w14:textId="77777777" w:rsidR="00EB6593" w:rsidRDefault="00EB6593" w:rsidP="00EB6593">
      <w:pPr>
        <w:spacing w:line="360" w:lineRule="auto"/>
        <w:jc w:val="both"/>
        <w:rPr>
          <w:rFonts w:ascii="David" w:hAnsi="David"/>
          <w:rtl/>
        </w:rPr>
      </w:pPr>
      <w:r>
        <w:rPr>
          <w:rFonts w:ascii="David" w:hAnsi="David" w:hint="cs"/>
          <w:rtl/>
        </w:rPr>
        <w:t xml:space="preserve">7. </w:t>
      </w:r>
      <w:r>
        <w:rPr>
          <w:rFonts w:ascii="David" w:hAnsi="David" w:hint="cs"/>
          <w:rtl/>
        </w:rPr>
        <w:tab/>
        <w:t>נטען עוד כי קדם תכנון לביצוע העבירה, כי חלקו של הנאשם בביצועה הוא בלעדי וכן כי לא ניתן להתעלם מהפגיעה בתחושת הביטחון של הציבור, שעה שנשק מובל ברחובות העיר. בנוסף, הוגשה ע"י המאשימה פסיקה להמחשת עמדתה לעונש (</w:t>
      </w:r>
      <w:r w:rsidRPr="000B318E">
        <w:rPr>
          <w:rFonts w:ascii="Miriam" w:hAnsi="Miriam" w:cs="Miriam"/>
          <w:rtl/>
        </w:rPr>
        <w:t>ט/3</w:t>
      </w:r>
      <w:r>
        <w:rPr>
          <w:rFonts w:ascii="David" w:hAnsi="David" w:hint="cs"/>
          <w:rtl/>
        </w:rPr>
        <w:t xml:space="preserve">), ובסיכומו של דבר נטען כי מתחם העונש ההולם בתיק זה נע בין 9 חודשי מאסר בפועל שניתן לרצותם בעבודות שירות לבין  18 חודשי מאסר בפועל, לצד ענישה נלווית. בסופו של דבר, מבקשת המאשימה להטיל על הנאשם שעברו כולל אך הרשעה קודמת אחת בלבד  בעבירה של העדר מן השרות שלא ברשות, עונש המצוי ברף התחתון של מתחם העונש ההולם המוצע על ידה, וזאת לצד רכיב ענישה של מאסר  מותנה ארוך  ומרתיע וקנס כספי.  </w:t>
      </w:r>
    </w:p>
    <w:p w14:paraId="223489FC" w14:textId="77777777" w:rsidR="00EB6593" w:rsidRDefault="00EB6593" w:rsidP="00EB6593">
      <w:pPr>
        <w:spacing w:line="360" w:lineRule="auto"/>
        <w:jc w:val="both"/>
        <w:rPr>
          <w:rFonts w:ascii="David" w:hAnsi="David"/>
          <w:rtl/>
        </w:rPr>
      </w:pPr>
    </w:p>
    <w:p w14:paraId="549E3D38" w14:textId="77777777" w:rsidR="00EB6593" w:rsidRDefault="00EB6593" w:rsidP="00EB6593">
      <w:pPr>
        <w:spacing w:line="360" w:lineRule="auto"/>
        <w:jc w:val="both"/>
        <w:rPr>
          <w:rFonts w:ascii="Agency FB" w:hAnsi="Agency FB"/>
          <w:rtl/>
        </w:rPr>
      </w:pPr>
      <w:r>
        <w:rPr>
          <w:rFonts w:ascii="David" w:hAnsi="David" w:hint="cs"/>
          <w:rtl/>
        </w:rPr>
        <w:t>8.</w:t>
      </w:r>
      <w:r>
        <w:rPr>
          <w:rFonts w:ascii="David" w:hAnsi="David"/>
          <w:rtl/>
        </w:rPr>
        <w:tab/>
      </w:r>
      <w:r>
        <w:rPr>
          <w:rFonts w:ascii="David" w:hAnsi="David" w:hint="cs"/>
          <w:rtl/>
        </w:rPr>
        <w:t xml:space="preserve">הסנגורית, בטיעוניה לעונש, ביקשה להתחשב לקולה בכך שהנאשם הודה בהזדמנות הראשונה, הביע חרטה עמוקה על מעשיו, חסך  בזמן שיפוטי יקר ונמצא מתאים לבצע עבודות שירות  ע"י הממונה על עבודות שירות. עוד נטען כי עסקינן בבחור צעיר, שעברו הפלילי כמעט נקי ואשר גדל במשפחה נורמטיבית לחלוטין. נטען כי בן דודו של הנאשם קיבל לאחרונה ע"י הרמטכ"ל תעודת הצטיינות לאחר שנפצע בשירותו הצבאי במהלך פיגוע, וכן כי משפחת הנאשם מגנה את התנהלותו על פי כתב האישום ואחיו התחייב לשקמו. הסנגורית הוסיפה וציינה, כי הנאשם עזב את ספסל הלימודים לאחר 11 שנות לימוד לטובת פרנסת משפחתו. עוד הוסיפה הסנגורית וטענה,  כי הנאשם קיבל תעודת הצטיינות לאחר שהשיב סכום כסף שמצא בכספומט </w:t>
      </w:r>
      <w:r w:rsidRPr="007B7FF3">
        <w:rPr>
          <w:rFonts w:ascii="Agency FB" w:hAnsi="Agency FB"/>
          <w:rtl/>
        </w:rPr>
        <w:t>(</w:t>
      </w:r>
      <w:r w:rsidRPr="007B7FF3">
        <w:rPr>
          <w:rFonts w:ascii="Miriam" w:hAnsi="Miriam" w:cs="Miriam"/>
          <w:rtl/>
        </w:rPr>
        <w:t>נ/1</w:t>
      </w:r>
      <w:r w:rsidRPr="007B7FF3">
        <w:rPr>
          <w:rFonts w:ascii="Agency FB" w:hAnsi="Agency FB"/>
          <w:rtl/>
        </w:rPr>
        <w:t xml:space="preserve">). </w:t>
      </w:r>
    </w:p>
    <w:p w14:paraId="559F81C8" w14:textId="77777777" w:rsidR="00EB6593" w:rsidRDefault="00EB6593" w:rsidP="00EB6593">
      <w:pPr>
        <w:spacing w:line="360" w:lineRule="auto"/>
        <w:jc w:val="both"/>
        <w:rPr>
          <w:rFonts w:ascii="Agency FB" w:hAnsi="Agency FB"/>
          <w:rtl/>
        </w:rPr>
      </w:pPr>
    </w:p>
    <w:p w14:paraId="6342B9D5" w14:textId="77777777" w:rsidR="00EB6593" w:rsidRDefault="00EB6593" w:rsidP="00EB6593">
      <w:pPr>
        <w:spacing w:line="360" w:lineRule="auto"/>
        <w:jc w:val="both"/>
        <w:rPr>
          <w:rFonts w:ascii="David" w:hAnsi="David"/>
          <w:rtl/>
        </w:rPr>
      </w:pPr>
      <w:r>
        <w:rPr>
          <w:rFonts w:ascii="Agency FB" w:hAnsi="Agency FB" w:hint="cs"/>
          <w:rtl/>
        </w:rPr>
        <w:t xml:space="preserve">9. </w:t>
      </w:r>
      <w:r>
        <w:rPr>
          <w:rFonts w:ascii="Agency FB" w:hAnsi="Agency FB" w:hint="cs"/>
          <w:rtl/>
        </w:rPr>
        <w:tab/>
        <w:t xml:space="preserve">הסנגורית ביקשה להתייחס לקולה גם לכך שהנאשם היה נתון במעצר במשך תקופה משמעותית (מיום 24.7.19 עד ליום 15.9.19) ולאחר מכן, במשך תקופה נוספת של כחצי שנה  היה נתון במעצר באיזוק אלקטרוני. בנקודה זו נטען כי הנאשם עומד  בתנאי שחרורו ואינו מפר אותם, דבר המלמד כי ניתן לתת בו אמון. כן נטען כי שליחת הנאשם למאסר מאחורי סורג ובריח עלולה להביא לשילובו במעגל הפשיעה, וכי לנאשם "בעיה בכישוריו השכליים", כפי שניתן ללמוד מהתסקיר. </w:t>
      </w:r>
    </w:p>
    <w:p w14:paraId="11E01AF7" w14:textId="77777777" w:rsidR="00EB6593" w:rsidRDefault="00EB6593" w:rsidP="00EB6593">
      <w:pPr>
        <w:spacing w:line="360" w:lineRule="auto"/>
        <w:jc w:val="both"/>
        <w:rPr>
          <w:rFonts w:ascii="David" w:hAnsi="David"/>
          <w:rtl/>
        </w:rPr>
      </w:pPr>
    </w:p>
    <w:p w14:paraId="5D772F80" w14:textId="77777777" w:rsidR="00EB6593" w:rsidRDefault="00EB6593" w:rsidP="00EB6593">
      <w:pPr>
        <w:spacing w:line="360" w:lineRule="auto"/>
        <w:jc w:val="both"/>
        <w:rPr>
          <w:rFonts w:ascii="David" w:hAnsi="David"/>
          <w:rtl/>
        </w:rPr>
      </w:pPr>
      <w:r>
        <w:rPr>
          <w:rFonts w:ascii="David" w:hAnsi="David" w:hint="cs"/>
          <w:rtl/>
        </w:rPr>
        <w:t xml:space="preserve">10. </w:t>
      </w:r>
      <w:r>
        <w:rPr>
          <w:rFonts w:ascii="David" w:hAnsi="David" w:hint="cs"/>
          <w:rtl/>
        </w:rPr>
        <w:tab/>
        <w:t>בסיכומו של דבר, ולאחר שהתייחסה הסנגורית  הן לפסיקה שהגישה המאשימה והן לפסיקה מטעם ההגנה (</w:t>
      </w:r>
      <w:r w:rsidRPr="00D72DF4">
        <w:rPr>
          <w:rFonts w:ascii="Miriam" w:hAnsi="Miriam" w:cs="Miriam"/>
          <w:rtl/>
        </w:rPr>
        <w:t>נ/2</w:t>
      </w:r>
      <w:r>
        <w:rPr>
          <w:rFonts w:ascii="David" w:hAnsi="David" w:hint="cs"/>
          <w:rtl/>
        </w:rPr>
        <w:t xml:space="preserve">), נטען על ידה, כי המאשימה עותרת למתחם עונש הולם גבוה מידי, שכן ניתן להסתפק בתיק זה בעונש של חודשיים עד שלושה חודשי מאסר בפועל בעבודות שירות. </w:t>
      </w:r>
    </w:p>
    <w:p w14:paraId="40661D10" w14:textId="77777777" w:rsidR="00EB6593" w:rsidRDefault="00EB6593" w:rsidP="00EB6593">
      <w:pPr>
        <w:spacing w:line="360" w:lineRule="auto"/>
        <w:jc w:val="both"/>
        <w:rPr>
          <w:rFonts w:ascii="Miriam" w:hAnsi="Miriam" w:cs="Miriam"/>
          <w:u w:val="single"/>
          <w:rtl/>
        </w:rPr>
      </w:pPr>
    </w:p>
    <w:p w14:paraId="2875C74E" w14:textId="77777777" w:rsidR="00EB6593" w:rsidRDefault="00EB6593" w:rsidP="00EB6593">
      <w:pPr>
        <w:spacing w:line="360" w:lineRule="auto"/>
        <w:jc w:val="both"/>
        <w:rPr>
          <w:rFonts w:ascii="Miriam" w:hAnsi="Miriam" w:cs="Miriam"/>
          <w:u w:val="single"/>
          <w:rtl/>
        </w:rPr>
      </w:pPr>
    </w:p>
    <w:p w14:paraId="496BC2AB" w14:textId="77777777" w:rsidR="00EB6593" w:rsidRPr="0039656A" w:rsidRDefault="00EB6593" w:rsidP="00EB6593">
      <w:pPr>
        <w:spacing w:line="360" w:lineRule="auto"/>
        <w:jc w:val="both"/>
        <w:rPr>
          <w:rFonts w:ascii="Miriam" w:hAnsi="Miriam" w:cs="Miriam"/>
          <w:u w:val="single"/>
          <w:rtl/>
        </w:rPr>
      </w:pPr>
      <w:r w:rsidRPr="0039656A">
        <w:rPr>
          <w:rFonts w:ascii="Miriam" w:hAnsi="Miriam" w:cs="Miriam"/>
          <w:u w:val="single"/>
          <w:rtl/>
        </w:rPr>
        <w:t>דבר הנאשם</w:t>
      </w:r>
    </w:p>
    <w:p w14:paraId="4617F0F7" w14:textId="77777777" w:rsidR="00EB6593" w:rsidRPr="0039656A" w:rsidRDefault="00EB6593" w:rsidP="00EB6593">
      <w:pPr>
        <w:spacing w:line="360" w:lineRule="auto"/>
        <w:jc w:val="both"/>
        <w:rPr>
          <w:rFonts w:ascii="David" w:hAnsi="David"/>
          <w:u w:val="single"/>
          <w:rtl/>
        </w:rPr>
      </w:pPr>
    </w:p>
    <w:p w14:paraId="1F83FB37" w14:textId="77777777" w:rsidR="00EB6593" w:rsidRDefault="00EB6593" w:rsidP="00EB6593">
      <w:pPr>
        <w:spacing w:line="360" w:lineRule="auto"/>
        <w:jc w:val="both"/>
        <w:rPr>
          <w:rFonts w:ascii="David" w:hAnsi="David"/>
          <w:rtl/>
        </w:rPr>
      </w:pPr>
      <w:r>
        <w:rPr>
          <w:rFonts w:ascii="David" w:hAnsi="David" w:hint="cs"/>
          <w:rtl/>
        </w:rPr>
        <w:t xml:space="preserve">11. </w:t>
      </w:r>
      <w:r>
        <w:rPr>
          <w:rFonts w:ascii="David" w:hAnsi="David" w:hint="cs"/>
          <w:rtl/>
        </w:rPr>
        <w:tab/>
        <w:t xml:space="preserve">להלן  דברי הנאשם בבית המשפט: </w:t>
      </w:r>
    </w:p>
    <w:p w14:paraId="25492B66" w14:textId="77777777" w:rsidR="00EB6593" w:rsidRDefault="00EB6593" w:rsidP="00EB6593">
      <w:pPr>
        <w:spacing w:line="360" w:lineRule="auto"/>
        <w:jc w:val="both"/>
        <w:rPr>
          <w:rFonts w:ascii="David" w:hAnsi="David"/>
          <w:rtl/>
        </w:rPr>
      </w:pPr>
    </w:p>
    <w:p w14:paraId="0312A74C" w14:textId="77777777" w:rsidR="00EB6593" w:rsidRPr="00D55DAE" w:rsidRDefault="00EB6593" w:rsidP="00EB6593">
      <w:pPr>
        <w:spacing w:line="360" w:lineRule="auto"/>
        <w:ind w:left="720" w:firstLine="720"/>
        <w:jc w:val="both"/>
        <w:rPr>
          <w:rtl/>
        </w:rPr>
      </w:pPr>
      <w:r>
        <w:rPr>
          <w:rFonts w:hint="cs"/>
          <w:rtl/>
        </w:rPr>
        <w:t>"</w:t>
      </w:r>
      <w:r w:rsidRPr="0039656A">
        <w:rPr>
          <w:rFonts w:ascii="Miriam" w:hAnsi="Miriam" w:cs="Miriam"/>
          <w:rtl/>
        </w:rPr>
        <w:t>אני מצטער, אני מבקש הזדמנות, זו פעם אחרונה</w:t>
      </w:r>
      <w:r>
        <w:rPr>
          <w:rFonts w:hint="cs"/>
          <w:rtl/>
        </w:rPr>
        <w:t>"</w:t>
      </w:r>
      <w:r w:rsidRPr="00D55DAE">
        <w:rPr>
          <w:rtl/>
        </w:rPr>
        <w:t>.</w:t>
      </w:r>
    </w:p>
    <w:p w14:paraId="7DA8CDC5" w14:textId="77777777" w:rsidR="00EB6593" w:rsidRPr="00191086" w:rsidRDefault="00EB6593" w:rsidP="00EB6593">
      <w:pPr>
        <w:spacing w:line="360" w:lineRule="auto"/>
        <w:jc w:val="both"/>
        <w:rPr>
          <w:rFonts w:ascii="Miriam" w:hAnsi="Miriam" w:cs="Miriam"/>
          <w:rtl/>
        </w:rPr>
      </w:pPr>
    </w:p>
    <w:p w14:paraId="4FEB037E" w14:textId="77777777" w:rsidR="00EB6593" w:rsidRPr="0039656A" w:rsidRDefault="00EB6593" w:rsidP="00EB6593">
      <w:pPr>
        <w:spacing w:line="360" w:lineRule="auto"/>
        <w:jc w:val="both"/>
        <w:rPr>
          <w:rFonts w:ascii="Miriam" w:hAnsi="Miriam" w:cs="Miriam"/>
          <w:u w:val="single"/>
          <w:rtl/>
        </w:rPr>
      </w:pPr>
      <w:r w:rsidRPr="0039656A">
        <w:rPr>
          <w:rFonts w:ascii="Miriam" w:hAnsi="Miriam" w:cs="Miriam"/>
          <w:u w:val="single"/>
          <w:rtl/>
        </w:rPr>
        <w:t>דיון והכרעה</w:t>
      </w:r>
    </w:p>
    <w:p w14:paraId="05F1CC2C" w14:textId="77777777" w:rsidR="00EB6593" w:rsidRDefault="00EB6593" w:rsidP="00EB6593">
      <w:pPr>
        <w:spacing w:line="360" w:lineRule="auto"/>
        <w:jc w:val="both"/>
        <w:rPr>
          <w:rtl/>
        </w:rPr>
      </w:pPr>
    </w:p>
    <w:p w14:paraId="28326DD5" w14:textId="77777777" w:rsidR="00EB6593" w:rsidRPr="00191086" w:rsidRDefault="00EB6593" w:rsidP="00EB6593">
      <w:pPr>
        <w:spacing w:line="360" w:lineRule="auto"/>
        <w:jc w:val="both"/>
      </w:pPr>
      <w:r>
        <w:rPr>
          <w:rFonts w:hint="cs"/>
          <w:rtl/>
        </w:rPr>
        <w:t>12.</w:t>
      </w:r>
      <w:r>
        <w:rPr>
          <w:rFonts w:hint="cs"/>
          <w:rtl/>
        </w:rPr>
        <w:tab/>
      </w:r>
      <w:r w:rsidRPr="00191086">
        <w:rPr>
          <w:rtl/>
        </w:rPr>
        <w:t>תיקון  113 ל</w:t>
      </w:r>
      <w:hyperlink r:id="rId26" w:history="1">
        <w:r w:rsidR="00C9463C" w:rsidRPr="00C9463C">
          <w:rPr>
            <w:color w:val="0000FF"/>
            <w:u w:val="single"/>
            <w:rtl/>
          </w:rPr>
          <w:t>חוק העונשין</w:t>
        </w:r>
      </w:hyperlink>
      <w:r w:rsidRPr="00191086">
        <w:rPr>
          <w:rtl/>
        </w:rPr>
        <w:t xml:space="preserve"> מתווה את העיקרון המנחה את ביהמ"ש בבואו לגזור דינו של נאשם שהינו, לפי </w:t>
      </w:r>
      <w:hyperlink r:id="rId27" w:history="1">
        <w:r w:rsidR="0043570F" w:rsidRPr="0043570F">
          <w:rPr>
            <w:rStyle w:val="Hyperlink"/>
            <w:color w:val="0000FF"/>
            <w:rtl/>
          </w:rPr>
          <w:t>סעיף 40ב</w:t>
        </w:r>
      </w:hyperlink>
      <w:r w:rsidRPr="00191086">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8" w:history="1">
        <w:r w:rsidR="00C9463C" w:rsidRPr="00C9463C">
          <w:rPr>
            <w:color w:val="0000FF"/>
            <w:u w:val="single"/>
            <w:rtl/>
          </w:rPr>
          <w:t>ע.פ. 1523/10</w:t>
        </w:r>
      </w:hyperlink>
      <w:r w:rsidRPr="00191086">
        <w:rPr>
          <w:rtl/>
        </w:rPr>
        <w:t xml:space="preserve"> </w:t>
      </w:r>
      <w:r w:rsidRPr="00191086">
        <w:rPr>
          <w:rFonts w:cs="Miriam"/>
          <w:rtl/>
        </w:rPr>
        <w:t>פלוני נ' מדינת ישראל</w:t>
      </w:r>
      <w:r w:rsidRPr="00191086">
        <w:rPr>
          <w:rtl/>
        </w:rPr>
        <w:t xml:space="preserve">, 18/4/12 ). </w:t>
      </w:r>
      <w:hyperlink r:id="rId29" w:history="1">
        <w:r w:rsidR="0043570F" w:rsidRPr="0043570F">
          <w:rPr>
            <w:rStyle w:val="Hyperlink"/>
            <w:color w:val="0000FF"/>
            <w:rtl/>
          </w:rPr>
          <w:t>סעיף 40ג</w:t>
        </w:r>
      </w:hyperlink>
      <w:r w:rsidRPr="00191086">
        <w:rPr>
          <w:rtl/>
        </w:rPr>
        <w:t xml:space="preserve"> ל</w:t>
      </w:r>
      <w:hyperlink r:id="rId30" w:history="1">
        <w:r w:rsidR="00C9463C" w:rsidRPr="00C9463C">
          <w:rPr>
            <w:color w:val="0000FF"/>
            <w:u w:val="single"/>
            <w:rtl/>
          </w:rPr>
          <w:t>חוק העונשין</w:t>
        </w:r>
      </w:hyperlink>
      <w:r w:rsidRPr="00191086">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1" w:history="1">
        <w:r w:rsidR="0043570F" w:rsidRPr="0043570F">
          <w:rPr>
            <w:rStyle w:val="Hyperlink"/>
            <w:color w:val="0000FF"/>
            <w:rtl/>
          </w:rPr>
          <w:t>בסעיף 40ט</w:t>
        </w:r>
      </w:hyperlink>
      <w:r w:rsidRPr="00191086">
        <w:rPr>
          <w:rtl/>
        </w:rPr>
        <w:t xml:space="preserve"> ל</w:t>
      </w:r>
      <w:hyperlink r:id="rId32" w:history="1">
        <w:r w:rsidR="00C9463C" w:rsidRPr="00C9463C">
          <w:rPr>
            <w:color w:val="0000FF"/>
            <w:u w:val="single"/>
            <w:rtl/>
          </w:rPr>
          <w:t>חוק העונשין</w:t>
        </w:r>
      </w:hyperlink>
      <w:r w:rsidRPr="00191086">
        <w:rPr>
          <w:rtl/>
        </w:rPr>
        <w:t xml:space="preserve">. </w:t>
      </w:r>
    </w:p>
    <w:p w14:paraId="31AC408C" w14:textId="77777777" w:rsidR="00EB6593" w:rsidRDefault="00EB6593" w:rsidP="00EB6593">
      <w:pPr>
        <w:spacing w:line="360" w:lineRule="auto"/>
        <w:jc w:val="both"/>
        <w:rPr>
          <w:rtl/>
        </w:rPr>
      </w:pPr>
    </w:p>
    <w:p w14:paraId="38350F3B" w14:textId="77777777" w:rsidR="00EB6593" w:rsidRDefault="00EB6593" w:rsidP="00EB6593">
      <w:pPr>
        <w:spacing w:line="360" w:lineRule="auto"/>
        <w:jc w:val="both"/>
        <w:rPr>
          <w:rtl/>
        </w:rPr>
      </w:pPr>
      <w:r>
        <w:rPr>
          <w:rFonts w:hint="cs"/>
          <w:rtl/>
        </w:rPr>
        <w:t>13.</w:t>
      </w:r>
      <w:r>
        <w:rPr>
          <w:rFonts w:hint="cs"/>
          <w:rtl/>
        </w:rPr>
        <w:tab/>
        <w:t xml:space="preserve">הערכים החברתיים שנפגעו כתוצאה מביצוע עבירת הנשק שבפנינו הינם שלמות גופו של אדם וכן בטחון הציבור ושלומו. </w:t>
      </w:r>
      <w:r>
        <w:rPr>
          <w:rtl/>
        </w:rPr>
        <w:t>הנאשם הורשע, כאמור, בעביר</w:t>
      </w:r>
      <w:r>
        <w:rPr>
          <w:rFonts w:hint="cs"/>
          <w:rtl/>
        </w:rPr>
        <w:t>ה</w:t>
      </w:r>
      <w:r>
        <w:rPr>
          <w:rtl/>
        </w:rPr>
        <w:t xml:space="preserve"> שעניינ</w:t>
      </w:r>
      <w:r>
        <w:rPr>
          <w:rFonts w:hint="cs"/>
          <w:rtl/>
        </w:rPr>
        <w:t xml:space="preserve">ה </w:t>
      </w:r>
      <w:r>
        <w:rPr>
          <w:rtl/>
        </w:rPr>
        <w:t xml:space="preserve">נשיאה </w:t>
      </w:r>
      <w:r>
        <w:rPr>
          <w:rFonts w:hint="cs"/>
          <w:rtl/>
        </w:rPr>
        <w:t xml:space="preserve">שלא כדין </w:t>
      </w:r>
      <w:r>
        <w:rPr>
          <w:rtl/>
        </w:rPr>
        <w:t xml:space="preserve"> של נשק מסוג רימון הלם</w:t>
      </w:r>
      <w:r>
        <w:rPr>
          <w:rFonts w:hint="cs"/>
          <w:rtl/>
        </w:rPr>
        <w:t>.</w:t>
      </w:r>
      <w:r>
        <w:rPr>
          <w:rtl/>
        </w:rPr>
        <w:t xml:space="preserve"> </w:t>
      </w:r>
      <w:r>
        <w:rPr>
          <w:rFonts w:hint="cs"/>
          <w:rtl/>
        </w:rPr>
        <w:t xml:space="preserve">בשימוש בכל סוגי הנשק טמון </w:t>
      </w:r>
      <w:r>
        <w:rPr>
          <w:rtl/>
        </w:rPr>
        <w:t>נזק פוטנציאלי</w:t>
      </w:r>
      <w:r>
        <w:rPr>
          <w:rFonts w:hint="cs"/>
          <w:rtl/>
        </w:rPr>
        <w:t xml:space="preserve">, אולם </w:t>
      </w:r>
      <w:r>
        <w:rPr>
          <w:rtl/>
        </w:rPr>
        <w:t xml:space="preserve">סכנתו של רימון הלם פחותה מהסכנה הטמונה בכלי נשק אחרים שבכוחם לגרום </w:t>
      </w:r>
      <w:r>
        <w:rPr>
          <w:rFonts w:hint="cs"/>
          <w:rtl/>
        </w:rPr>
        <w:t>אף</w:t>
      </w:r>
      <w:r>
        <w:rPr>
          <w:rtl/>
        </w:rPr>
        <w:t xml:space="preserve"> למותו של אדם. הנזק העלול להיגרם כתוצאה משימוש ברימון הלם</w:t>
      </w:r>
      <w:r>
        <w:rPr>
          <w:rFonts w:hint="cs"/>
          <w:rtl/>
        </w:rPr>
        <w:t xml:space="preserve"> הינו פציעת אדם בכפוף לקרבתו למוקד הפעלת הרימון (ראו לעניין זה: </w:t>
      </w:r>
      <w:hyperlink r:id="rId33" w:history="1">
        <w:r w:rsidR="00C9463C" w:rsidRPr="00C9463C">
          <w:rPr>
            <w:color w:val="0000FF"/>
            <w:u w:val="single"/>
            <w:rtl/>
          </w:rPr>
          <w:t>ע"פ 7386/13</w:t>
        </w:r>
      </w:hyperlink>
      <w:r>
        <w:rPr>
          <w:rtl/>
        </w:rPr>
        <w:t xml:space="preserve"> </w:t>
      </w:r>
      <w:r>
        <w:rPr>
          <w:rFonts w:cs="Miriam"/>
          <w:rtl/>
        </w:rPr>
        <w:t xml:space="preserve">עווד נ' מדינת ישראל </w:t>
      </w:r>
      <w:r>
        <w:rPr>
          <w:rtl/>
        </w:rPr>
        <w:t>(23/3/13</w:t>
      </w:r>
      <w:r>
        <w:rPr>
          <w:rFonts w:hint="cs"/>
          <w:rtl/>
        </w:rPr>
        <w:t xml:space="preserve">). </w:t>
      </w:r>
      <w:r>
        <w:rPr>
          <w:rtl/>
        </w:rPr>
        <w:t>נקבע זה מכבר על ידי בית המשפט העליון כי רימון הלם נועד לגרום לאי נוחות לאדם ו</w:t>
      </w:r>
      <w:r>
        <w:rPr>
          <w:rFonts w:hint="cs"/>
          <w:rtl/>
        </w:rPr>
        <w:t xml:space="preserve">כי </w:t>
      </w:r>
      <w:r>
        <w:rPr>
          <w:rtl/>
        </w:rPr>
        <w:t>הנזק שנגרם ממנו גורם בעצם לטשטושו של אדם ולהכנסתו למצב של הלם</w:t>
      </w:r>
      <w:r>
        <w:rPr>
          <w:rFonts w:hint="cs"/>
          <w:rtl/>
        </w:rPr>
        <w:t>;</w:t>
      </w:r>
      <w:r>
        <w:rPr>
          <w:rtl/>
        </w:rPr>
        <w:t xml:space="preserve"> דירוגו של רימון ההלם אינו בין החמורים</w:t>
      </w:r>
      <w:r>
        <w:rPr>
          <w:rFonts w:hint="cs"/>
          <w:rtl/>
        </w:rPr>
        <w:t xml:space="preserve"> אם כי אין</w:t>
      </w:r>
      <w:r>
        <w:rPr>
          <w:rtl/>
        </w:rPr>
        <w:t xml:space="preserve"> להקל בו ראש (ראו: רע"פ 7124/06 </w:t>
      </w:r>
      <w:r>
        <w:rPr>
          <w:rFonts w:cs="Miriam"/>
          <w:rtl/>
        </w:rPr>
        <w:t>דרורי נ' מדינת ישראל</w:t>
      </w:r>
      <w:r>
        <w:rPr>
          <w:b/>
          <w:bCs/>
          <w:rtl/>
        </w:rPr>
        <w:t xml:space="preserve"> </w:t>
      </w:r>
      <w:r>
        <w:rPr>
          <w:rtl/>
        </w:rPr>
        <w:t xml:space="preserve">(9/5/07)). </w:t>
      </w:r>
    </w:p>
    <w:p w14:paraId="66961223" w14:textId="77777777" w:rsidR="00EB6593" w:rsidRDefault="00EB6593" w:rsidP="00EB6593">
      <w:pPr>
        <w:spacing w:line="360" w:lineRule="auto"/>
        <w:jc w:val="both"/>
        <w:rPr>
          <w:rtl/>
        </w:rPr>
      </w:pPr>
    </w:p>
    <w:p w14:paraId="2642C266" w14:textId="77777777" w:rsidR="00EB6593" w:rsidRDefault="00EB6593" w:rsidP="00EB6593">
      <w:pPr>
        <w:spacing w:line="360" w:lineRule="auto"/>
        <w:jc w:val="both"/>
      </w:pPr>
      <w:r>
        <w:rPr>
          <w:rFonts w:hint="cs"/>
          <w:rtl/>
        </w:rPr>
        <w:t>14.</w:t>
      </w:r>
      <w:r>
        <w:rPr>
          <w:rFonts w:hint="cs"/>
          <w:rtl/>
        </w:rPr>
        <w:tab/>
        <w:t>במקרה דנן נשא הנאשם את רימון ההלם במהלך נסיעה ברכב, תוך שהרימון הוסתר בגרב ולאחר מכן, עם עצירת הרכב להוראת המשטרה, הוחבא הרימון ע"י הנאשם מתחת לרכב, דבר המוסיף נופך של חומרה להתנהלות הנאשם. עם זאת, לטובת הנאשם, אציין כי לא מיוחס לו שימוש ברימון ההלם כי אם נשיאתו והובלתו בלבד, וכן אוסיף כי רימון ההלם נתפס ע"י המשטרה.</w:t>
      </w:r>
    </w:p>
    <w:p w14:paraId="6A289C4B" w14:textId="77777777" w:rsidR="00EB6593" w:rsidRPr="00191086" w:rsidRDefault="00EB6593" w:rsidP="00EB6593">
      <w:pPr>
        <w:spacing w:line="360" w:lineRule="auto"/>
        <w:jc w:val="both"/>
        <w:rPr>
          <w:rtl/>
        </w:rPr>
      </w:pPr>
    </w:p>
    <w:p w14:paraId="3300CFE6" w14:textId="77777777" w:rsidR="00EB6593" w:rsidRPr="00AF19B6" w:rsidRDefault="00EB6593" w:rsidP="00EB6593">
      <w:pPr>
        <w:spacing w:line="360" w:lineRule="auto"/>
        <w:jc w:val="both"/>
      </w:pPr>
      <w:r>
        <w:rPr>
          <w:rFonts w:hint="cs"/>
          <w:rtl/>
        </w:rPr>
        <w:t>15.</w:t>
      </w:r>
      <w:r>
        <w:rPr>
          <w:rFonts w:hint="cs"/>
          <w:rtl/>
        </w:rPr>
        <w:tab/>
      </w:r>
      <w:r w:rsidRPr="00AF19B6">
        <w:rPr>
          <w:rtl/>
        </w:rPr>
        <w:t>במסגרת סקירת מדיניות הענישה הנהוגה בעבירות בנשק מסוג רימון הלם, תובא הפסיקה הבאה:</w:t>
      </w:r>
    </w:p>
    <w:p w14:paraId="41347E8D" w14:textId="77777777" w:rsidR="00EB6593" w:rsidRPr="00AF19B6" w:rsidRDefault="00EB6593" w:rsidP="00EB6593">
      <w:pPr>
        <w:jc w:val="both"/>
      </w:pPr>
    </w:p>
    <w:p w14:paraId="15E7B274" w14:textId="77777777" w:rsidR="00EB6593" w:rsidRPr="00AF19B6" w:rsidRDefault="00EB6593" w:rsidP="00EB6593">
      <w:pPr>
        <w:numPr>
          <w:ilvl w:val="0"/>
          <w:numId w:val="1"/>
        </w:numPr>
        <w:shd w:val="clear" w:color="auto" w:fill="FFFFFF"/>
        <w:spacing w:line="360" w:lineRule="auto"/>
        <w:contextualSpacing/>
        <w:jc w:val="both"/>
        <w:rPr>
          <w:rtl/>
        </w:rPr>
      </w:pPr>
      <w:r w:rsidRPr="00AF19B6">
        <w:rPr>
          <w:rFonts w:ascii="Calibri" w:hAnsi="Calibri"/>
          <w:rtl/>
        </w:rPr>
        <w:t>ב</w:t>
      </w:r>
      <w:hyperlink r:id="rId34" w:history="1">
        <w:r w:rsidR="00C9463C" w:rsidRPr="00C9463C">
          <w:rPr>
            <w:rFonts w:ascii="Calibri" w:hAnsi="Calibri" w:hint="eastAsia"/>
            <w:color w:val="0000FF"/>
            <w:u w:val="single"/>
            <w:rtl/>
          </w:rPr>
          <w:t>ת</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w:t>
        </w:r>
        <w:r w:rsidR="00C9463C" w:rsidRPr="00C9463C">
          <w:rPr>
            <w:rFonts w:ascii="Calibri" w:hAnsi="Calibri" w:hint="eastAsia"/>
            <w:color w:val="0000FF"/>
            <w:u w:val="single"/>
            <w:rtl/>
          </w:rPr>
          <w:t>מחוזי</w:t>
        </w:r>
        <w:r w:rsidR="00C9463C" w:rsidRPr="00C9463C">
          <w:rPr>
            <w:rFonts w:ascii="Calibri" w:hAnsi="Calibri"/>
            <w:color w:val="0000FF"/>
            <w:u w:val="single"/>
            <w:rtl/>
          </w:rPr>
          <w:t>-</w:t>
        </w:r>
        <w:r w:rsidR="00C9463C" w:rsidRPr="00C9463C">
          <w:rPr>
            <w:rFonts w:ascii="Calibri" w:hAnsi="Calibri" w:hint="eastAsia"/>
            <w:color w:val="0000FF"/>
            <w:u w:val="single"/>
            <w:rtl/>
          </w:rPr>
          <w:t>חיפה</w:t>
        </w:r>
        <w:r w:rsidR="00C9463C" w:rsidRPr="00C9463C">
          <w:rPr>
            <w:rFonts w:ascii="Calibri" w:hAnsi="Calibri"/>
            <w:color w:val="0000FF"/>
            <w:u w:val="single"/>
            <w:rtl/>
          </w:rPr>
          <w:t>) 31218-10-14</w:t>
        </w:r>
      </w:hyperlink>
      <w:r w:rsidRPr="00AF19B6">
        <w:rPr>
          <w:rFonts w:ascii="Calibri" w:hAnsi="Calibri"/>
          <w:rtl/>
        </w:rPr>
        <w:t xml:space="preserve"> </w:t>
      </w:r>
      <w:r w:rsidRPr="00AF19B6">
        <w:rPr>
          <w:rFonts w:ascii="Calibri" w:hAnsi="Calibri" w:cs="Miriam"/>
          <w:rtl/>
        </w:rPr>
        <w:t>מדינת ישראל נ' אסדי</w:t>
      </w:r>
      <w:r w:rsidRPr="00AF19B6">
        <w:rPr>
          <w:rFonts w:ascii="Calibri" w:hAnsi="Calibri"/>
          <w:rtl/>
        </w:rPr>
        <w:t xml:space="preserve"> (11/2/15) דובר בנאשם שהשליך רימון הלם לעבר מרפסת ביתו של המתלונן. בתיק הנ"ל נקבע מתחם עונש הולם הנע בין 8 ל-20 חודשי מאסר בפועל, ובסופו של דבר הושת על הנאשם, אשר היה בעל עבר פלילי בעבירות נשק, עונש מאסר בפועל לתקופה של 9 חודשים. יצוין כי נזקפו לטובת הנאשם הודאתו ונסיבות אישיות חריגות. </w:t>
      </w:r>
    </w:p>
    <w:p w14:paraId="74B5CDB3" w14:textId="77777777" w:rsidR="00EB6593" w:rsidRPr="00AF19B6" w:rsidRDefault="00EB6593" w:rsidP="00EB6593">
      <w:pPr>
        <w:shd w:val="clear" w:color="auto" w:fill="FFFFFF"/>
        <w:spacing w:line="360" w:lineRule="auto"/>
        <w:ind w:left="778"/>
        <w:contextualSpacing/>
        <w:jc w:val="both"/>
        <w:rPr>
          <w:rtl/>
        </w:rPr>
      </w:pPr>
    </w:p>
    <w:p w14:paraId="7DA149C1" w14:textId="77777777" w:rsidR="00EB6593" w:rsidRPr="00AF19B6" w:rsidRDefault="00EB6593" w:rsidP="00EB6593">
      <w:pPr>
        <w:numPr>
          <w:ilvl w:val="0"/>
          <w:numId w:val="1"/>
        </w:numPr>
        <w:shd w:val="clear" w:color="auto" w:fill="FFFFFF"/>
        <w:spacing w:line="360" w:lineRule="auto"/>
        <w:contextualSpacing/>
        <w:jc w:val="both"/>
        <w:rPr>
          <w:rtl/>
        </w:rPr>
      </w:pPr>
      <w:r w:rsidRPr="00AF19B6">
        <w:rPr>
          <w:rFonts w:ascii="Calibri" w:hAnsi="Calibri"/>
          <w:rtl/>
        </w:rPr>
        <w:t>ב</w:t>
      </w:r>
      <w:hyperlink r:id="rId35" w:history="1">
        <w:r w:rsidR="00C9463C" w:rsidRPr="00C9463C">
          <w:rPr>
            <w:rFonts w:ascii="Calibri" w:hAnsi="Calibri" w:hint="eastAsia"/>
            <w:color w:val="0000FF"/>
            <w:u w:val="single"/>
            <w:rtl/>
          </w:rPr>
          <w:t>ע</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xml:space="preserve"> 8845/15</w:t>
        </w:r>
      </w:hyperlink>
      <w:r w:rsidRPr="00AF19B6">
        <w:rPr>
          <w:rFonts w:ascii="Calibri" w:hAnsi="Calibri"/>
          <w:rtl/>
        </w:rPr>
        <w:t xml:space="preserve"> </w:t>
      </w:r>
      <w:r w:rsidRPr="00AF19B6">
        <w:rPr>
          <w:rFonts w:ascii="Calibri" w:hAnsi="Calibri" w:cs="Miriam"/>
          <w:rtl/>
        </w:rPr>
        <w:t>מנסור נ' מדינת ישראל</w:t>
      </w:r>
      <w:r w:rsidRPr="00AF19B6">
        <w:rPr>
          <w:rFonts w:ascii="Calibri" w:hAnsi="Calibri"/>
          <w:rtl/>
        </w:rPr>
        <w:t xml:space="preserve"> (17/11/16) דובר ב</w:t>
      </w:r>
      <w:r>
        <w:rPr>
          <w:rFonts w:ascii="Calibri" w:hAnsi="Calibri"/>
          <w:rtl/>
        </w:rPr>
        <w:t>מערער שהשליך רימון הלם לעבר בית</w:t>
      </w:r>
      <w:r w:rsidRPr="00AF19B6">
        <w:rPr>
          <w:rFonts w:ascii="Calibri" w:hAnsi="Calibri"/>
          <w:rtl/>
        </w:rPr>
        <w:t xml:space="preserve"> וזה התפוצץ סמוך לשני בני משפחה. לא נגרם נזק. בית המשפט המחוזי קבע מתחם עונש הולם הנע בין 3-1 שנות מאסר בפועל. אותו מערער היה בחור צעיר שניהל את משפטו והיה בעל עבר פלילי, אם כי לא מכביד. ערעורו על חומרת העונש (מאסר בפועל בן 18 חודשים) - נדחה. </w:t>
      </w:r>
    </w:p>
    <w:p w14:paraId="2F976986" w14:textId="77777777" w:rsidR="00EB6593" w:rsidRPr="00AF19B6" w:rsidRDefault="00EB6593" w:rsidP="00EB6593">
      <w:pPr>
        <w:spacing w:line="360" w:lineRule="auto"/>
        <w:jc w:val="both"/>
      </w:pPr>
    </w:p>
    <w:p w14:paraId="5EB80F9F" w14:textId="77777777" w:rsidR="00EB6593" w:rsidRDefault="00EB6593" w:rsidP="00EB6593">
      <w:pPr>
        <w:numPr>
          <w:ilvl w:val="0"/>
          <w:numId w:val="1"/>
        </w:numPr>
        <w:spacing w:line="360" w:lineRule="auto"/>
        <w:contextualSpacing/>
        <w:jc w:val="both"/>
        <w:rPr>
          <w:rFonts w:ascii="Calibri" w:hAnsi="Calibri"/>
        </w:rPr>
      </w:pPr>
      <w:r w:rsidRPr="00B92B26">
        <w:rPr>
          <w:rFonts w:ascii="Calibri" w:hAnsi="Calibri"/>
          <w:rtl/>
        </w:rPr>
        <w:t>ב</w:t>
      </w:r>
      <w:hyperlink r:id="rId36" w:history="1">
        <w:r w:rsidR="00C9463C" w:rsidRPr="00C9463C">
          <w:rPr>
            <w:rFonts w:ascii="Calibri" w:hAnsi="Calibri" w:hint="eastAsia"/>
            <w:color w:val="0000FF"/>
            <w:u w:val="single"/>
            <w:rtl/>
          </w:rPr>
          <w:t>ת</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w:t>
        </w:r>
        <w:r w:rsidR="00C9463C" w:rsidRPr="00C9463C">
          <w:rPr>
            <w:rFonts w:ascii="Calibri" w:hAnsi="Calibri" w:hint="eastAsia"/>
            <w:color w:val="0000FF"/>
            <w:u w:val="single"/>
            <w:rtl/>
          </w:rPr>
          <w:t>מחוזי</w:t>
        </w:r>
        <w:r w:rsidR="00C9463C" w:rsidRPr="00C9463C">
          <w:rPr>
            <w:rFonts w:ascii="Calibri" w:hAnsi="Calibri"/>
            <w:color w:val="0000FF"/>
            <w:u w:val="single"/>
            <w:rtl/>
          </w:rPr>
          <w:t xml:space="preserve"> </w:t>
        </w:r>
        <w:r w:rsidR="00C9463C" w:rsidRPr="00C9463C">
          <w:rPr>
            <w:rFonts w:ascii="Calibri" w:hAnsi="Calibri" w:hint="eastAsia"/>
            <w:color w:val="0000FF"/>
            <w:u w:val="single"/>
            <w:rtl/>
          </w:rPr>
          <w:t>חיפה</w:t>
        </w:r>
        <w:r w:rsidR="00C9463C" w:rsidRPr="00C9463C">
          <w:rPr>
            <w:rFonts w:ascii="Calibri" w:hAnsi="Calibri"/>
            <w:color w:val="0000FF"/>
            <w:u w:val="single"/>
            <w:rtl/>
          </w:rPr>
          <w:t>) 40450-09-15</w:t>
        </w:r>
      </w:hyperlink>
      <w:r w:rsidRPr="00B92B26">
        <w:rPr>
          <w:rFonts w:ascii="Calibri" w:hAnsi="Calibri"/>
          <w:rtl/>
        </w:rPr>
        <w:t xml:space="preserve"> </w:t>
      </w:r>
      <w:r w:rsidRPr="00B92B26">
        <w:rPr>
          <w:rFonts w:ascii="Calibri" w:hAnsi="Calibri" w:cs="Miriam"/>
          <w:rtl/>
        </w:rPr>
        <w:t>מדינת ישראל נ' עכאווי</w:t>
      </w:r>
      <w:r w:rsidRPr="00B92B26">
        <w:rPr>
          <w:rFonts w:ascii="Calibri" w:hAnsi="Calibri"/>
          <w:rtl/>
        </w:rPr>
        <w:t xml:space="preserve"> (20/1/16) דובר בנאשם שהשליך רימון הלם לתוך חנות בה עבד המתלונן. שם נקבע מתחם עונש הולם הנע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563C2DB6" w14:textId="77777777" w:rsidR="00EB6593" w:rsidRDefault="00EB6593" w:rsidP="00EB6593">
      <w:pPr>
        <w:pStyle w:val="a9"/>
        <w:rPr>
          <w:rFonts w:ascii="Calibri" w:hAnsi="Calibri"/>
          <w:rtl/>
        </w:rPr>
      </w:pPr>
    </w:p>
    <w:p w14:paraId="5DB28EFC" w14:textId="77777777" w:rsidR="00EB6593" w:rsidRPr="00B92B26" w:rsidRDefault="00EB6593" w:rsidP="00EB6593">
      <w:pPr>
        <w:numPr>
          <w:ilvl w:val="0"/>
          <w:numId w:val="1"/>
        </w:numPr>
        <w:spacing w:line="360" w:lineRule="auto"/>
        <w:contextualSpacing/>
        <w:jc w:val="both"/>
        <w:rPr>
          <w:rFonts w:ascii="Calibri" w:hAnsi="Calibri"/>
          <w:rtl/>
        </w:rPr>
      </w:pPr>
      <w:r w:rsidRPr="00B92B26">
        <w:rPr>
          <w:rFonts w:ascii="Calibri" w:hAnsi="Calibri"/>
          <w:rtl/>
        </w:rPr>
        <w:t>ב</w:t>
      </w:r>
      <w:hyperlink r:id="rId37" w:history="1">
        <w:r w:rsidR="00C9463C" w:rsidRPr="00C9463C">
          <w:rPr>
            <w:rFonts w:ascii="Calibri" w:hAnsi="Calibri" w:hint="eastAsia"/>
            <w:color w:val="0000FF"/>
            <w:u w:val="single"/>
            <w:rtl/>
          </w:rPr>
          <w:t>ת</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w:t>
        </w:r>
        <w:r w:rsidR="00C9463C" w:rsidRPr="00C9463C">
          <w:rPr>
            <w:rFonts w:ascii="Calibri" w:hAnsi="Calibri" w:hint="eastAsia"/>
            <w:color w:val="0000FF"/>
            <w:u w:val="single"/>
            <w:rtl/>
          </w:rPr>
          <w:t>מחוזי</w:t>
        </w:r>
        <w:r w:rsidR="00C9463C" w:rsidRPr="00C9463C">
          <w:rPr>
            <w:rFonts w:ascii="Calibri" w:hAnsi="Calibri"/>
            <w:color w:val="0000FF"/>
            <w:u w:val="single"/>
            <w:rtl/>
          </w:rPr>
          <w:t xml:space="preserve"> </w:t>
        </w:r>
        <w:r w:rsidR="00C9463C" w:rsidRPr="00C9463C">
          <w:rPr>
            <w:rFonts w:ascii="Calibri" w:hAnsi="Calibri" w:hint="eastAsia"/>
            <w:color w:val="0000FF"/>
            <w:u w:val="single"/>
            <w:rtl/>
          </w:rPr>
          <w:t>חיפה</w:t>
        </w:r>
        <w:r w:rsidR="00C9463C" w:rsidRPr="00C9463C">
          <w:rPr>
            <w:rFonts w:ascii="Calibri" w:hAnsi="Calibri"/>
            <w:color w:val="0000FF"/>
            <w:u w:val="single"/>
            <w:rtl/>
          </w:rPr>
          <w:t>) 10476-12-17</w:t>
        </w:r>
      </w:hyperlink>
      <w:r w:rsidRPr="00B92B26">
        <w:rPr>
          <w:rFonts w:ascii="Calibri" w:hAnsi="Calibri"/>
          <w:rtl/>
        </w:rPr>
        <w:t xml:space="preserve"> מ</w:t>
      </w:r>
      <w:r w:rsidRPr="00B92B26">
        <w:rPr>
          <w:rFonts w:ascii="Miriam" w:hAnsi="Miriam" w:cs="Miriam"/>
          <w:rtl/>
        </w:rPr>
        <w:t xml:space="preserve">דינת ישראל נ' מחאג'נה </w:t>
      </w:r>
      <w:r w:rsidRPr="00B92B26">
        <w:rPr>
          <w:rFonts w:ascii="David" w:hAnsi="David"/>
          <w:rtl/>
        </w:rPr>
        <w:t>(14/7/19)</w:t>
      </w:r>
      <w:r w:rsidRPr="00B92B26">
        <w:rPr>
          <w:rFonts w:ascii="Calibri" w:hAnsi="Calibri" w:hint="cs"/>
          <w:rtl/>
        </w:rPr>
        <w:t xml:space="preserve"> </w:t>
      </w:r>
      <w:r w:rsidRPr="00B92B26">
        <w:rPr>
          <w:rFonts w:ascii="Calibri" w:hAnsi="Calibri"/>
          <w:rtl/>
        </w:rPr>
        <w:t xml:space="preserve">השתתי עונש שעיקרו 9 חודשי מאסר בפועל בעבודות שרות על נאשם בן 21 בעל עבר נקי שהורשע מכוח הודאתו בביצוע עבירות </w:t>
      </w:r>
      <w:r w:rsidRPr="00AF19B6">
        <w:rPr>
          <w:rtl/>
        </w:rPr>
        <w:t xml:space="preserve">בנשק, לפי </w:t>
      </w:r>
      <w:hyperlink r:id="rId38" w:history="1">
        <w:r w:rsidR="0043570F" w:rsidRPr="0043570F">
          <w:rPr>
            <w:rStyle w:val="Hyperlink"/>
            <w:color w:val="0000FF"/>
            <w:rtl/>
          </w:rPr>
          <w:t>סעיף 144(א)</w:t>
        </w:r>
      </w:hyperlink>
      <w:r w:rsidRPr="00AF19B6">
        <w:rPr>
          <w:rtl/>
        </w:rPr>
        <w:t xml:space="preserve"> רישא ו-</w:t>
      </w:r>
      <w:hyperlink r:id="rId39" w:history="1">
        <w:r w:rsidR="0043570F" w:rsidRPr="0043570F">
          <w:rPr>
            <w:rStyle w:val="Hyperlink"/>
            <w:color w:val="0000FF"/>
            <w:rtl/>
          </w:rPr>
          <w:t>(ב)</w:t>
        </w:r>
      </w:hyperlink>
      <w:r w:rsidRPr="00AF19B6">
        <w:rPr>
          <w:rtl/>
        </w:rPr>
        <w:t xml:space="preserve"> רישא ל</w:t>
      </w:r>
      <w:hyperlink r:id="rId40" w:history="1">
        <w:r w:rsidR="00C9463C" w:rsidRPr="00C9463C">
          <w:rPr>
            <w:color w:val="0000FF"/>
            <w:u w:val="single"/>
            <w:rtl/>
          </w:rPr>
          <w:t>חוק העונשין</w:t>
        </w:r>
      </w:hyperlink>
      <w:r w:rsidRPr="00AF19B6">
        <w:rPr>
          <w:rtl/>
        </w:rPr>
        <w:t xml:space="preserve">, התשל"ז-1977, לצד עבירה של אי ציות לתמרור, לפי </w:t>
      </w:r>
      <w:hyperlink r:id="rId41" w:history="1">
        <w:r w:rsidR="0043570F" w:rsidRPr="0043570F">
          <w:rPr>
            <w:rStyle w:val="Hyperlink"/>
            <w:color w:val="0000FF"/>
            <w:rtl/>
          </w:rPr>
          <w:t>תקנה 22(א)</w:t>
        </w:r>
      </w:hyperlink>
      <w:r w:rsidRPr="00AF19B6">
        <w:rPr>
          <w:rtl/>
        </w:rPr>
        <w:t xml:space="preserve"> ל</w:t>
      </w:r>
      <w:hyperlink r:id="rId42" w:history="1">
        <w:r w:rsidR="00C9463C" w:rsidRPr="00C9463C">
          <w:rPr>
            <w:color w:val="0000FF"/>
            <w:u w:val="single"/>
            <w:rtl/>
          </w:rPr>
          <w:t>תקנות התעבורה</w:t>
        </w:r>
      </w:hyperlink>
      <w:r w:rsidRPr="00AF19B6">
        <w:rPr>
          <w:rtl/>
        </w:rPr>
        <w:t xml:space="preserve">, התשכ"א -1961 וסעיף </w:t>
      </w:r>
      <w:hyperlink r:id="rId43" w:history="1">
        <w:r w:rsidR="0043570F" w:rsidRPr="0043570F">
          <w:rPr>
            <w:rStyle w:val="Hyperlink"/>
            <w:color w:val="0000FF"/>
            <w:rtl/>
          </w:rPr>
          <w:t>62(8)</w:t>
        </w:r>
      </w:hyperlink>
      <w:r w:rsidRPr="00AF19B6">
        <w:rPr>
          <w:rtl/>
        </w:rPr>
        <w:t>ל</w:t>
      </w:r>
      <w:hyperlink r:id="rId44" w:history="1">
        <w:r w:rsidR="00C9463C" w:rsidRPr="00C9463C">
          <w:rPr>
            <w:color w:val="0000FF"/>
            <w:u w:val="single"/>
            <w:rtl/>
          </w:rPr>
          <w:t>פקודת התעבורה</w:t>
        </w:r>
      </w:hyperlink>
      <w:r w:rsidRPr="00AF19B6">
        <w:rPr>
          <w:rtl/>
        </w:rPr>
        <w:t xml:space="preserve"> [נוסח חדש], התשכ"א-1961 ועבירה של נהיגה רשלנית, לפי </w:t>
      </w:r>
      <w:hyperlink r:id="rId45" w:history="1">
        <w:r w:rsidR="0043570F" w:rsidRPr="0043570F">
          <w:rPr>
            <w:rStyle w:val="Hyperlink"/>
            <w:color w:val="0000FF"/>
            <w:rtl/>
          </w:rPr>
          <w:t>תקנה 21(ג)</w:t>
        </w:r>
      </w:hyperlink>
      <w:r w:rsidRPr="00AF19B6">
        <w:rPr>
          <w:rtl/>
        </w:rPr>
        <w:t xml:space="preserve"> לתקנות התעבורה </w:t>
      </w:r>
      <w:hyperlink r:id="rId46" w:history="1">
        <w:r w:rsidR="0043570F" w:rsidRPr="0043570F">
          <w:rPr>
            <w:rStyle w:val="Hyperlink"/>
            <w:color w:val="0000FF"/>
            <w:rtl/>
          </w:rPr>
          <w:t>וסעיפים 62(2)</w:t>
        </w:r>
      </w:hyperlink>
      <w:r w:rsidRPr="00AF19B6">
        <w:rPr>
          <w:rtl/>
        </w:rPr>
        <w:t xml:space="preserve"> ו- </w:t>
      </w:r>
      <w:hyperlink r:id="rId47" w:history="1">
        <w:r w:rsidR="0043570F" w:rsidRPr="0043570F">
          <w:rPr>
            <w:rStyle w:val="Hyperlink"/>
            <w:color w:val="0000FF"/>
            <w:rtl/>
          </w:rPr>
          <w:t>38(2)</w:t>
        </w:r>
      </w:hyperlink>
      <w:r w:rsidRPr="00AF19B6">
        <w:rPr>
          <w:rtl/>
        </w:rPr>
        <w:t xml:space="preserve"> לפקודת התעבורה. בתיק הנ"ל דובר במי שנשא רימון הלם והשליך אותו לעבר דלת בניין, וכתוצאה מהפיצוץ העז נגרם נזק של פיח בכניסה לבניין, וזאת בנוסף לעבירות תעבורה שביצע, כאמור לעיל.</w:t>
      </w:r>
    </w:p>
    <w:p w14:paraId="26243AA8" w14:textId="77777777" w:rsidR="00EB6593" w:rsidRDefault="00EB6593" w:rsidP="00EB6593">
      <w:pPr>
        <w:spacing w:line="360" w:lineRule="auto"/>
        <w:ind w:left="418"/>
        <w:contextualSpacing/>
        <w:jc w:val="both"/>
        <w:rPr>
          <w:rFonts w:ascii="Calibri" w:hAnsi="Calibri"/>
          <w:rtl/>
        </w:rPr>
      </w:pPr>
    </w:p>
    <w:p w14:paraId="56EB0217" w14:textId="77777777" w:rsidR="00EB6593" w:rsidRPr="00AF19B6" w:rsidRDefault="00EB6593" w:rsidP="00EB6593">
      <w:pPr>
        <w:pStyle w:val="a9"/>
        <w:numPr>
          <w:ilvl w:val="0"/>
          <w:numId w:val="1"/>
        </w:numPr>
        <w:spacing w:line="360" w:lineRule="auto"/>
        <w:jc w:val="both"/>
      </w:pPr>
      <w:r w:rsidRPr="00AF19B6">
        <w:rPr>
          <w:rFonts w:ascii="David" w:hAnsi="David" w:hint="cs"/>
          <w:rtl/>
        </w:rPr>
        <w:t>ב</w:t>
      </w:r>
      <w:hyperlink r:id="rId48" w:history="1">
        <w:r w:rsidR="00C9463C" w:rsidRPr="00C9463C">
          <w:rPr>
            <w:rFonts w:ascii="David" w:hAnsi="David"/>
            <w:color w:val="0000FF"/>
            <w:u w:val="single"/>
            <w:rtl/>
          </w:rPr>
          <w:t>ת.פ. (מחוזי חיפה) 11134-01-19</w:t>
        </w:r>
      </w:hyperlink>
      <w:r w:rsidRPr="00AF19B6">
        <w:rPr>
          <w:rFonts w:ascii="David" w:hAnsi="David" w:hint="cs"/>
          <w:rtl/>
        </w:rPr>
        <w:t xml:space="preserve"> </w:t>
      </w:r>
      <w:r w:rsidRPr="00AF19B6">
        <w:rPr>
          <w:rFonts w:ascii="David" w:hAnsi="David"/>
          <w:rtl/>
        </w:rPr>
        <w:t xml:space="preserve"> </w:t>
      </w:r>
      <w:r w:rsidRPr="00AF19B6">
        <w:rPr>
          <w:rFonts w:ascii="Miriam" w:hAnsi="Miriam" w:cs="Miriam"/>
          <w:rtl/>
        </w:rPr>
        <w:t>מדינת ישראל נ' מוחמד אסדי</w:t>
      </w:r>
      <w:r w:rsidRPr="00AF19B6">
        <w:rPr>
          <w:rFonts w:ascii="David" w:hAnsi="David" w:hint="cs"/>
          <w:rtl/>
        </w:rPr>
        <w:t xml:space="preserve"> (21/11/19) </w:t>
      </w:r>
      <w:r>
        <w:rPr>
          <w:rFonts w:ascii="David" w:hAnsi="David" w:hint="cs"/>
          <w:rtl/>
        </w:rPr>
        <w:t>דנתי</w:t>
      </w:r>
      <w:r w:rsidRPr="00AF19B6">
        <w:rPr>
          <w:rFonts w:ascii="David" w:hAnsi="David" w:hint="cs"/>
          <w:rtl/>
        </w:rPr>
        <w:t xml:space="preserve"> </w:t>
      </w:r>
      <w:r>
        <w:rPr>
          <w:rFonts w:ascii="David" w:hAnsi="David" w:hint="cs"/>
          <w:rtl/>
        </w:rPr>
        <w:t>ל</w:t>
      </w:r>
      <w:r w:rsidRPr="00AF19B6">
        <w:rPr>
          <w:rFonts w:ascii="David" w:hAnsi="David" w:hint="cs"/>
          <w:rtl/>
        </w:rPr>
        <w:t>מאסר בפועל בעבודות שרות לתקופה של 9 חודשי</w:t>
      </w:r>
      <w:r>
        <w:rPr>
          <w:rFonts w:ascii="David" w:hAnsi="David" w:hint="cs"/>
          <w:rtl/>
        </w:rPr>
        <w:t>ם</w:t>
      </w:r>
      <w:r w:rsidRPr="00AF19B6">
        <w:rPr>
          <w:rFonts w:ascii="David" w:hAnsi="David" w:hint="cs"/>
          <w:rtl/>
        </w:rPr>
        <w:t xml:space="preserve"> </w:t>
      </w:r>
      <w:r>
        <w:rPr>
          <w:rFonts w:ascii="David" w:hAnsi="David" w:hint="cs"/>
          <w:rtl/>
        </w:rPr>
        <w:t xml:space="preserve">נאשם </w:t>
      </w:r>
      <w:r w:rsidRPr="00AF19B6">
        <w:rPr>
          <w:rFonts w:ascii="David" w:hAnsi="David" w:hint="cs"/>
          <w:rtl/>
        </w:rPr>
        <w:t xml:space="preserve">בעל עבר </w:t>
      </w:r>
      <w:r>
        <w:rPr>
          <w:rFonts w:ascii="David" w:hAnsi="David" w:hint="cs"/>
          <w:rtl/>
        </w:rPr>
        <w:t xml:space="preserve">פלילי </w:t>
      </w:r>
      <w:r w:rsidRPr="00AF19B6">
        <w:rPr>
          <w:rFonts w:ascii="David" w:hAnsi="David" w:hint="cs"/>
          <w:rtl/>
        </w:rPr>
        <w:t xml:space="preserve">נקי שהורשע, </w:t>
      </w:r>
      <w:r w:rsidRPr="00AF19B6">
        <w:rPr>
          <w:rtl/>
        </w:rPr>
        <w:t xml:space="preserve">על פי הודאתו, בעבירות </w:t>
      </w:r>
      <w:r w:rsidRPr="00AF19B6">
        <w:rPr>
          <w:rFonts w:hint="cs"/>
          <w:rtl/>
        </w:rPr>
        <w:t>של</w:t>
      </w:r>
      <w:r w:rsidRPr="00AF19B6">
        <w:rPr>
          <w:rtl/>
        </w:rPr>
        <w:t xml:space="preserve"> נשיאה והובלת נשק שלא כדין, לפי </w:t>
      </w:r>
      <w:hyperlink r:id="rId49" w:history="1">
        <w:r w:rsidR="0043570F" w:rsidRPr="0043570F">
          <w:rPr>
            <w:rStyle w:val="Hyperlink"/>
            <w:color w:val="0000FF"/>
            <w:rtl/>
          </w:rPr>
          <w:t>סעיפים 144(ב)</w:t>
        </w:r>
      </w:hyperlink>
      <w:r w:rsidRPr="00AF19B6">
        <w:rPr>
          <w:rtl/>
        </w:rPr>
        <w:t xml:space="preserve"> רישא ו-</w:t>
      </w:r>
      <w:hyperlink r:id="rId50" w:history="1">
        <w:r w:rsidR="0043570F" w:rsidRPr="0043570F">
          <w:rPr>
            <w:rStyle w:val="Hyperlink"/>
            <w:color w:val="0000FF"/>
            <w:rtl/>
          </w:rPr>
          <w:t>29</w:t>
        </w:r>
      </w:hyperlink>
      <w:r w:rsidRPr="00AF19B6">
        <w:rPr>
          <w:rtl/>
        </w:rPr>
        <w:t xml:space="preserve"> ל</w:t>
      </w:r>
      <w:hyperlink r:id="rId51" w:history="1">
        <w:r w:rsidR="00C9463C" w:rsidRPr="00C9463C">
          <w:rPr>
            <w:color w:val="0000FF"/>
            <w:u w:val="single"/>
            <w:rtl/>
          </w:rPr>
          <w:t>חוק העונשין</w:t>
        </w:r>
      </w:hyperlink>
      <w:r w:rsidRPr="00AF19B6">
        <w:rPr>
          <w:rtl/>
        </w:rPr>
        <w:t>, התשל"ז-1977</w:t>
      </w:r>
      <w:r>
        <w:rPr>
          <w:rFonts w:hint="cs"/>
          <w:rtl/>
        </w:rPr>
        <w:t>,</w:t>
      </w:r>
      <w:r w:rsidRPr="00AF19B6">
        <w:rPr>
          <w:rtl/>
        </w:rPr>
        <w:t xml:space="preserve"> הפרעה לשוטר במילוי תפקידו כדין, עבירה לפי </w:t>
      </w:r>
      <w:hyperlink r:id="rId52" w:history="1">
        <w:r w:rsidR="0043570F" w:rsidRPr="0043570F">
          <w:rPr>
            <w:rStyle w:val="Hyperlink"/>
            <w:color w:val="0000FF"/>
            <w:rtl/>
          </w:rPr>
          <w:t>סעיפים  275</w:t>
        </w:r>
      </w:hyperlink>
      <w:r w:rsidRPr="00AF19B6">
        <w:rPr>
          <w:rtl/>
        </w:rPr>
        <w:t xml:space="preserve"> ו-</w:t>
      </w:r>
      <w:hyperlink r:id="rId53" w:history="1">
        <w:r w:rsidR="0043570F" w:rsidRPr="0043570F">
          <w:rPr>
            <w:rStyle w:val="Hyperlink"/>
            <w:color w:val="0000FF"/>
            <w:rtl/>
          </w:rPr>
          <w:t>29</w:t>
        </w:r>
      </w:hyperlink>
      <w:r w:rsidRPr="00AF19B6">
        <w:rPr>
          <w:rtl/>
        </w:rPr>
        <w:t xml:space="preserve"> לחוק ה</w:t>
      </w:r>
      <w:r w:rsidRPr="00AF19B6">
        <w:rPr>
          <w:rFonts w:hint="cs"/>
          <w:rtl/>
        </w:rPr>
        <w:t>נ"ל</w:t>
      </w:r>
      <w:r w:rsidRPr="00AF19B6">
        <w:rPr>
          <w:rtl/>
        </w:rPr>
        <w:t xml:space="preserve"> וכן הדחה בחקירה, עבירה לפי </w:t>
      </w:r>
      <w:hyperlink r:id="rId54" w:history="1">
        <w:r w:rsidR="0043570F" w:rsidRPr="0043570F">
          <w:rPr>
            <w:rStyle w:val="Hyperlink"/>
            <w:color w:val="0000FF"/>
            <w:rtl/>
          </w:rPr>
          <w:t>סעיף  245(א)</w:t>
        </w:r>
      </w:hyperlink>
      <w:r w:rsidRPr="00AF19B6">
        <w:rPr>
          <w:rtl/>
        </w:rPr>
        <w:t xml:space="preserve"> לחוק הנ"ל.  </w:t>
      </w:r>
    </w:p>
    <w:p w14:paraId="10BC1C00" w14:textId="77777777" w:rsidR="00EB6593" w:rsidRPr="00B05847" w:rsidRDefault="00EB6593" w:rsidP="00EB6593">
      <w:pPr>
        <w:spacing w:line="360" w:lineRule="auto"/>
        <w:jc w:val="both"/>
        <w:rPr>
          <w:rtl/>
        </w:rPr>
      </w:pPr>
    </w:p>
    <w:p w14:paraId="1B8AF834" w14:textId="77777777" w:rsidR="00EB6593" w:rsidRDefault="00EB6593" w:rsidP="00EB6593">
      <w:pPr>
        <w:spacing w:line="360" w:lineRule="auto"/>
        <w:jc w:val="both"/>
        <w:rPr>
          <w:rtl/>
        </w:rPr>
      </w:pPr>
      <w:r>
        <w:rPr>
          <w:rFonts w:hint="cs"/>
          <w:rtl/>
        </w:rPr>
        <w:t>16.</w:t>
      </w:r>
      <w:r>
        <w:rPr>
          <w:rFonts w:hint="cs"/>
          <w:rtl/>
        </w:rPr>
        <w:tab/>
        <w:t>כאן ראוי לציין כי נסיבותיו של תיק זה חמורות פחות מנסיבות התיקים שנסקרו לעיל, אם נוכח העובדה שבמקרה דנן לא עשה הנאשם שימוש ברימון ההלם ואם נוכח העובדה שמדובר בתיק זה בעבירת נשק אחת בלבד מבלי שנלוו לה עבירות נוספות. לאחר שבחנתי, כאמור, את הערכים החברתיים שנפגעו כתוצאה מביצוע העבירה, את נסיבות ביצועה ונתתי דעתי למדיניות הענישה הנהוגה, לרבות לפסיקה אליה הפנו המאשימה וההגנה, הגעתי לכלל מסקנה שמתחם העונש ההולם בתיק זה נע בין עונש של 6 חודשי מאסר בפועל, לרבות לריצוי בעבודות שרות, לבין עונש של 18 חודשי מאסר בפועל.</w:t>
      </w:r>
    </w:p>
    <w:p w14:paraId="3D60B251" w14:textId="77777777" w:rsidR="00EB6593" w:rsidRDefault="00EB6593" w:rsidP="00EB6593">
      <w:pPr>
        <w:spacing w:line="360" w:lineRule="auto"/>
        <w:jc w:val="both"/>
        <w:rPr>
          <w:rtl/>
        </w:rPr>
      </w:pPr>
    </w:p>
    <w:p w14:paraId="41A59595" w14:textId="77777777" w:rsidR="00EB6593" w:rsidRDefault="00EB6593" w:rsidP="00EB6593">
      <w:pPr>
        <w:spacing w:line="360" w:lineRule="auto"/>
        <w:jc w:val="both"/>
        <w:rPr>
          <w:rtl/>
        </w:rPr>
      </w:pPr>
      <w:r>
        <w:rPr>
          <w:rFonts w:hint="cs"/>
          <w:rtl/>
        </w:rPr>
        <w:t>17.</w:t>
      </w:r>
      <w:r>
        <w:rPr>
          <w:rFonts w:hint="cs"/>
          <w:rtl/>
        </w:rPr>
        <w:tab/>
        <w:t>במסגרת סקירת הנסיבות שאינן קשורות בביצוע העבירה אציין לקולה את עברו הכמעט נקי של הנאשם, שכן בעברו אך הרשעה קודמת אחת בגין היעדרות ללא רשות משרות צבאי. עוד אציין, לטובת הנאשם, את הודאתו בהזדמנות הראשונה שחסכה מזמנו היקר של בית המשפט ואת העדת עדי התביעה, וכן מגלמת בחובה לקיחת אחריות. בנקודה זו אציין את החרטה שביטא הנאשם בפני שרות המבחן אף כי הנאשם שלל מוטיבציה לביצוע שינוי וכן שלל נזקקות טיפולית. שרות המבחן נמנע ממתן המלצה טיפולית בעניינו של הנאשם, אך בד בבד הביע התרשמות כי מעצרו של הנאשם וההליך המשפטי היוו גורם משמעותי ומרתיע עבורו וכן העריך כי שליחת הנאשם למאסר של ממש עלולה , נוכח מאפייני אישיותו, להגדיל את סיכוייו להתחבר לעולם העברייני. עוד אוסיף לקולה כי עסקינן במעידה חד-פעמית מבחינת הנאשם שתפקד באורח נורמטיבי עד לביצוע העבירה שבפנינו. כאן ראוי לציין כי בשנת 2011  הנאשם פנה מיוזמתו למשטרת ישראל והשיב סכום של 1,000 ₪ שמצא בכספומט. עוד אזקוף לטובת הנאשם את היות משפחתו משפחה נורמטיבית ותומכת וכן את עזיבת הנאשם את ספסל הלימודים בגיל 16 במטרה לעבוד ולסייע בפרנסת המשפחה על רקע מצבה הכלכלי הקשה. לכל אלו אוסיף את היות הנאשם במעצר של ממש במשך תקופה של חודש ושלושה שבועות, דבר המהווה, כאמור, גורם הרתעתי עבורו. כמו כן אציין את היות הנאשם במעצר באיזוק אלקטרוני במשך תקופה של כחצי שנה ואת העובדה שהנאשם לא הפר עד כה את התנאים המגבילים שהושתו עליו.</w:t>
      </w:r>
    </w:p>
    <w:p w14:paraId="08684BE6" w14:textId="77777777" w:rsidR="00EB6593" w:rsidRDefault="00EB6593" w:rsidP="00EB6593">
      <w:pPr>
        <w:spacing w:line="360" w:lineRule="auto"/>
        <w:jc w:val="both"/>
        <w:rPr>
          <w:rtl/>
        </w:rPr>
      </w:pPr>
    </w:p>
    <w:p w14:paraId="24347712" w14:textId="77777777" w:rsidR="00EB6593" w:rsidRDefault="00EB6593" w:rsidP="00EB6593">
      <w:pPr>
        <w:spacing w:line="360" w:lineRule="auto"/>
        <w:jc w:val="both"/>
        <w:rPr>
          <w:rtl/>
        </w:rPr>
      </w:pPr>
      <w:r>
        <w:rPr>
          <w:rFonts w:hint="cs"/>
          <w:rtl/>
        </w:rPr>
        <w:t>18.</w:t>
      </w:r>
      <w:r>
        <w:rPr>
          <w:rtl/>
        </w:rPr>
        <w:tab/>
      </w:r>
      <w:r>
        <w:rPr>
          <w:rFonts w:hint="cs"/>
          <w:rtl/>
        </w:rPr>
        <w:t>שקלול מכלול הטעמים הנ"ל  מצדיק , לדידי, הטלת עונש של מאסר בפועל על הנאשם ברף התחתון של מתחם העונש ההולם הנ"ל, לריצוי בדרך של עבודות שירות ולצד  עונש של מאסר על תנאי משמעותי ומרתיע. יובהר כי נוכח מצבו הכספי הקשה של הנאשם אני מבכרת שלא להשית עליו קנס כספי.</w:t>
      </w:r>
    </w:p>
    <w:p w14:paraId="0BC8B014" w14:textId="77777777" w:rsidR="00EB6593" w:rsidRDefault="00EB6593" w:rsidP="00EB6593">
      <w:pPr>
        <w:spacing w:line="360" w:lineRule="auto"/>
        <w:jc w:val="both"/>
        <w:rPr>
          <w:rtl/>
        </w:rPr>
      </w:pPr>
    </w:p>
    <w:p w14:paraId="2D17AE22" w14:textId="77777777" w:rsidR="00EB6593" w:rsidRDefault="00EB6593" w:rsidP="00EB6593">
      <w:pPr>
        <w:spacing w:line="360" w:lineRule="auto"/>
        <w:jc w:val="both"/>
        <w:rPr>
          <w:rtl/>
        </w:rPr>
      </w:pPr>
      <w:r>
        <w:rPr>
          <w:rFonts w:hint="cs"/>
          <w:rtl/>
        </w:rPr>
        <w:t>19.</w:t>
      </w:r>
      <w:r>
        <w:rPr>
          <w:rFonts w:hint="cs"/>
          <w:rtl/>
        </w:rPr>
        <w:tab/>
        <w:t>בסיכומו של דבר, אני דנה את הנאשם, כדלקמן:</w:t>
      </w:r>
    </w:p>
    <w:p w14:paraId="0080110B" w14:textId="77777777" w:rsidR="00EB6593" w:rsidRDefault="00EB6593" w:rsidP="00EB6593">
      <w:pPr>
        <w:spacing w:line="360" w:lineRule="auto"/>
        <w:jc w:val="both"/>
        <w:rPr>
          <w:rtl/>
        </w:rPr>
      </w:pPr>
    </w:p>
    <w:p w14:paraId="4C1A796F" w14:textId="77777777" w:rsidR="00EB6593" w:rsidRDefault="00EB6593" w:rsidP="00EB6593">
      <w:pPr>
        <w:pStyle w:val="a9"/>
        <w:numPr>
          <w:ilvl w:val="0"/>
          <w:numId w:val="2"/>
        </w:numPr>
        <w:spacing w:line="360" w:lineRule="auto"/>
        <w:jc w:val="both"/>
      </w:pPr>
      <w:r>
        <w:rPr>
          <w:rtl/>
        </w:rPr>
        <w:t>למאסר בפועל למשך</w:t>
      </w:r>
      <w:r>
        <w:rPr>
          <w:rFonts w:hint="cs"/>
          <w:rtl/>
        </w:rPr>
        <w:t xml:space="preserve"> 6</w:t>
      </w:r>
      <w:r>
        <w:rPr>
          <w:rtl/>
        </w:rPr>
        <w:t xml:space="preserve"> חודשים שירוצה בדרך של עבודות שירות, כאמור בחוות דעת הממונה על עבודות שירות, היינו </w:t>
      </w:r>
      <w:r>
        <w:rPr>
          <w:rFonts w:hint="cs"/>
          <w:rtl/>
        </w:rPr>
        <w:t>במועצה המקומית ראמה</w:t>
      </w:r>
      <w:r>
        <w:rPr>
          <w:rtl/>
        </w:rPr>
        <w:t xml:space="preserve">. הנאשם יתייצב ביום </w:t>
      </w:r>
      <w:r>
        <w:rPr>
          <w:rFonts w:hint="cs"/>
          <w:rtl/>
        </w:rPr>
        <w:t>4/8/20 בש</w:t>
      </w:r>
      <w:r>
        <w:rPr>
          <w:rtl/>
        </w:rPr>
        <w:t>עה 08:00 לתחילת ריצוי עבודות השירות בשד' הציונות 14, טבריה. הנאשם מוזהר בזה, לבקשת הממונה על עבודות שירות, כי מדובר בתנאי העסקה קפדניים וכל חריגה מהכללים עלולה להביא להפסקת ריצוי עבודות השירות ולריצוי יתרת העונש במאסר של ממש.</w:t>
      </w:r>
    </w:p>
    <w:p w14:paraId="2EB17822" w14:textId="77777777" w:rsidR="00EB6593" w:rsidRDefault="00EB6593" w:rsidP="00EB6593">
      <w:pPr>
        <w:pStyle w:val="a9"/>
        <w:spacing w:line="360" w:lineRule="auto"/>
        <w:jc w:val="both"/>
        <w:rPr>
          <w:rtl/>
        </w:rPr>
      </w:pPr>
    </w:p>
    <w:p w14:paraId="695A895D" w14:textId="77777777" w:rsidR="00EB6593" w:rsidRDefault="00EB6593" w:rsidP="00EB6593">
      <w:pPr>
        <w:pStyle w:val="a9"/>
        <w:numPr>
          <w:ilvl w:val="0"/>
          <w:numId w:val="2"/>
        </w:numPr>
        <w:spacing w:line="360" w:lineRule="auto"/>
        <w:jc w:val="both"/>
      </w:pPr>
      <w:r>
        <w:rPr>
          <w:rtl/>
        </w:rPr>
        <w:t xml:space="preserve">למאסר על תנאי לתקופה של 12 חודשים למשך 3 שנים והתנאי הוא לבל יעבור הנאשם עבירה מסוג פשע, לפי </w:t>
      </w:r>
      <w:hyperlink r:id="rId55" w:history="1">
        <w:r w:rsidR="0043570F" w:rsidRPr="0043570F">
          <w:rPr>
            <w:rStyle w:val="Hyperlink"/>
            <w:color w:val="0000FF"/>
            <w:rtl/>
          </w:rPr>
          <w:t>סעיף 144</w:t>
        </w:r>
      </w:hyperlink>
      <w:r>
        <w:rPr>
          <w:rtl/>
        </w:rPr>
        <w:t xml:space="preserve"> ל</w:t>
      </w:r>
      <w:hyperlink r:id="rId56" w:history="1">
        <w:r w:rsidR="00C9463C" w:rsidRPr="00C9463C">
          <w:rPr>
            <w:color w:val="0000FF"/>
            <w:u w:val="single"/>
            <w:rtl/>
          </w:rPr>
          <w:t>חוק העונשין</w:t>
        </w:r>
      </w:hyperlink>
      <w:r>
        <w:rPr>
          <w:rtl/>
        </w:rPr>
        <w:t xml:space="preserve"> התשל"ז-1977 ויורשע בגינה.</w:t>
      </w:r>
    </w:p>
    <w:p w14:paraId="5154ACE5" w14:textId="77777777" w:rsidR="00EB6593" w:rsidRDefault="00EB6593" w:rsidP="00EB6593">
      <w:pPr>
        <w:spacing w:line="360" w:lineRule="auto"/>
        <w:jc w:val="both"/>
      </w:pPr>
    </w:p>
    <w:p w14:paraId="3879AD8D" w14:textId="77777777" w:rsidR="00EB6593" w:rsidRDefault="00EB6593" w:rsidP="00EB6593">
      <w:pPr>
        <w:pStyle w:val="a9"/>
        <w:numPr>
          <w:ilvl w:val="0"/>
          <w:numId w:val="2"/>
        </w:numPr>
        <w:spacing w:line="360" w:lineRule="auto"/>
        <w:jc w:val="both"/>
      </w:pPr>
      <w:r>
        <w:rPr>
          <w:rtl/>
        </w:rPr>
        <w:t xml:space="preserve">למאסר על תנאי לתקופה של  5 חודשים למשך 3 שנים והתנאי הוא לבל יעבור הנאשם עבירה מסוג עוון, לפי </w:t>
      </w:r>
      <w:hyperlink r:id="rId57" w:history="1">
        <w:r w:rsidR="0043570F" w:rsidRPr="0043570F">
          <w:rPr>
            <w:rStyle w:val="Hyperlink"/>
            <w:color w:val="0000FF"/>
            <w:rtl/>
          </w:rPr>
          <w:t>סעיף 144</w:t>
        </w:r>
      </w:hyperlink>
      <w:r>
        <w:rPr>
          <w:rtl/>
        </w:rPr>
        <w:t xml:space="preserve"> ל</w:t>
      </w:r>
      <w:hyperlink r:id="rId58" w:history="1">
        <w:r w:rsidR="00C9463C" w:rsidRPr="00C9463C">
          <w:rPr>
            <w:color w:val="0000FF"/>
            <w:u w:val="single"/>
            <w:rtl/>
          </w:rPr>
          <w:t>חוק העונשין</w:t>
        </w:r>
      </w:hyperlink>
      <w:r>
        <w:rPr>
          <w:rtl/>
        </w:rPr>
        <w:t xml:space="preserve"> התשל"ז-1977 ויורשע </w:t>
      </w:r>
      <w:r>
        <w:rPr>
          <w:rFonts w:hint="cs"/>
          <w:rtl/>
        </w:rPr>
        <w:t>בגינה.</w:t>
      </w:r>
    </w:p>
    <w:p w14:paraId="2F03C454" w14:textId="77777777" w:rsidR="00EB6593" w:rsidRDefault="00EB6593" w:rsidP="00EB6593">
      <w:pPr>
        <w:pStyle w:val="a9"/>
        <w:rPr>
          <w:rtl/>
        </w:rPr>
      </w:pPr>
    </w:p>
    <w:p w14:paraId="3E8F96A5" w14:textId="77777777" w:rsidR="00EB6593" w:rsidRDefault="00EB6593" w:rsidP="00EB6593">
      <w:pPr>
        <w:pStyle w:val="a9"/>
        <w:spacing w:line="360" w:lineRule="auto"/>
        <w:ind w:left="1080"/>
        <w:jc w:val="both"/>
        <w:rPr>
          <w:rtl/>
        </w:rPr>
      </w:pPr>
      <w:r>
        <w:rPr>
          <w:rFonts w:hint="cs"/>
          <w:rtl/>
        </w:rPr>
        <w:t>לבקשת המאשימה ובהסכמת ההגנה, אני מורה על חילוט לטובת המדינה של רימון ההלם הנזכר בכתב האישום.</w:t>
      </w:r>
    </w:p>
    <w:p w14:paraId="25930066" w14:textId="77777777" w:rsidR="00EB6593" w:rsidRPr="0067541D" w:rsidRDefault="00EB6593" w:rsidP="00EB6593">
      <w:pPr>
        <w:pStyle w:val="a9"/>
        <w:spacing w:line="360" w:lineRule="auto"/>
        <w:ind w:left="1080"/>
        <w:jc w:val="both"/>
        <w:rPr>
          <w:b/>
          <w:bCs/>
          <w:rtl/>
        </w:rPr>
      </w:pPr>
    </w:p>
    <w:p w14:paraId="13831556" w14:textId="77777777" w:rsidR="00EB6593" w:rsidRDefault="00EB6593" w:rsidP="00EB6593">
      <w:pPr>
        <w:pStyle w:val="a9"/>
        <w:rPr>
          <w:b/>
          <w:bCs/>
          <w:rtl/>
        </w:rPr>
      </w:pPr>
      <w:r w:rsidRPr="0067541D">
        <w:rPr>
          <w:rFonts w:hint="cs"/>
          <w:b/>
          <w:bCs/>
          <w:rtl/>
        </w:rPr>
        <w:t xml:space="preserve">המזכירות תמציא העתק מגזר הדין לממונה על עבודות שרות ולשרות המבחן. </w:t>
      </w:r>
    </w:p>
    <w:p w14:paraId="26D63446" w14:textId="77777777" w:rsidR="00EB6593" w:rsidRDefault="00EB6593" w:rsidP="00EB6593">
      <w:pPr>
        <w:pStyle w:val="a9"/>
        <w:spacing w:line="360" w:lineRule="auto"/>
        <w:ind w:left="1080"/>
        <w:jc w:val="both"/>
        <w:rPr>
          <w:b/>
          <w:bCs/>
          <w:rtl/>
        </w:rPr>
      </w:pPr>
    </w:p>
    <w:p w14:paraId="02A02578" w14:textId="77777777" w:rsidR="00EB6593" w:rsidRDefault="00EB6593" w:rsidP="00EB6593">
      <w:pPr>
        <w:pStyle w:val="a9"/>
        <w:rPr>
          <w:b/>
          <w:bCs/>
          <w:rtl/>
        </w:rPr>
      </w:pPr>
      <w:r>
        <w:rPr>
          <w:rFonts w:hint="cs"/>
          <w:b/>
          <w:bCs/>
          <w:rtl/>
        </w:rPr>
        <w:t>זכות ערעור לבית המשפט העליון תוך45 יום.</w:t>
      </w:r>
    </w:p>
    <w:p w14:paraId="54CA1D5F" w14:textId="77777777" w:rsidR="00EB6593" w:rsidRPr="0067541D" w:rsidRDefault="00EB6593" w:rsidP="00EB6593">
      <w:pPr>
        <w:pStyle w:val="a9"/>
        <w:spacing w:line="360" w:lineRule="auto"/>
        <w:ind w:left="1080"/>
        <w:jc w:val="both"/>
        <w:rPr>
          <w:b/>
          <w:bCs/>
          <w:rtl/>
        </w:rPr>
      </w:pPr>
    </w:p>
    <w:p w14:paraId="68D5A8DE" w14:textId="77777777" w:rsidR="00EB6593" w:rsidRDefault="00C9463C" w:rsidP="00EB6593">
      <w:pPr>
        <w:spacing w:line="360" w:lineRule="auto"/>
        <w:jc w:val="both"/>
        <w:rPr>
          <w:rFonts w:ascii="Arial" w:hAnsi="Arial"/>
          <w:rtl/>
        </w:rPr>
      </w:pPr>
      <w:bookmarkStart w:id="7" w:name="Nitan"/>
      <w:r>
        <w:rPr>
          <w:rFonts w:ascii="Arial" w:hAnsi="Arial"/>
          <w:rtl/>
        </w:rPr>
        <w:t xml:space="preserve">ניתן היום,  ט"ז סיוון תש"פ, 08 יוני 2020, במעמד ב"כ המאשימה, עו"ד גב' בן גיגי, ב"כ הנאשם, </w:t>
      </w:r>
      <w:bookmarkEnd w:id="7"/>
      <w:r w:rsidR="00EB6593">
        <w:rPr>
          <w:rFonts w:ascii="Arial" w:hAnsi="Arial" w:hint="cs"/>
          <w:rtl/>
        </w:rPr>
        <w:t>עו"ד שחף אולמן והנאשם בעצמו.</w:t>
      </w:r>
    </w:p>
    <w:p w14:paraId="67BC37F2" w14:textId="77777777" w:rsidR="00EB6593" w:rsidRPr="00C9463C" w:rsidRDefault="00C9463C" w:rsidP="00EB6593">
      <w:pPr>
        <w:spacing w:line="360" w:lineRule="auto"/>
        <w:jc w:val="both"/>
        <w:rPr>
          <w:rFonts w:ascii="Arial" w:hAnsi="Arial"/>
          <w:color w:val="FFFFFF"/>
          <w:sz w:val="2"/>
          <w:szCs w:val="2"/>
        </w:rPr>
      </w:pPr>
      <w:r w:rsidRPr="00C9463C">
        <w:rPr>
          <w:rFonts w:ascii="Arial" w:hAnsi="Arial"/>
          <w:color w:val="FFFFFF"/>
          <w:sz w:val="2"/>
          <w:szCs w:val="2"/>
          <w:rtl/>
        </w:rPr>
        <w:t>5129371</w:t>
      </w:r>
    </w:p>
    <w:p w14:paraId="3ABB1CF3" w14:textId="77777777" w:rsidR="00EB6593" w:rsidRPr="00C9463C" w:rsidRDefault="00C9463C" w:rsidP="00EB6593">
      <w:pPr>
        <w:jc w:val="both"/>
        <w:rPr>
          <w:rFonts w:cs="FrankRuehl"/>
          <w:color w:val="FFFFFF"/>
          <w:sz w:val="2"/>
          <w:szCs w:val="2"/>
          <w:rtl/>
        </w:rPr>
      </w:pPr>
      <w:r w:rsidRPr="00C9463C">
        <w:rPr>
          <w:rFonts w:cs="FrankRuehl"/>
          <w:color w:val="FFFFFF"/>
          <w:sz w:val="2"/>
          <w:szCs w:val="2"/>
          <w:rtl/>
        </w:rPr>
        <w:t>54678313</w:t>
      </w:r>
    </w:p>
    <w:p w14:paraId="37526E8B" w14:textId="77777777" w:rsidR="00EB6593" w:rsidRDefault="00EB6593" w:rsidP="00C9463C">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067A349" w14:textId="77777777" w:rsidR="00EB6593" w:rsidRDefault="00EB6593" w:rsidP="00EB6593">
      <w:pPr>
        <w:jc w:val="both"/>
        <w:rPr>
          <w:rFonts w:ascii="Arial" w:hAnsi="Arial" w:cs="FrankRuehl"/>
          <w:sz w:val="28"/>
          <w:szCs w:val="28"/>
          <w:rtl/>
        </w:rPr>
      </w:pPr>
    </w:p>
    <w:p w14:paraId="52F00AB9" w14:textId="77777777" w:rsidR="00EB6593" w:rsidRDefault="00EB6593" w:rsidP="00EB6593">
      <w:pPr>
        <w:jc w:val="both"/>
        <w:rPr>
          <w:rFonts w:cs="FrankRuehl"/>
          <w:sz w:val="28"/>
          <w:szCs w:val="28"/>
          <w:rtl/>
        </w:rPr>
      </w:pPr>
    </w:p>
    <w:p w14:paraId="5DD847ED" w14:textId="77777777" w:rsidR="00EB6593" w:rsidRDefault="00EB6593" w:rsidP="00EB6593">
      <w:pPr>
        <w:pStyle w:val="a3"/>
        <w:jc w:val="both"/>
        <w:rPr>
          <w:rtl/>
        </w:rPr>
      </w:pPr>
    </w:p>
    <w:p w14:paraId="4D4C3E71" w14:textId="77777777" w:rsidR="00E4050A" w:rsidRPr="00C9463C" w:rsidRDefault="00E4050A" w:rsidP="00C9463C">
      <w:pPr>
        <w:keepNext/>
        <w:rPr>
          <w:rFonts w:ascii="David" w:hAnsi="David"/>
          <w:color w:val="000000"/>
          <w:sz w:val="22"/>
          <w:szCs w:val="22"/>
          <w:rtl/>
        </w:rPr>
      </w:pPr>
    </w:p>
    <w:p w14:paraId="01044BBF" w14:textId="77777777" w:rsidR="00C9463C" w:rsidRPr="00C9463C" w:rsidRDefault="00C9463C" w:rsidP="00C9463C">
      <w:pPr>
        <w:keepNext/>
        <w:rPr>
          <w:rFonts w:ascii="David" w:hAnsi="David"/>
          <w:color w:val="000000"/>
          <w:sz w:val="22"/>
          <w:szCs w:val="22"/>
          <w:rtl/>
        </w:rPr>
      </w:pPr>
      <w:r w:rsidRPr="00C9463C">
        <w:rPr>
          <w:rFonts w:ascii="David" w:hAnsi="David"/>
          <w:color w:val="000000"/>
          <w:sz w:val="22"/>
          <w:szCs w:val="22"/>
          <w:rtl/>
        </w:rPr>
        <w:t>רונית בש 54678313</w:t>
      </w:r>
    </w:p>
    <w:p w14:paraId="1CDA97EF" w14:textId="77777777" w:rsidR="00C9463C" w:rsidRDefault="00C9463C" w:rsidP="00C9463C">
      <w:r w:rsidRPr="00C9463C">
        <w:rPr>
          <w:color w:val="000000"/>
          <w:rtl/>
        </w:rPr>
        <w:t>נוסח מסמך זה כפוף לשינויי ניסוח ועריכה</w:t>
      </w:r>
    </w:p>
    <w:p w14:paraId="0903727D" w14:textId="77777777" w:rsidR="00C9463C" w:rsidRDefault="00C9463C" w:rsidP="00C9463C">
      <w:pPr>
        <w:rPr>
          <w:rtl/>
        </w:rPr>
      </w:pPr>
    </w:p>
    <w:p w14:paraId="644BC909" w14:textId="77777777" w:rsidR="00C9463C" w:rsidRDefault="00C9463C" w:rsidP="00C9463C">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4A6C597D" w14:textId="77777777" w:rsidR="00C9463C" w:rsidRPr="00C9463C" w:rsidRDefault="00C9463C" w:rsidP="00C9463C">
      <w:pPr>
        <w:jc w:val="center"/>
        <w:rPr>
          <w:color w:val="0000FF"/>
          <w:u w:val="single"/>
        </w:rPr>
      </w:pPr>
    </w:p>
    <w:sectPr w:rsidR="00C9463C" w:rsidRPr="00C9463C" w:rsidSect="00C9463C">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C93F" w14:textId="77777777" w:rsidR="00125E1F" w:rsidRDefault="00125E1F" w:rsidP="00CF2BD6">
      <w:r>
        <w:separator/>
      </w:r>
    </w:p>
  </w:endnote>
  <w:endnote w:type="continuationSeparator" w:id="0">
    <w:p w14:paraId="3C624B4D" w14:textId="77777777" w:rsidR="00125E1F" w:rsidRDefault="00125E1F" w:rsidP="00CF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AA1F" w14:textId="77777777" w:rsidR="00C9463C" w:rsidRDefault="00C9463C" w:rsidP="00C94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9E5E8C" w14:textId="77777777" w:rsidR="000D47D4" w:rsidRPr="00C9463C" w:rsidRDefault="00C9463C" w:rsidP="00C946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B64" w14:textId="77777777" w:rsidR="00C9463C" w:rsidRDefault="00C9463C" w:rsidP="00C94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E11">
      <w:rPr>
        <w:rFonts w:ascii="FrankRuehl" w:hAnsi="FrankRuehl" w:cs="FrankRuehl"/>
        <w:noProof/>
        <w:rtl/>
      </w:rPr>
      <w:t>1</w:t>
    </w:r>
    <w:r>
      <w:rPr>
        <w:rFonts w:ascii="FrankRuehl" w:hAnsi="FrankRuehl" w:cs="FrankRuehl"/>
        <w:rtl/>
      </w:rPr>
      <w:fldChar w:fldCharType="end"/>
    </w:r>
  </w:p>
  <w:p w14:paraId="12B8D0AB" w14:textId="77777777" w:rsidR="000D47D4" w:rsidRPr="00C9463C" w:rsidRDefault="00C9463C" w:rsidP="00C946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2A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FD15" w14:textId="77777777" w:rsidR="00125E1F" w:rsidRDefault="00125E1F" w:rsidP="00CF2BD6">
      <w:r>
        <w:separator/>
      </w:r>
    </w:p>
  </w:footnote>
  <w:footnote w:type="continuationSeparator" w:id="0">
    <w:p w14:paraId="694E548B" w14:textId="77777777" w:rsidR="00125E1F" w:rsidRDefault="00125E1F" w:rsidP="00CF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8875" w14:textId="77777777" w:rsidR="00C9463C" w:rsidRPr="00C9463C" w:rsidRDefault="00C9463C" w:rsidP="00C94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5578-08-19</w:t>
    </w:r>
    <w:r>
      <w:rPr>
        <w:rFonts w:ascii="David" w:hAnsi="David"/>
        <w:color w:val="000000"/>
        <w:sz w:val="22"/>
        <w:szCs w:val="22"/>
        <w:rtl/>
      </w:rPr>
      <w:tab/>
      <w:t xml:space="preserve"> מדינת ישראל נ' גולן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B7E0" w14:textId="77777777" w:rsidR="00C9463C" w:rsidRPr="00C9463C" w:rsidRDefault="00C9463C" w:rsidP="00C94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5578-08-19</w:t>
    </w:r>
    <w:r>
      <w:rPr>
        <w:rFonts w:ascii="David" w:hAnsi="David"/>
        <w:color w:val="000000"/>
        <w:sz w:val="22"/>
        <w:szCs w:val="22"/>
        <w:rtl/>
      </w:rPr>
      <w:tab/>
      <w:t xml:space="preserve"> מדינת ישראל נ' גולן אבראהים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745"/>
    <w:multiLevelType w:val="hybridMultilevel"/>
    <w:tmpl w:val="489864E2"/>
    <w:lvl w:ilvl="0" w:tplc="2444BAF2">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01643F7"/>
    <w:multiLevelType w:val="hybridMultilevel"/>
    <w:tmpl w:val="AD368F8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num w:numId="1" w16cid:durableId="856506310">
    <w:abstractNumId w:val="1"/>
  </w:num>
  <w:num w:numId="2" w16cid:durableId="145929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593"/>
    <w:rsid w:val="000D47D4"/>
    <w:rsid w:val="00125E1F"/>
    <w:rsid w:val="0043570F"/>
    <w:rsid w:val="0095005D"/>
    <w:rsid w:val="00A13E11"/>
    <w:rsid w:val="00C501AB"/>
    <w:rsid w:val="00C9463C"/>
    <w:rsid w:val="00CF2BD6"/>
    <w:rsid w:val="00E4050A"/>
    <w:rsid w:val="00EB6593"/>
    <w:rsid w:val="00EC4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3E0C59"/>
  <w15:chartTrackingRefBased/>
  <w15:docId w15:val="{E7A3246D-590B-45F9-8488-7031E64D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5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6593"/>
    <w:pPr>
      <w:tabs>
        <w:tab w:val="center" w:pos="4153"/>
        <w:tab w:val="right" w:pos="8306"/>
      </w:tabs>
    </w:pPr>
  </w:style>
  <w:style w:type="character" w:customStyle="1" w:styleId="a4">
    <w:name w:val="כותרת עליונה תו"/>
    <w:link w:val="a3"/>
    <w:rsid w:val="00EB6593"/>
    <w:rPr>
      <w:rFonts w:ascii="Times New Roman" w:eastAsia="Times New Roman" w:hAnsi="Times New Roman" w:cs="David"/>
      <w:sz w:val="24"/>
      <w:szCs w:val="24"/>
    </w:rPr>
  </w:style>
  <w:style w:type="paragraph" w:styleId="a5">
    <w:name w:val="footer"/>
    <w:basedOn w:val="a"/>
    <w:link w:val="a6"/>
    <w:rsid w:val="00EB6593"/>
    <w:pPr>
      <w:tabs>
        <w:tab w:val="center" w:pos="4153"/>
        <w:tab w:val="right" w:pos="8306"/>
      </w:tabs>
    </w:pPr>
  </w:style>
  <w:style w:type="character" w:customStyle="1" w:styleId="a6">
    <w:name w:val="כותרת תחתונה תו"/>
    <w:link w:val="a5"/>
    <w:rsid w:val="00EB6593"/>
    <w:rPr>
      <w:rFonts w:ascii="Times New Roman" w:eastAsia="Times New Roman" w:hAnsi="Times New Roman" w:cs="David"/>
      <w:sz w:val="24"/>
      <w:szCs w:val="24"/>
    </w:rPr>
  </w:style>
  <w:style w:type="table" w:styleId="a7">
    <w:name w:val="Table Grid"/>
    <w:basedOn w:val="a1"/>
    <w:rsid w:val="00EB65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6593"/>
  </w:style>
  <w:style w:type="paragraph" w:styleId="a9">
    <w:name w:val="List Paragraph"/>
    <w:basedOn w:val="a"/>
    <w:qFormat/>
    <w:rsid w:val="00EB6593"/>
    <w:pPr>
      <w:ind w:left="720"/>
      <w:contextualSpacing/>
    </w:pPr>
  </w:style>
  <w:style w:type="character" w:styleId="Hyperlink">
    <w:name w:val="Hyperlink"/>
    <w:rsid w:val="00EB65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38.2" TargetMode="External"/><Relationship Id="rId34" Type="http://schemas.openxmlformats.org/officeDocument/2006/relationships/hyperlink" Target="http://www.nevo.co.il/case/18105668" TargetMode="External"/><Relationship Id="rId42" Type="http://schemas.openxmlformats.org/officeDocument/2006/relationships/hyperlink" Target="http://www.nevo.co.il/law/74274" TargetMode="External"/><Relationship Id="rId47" Type="http://schemas.openxmlformats.org/officeDocument/2006/relationships/hyperlink" Target="http://www.nevo.co.il/law/5227/38.2" TargetMode="External"/><Relationship Id="rId50" Type="http://schemas.openxmlformats.org/officeDocument/2006/relationships/hyperlink" Target="http://www.nevo.co.il/law/70301/29" TargetMode="External"/><Relationship Id="rId55" Type="http://schemas.openxmlformats.org/officeDocument/2006/relationships/hyperlink" Target="http://www.nevo.co.il/law/70301/144"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40c"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3392658"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274/21.c" TargetMode="External"/><Relationship Id="rId53" Type="http://schemas.openxmlformats.org/officeDocument/2006/relationships/hyperlink" Target="http://www.nevo.co.il/law/70301/29"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4274/22.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62.2"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817889" TargetMode="External"/><Relationship Id="rId43" Type="http://schemas.openxmlformats.org/officeDocument/2006/relationships/hyperlink" Target="http://www.nevo.co.il/law/5227/62.8" TargetMode="External"/><Relationship Id="rId48" Type="http://schemas.openxmlformats.org/officeDocument/2006/relationships/hyperlink" Target="http://www.nevo.co.il/case/25292360"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427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5227/62.2"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5227" TargetMode="External"/><Relationship Id="rId41" Type="http://schemas.openxmlformats.org/officeDocument/2006/relationships/hyperlink" Target="http://www.nevo.co.il/law/74274/22.a" TargetMode="External"/><Relationship Id="rId54" Type="http://schemas.openxmlformats.org/officeDocument/2006/relationships/hyperlink" Target="http://www.nevo.co.il/law/70301/245.a"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5.a" TargetMode="External"/><Relationship Id="rId23" Type="http://schemas.openxmlformats.org/officeDocument/2006/relationships/hyperlink" Target="http://www.nevo.co.il/law/5227/62.8"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20590970"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law/70301/144"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40i" TargetMode="External"/><Relationship Id="rId44" Type="http://schemas.openxmlformats.org/officeDocument/2006/relationships/hyperlink" Target="http://www.nevo.co.il/law/5227" TargetMode="External"/><Relationship Id="rId52" Type="http://schemas.openxmlformats.org/officeDocument/2006/relationships/hyperlink" Target="http://www.nevo.co.il/law/70301/27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4274/21.c" TargetMode="External"/><Relationship Id="rId3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2586</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15489</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6357092</vt:i4>
      </vt:variant>
      <vt:variant>
        <vt:i4>150</vt:i4>
      </vt:variant>
      <vt:variant>
        <vt:i4>0</vt:i4>
      </vt:variant>
      <vt:variant>
        <vt:i4>5</vt:i4>
      </vt:variant>
      <vt:variant>
        <vt:lpwstr>http://www.nevo.co.il/law/70301/144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5177426</vt:i4>
      </vt:variant>
      <vt:variant>
        <vt:i4>141</vt:i4>
      </vt:variant>
      <vt:variant>
        <vt:i4>0</vt:i4>
      </vt:variant>
      <vt:variant>
        <vt:i4>5</vt:i4>
      </vt:variant>
      <vt:variant>
        <vt:lpwstr>http://www.nevo.co.il/law/70301/245.a</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6422631</vt:i4>
      </vt:variant>
      <vt:variant>
        <vt:i4>135</vt:i4>
      </vt:variant>
      <vt:variant>
        <vt:i4>0</vt:i4>
      </vt:variant>
      <vt:variant>
        <vt:i4>5</vt:i4>
      </vt:variant>
      <vt:variant>
        <vt:lpwstr>http://www.nevo.co.il/law/70301/275</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3407995</vt:i4>
      </vt:variant>
      <vt:variant>
        <vt:i4>123</vt:i4>
      </vt:variant>
      <vt:variant>
        <vt:i4>0</vt:i4>
      </vt:variant>
      <vt:variant>
        <vt:i4>5</vt:i4>
      </vt:variant>
      <vt:variant>
        <vt:lpwstr>http://www.nevo.co.il/case/25292360</vt:lpwstr>
      </vt:variant>
      <vt:variant>
        <vt:lpwstr/>
      </vt:variant>
      <vt:variant>
        <vt:i4>6422640</vt:i4>
      </vt:variant>
      <vt:variant>
        <vt:i4>120</vt:i4>
      </vt:variant>
      <vt:variant>
        <vt:i4>0</vt:i4>
      </vt:variant>
      <vt:variant>
        <vt:i4>5</vt:i4>
      </vt:variant>
      <vt:variant>
        <vt:lpwstr>http://www.nevo.co.il/law/5227/38.2</vt:lpwstr>
      </vt:variant>
      <vt:variant>
        <vt:lpwstr/>
      </vt:variant>
      <vt:variant>
        <vt:i4>6750330</vt:i4>
      </vt:variant>
      <vt:variant>
        <vt:i4>117</vt:i4>
      </vt:variant>
      <vt:variant>
        <vt:i4>0</vt:i4>
      </vt:variant>
      <vt:variant>
        <vt:i4>5</vt:i4>
      </vt:variant>
      <vt:variant>
        <vt:lpwstr>http://www.nevo.co.il/law/5227/62.2</vt:lpwstr>
      </vt:variant>
      <vt:variant>
        <vt:lpwstr/>
      </vt:variant>
      <vt:variant>
        <vt:i4>262221</vt:i4>
      </vt:variant>
      <vt:variant>
        <vt:i4>114</vt:i4>
      </vt:variant>
      <vt:variant>
        <vt:i4>0</vt:i4>
      </vt:variant>
      <vt:variant>
        <vt:i4>5</vt:i4>
      </vt:variant>
      <vt:variant>
        <vt:lpwstr>http://www.nevo.co.il/law/74274/21.c</vt:lpwstr>
      </vt:variant>
      <vt:variant>
        <vt:lpwstr/>
      </vt:variant>
      <vt:variant>
        <vt:i4>8323175</vt:i4>
      </vt:variant>
      <vt:variant>
        <vt:i4>111</vt:i4>
      </vt:variant>
      <vt:variant>
        <vt:i4>0</vt:i4>
      </vt:variant>
      <vt:variant>
        <vt:i4>5</vt:i4>
      </vt:variant>
      <vt:variant>
        <vt:lpwstr>http://www.nevo.co.il/law/5227</vt:lpwstr>
      </vt:variant>
      <vt:variant>
        <vt:lpwstr/>
      </vt:variant>
      <vt:variant>
        <vt:i4>6750330</vt:i4>
      </vt:variant>
      <vt:variant>
        <vt:i4>108</vt:i4>
      </vt:variant>
      <vt:variant>
        <vt:i4>0</vt:i4>
      </vt:variant>
      <vt:variant>
        <vt:i4>5</vt:i4>
      </vt:variant>
      <vt:variant>
        <vt:lpwstr>http://www.nevo.co.il/law/5227/62.8</vt:lpwstr>
      </vt:variant>
      <vt:variant>
        <vt:lpwstr/>
      </vt:variant>
      <vt:variant>
        <vt:i4>7929957</vt:i4>
      </vt:variant>
      <vt:variant>
        <vt:i4>105</vt:i4>
      </vt:variant>
      <vt:variant>
        <vt:i4>0</vt:i4>
      </vt:variant>
      <vt:variant>
        <vt:i4>5</vt:i4>
      </vt:variant>
      <vt:variant>
        <vt:lpwstr>http://www.nevo.co.il/law/74274</vt:lpwstr>
      </vt:variant>
      <vt:variant>
        <vt:lpwstr/>
      </vt:variant>
      <vt:variant>
        <vt:i4>327757</vt:i4>
      </vt:variant>
      <vt:variant>
        <vt:i4>102</vt:i4>
      </vt:variant>
      <vt:variant>
        <vt:i4>0</vt:i4>
      </vt:variant>
      <vt:variant>
        <vt:i4>5</vt:i4>
      </vt:variant>
      <vt:variant>
        <vt:lpwstr>http://www.nevo.co.il/law/74274/22.a</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3539064</vt:i4>
      </vt:variant>
      <vt:variant>
        <vt:i4>90</vt:i4>
      </vt:variant>
      <vt:variant>
        <vt:i4>0</vt:i4>
      </vt:variant>
      <vt:variant>
        <vt:i4>5</vt:i4>
      </vt:variant>
      <vt:variant>
        <vt:lpwstr>http://www.nevo.co.il/case/23392658</vt:lpwstr>
      </vt:variant>
      <vt:variant>
        <vt:lpwstr/>
      </vt:variant>
      <vt:variant>
        <vt:i4>3145844</vt:i4>
      </vt:variant>
      <vt:variant>
        <vt:i4>87</vt:i4>
      </vt:variant>
      <vt:variant>
        <vt:i4>0</vt:i4>
      </vt:variant>
      <vt:variant>
        <vt:i4>5</vt:i4>
      </vt:variant>
      <vt:variant>
        <vt:lpwstr>http://www.nevo.co.il/case/20590970</vt:lpwstr>
      </vt:variant>
      <vt:variant>
        <vt:lpwstr/>
      </vt:variant>
      <vt:variant>
        <vt:i4>3473533</vt:i4>
      </vt:variant>
      <vt:variant>
        <vt:i4>84</vt:i4>
      </vt:variant>
      <vt:variant>
        <vt:i4>0</vt:i4>
      </vt:variant>
      <vt:variant>
        <vt:i4>5</vt:i4>
      </vt:variant>
      <vt:variant>
        <vt:lpwstr>http://www.nevo.co.il/case/20817889</vt:lpwstr>
      </vt:variant>
      <vt:variant>
        <vt:lpwstr/>
      </vt:variant>
      <vt:variant>
        <vt:i4>3342458</vt:i4>
      </vt:variant>
      <vt:variant>
        <vt:i4>81</vt:i4>
      </vt:variant>
      <vt:variant>
        <vt:i4>0</vt:i4>
      </vt:variant>
      <vt:variant>
        <vt:i4>5</vt:i4>
      </vt:variant>
      <vt:variant>
        <vt:lpwstr>http://www.nevo.co.il/case/18105668</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6750330</vt:i4>
      </vt:variant>
      <vt:variant>
        <vt:i4>48</vt:i4>
      </vt:variant>
      <vt:variant>
        <vt:i4>0</vt:i4>
      </vt:variant>
      <vt:variant>
        <vt:i4>5</vt:i4>
      </vt:variant>
      <vt:variant>
        <vt:lpwstr>http://www.nevo.co.il/law/5227/62.8</vt:lpwstr>
      </vt:variant>
      <vt:variant>
        <vt:lpwstr/>
      </vt:variant>
      <vt:variant>
        <vt:i4>6750330</vt:i4>
      </vt:variant>
      <vt:variant>
        <vt:i4>45</vt:i4>
      </vt:variant>
      <vt:variant>
        <vt:i4>0</vt:i4>
      </vt:variant>
      <vt:variant>
        <vt:i4>5</vt:i4>
      </vt:variant>
      <vt:variant>
        <vt:lpwstr>http://www.nevo.co.il/law/5227/62.2</vt:lpwstr>
      </vt:variant>
      <vt:variant>
        <vt:lpwstr/>
      </vt:variant>
      <vt:variant>
        <vt:i4>6422640</vt:i4>
      </vt:variant>
      <vt:variant>
        <vt:i4>42</vt:i4>
      </vt:variant>
      <vt:variant>
        <vt:i4>0</vt:i4>
      </vt:variant>
      <vt:variant>
        <vt:i4>5</vt:i4>
      </vt:variant>
      <vt:variant>
        <vt:lpwstr>http://www.nevo.co.il/law/5227/38.2</vt:lpwstr>
      </vt:variant>
      <vt:variant>
        <vt:lpwstr/>
      </vt:variant>
      <vt:variant>
        <vt:i4>8323175</vt:i4>
      </vt:variant>
      <vt:variant>
        <vt:i4>39</vt:i4>
      </vt:variant>
      <vt:variant>
        <vt:i4>0</vt:i4>
      </vt:variant>
      <vt:variant>
        <vt:i4>5</vt:i4>
      </vt:variant>
      <vt:variant>
        <vt:lpwstr>http://www.nevo.co.il/law/5227</vt:lpwstr>
      </vt:variant>
      <vt:variant>
        <vt:lpwstr/>
      </vt:variant>
      <vt:variant>
        <vt:i4>327757</vt:i4>
      </vt:variant>
      <vt:variant>
        <vt:i4>36</vt:i4>
      </vt:variant>
      <vt:variant>
        <vt:i4>0</vt:i4>
      </vt:variant>
      <vt:variant>
        <vt:i4>5</vt:i4>
      </vt:variant>
      <vt:variant>
        <vt:lpwstr>http://www.nevo.co.il/law/74274/22.a</vt:lpwstr>
      </vt:variant>
      <vt:variant>
        <vt:lpwstr/>
      </vt:variant>
      <vt:variant>
        <vt:i4>262221</vt:i4>
      </vt:variant>
      <vt:variant>
        <vt:i4>33</vt:i4>
      </vt:variant>
      <vt:variant>
        <vt:i4>0</vt:i4>
      </vt:variant>
      <vt:variant>
        <vt:i4>5</vt:i4>
      </vt:variant>
      <vt:variant>
        <vt:lpwstr>http://www.nevo.co.il/law/74274/21.c</vt:lpwstr>
      </vt:variant>
      <vt:variant>
        <vt:lpwstr/>
      </vt:variant>
      <vt:variant>
        <vt:i4>7929957</vt:i4>
      </vt:variant>
      <vt:variant>
        <vt:i4>30</vt:i4>
      </vt:variant>
      <vt:variant>
        <vt:i4>0</vt:i4>
      </vt:variant>
      <vt:variant>
        <vt:i4>5</vt:i4>
      </vt:variant>
      <vt:variant>
        <vt:lpwstr>http://www.nevo.co.il/law/74274</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5177426</vt:i4>
      </vt:variant>
      <vt:variant>
        <vt:i4>24</vt:i4>
      </vt:variant>
      <vt:variant>
        <vt:i4>0</vt:i4>
      </vt:variant>
      <vt:variant>
        <vt:i4>5</vt:i4>
      </vt:variant>
      <vt:variant>
        <vt:lpwstr>http://www.nevo.co.il/law/70301/245.a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5578</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גולן אבראהים</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20200608</vt:lpwstr>
  </property>
  <property fmtid="{D5CDD505-2E9C-101B-9397-08002B2CF9AE}" pid="13" name="TYPE_N_DATE">
    <vt:lpwstr>39020200608</vt:lpwstr>
  </property>
  <property fmtid="{D5CDD505-2E9C-101B-9397-08002B2CF9AE}" pid="14" name="CASESLISTTMP1">
    <vt:lpwstr>6243627;10443017;18105668;20817889;20590970;23392658;25292360</vt:lpwstr>
  </property>
  <property fmtid="{D5CDD505-2E9C-101B-9397-08002B2CF9AE}" pid="15" name="CASENOTES1">
    <vt:lpwstr>ProcID=174&amp;PartA=7124&amp;PartC=06</vt:lpwstr>
  </property>
  <property fmtid="{D5CDD505-2E9C-101B-9397-08002B2CF9AE}" pid="16" name="WORDNUMPAGES">
    <vt:lpwstr>8</vt:lpwstr>
  </property>
  <property fmtid="{D5CDD505-2E9C-101B-9397-08002B2CF9AE}" pid="17" name="TYPE_ABS_DATE">
    <vt:lpwstr>390020200608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70301/144.b:3;040b;040c;040i;144.a;029:2;275;245.a;144:2</vt:lpwstr>
  </property>
  <property fmtid="{D5CDD505-2E9C-101B-9397-08002B2CF9AE}" pid="38" name="LAWLISTTMP2">
    <vt:lpwstr>74274/022.a;021.c</vt:lpwstr>
  </property>
  <property fmtid="{D5CDD505-2E9C-101B-9397-08002B2CF9AE}" pid="39" name="LAWLISTTMP3">
    <vt:lpwstr>5227/062.8;062.2;038.2</vt:lpwstr>
  </property>
</Properties>
</file>