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8"/>
        <w:gridCol w:w="3673"/>
      </w:tblGrid>
      <w:tr w:rsidR="00AC4E92" w:rsidRPr="00213115" w14:paraId="656A4306" w14:textId="77777777" w:rsidTr="006C06CA">
        <w:trPr>
          <w:trHeight w:hRule="exact" w:val="418"/>
          <w:jc w:val="center"/>
        </w:trPr>
        <w:tc>
          <w:tcPr>
            <w:tcW w:w="8721" w:type="dxa"/>
            <w:gridSpan w:val="2"/>
          </w:tcPr>
          <w:p w14:paraId="03EE3B6C" w14:textId="77777777" w:rsidR="00AC4E92" w:rsidRPr="00213115" w:rsidRDefault="00AC4E92" w:rsidP="00A66C73">
            <w:pPr>
              <w:pStyle w:val="a3"/>
              <w:jc w:val="center"/>
              <w:rPr>
                <w:rFonts w:ascii="Tahoma" w:hAnsi="Tahoma"/>
                <w:color w:val="000080"/>
                <w:sz w:val="28"/>
                <w:szCs w:val="28"/>
                <w:rtl/>
              </w:rPr>
            </w:pPr>
            <w:bookmarkStart w:id="0" w:name="LastJudge"/>
            <w:r w:rsidRPr="00213115">
              <w:rPr>
                <w:rFonts w:ascii="Tahoma" w:hAnsi="Tahoma" w:hint="cs"/>
                <w:b/>
                <w:bCs/>
                <w:color w:val="000080"/>
                <w:sz w:val="28"/>
                <w:szCs w:val="28"/>
                <w:rtl/>
              </w:rPr>
              <w:t>בתי משפט</w:t>
            </w:r>
          </w:p>
        </w:tc>
      </w:tr>
      <w:tr w:rsidR="00AC4E92" w:rsidRPr="00213115" w14:paraId="263408D6" w14:textId="77777777" w:rsidTr="006C06CA">
        <w:trPr>
          <w:trHeight w:val="337"/>
          <w:jc w:val="center"/>
        </w:trPr>
        <w:tc>
          <w:tcPr>
            <w:tcW w:w="5048" w:type="dxa"/>
          </w:tcPr>
          <w:p w14:paraId="389A1E23" w14:textId="77777777" w:rsidR="00AC4E92" w:rsidRPr="00213115" w:rsidRDefault="00AC4E92" w:rsidP="00A66C73">
            <w:pPr>
              <w:pStyle w:val="a3"/>
              <w:rPr>
                <w:b/>
                <w:bCs/>
                <w:rtl/>
              </w:rPr>
            </w:pPr>
            <w:r w:rsidRPr="00213115">
              <w:rPr>
                <w:rFonts w:hint="cs"/>
                <w:b/>
                <w:bCs/>
                <w:rtl/>
              </w:rPr>
              <w:t>בית המשפט המחוזי ירושלים</w:t>
            </w:r>
          </w:p>
          <w:p w14:paraId="0B830035" w14:textId="77777777" w:rsidR="00AC4E92" w:rsidRPr="00213115" w:rsidRDefault="00AC4E92" w:rsidP="00A66C73">
            <w:pPr>
              <w:pStyle w:val="a3"/>
              <w:rPr>
                <w:rFonts w:cs="FrankRuehl"/>
                <w:sz w:val="28"/>
                <w:szCs w:val="28"/>
                <w:rtl/>
              </w:rPr>
            </w:pPr>
          </w:p>
        </w:tc>
        <w:tc>
          <w:tcPr>
            <w:tcW w:w="3673" w:type="dxa"/>
          </w:tcPr>
          <w:p w14:paraId="3BAB9C6A" w14:textId="77777777" w:rsidR="00AC4E92" w:rsidRPr="00213115" w:rsidRDefault="00AC4E92" w:rsidP="00A66C73">
            <w:pPr>
              <w:pStyle w:val="a3"/>
              <w:jc w:val="right"/>
              <w:rPr>
                <w:rtl/>
              </w:rPr>
            </w:pPr>
            <w:r w:rsidRPr="00213115">
              <w:rPr>
                <w:b/>
                <w:bCs/>
                <w:rtl/>
              </w:rPr>
              <w:t>ת"פ</w:t>
            </w:r>
            <w:r w:rsidRPr="00213115">
              <w:rPr>
                <w:rFonts w:hint="cs"/>
                <w:b/>
                <w:bCs/>
                <w:rtl/>
              </w:rPr>
              <w:t xml:space="preserve"> </w:t>
            </w:r>
            <w:r w:rsidRPr="00213115">
              <w:rPr>
                <w:b/>
                <w:bCs/>
                <w:rtl/>
              </w:rPr>
              <w:t>68368-12-19</w:t>
            </w:r>
            <w:r w:rsidRPr="00213115">
              <w:rPr>
                <w:rFonts w:hint="cs"/>
                <w:b/>
                <w:bCs/>
                <w:rtl/>
              </w:rPr>
              <w:t xml:space="preserve"> </w:t>
            </w:r>
          </w:p>
          <w:p w14:paraId="419C59F6" w14:textId="77777777" w:rsidR="00AC4E92" w:rsidRPr="00213115" w:rsidRDefault="00AC4E92" w:rsidP="00A66C73">
            <w:pPr>
              <w:pStyle w:val="a3"/>
              <w:jc w:val="right"/>
              <w:rPr>
                <w:b/>
                <w:bCs/>
                <w:rtl/>
              </w:rPr>
            </w:pPr>
          </w:p>
        </w:tc>
      </w:tr>
      <w:tr w:rsidR="00AC4E92" w:rsidRPr="00213115" w14:paraId="35FFC783" w14:textId="77777777" w:rsidTr="006C06CA">
        <w:trPr>
          <w:trHeight w:val="337"/>
          <w:jc w:val="center"/>
        </w:trPr>
        <w:tc>
          <w:tcPr>
            <w:tcW w:w="5048" w:type="dxa"/>
          </w:tcPr>
          <w:p w14:paraId="3543C4BF" w14:textId="77777777" w:rsidR="00AC4E92" w:rsidRPr="00213115" w:rsidRDefault="00AC4E92" w:rsidP="00A66C73">
            <w:pPr>
              <w:pStyle w:val="a3"/>
              <w:rPr>
                <w:b/>
                <w:bCs/>
                <w:rtl/>
              </w:rPr>
            </w:pPr>
            <w:r w:rsidRPr="00213115">
              <w:rPr>
                <w:rFonts w:hint="cs"/>
                <w:b/>
                <w:bCs/>
                <w:rtl/>
              </w:rPr>
              <w:t>לפני כב' השופטת רבקה פרידמן-פלדמן</w:t>
            </w:r>
          </w:p>
        </w:tc>
        <w:tc>
          <w:tcPr>
            <w:tcW w:w="3673" w:type="dxa"/>
          </w:tcPr>
          <w:p w14:paraId="03DFA669" w14:textId="77777777" w:rsidR="00AC4E92" w:rsidRPr="00213115" w:rsidRDefault="00AC4E92" w:rsidP="00A66C73">
            <w:pPr>
              <w:pStyle w:val="a3"/>
              <w:jc w:val="right"/>
              <w:rPr>
                <w:b/>
                <w:bCs/>
                <w:rtl/>
              </w:rPr>
            </w:pPr>
            <w:r w:rsidRPr="00213115">
              <w:rPr>
                <w:b/>
                <w:bCs/>
                <w:rtl/>
              </w:rPr>
              <w:t>1</w:t>
            </w:r>
            <w:r w:rsidRPr="00213115">
              <w:rPr>
                <w:rFonts w:hint="cs"/>
                <w:b/>
                <w:bCs/>
                <w:rtl/>
              </w:rPr>
              <w:t>9</w:t>
            </w:r>
            <w:r w:rsidRPr="00213115">
              <w:rPr>
                <w:b/>
                <w:bCs/>
                <w:rtl/>
              </w:rPr>
              <w:t xml:space="preserve"> נובמבר 2020</w:t>
            </w:r>
          </w:p>
        </w:tc>
      </w:tr>
    </w:tbl>
    <w:p w14:paraId="3095BD5D" w14:textId="77777777" w:rsidR="00AC4E92" w:rsidRPr="00213115" w:rsidRDefault="00AC4E92" w:rsidP="00AC4E92">
      <w:pPr>
        <w:pStyle w:val="a3"/>
        <w:rPr>
          <w:rtl/>
        </w:rPr>
      </w:pPr>
      <w:r w:rsidRPr="00213115">
        <w:rPr>
          <w:rFonts w:hint="cs"/>
          <w:rtl/>
        </w:rPr>
        <w:t xml:space="preserve"> </w:t>
      </w:r>
    </w:p>
    <w:p w14:paraId="7B8E6B47" w14:textId="77777777" w:rsidR="00AC4E92" w:rsidRPr="00213115" w:rsidRDefault="00AC4E92" w:rsidP="00AC4E92">
      <w:pPr>
        <w:pStyle w:val="a3"/>
      </w:pPr>
      <w:r w:rsidRPr="00213115">
        <w:rPr>
          <w:rFonts w:cs="Times New Roman" w:hint="cs"/>
          <w:b/>
          <w:bCs/>
          <w:sz w:val="26"/>
          <w:szCs w:val="28"/>
          <w:rtl/>
        </w:rPr>
        <w:t xml:space="preserve"> </w:t>
      </w:r>
    </w:p>
    <w:p w14:paraId="21B68279" w14:textId="77777777" w:rsidR="00AC4E92" w:rsidRPr="00213115" w:rsidRDefault="00AC4E92" w:rsidP="00AC4E92">
      <w:pPr>
        <w:rPr>
          <w:rtl/>
        </w:rPr>
      </w:pPr>
    </w:p>
    <w:p w14:paraId="71B82336" w14:textId="77777777" w:rsidR="00AC4E92" w:rsidRPr="00213115" w:rsidRDefault="00AC4E92" w:rsidP="00AC4E9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AC4E92" w:rsidRPr="00213115" w14:paraId="45997E84" w14:textId="77777777" w:rsidTr="00AC4E92">
        <w:trPr>
          <w:trHeight w:val="355"/>
          <w:jc w:val="center"/>
        </w:trPr>
        <w:tc>
          <w:tcPr>
            <w:tcW w:w="923" w:type="dxa"/>
            <w:tcBorders>
              <w:top w:val="nil"/>
              <w:left w:val="nil"/>
              <w:bottom w:val="nil"/>
              <w:right w:val="nil"/>
            </w:tcBorders>
            <w:shd w:val="clear" w:color="auto" w:fill="auto"/>
          </w:tcPr>
          <w:p w14:paraId="402BC4DB" w14:textId="77777777" w:rsidR="00AC4E92" w:rsidRPr="00213115" w:rsidRDefault="00AC4E92" w:rsidP="00AC4E92">
            <w:pPr>
              <w:jc w:val="both"/>
              <w:rPr>
                <w:rFonts w:ascii="Arial" w:hAnsi="Arial"/>
                <w:b/>
                <w:bCs/>
              </w:rPr>
            </w:pPr>
            <w:bookmarkStart w:id="1" w:name="FirstAppellant"/>
            <w:r w:rsidRPr="00213115">
              <w:rPr>
                <w:rFonts w:ascii="Arial" w:hAnsi="Arial" w:hint="cs"/>
                <w:b/>
                <w:bCs/>
                <w:rtl/>
              </w:rPr>
              <w:t>בעניין:</w:t>
            </w:r>
          </w:p>
        </w:tc>
        <w:tc>
          <w:tcPr>
            <w:tcW w:w="5220" w:type="dxa"/>
            <w:tcBorders>
              <w:top w:val="nil"/>
              <w:left w:val="nil"/>
              <w:bottom w:val="nil"/>
              <w:right w:val="nil"/>
            </w:tcBorders>
            <w:shd w:val="clear" w:color="auto" w:fill="auto"/>
          </w:tcPr>
          <w:p w14:paraId="6A2BD14F" w14:textId="77777777" w:rsidR="00AC4E92" w:rsidRPr="00213115" w:rsidRDefault="00AC4E92" w:rsidP="00A66C73">
            <w:pPr>
              <w:rPr>
                <w:b/>
                <w:bCs/>
              </w:rPr>
            </w:pPr>
            <w:r w:rsidRPr="00213115">
              <w:rPr>
                <w:rFonts w:ascii="Arial" w:hAnsi="Arial"/>
                <w:b/>
                <w:bCs/>
                <w:rtl/>
              </w:rPr>
              <w:t>מדינת ישראל</w:t>
            </w:r>
          </w:p>
        </w:tc>
        <w:tc>
          <w:tcPr>
            <w:tcW w:w="2677" w:type="dxa"/>
            <w:tcBorders>
              <w:top w:val="nil"/>
              <w:left w:val="nil"/>
              <w:bottom w:val="nil"/>
              <w:right w:val="nil"/>
            </w:tcBorders>
            <w:shd w:val="clear" w:color="auto" w:fill="auto"/>
          </w:tcPr>
          <w:p w14:paraId="2E09B60B" w14:textId="77777777" w:rsidR="00AC4E92" w:rsidRPr="00213115" w:rsidRDefault="00AC4E92" w:rsidP="00AC4E92">
            <w:pPr>
              <w:jc w:val="both"/>
              <w:rPr>
                <w:rFonts w:ascii="Arial" w:hAnsi="Arial"/>
                <w:b/>
                <w:bCs/>
              </w:rPr>
            </w:pPr>
          </w:p>
        </w:tc>
      </w:tr>
      <w:bookmarkEnd w:id="1"/>
      <w:tr w:rsidR="00AC4E92" w:rsidRPr="00213115" w14:paraId="245F9C2C" w14:textId="77777777" w:rsidTr="00AC4E92">
        <w:trPr>
          <w:trHeight w:val="355"/>
          <w:jc w:val="center"/>
        </w:trPr>
        <w:tc>
          <w:tcPr>
            <w:tcW w:w="923" w:type="dxa"/>
            <w:tcBorders>
              <w:top w:val="nil"/>
              <w:left w:val="nil"/>
              <w:bottom w:val="nil"/>
              <w:right w:val="nil"/>
            </w:tcBorders>
            <w:shd w:val="clear" w:color="auto" w:fill="auto"/>
          </w:tcPr>
          <w:p w14:paraId="2C976279" w14:textId="77777777" w:rsidR="00AC4E92" w:rsidRPr="00213115" w:rsidRDefault="00AC4E92" w:rsidP="00AC4E92">
            <w:pPr>
              <w:jc w:val="both"/>
              <w:rPr>
                <w:rFonts w:ascii="Arial" w:hAnsi="Arial"/>
                <w:b/>
                <w:bCs/>
                <w:rtl/>
              </w:rPr>
            </w:pPr>
          </w:p>
        </w:tc>
        <w:tc>
          <w:tcPr>
            <w:tcW w:w="5220" w:type="dxa"/>
            <w:tcBorders>
              <w:top w:val="nil"/>
              <w:left w:val="nil"/>
              <w:bottom w:val="nil"/>
              <w:right w:val="nil"/>
            </w:tcBorders>
            <w:shd w:val="clear" w:color="auto" w:fill="auto"/>
          </w:tcPr>
          <w:p w14:paraId="46A9919A" w14:textId="77777777" w:rsidR="00AC4E92" w:rsidRPr="00213115" w:rsidRDefault="00AC4E92" w:rsidP="00AC4E92">
            <w:pPr>
              <w:jc w:val="both"/>
              <w:rPr>
                <w:b/>
                <w:bCs/>
                <w:rtl/>
              </w:rPr>
            </w:pPr>
          </w:p>
        </w:tc>
        <w:tc>
          <w:tcPr>
            <w:tcW w:w="2677" w:type="dxa"/>
            <w:tcBorders>
              <w:top w:val="nil"/>
              <w:left w:val="nil"/>
              <w:bottom w:val="nil"/>
              <w:right w:val="nil"/>
            </w:tcBorders>
            <w:shd w:val="clear" w:color="auto" w:fill="auto"/>
          </w:tcPr>
          <w:p w14:paraId="72438C05" w14:textId="77777777" w:rsidR="00AC4E92" w:rsidRPr="00213115" w:rsidRDefault="00AC4E92" w:rsidP="00A66C73">
            <w:pPr>
              <w:rPr>
                <w:rFonts w:ascii="Arial" w:hAnsi="Arial"/>
                <w:b/>
                <w:bCs/>
                <w:rtl/>
              </w:rPr>
            </w:pPr>
            <w:r w:rsidRPr="00213115">
              <w:rPr>
                <w:rFonts w:ascii="Arial" w:hAnsi="Arial" w:hint="cs"/>
                <w:b/>
                <w:bCs/>
                <w:rtl/>
              </w:rPr>
              <w:t>ה</w:t>
            </w:r>
            <w:r w:rsidRPr="00213115">
              <w:rPr>
                <w:rFonts w:ascii="Arial" w:hAnsi="Arial"/>
                <w:b/>
                <w:bCs/>
                <w:rtl/>
              </w:rPr>
              <w:t>מאשימה</w:t>
            </w:r>
          </w:p>
        </w:tc>
      </w:tr>
      <w:tr w:rsidR="00AC4E92" w:rsidRPr="00213115" w14:paraId="06ED3A00" w14:textId="77777777" w:rsidTr="00AC4E92">
        <w:trPr>
          <w:trHeight w:val="355"/>
          <w:jc w:val="center"/>
        </w:trPr>
        <w:tc>
          <w:tcPr>
            <w:tcW w:w="923" w:type="dxa"/>
            <w:tcBorders>
              <w:top w:val="nil"/>
              <w:left w:val="nil"/>
              <w:bottom w:val="nil"/>
              <w:right w:val="nil"/>
            </w:tcBorders>
            <w:shd w:val="clear" w:color="auto" w:fill="auto"/>
          </w:tcPr>
          <w:p w14:paraId="02F6FD4F" w14:textId="77777777" w:rsidR="00AC4E92" w:rsidRPr="00213115" w:rsidRDefault="00AC4E92" w:rsidP="00AC4E9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58607173" w14:textId="77777777" w:rsidR="00AC4E92" w:rsidRPr="00213115" w:rsidRDefault="00AC4E92" w:rsidP="00AC4E92">
            <w:pPr>
              <w:jc w:val="center"/>
              <w:rPr>
                <w:rFonts w:ascii="Arial" w:hAnsi="Arial"/>
                <w:b/>
                <w:bCs/>
              </w:rPr>
            </w:pPr>
            <w:r w:rsidRPr="00213115">
              <w:rPr>
                <w:rFonts w:ascii="Arial" w:hAnsi="Arial"/>
                <w:b/>
                <w:bCs/>
                <w:rtl/>
              </w:rPr>
              <w:t>נ</w:t>
            </w:r>
            <w:r w:rsidRPr="00213115">
              <w:rPr>
                <w:rFonts w:ascii="Arial" w:hAnsi="Arial" w:hint="cs"/>
                <w:b/>
                <w:bCs/>
                <w:rtl/>
              </w:rPr>
              <w:t xml:space="preserve"> </w:t>
            </w:r>
            <w:r w:rsidRPr="00213115">
              <w:rPr>
                <w:rFonts w:ascii="Arial" w:hAnsi="Arial"/>
                <w:b/>
                <w:bCs/>
                <w:rtl/>
              </w:rPr>
              <w:t>ג</w:t>
            </w:r>
            <w:r w:rsidRPr="00213115">
              <w:rPr>
                <w:rFonts w:ascii="Arial" w:hAnsi="Arial" w:hint="cs"/>
                <w:b/>
                <w:bCs/>
                <w:rtl/>
              </w:rPr>
              <w:t xml:space="preserve"> </w:t>
            </w:r>
            <w:r w:rsidRPr="00213115">
              <w:rPr>
                <w:rFonts w:ascii="Arial" w:hAnsi="Arial"/>
                <w:b/>
                <w:bCs/>
                <w:rtl/>
              </w:rPr>
              <w:t>ד</w:t>
            </w:r>
          </w:p>
        </w:tc>
      </w:tr>
      <w:tr w:rsidR="00AC4E92" w:rsidRPr="00213115" w14:paraId="279CC994" w14:textId="77777777" w:rsidTr="00AC4E92">
        <w:trPr>
          <w:trHeight w:val="355"/>
          <w:jc w:val="center"/>
        </w:trPr>
        <w:tc>
          <w:tcPr>
            <w:tcW w:w="923" w:type="dxa"/>
            <w:tcBorders>
              <w:top w:val="nil"/>
              <w:left w:val="nil"/>
              <w:bottom w:val="nil"/>
              <w:right w:val="nil"/>
            </w:tcBorders>
            <w:shd w:val="clear" w:color="auto" w:fill="auto"/>
          </w:tcPr>
          <w:p w14:paraId="55D6C7B9" w14:textId="77777777" w:rsidR="00AC4E92" w:rsidRPr="00213115" w:rsidRDefault="00AC4E92" w:rsidP="00AC4E92">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2BB8E71D" w14:textId="77777777" w:rsidR="00AC4E92" w:rsidRPr="00213115" w:rsidRDefault="00AC4E92" w:rsidP="00AC4E92">
            <w:pPr>
              <w:jc w:val="both"/>
              <w:rPr>
                <w:rtl/>
              </w:rPr>
            </w:pPr>
          </w:p>
          <w:p w14:paraId="6F871461" w14:textId="77777777" w:rsidR="00AC4E92" w:rsidRPr="00213115" w:rsidRDefault="00AC4E92" w:rsidP="00AC4E92">
            <w:pPr>
              <w:jc w:val="both"/>
              <w:rPr>
                <w:rtl/>
              </w:rPr>
            </w:pPr>
            <w:r w:rsidRPr="00213115">
              <w:rPr>
                <w:b/>
                <w:bCs/>
                <w:sz w:val="26"/>
                <w:szCs w:val="26"/>
                <w:rtl/>
              </w:rPr>
              <w:t>מועאז סלאימה (עציר)</w:t>
            </w:r>
          </w:p>
        </w:tc>
        <w:tc>
          <w:tcPr>
            <w:tcW w:w="2677" w:type="dxa"/>
            <w:tcBorders>
              <w:top w:val="nil"/>
              <w:left w:val="nil"/>
              <w:bottom w:val="nil"/>
              <w:right w:val="nil"/>
            </w:tcBorders>
            <w:shd w:val="clear" w:color="auto" w:fill="auto"/>
          </w:tcPr>
          <w:p w14:paraId="2C25CD11" w14:textId="77777777" w:rsidR="00AC4E92" w:rsidRPr="00213115" w:rsidRDefault="00AC4E92" w:rsidP="00A66C73">
            <w:pPr>
              <w:rPr>
                <w:rFonts w:ascii="Arial" w:hAnsi="Arial"/>
                <w:b/>
                <w:bCs/>
                <w:rtl/>
              </w:rPr>
            </w:pPr>
          </w:p>
          <w:p w14:paraId="4138DA85" w14:textId="77777777" w:rsidR="00AC4E92" w:rsidRPr="00213115" w:rsidRDefault="00AC4E92" w:rsidP="00A66C73">
            <w:pPr>
              <w:rPr>
                <w:rFonts w:ascii="Arial" w:hAnsi="Arial"/>
                <w:b/>
                <w:bCs/>
                <w:rtl/>
              </w:rPr>
            </w:pPr>
          </w:p>
          <w:p w14:paraId="3D23F5E3" w14:textId="77777777" w:rsidR="00AC4E92" w:rsidRPr="00213115" w:rsidRDefault="00AC4E92" w:rsidP="00A66C73">
            <w:pPr>
              <w:rPr>
                <w:rFonts w:ascii="Arial" w:hAnsi="Arial"/>
                <w:b/>
                <w:bCs/>
              </w:rPr>
            </w:pPr>
            <w:r w:rsidRPr="00213115">
              <w:rPr>
                <w:rFonts w:ascii="Arial" w:hAnsi="Arial" w:hint="cs"/>
                <w:b/>
                <w:bCs/>
                <w:rtl/>
              </w:rPr>
              <w:t>ה</w:t>
            </w:r>
            <w:r w:rsidRPr="00213115">
              <w:rPr>
                <w:rFonts w:ascii="Arial" w:hAnsi="Arial"/>
                <w:b/>
                <w:bCs/>
                <w:rtl/>
              </w:rPr>
              <w:t>נאשם</w:t>
            </w:r>
          </w:p>
        </w:tc>
      </w:tr>
    </w:tbl>
    <w:p w14:paraId="44EDEA83" w14:textId="77777777" w:rsidR="00AC4E92" w:rsidRPr="00213115" w:rsidRDefault="00AC4E92" w:rsidP="00AC4E92">
      <w:pPr>
        <w:rPr>
          <w:rtl/>
        </w:rPr>
      </w:pPr>
    </w:p>
    <w:p w14:paraId="764A82D2" w14:textId="77777777" w:rsidR="00305DFD" w:rsidRDefault="00305DFD" w:rsidP="00305DFD">
      <w:pPr>
        <w:spacing w:line="360" w:lineRule="auto"/>
        <w:jc w:val="both"/>
        <w:rPr>
          <w:rStyle w:val="ArialFrankRuehl14"/>
          <w:rtl/>
        </w:rPr>
      </w:pPr>
      <w:bookmarkStart w:id="2" w:name="LawTable"/>
      <w:bookmarkEnd w:id="2"/>
    </w:p>
    <w:p w14:paraId="2389AD53" w14:textId="77777777" w:rsidR="00305DFD" w:rsidRPr="00305DFD" w:rsidRDefault="00305DFD" w:rsidP="00305DFD">
      <w:pPr>
        <w:spacing w:before="120" w:after="120" w:line="240" w:lineRule="exact"/>
        <w:ind w:left="283" w:hanging="283"/>
        <w:jc w:val="both"/>
        <w:rPr>
          <w:rStyle w:val="ArialFrankRuehl14"/>
          <w:rFonts w:ascii="FrankRuehl" w:hAnsi="FrankRuehl" w:cs="FrankRuehl"/>
          <w:sz w:val="24"/>
          <w:rtl/>
        </w:rPr>
      </w:pPr>
    </w:p>
    <w:p w14:paraId="73CB0684" w14:textId="77777777" w:rsidR="00305DFD" w:rsidRPr="00305DFD" w:rsidRDefault="00305DFD" w:rsidP="00305DFD">
      <w:pPr>
        <w:spacing w:before="120" w:after="120" w:line="240" w:lineRule="exact"/>
        <w:ind w:left="283" w:hanging="283"/>
        <w:jc w:val="both"/>
        <w:rPr>
          <w:rStyle w:val="ArialFrankRuehl14"/>
          <w:rFonts w:ascii="FrankRuehl" w:hAnsi="FrankRuehl" w:cs="FrankRuehl"/>
          <w:sz w:val="24"/>
          <w:rtl/>
        </w:rPr>
      </w:pPr>
    </w:p>
    <w:p w14:paraId="4EC5ED17" w14:textId="77777777" w:rsidR="00305DFD" w:rsidRPr="00305DFD" w:rsidRDefault="00305DFD" w:rsidP="00305DFD">
      <w:pPr>
        <w:spacing w:before="120" w:after="120" w:line="240" w:lineRule="exact"/>
        <w:ind w:left="283" w:hanging="283"/>
        <w:jc w:val="both"/>
        <w:rPr>
          <w:rStyle w:val="ArialFrankRuehl14"/>
          <w:rFonts w:ascii="FrankRuehl" w:hAnsi="FrankRuehl" w:cs="FrankRuehl"/>
          <w:sz w:val="24"/>
          <w:rtl/>
        </w:rPr>
      </w:pPr>
      <w:r w:rsidRPr="00305DFD">
        <w:rPr>
          <w:rStyle w:val="ArialFrankRuehl14"/>
          <w:rFonts w:ascii="FrankRuehl" w:hAnsi="FrankRuehl" w:cs="FrankRuehl"/>
          <w:sz w:val="24"/>
          <w:rtl/>
        </w:rPr>
        <w:t xml:space="preserve">חקיקה שאוזכרה: </w:t>
      </w:r>
    </w:p>
    <w:p w14:paraId="1A255E01" w14:textId="77777777" w:rsidR="00305DFD" w:rsidRPr="00305DFD" w:rsidRDefault="00305DFD" w:rsidP="00305DFD">
      <w:pPr>
        <w:spacing w:before="120" w:after="120" w:line="240" w:lineRule="exact"/>
        <w:ind w:left="283" w:hanging="283"/>
        <w:jc w:val="both"/>
        <w:rPr>
          <w:rStyle w:val="ArialFrankRuehl14"/>
          <w:rFonts w:ascii="FrankRuehl" w:hAnsi="FrankRuehl" w:cs="FrankRuehl"/>
          <w:sz w:val="24"/>
          <w:rtl/>
        </w:rPr>
      </w:pPr>
      <w:hyperlink r:id="rId7" w:history="1">
        <w:r w:rsidRPr="00305DFD">
          <w:rPr>
            <w:rStyle w:val="ArialFrankRuehl14"/>
            <w:rFonts w:ascii="FrankRuehl" w:hAnsi="FrankRuehl" w:cs="FrankRuehl"/>
            <w:color w:val="0000FF"/>
            <w:sz w:val="24"/>
            <w:rtl/>
          </w:rPr>
          <w:t>חוק העונשין, תשל"ז-1977</w:t>
        </w:r>
      </w:hyperlink>
      <w:r w:rsidRPr="00305DFD">
        <w:rPr>
          <w:rStyle w:val="ArialFrankRuehl14"/>
          <w:rFonts w:ascii="FrankRuehl" w:hAnsi="FrankRuehl" w:cs="FrankRuehl"/>
          <w:sz w:val="24"/>
          <w:rtl/>
        </w:rPr>
        <w:t xml:space="preserve">: סע'  </w:t>
      </w:r>
      <w:hyperlink r:id="rId8" w:history="1">
        <w:r w:rsidRPr="00305DFD">
          <w:rPr>
            <w:rStyle w:val="ArialFrankRuehl14"/>
            <w:rFonts w:ascii="FrankRuehl" w:hAnsi="FrankRuehl" w:cs="FrankRuehl"/>
            <w:color w:val="0000FF"/>
            <w:sz w:val="24"/>
            <w:rtl/>
          </w:rPr>
          <w:t>25</w:t>
        </w:r>
      </w:hyperlink>
      <w:r w:rsidRPr="00305DFD">
        <w:rPr>
          <w:rStyle w:val="ArialFrankRuehl14"/>
          <w:rFonts w:ascii="FrankRuehl" w:hAnsi="FrankRuehl" w:cs="FrankRuehl"/>
          <w:sz w:val="24"/>
          <w:rtl/>
        </w:rPr>
        <w:t xml:space="preserve">, </w:t>
      </w:r>
      <w:hyperlink r:id="rId9" w:history="1">
        <w:r w:rsidRPr="00305DFD">
          <w:rPr>
            <w:rStyle w:val="ArialFrankRuehl14"/>
            <w:rFonts w:ascii="FrankRuehl" w:hAnsi="FrankRuehl" w:cs="FrankRuehl"/>
            <w:color w:val="0000FF"/>
            <w:sz w:val="24"/>
            <w:rtl/>
          </w:rPr>
          <w:t>40ב</w:t>
        </w:r>
      </w:hyperlink>
      <w:r w:rsidRPr="00305DFD">
        <w:rPr>
          <w:rStyle w:val="ArialFrankRuehl14"/>
          <w:rFonts w:ascii="FrankRuehl" w:hAnsi="FrankRuehl" w:cs="FrankRuehl"/>
          <w:sz w:val="24"/>
          <w:rtl/>
        </w:rPr>
        <w:t xml:space="preserve">, </w:t>
      </w:r>
      <w:hyperlink r:id="rId10" w:history="1">
        <w:r w:rsidRPr="00305DFD">
          <w:rPr>
            <w:rStyle w:val="ArialFrankRuehl14"/>
            <w:rFonts w:ascii="FrankRuehl" w:hAnsi="FrankRuehl" w:cs="FrankRuehl"/>
            <w:color w:val="0000FF"/>
            <w:sz w:val="24"/>
            <w:rtl/>
          </w:rPr>
          <w:t>40ג</w:t>
        </w:r>
      </w:hyperlink>
      <w:r w:rsidRPr="00305DFD">
        <w:rPr>
          <w:rStyle w:val="ArialFrankRuehl14"/>
          <w:rFonts w:ascii="FrankRuehl" w:hAnsi="FrankRuehl" w:cs="FrankRuehl"/>
          <w:sz w:val="24"/>
          <w:rtl/>
        </w:rPr>
        <w:t xml:space="preserve">, </w:t>
      </w:r>
      <w:hyperlink r:id="rId11" w:history="1">
        <w:r w:rsidRPr="00305DFD">
          <w:rPr>
            <w:rStyle w:val="ArialFrankRuehl14"/>
            <w:rFonts w:ascii="FrankRuehl" w:hAnsi="FrankRuehl" w:cs="FrankRuehl"/>
            <w:color w:val="0000FF"/>
            <w:sz w:val="24"/>
            <w:rtl/>
          </w:rPr>
          <w:t>144(ב)</w:t>
        </w:r>
      </w:hyperlink>
      <w:r w:rsidRPr="00305DFD">
        <w:rPr>
          <w:rStyle w:val="ArialFrankRuehl14"/>
          <w:rFonts w:ascii="FrankRuehl" w:hAnsi="FrankRuehl" w:cs="FrankRuehl"/>
          <w:sz w:val="24"/>
          <w:rtl/>
        </w:rPr>
        <w:t xml:space="preserve">, </w:t>
      </w:r>
      <w:hyperlink r:id="rId12" w:history="1">
        <w:r w:rsidRPr="00305DFD">
          <w:rPr>
            <w:rStyle w:val="ArialFrankRuehl14"/>
            <w:rFonts w:ascii="FrankRuehl" w:hAnsi="FrankRuehl" w:cs="FrankRuehl"/>
            <w:color w:val="0000FF"/>
            <w:sz w:val="24"/>
            <w:rtl/>
          </w:rPr>
          <w:t>144(ב2)</w:t>
        </w:r>
      </w:hyperlink>
      <w:r w:rsidRPr="00305DFD">
        <w:rPr>
          <w:rStyle w:val="ArialFrankRuehl14"/>
          <w:rFonts w:ascii="FrankRuehl" w:hAnsi="FrankRuehl" w:cs="FrankRuehl"/>
          <w:sz w:val="24"/>
          <w:rtl/>
        </w:rPr>
        <w:t xml:space="preserve">, </w:t>
      </w:r>
      <w:hyperlink r:id="rId13" w:history="1">
        <w:r w:rsidRPr="00305DFD">
          <w:rPr>
            <w:rStyle w:val="ArialFrankRuehl14"/>
            <w:rFonts w:ascii="FrankRuehl" w:hAnsi="FrankRuehl" w:cs="FrankRuehl"/>
            <w:color w:val="0000FF"/>
            <w:sz w:val="24"/>
            <w:rtl/>
          </w:rPr>
          <w:t>144ו</w:t>
        </w:r>
      </w:hyperlink>
      <w:r w:rsidRPr="00305DFD">
        <w:rPr>
          <w:rStyle w:val="ArialFrankRuehl14"/>
          <w:rFonts w:ascii="FrankRuehl" w:hAnsi="FrankRuehl" w:cs="FrankRuehl"/>
          <w:sz w:val="24"/>
          <w:rtl/>
        </w:rPr>
        <w:t xml:space="preserve">, </w:t>
      </w:r>
      <w:hyperlink r:id="rId14" w:history="1">
        <w:r w:rsidRPr="00305DFD">
          <w:rPr>
            <w:rStyle w:val="ArialFrankRuehl14"/>
            <w:rFonts w:ascii="FrankRuehl" w:hAnsi="FrankRuehl" w:cs="FrankRuehl"/>
            <w:color w:val="0000FF"/>
            <w:sz w:val="24"/>
            <w:rtl/>
          </w:rPr>
          <w:t>379</w:t>
        </w:r>
      </w:hyperlink>
      <w:r w:rsidRPr="00305DFD">
        <w:rPr>
          <w:rStyle w:val="ArialFrankRuehl14"/>
          <w:rFonts w:ascii="FrankRuehl" w:hAnsi="FrankRuehl" w:cs="FrankRuehl"/>
          <w:sz w:val="24"/>
          <w:rtl/>
        </w:rPr>
        <w:t xml:space="preserve">, </w:t>
      </w:r>
      <w:hyperlink r:id="rId15" w:history="1">
        <w:r w:rsidRPr="00305DFD">
          <w:rPr>
            <w:rStyle w:val="ArialFrankRuehl14"/>
            <w:rFonts w:ascii="FrankRuehl" w:hAnsi="FrankRuehl" w:cs="FrankRuehl"/>
            <w:color w:val="0000FF"/>
            <w:sz w:val="24"/>
            <w:rtl/>
          </w:rPr>
          <w:t>40יא</w:t>
        </w:r>
      </w:hyperlink>
      <w:r w:rsidRPr="00305DFD">
        <w:rPr>
          <w:rStyle w:val="ArialFrankRuehl14"/>
          <w:rFonts w:ascii="FrankRuehl" w:hAnsi="FrankRuehl" w:cs="FrankRuehl"/>
          <w:sz w:val="24"/>
          <w:rtl/>
        </w:rPr>
        <w:t xml:space="preserve">, </w:t>
      </w:r>
      <w:hyperlink r:id="rId16" w:history="1">
        <w:r w:rsidRPr="00305DFD">
          <w:rPr>
            <w:rStyle w:val="ArialFrankRuehl14"/>
            <w:rFonts w:ascii="FrankRuehl" w:hAnsi="FrankRuehl" w:cs="FrankRuehl"/>
            <w:color w:val="0000FF"/>
            <w:sz w:val="24"/>
            <w:rtl/>
          </w:rPr>
          <w:t>448(א)</w:t>
        </w:r>
      </w:hyperlink>
    </w:p>
    <w:p w14:paraId="26940D41" w14:textId="77777777" w:rsidR="00305DFD" w:rsidRPr="00305DFD" w:rsidRDefault="00305DFD" w:rsidP="00305DFD">
      <w:pPr>
        <w:spacing w:line="360" w:lineRule="auto"/>
        <w:jc w:val="both"/>
        <w:rPr>
          <w:rStyle w:val="ArialFrankRuehl14"/>
          <w:rtl/>
        </w:rPr>
      </w:pPr>
      <w:bookmarkStart w:id="3" w:name="LawTable_End"/>
      <w:bookmarkEnd w:id="3"/>
    </w:p>
    <w:p w14:paraId="18CD35A1" w14:textId="77777777" w:rsidR="00AC4E92" w:rsidRPr="006C06CA" w:rsidRDefault="00AC4E92" w:rsidP="006C06CA">
      <w:pPr>
        <w:spacing w:line="360" w:lineRule="auto"/>
        <w:jc w:val="both"/>
        <w:rPr>
          <w:rStyle w:val="ArialFrankRuehl1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4E92" w14:paraId="5BEE4546" w14:textId="77777777" w:rsidTr="00AC4E92">
        <w:trPr>
          <w:trHeight w:val="355"/>
          <w:jc w:val="center"/>
        </w:trPr>
        <w:tc>
          <w:tcPr>
            <w:tcW w:w="8820" w:type="dxa"/>
            <w:tcBorders>
              <w:top w:val="nil"/>
              <w:left w:val="nil"/>
              <w:bottom w:val="nil"/>
              <w:right w:val="nil"/>
            </w:tcBorders>
            <w:shd w:val="clear" w:color="auto" w:fill="auto"/>
          </w:tcPr>
          <w:p w14:paraId="138F321D" w14:textId="77777777" w:rsidR="00213115" w:rsidRPr="00213115" w:rsidRDefault="00213115" w:rsidP="00213115">
            <w:pPr>
              <w:jc w:val="center"/>
              <w:rPr>
                <w:rFonts w:ascii="Arial" w:hAnsi="Arial"/>
                <w:b/>
                <w:bCs/>
                <w:sz w:val="32"/>
                <w:szCs w:val="32"/>
                <w:u w:val="single"/>
                <w:rtl/>
              </w:rPr>
            </w:pPr>
            <w:bookmarkStart w:id="4" w:name="PsakDin" w:colFirst="0" w:colLast="0"/>
            <w:bookmarkEnd w:id="0"/>
            <w:r w:rsidRPr="00213115">
              <w:rPr>
                <w:rFonts w:ascii="Arial" w:hAnsi="Arial"/>
                <w:b/>
                <w:bCs/>
                <w:sz w:val="32"/>
                <w:szCs w:val="32"/>
                <w:u w:val="single"/>
                <w:rtl/>
              </w:rPr>
              <w:t>גזר דין</w:t>
            </w:r>
          </w:p>
          <w:p w14:paraId="77824717" w14:textId="77777777" w:rsidR="00AC4E92" w:rsidRPr="00213115" w:rsidRDefault="00AC4E92" w:rsidP="00213115">
            <w:pPr>
              <w:jc w:val="center"/>
              <w:rPr>
                <w:rFonts w:ascii="Arial" w:hAnsi="Arial"/>
                <w:bCs/>
                <w:sz w:val="32"/>
                <w:szCs w:val="32"/>
                <w:u w:val="single"/>
                <w:rtl/>
              </w:rPr>
            </w:pPr>
          </w:p>
        </w:tc>
      </w:tr>
      <w:bookmarkEnd w:id="4"/>
    </w:tbl>
    <w:p w14:paraId="5EE47B73" w14:textId="77777777" w:rsidR="00AC4E92" w:rsidRPr="00A65C7C" w:rsidRDefault="00AC4E92" w:rsidP="00AC4E92">
      <w:pPr>
        <w:spacing w:line="360" w:lineRule="auto"/>
        <w:jc w:val="both"/>
        <w:rPr>
          <w:rStyle w:val="ArialFrankRuehl14"/>
          <w:rtl/>
        </w:rPr>
      </w:pPr>
    </w:p>
    <w:p w14:paraId="7E60CFA1" w14:textId="77777777" w:rsidR="00AC4E92" w:rsidRPr="0086125A" w:rsidRDefault="00AC4E92" w:rsidP="00AC4E92">
      <w:pPr>
        <w:spacing w:line="360" w:lineRule="auto"/>
        <w:jc w:val="both"/>
        <w:rPr>
          <w:rFonts w:ascii="David" w:hAnsi="David"/>
          <w:b/>
          <w:bCs/>
          <w:noProof w:val="0"/>
          <w:u w:val="single"/>
          <w:rtl/>
        </w:rPr>
      </w:pPr>
      <w:r w:rsidRPr="0086125A">
        <w:rPr>
          <w:rFonts w:ascii="David" w:hAnsi="David"/>
          <w:b/>
          <w:bCs/>
          <w:noProof w:val="0"/>
          <w:u w:val="single"/>
          <w:rtl/>
        </w:rPr>
        <w:t>עובדות כתב האישום</w:t>
      </w:r>
    </w:p>
    <w:p w14:paraId="630A400F"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bookmarkStart w:id="5" w:name="ABSTRACT_START"/>
      <w:bookmarkEnd w:id="5"/>
      <w:r w:rsidRPr="0086125A">
        <w:rPr>
          <w:rFonts w:ascii="David" w:hAnsi="David"/>
          <w:noProof w:val="0"/>
          <w:rtl/>
        </w:rPr>
        <w:t>הנאשם הורשע, על פי הודאתו בעובדות כתב אישום מתוקן ב</w:t>
      </w:r>
      <w:hyperlink r:id="rId17" w:history="1">
        <w:r w:rsidR="00213115" w:rsidRPr="00213115">
          <w:rPr>
            <w:rFonts w:ascii="David" w:hAnsi="David"/>
            <w:noProof w:val="0"/>
            <w:color w:val="0000FF"/>
            <w:u w:val="single"/>
            <w:rtl/>
          </w:rPr>
          <w:t>ת"פ 68368-12-19</w:t>
        </w:r>
      </w:hyperlink>
      <w:r w:rsidRPr="0086125A">
        <w:rPr>
          <w:rFonts w:ascii="David" w:hAnsi="David"/>
          <w:noProof w:val="0"/>
          <w:rtl/>
        </w:rPr>
        <w:t xml:space="preserve">, במסגרת הסדר טיעון, בעבירות המפורטות להלן: ניסיון הצתה, עבירה לפי </w:t>
      </w:r>
      <w:hyperlink r:id="rId18" w:history="1">
        <w:r w:rsidR="006C06CA" w:rsidRPr="006C06CA">
          <w:rPr>
            <w:rStyle w:val="Hyperlink"/>
            <w:rFonts w:ascii="David" w:hAnsi="David"/>
            <w:noProof w:val="0"/>
            <w:rtl/>
          </w:rPr>
          <w:t>סעיף 448(א)</w:t>
        </w:r>
      </w:hyperlink>
      <w:r w:rsidRPr="0086125A">
        <w:rPr>
          <w:rFonts w:ascii="David" w:hAnsi="David"/>
          <w:noProof w:val="0"/>
          <w:rtl/>
        </w:rPr>
        <w:t xml:space="preserve"> רישא בצירוף </w:t>
      </w:r>
      <w:hyperlink r:id="rId19" w:history="1">
        <w:r w:rsidR="006C06CA" w:rsidRPr="006C06CA">
          <w:rPr>
            <w:rStyle w:val="Hyperlink"/>
            <w:rFonts w:ascii="David" w:hAnsi="David"/>
            <w:noProof w:val="0"/>
            <w:rtl/>
          </w:rPr>
          <w:t>סעיף 25</w:t>
        </w:r>
      </w:hyperlink>
      <w:r w:rsidRPr="0086125A">
        <w:rPr>
          <w:rFonts w:ascii="David" w:hAnsi="David"/>
          <w:noProof w:val="0"/>
          <w:rtl/>
        </w:rPr>
        <w:t xml:space="preserve"> ל</w:t>
      </w:r>
      <w:hyperlink r:id="rId20" w:history="1">
        <w:r w:rsidR="00213115" w:rsidRPr="00213115">
          <w:rPr>
            <w:rFonts w:ascii="David" w:hAnsi="David"/>
            <w:noProof w:val="0"/>
            <w:color w:val="0000FF"/>
            <w:u w:val="single"/>
            <w:rtl/>
          </w:rPr>
          <w:t>חוק העונשין</w:t>
        </w:r>
      </w:hyperlink>
      <w:r w:rsidRPr="0086125A">
        <w:rPr>
          <w:rFonts w:ascii="David" w:hAnsi="David"/>
          <w:noProof w:val="0"/>
          <w:rtl/>
        </w:rPr>
        <w:t xml:space="preserve"> תשל"ז-1977 (להלן: "החוק"); ייצור נשק, עבירה לפי </w:t>
      </w:r>
      <w:hyperlink r:id="rId21" w:history="1">
        <w:r w:rsidR="006C06CA" w:rsidRPr="006C06CA">
          <w:rPr>
            <w:rStyle w:val="Hyperlink"/>
            <w:rFonts w:ascii="David" w:hAnsi="David"/>
            <w:noProof w:val="0"/>
            <w:rtl/>
          </w:rPr>
          <w:t>סעיף 144(ב2)</w:t>
        </w:r>
      </w:hyperlink>
      <w:r w:rsidRPr="0086125A">
        <w:rPr>
          <w:rFonts w:ascii="David" w:hAnsi="David"/>
          <w:noProof w:val="0"/>
          <w:rtl/>
        </w:rPr>
        <w:t xml:space="preserve"> לחוק; ונשיאת נשק, עבירה לפי </w:t>
      </w:r>
      <w:hyperlink r:id="rId22" w:history="1">
        <w:r w:rsidR="006C06CA" w:rsidRPr="006C06CA">
          <w:rPr>
            <w:rStyle w:val="Hyperlink"/>
            <w:rFonts w:ascii="David" w:hAnsi="David"/>
            <w:noProof w:val="0"/>
            <w:rtl/>
          </w:rPr>
          <w:t>סעיף 144(ב)</w:t>
        </w:r>
      </w:hyperlink>
      <w:r w:rsidRPr="0086125A">
        <w:rPr>
          <w:rFonts w:ascii="David" w:hAnsi="David"/>
          <w:noProof w:val="0"/>
          <w:rtl/>
        </w:rPr>
        <w:t xml:space="preserve"> לחוק </w:t>
      </w:r>
      <w:bookmarkStart w:id="6" w:name="ABSTRACT_END"/>
      <w:bookmarkEnd w:id="6"/>
      <w:r w:rsidRPr="0086125A">
        <w:rPr>
          <w:rFonts w:ascii="David" w:hAnsi="David"/>
          <w:noProof w:val="0"/>
          <w:rtl/>
        </w:rPr>
        <w:t xml:space="preserve">(להלן: "האישום הראשון"). </w:t>
      </w:r>
    </w:p>
    <w:p w14:paraId="1B4860EF"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במסגרת הסדר הטיעון, צירף הנאשם </w:t>
      </w:r>
      <w:hyperlink r:id="rId23" w:history="1">
        <w:r w:rsidR="00213115" w:rsidRPr="00213115">
          <w:rPr>
            <w:rFonts w:ascii="David" w:hAnsi="David"/>
            <w:noProof w:val="0"/>
            <w:color w:val="0000FF"/>
            <w:u w:val="single"/>
            <w:rtl/>
          </w:rPr>
          <w:t>ת"פ 12299-11-19</w:t>
        </w:r>
      </w:hyperlink>
      <w:r w:rsidRPr="0086125A">
        <w:rPr>
          <w:rFonts w:ascii="David" w:hAnsi="David"/>
          <w:noProof w:val="0"/>
          <w:rtl/>
        </w:rPr>
        <w:t xml:space="preserve"> של בית משפט השלום בירושלים, והורשע על פי הודאתו בעובדות כתב אישום מתוקן, בעבירה של תקיפה בנסיבות מחמירות מתוך מניע גזעני, לפי </w:t>
      </w:r>
      <w:hyperlink r:id="rId24" w:history="1">
        <w:r w:rsidR="006C06CA" w:rsidRPr="006C06CA">
          <w:rPr>
            <w:rStyle w:val="Hyperlink"/>
            <w:rFonts w:ascii="David" w:hAnsi="David"/>
            <w:noProof w:val="0"/>
            <w:rtl/>
          </w:rPr>
          <w:t>סעיף 379</w:t>
        </w:r>
      </w:hyperlink>
      <w:r w:rsidRPr="0086125A">
        <w:rPr>
          <w:rFonts w:ascii="David" w:hAnsi="David"/>
          <w:noProof w:val="0"/>
          <w:rtl/>
        </w:rPr>
        <w:t xml:space="preserve"> בתוספת </w:t>
      </w:r>
      <w:hyperlink r:id="rId25" w:history="1">
        <w:r w:rsidR="006C06CA" w:rsidRPr="006C06CA">
          <w:rPr>
            <w:rStyle w:val="Hyperlink"/>
            <w:rFonts w:ascii="David" w:hAnsi="David"/>
            <w:noProof w:val="0"/>
            <w:rtl/>
          </w:rPr>
          <w:t>סעיף 144ו</w:t>
        </w:r>
      </w:hyperlink>
      <w:r w:rsidRPr="0086125A">
        <w:rPr>
          <w:rFonts w:ascii="David" w:hAnsi="David"/>
          <w:noProof w:val="0"/>
          <w:rtl/>
        </w:rPr>
        <w:t xml:space="preserve"> לחוק (להלן: "האישום השני"). </w:t>
      </w:r>
    </w:p>
    <w:p w14:paraId="42BB705D" w14:textId="77777777" w:rsidR="00AC4E92" w:rsidRPr="0086125A" w:rsidRDefault="00AC4E92" w:rsidP="00AC4E92">
      <w:pPr>
        <w:spacing w:line="259" w:lineRule="auto"/>
        <w:ind w:left="720"/>
        <w:contextualSpacing/>
        <w:rPr>
          <w:rFonts w:ascii="David" w:hAnsi="David"/>
          <w:noProof w:val="0"/>
          <w:rtl/>
        </w:rPr>
      </w:pPr>
    </w:p>
    <w:p w14:paraId="2BD27AD3"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u w:val="single"/>
          <w:rtl/>
        </w:rPr>
        <w:t>האישום הראשון</w:t>
      </w:r>
    </w:p>
    <w:p w14:paraId="44BEBEBA"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על פי עובדות כתב האישום המתוקן באישום הראשון (</w:t>
      </w:r>
      <w:hyperlink r:id="rId26" w:history="1">
        <w:r w:rsidR="00213115" w:rsidRPr="00213115">
          <w:rPr>
            <w:rFonts w:ascii="David" w:hAnsi="David"/>
            <w:noProof w:val="0"/>
            <w:color w:val="0000FF"/>
            <w:u w:val="single"/>
            <w:rtl/>
          </w:rPr>
          <w:t>ת"פ 68368-12-19</w:t>
        </w:r>
      </w:hyperlink>
      <w:r w:rsidRPr="0086125A">
        <w:rPr>
          <w:rFonts w:ascii="David" w:hAnsi="David"/>
          <w:noProof w:val="0"/>
          <w:rtl/>
        </w:rPr>
        <w:t xml:space="preserve">), בסמוך לביתו של הנאשם, בשכונת ראס אל עמוד בירושלים, מתגוררות משפחות יהודיות בבית מגורים המכונה "בית מוסקוביץ'" (להלן: "הבית"), הנמצא בשכונת מעלה הזיתים. בלילה שבין 7.12.2019 ו-8.12.2019 הבית אוכלס במספר משפחות ובהן מספר רב של ילדים. </w:t>
      </w:r>
    </w:p>
    <w:p w14:paraId="64A7C9BF"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lastRenderedPageBreak/>
        <w:t xml:space="preserve">במועד שאינו ידוע למאשימה, קשר הנאשם, יחד עם אחר, קשר ליידוי בקבוקי תבערה אל עבר הבית, ממניע גזעני ואידיאולוגי, בשל העובדה שדיירי הבית יהודים (להלן: "הקשר"). במסגרת הקשר, ביום 7.12.2019 או במועד סמוך, ייצר הנאשם בקבוק תבערה באמצעות נטילת בקבוק זכוכית ריק, מילויו בדלק מסוג בנזין ותחיבת סמרטוטים בתוכו (להלן: "בקבוק התבערה").  </w:t>
      </w:r>
    </w:p>
    <w:p w14:paraId="13F39EF9"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בלילה שבין 7.12.2019 ו- 8.12.2019, בשעה 00:24 הגיע הנאשם יחד עם האחר, מכיוון "כיכר הסובה", כשהוא נושא בידיו את בקבוק התבערה. הנאשם והאחר נעצרו מאחורי רכב שחנה במקום ושם הצית הנאשם את בקבוק התבערה והאחר הצית שני בקבוקי תבערה נוספים. הנאשם והאחר נטלו את בקבוקי התבערה הבוערים, רצו איתם לעבר הבית ויידו ממרחק של מטרים ספורים את שלושת בקבוקי התבערה לעבר שטח חצר הבית. </w:t>
      </w:r>
    </w:p>
    <w:p w14:paraId="0426703B"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כתוצאה מיידוי הבקבוקים התלקחה אש בחצר הבית וכן בסמוך לרכב שחנה ליד הבית. דיירי הבית הגיעו למקום עם מטפים, כיבו את האש ומנעו ממנה להתפשט אל עבר הבית. </w:t>
      </w:r>
    </w:p>
    <w:p w14:paraId="51AC3CA2" w14:textId="77777777" w:rsidR="00AC4E92" w:rsidRPr="0086125A" w:rsidRDefault="00AC4E92" w:rsidP="00AC4E92">
      <w:pPr>
        <w:spacing w:line="360" w:lineRule="auto"/>
        <w:ind w:left="84"/>
        <w:contextualSpacing/>
        <w:jc w:val="both"/>
        <w:rPr>
          <w:rFonts w:ascii="David" w:hAnsi="David"/>
          <w:noProof w:val="0"/>
        </w:rPr>
      </w:pPr>
    </w:p>
    <w:p w14:paraId="579EEB57"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u w:val="single"/>
          <w:rtl/>
        </w:rPr>
        <w:t>האישום השני</w:t>
      </w:r>
    </w:p>
    <w:p w14:paraId="06B7564E"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על פי עובדות כתב האישום המתוקן באישום השני (</w:t>
      </w:r>
      <w:hyperlink r:id="rId27" w:history="1">
        <w:r w:rsidR="00213115" w:rsidRPr="00213115">
          <w:rPr>
            <w:rFonts w:ascii="David" w:hAnsi="David"/>
            <w:noProof w:val="0"/>
            <w:color w:val="0000FF"/>
            <w:u w:val="single"/>
            <w:rtl/>
          </w:rPr>
          <w:t>ת"פ 12299-11-19</w:t>
        </w:r>
      </w:hyperlink>
      <w:r w:rsidRPr="0086125A">
        <w:rPr>
          <w:rFonts w:ascii="David" w:hAnsi="David"/>
          <w:noProof w:val="0"/>
          <w:rtl/>
        </w:rPr>
        <w:t xml:space="preserve">), ביום 18.1.2019, החל מהשעה 13:30, שוטט הנאשם עם הקטין א.א. (להלן: "הקטין") ברחובות העיר העתיקה. בסביבות השעה 14:30 חלפו הנאשם והקטין על פני "חצר רייסן" בעיר העתיקה, בניין בו מתגוררות משפחות יהודיות. הנאשם הבחין בשלושה דיירים שלהם חזות יהודית, אשר עמדו בכניסה לבניין (להלן: "המתלוננים"), והחליט לרסס לעברם גז פלפל, מתוך שנאה כלפיהם בשל היותם יהודים. הנאשם חזר מעט אחורנית, הוציא מכיסו את גז הפלפל וריסס לעבר המתלוננים, תוך שהוא קורא "יהוד". מיד לאחר מכן עזבו הנאשם והקטין את המקום. </w:t>
      </w:r>
    </w:p>
    <w:p w14:paraId="42769ED1"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כתוצאה מריסוס גז הפלפל לעבר המתלוננים, השתעלו המתלוננים ונגרמה להם צריבה בגרון. </w:t>
      </w:r>
    </w:p>
    <w:p w14:paraId="5BB77F68" w14:textId="77777777" w:rsidR="00AC4E92" w:rsidRPr="0086125A" w:rsidRDefault="00AC4E92" w:rsidP="00AC4E92">
      <w:pPr>
        <w:spacing w:line="360" w:lineRule="auto"/>
        <w:ind w:left="84"/>
        <w:contextualSpacing/>
        <w:jc w:val="both"/>
        <w:rPr>
          <w:rFonts w:ascii="David" w:hAnsi="David"/>
          <w:noProof w:val="0"/>
        </w:rPr>
      </w:pPr>
    </w:p>
    <w:p w14:paraId="299F9D90"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אין הסכמה לעניין העונש במסגרת הסדר הטיעון. </w:t>
      </w:r>
    </w:p>
    <w:p w14:paraId="6B6C5C8D" w14:textId="77777777" w:rsidR="00AC4E92" w:rsidRPr="0086125A" w:rsidRDefault="00AC4E92" w:rsidP="00AC4E92">
      <w:pPr>
        <w:spacing w:line="259" w:lineRule="auto"/>
        <w:ind w:left="720"/>
        <w:contextualSpacing/>
        <w:rPr>
          <w:rFonts w:ascii="David" w:hAnsi="David"/>
          <w:noProof w:val="0"/>
          <w:rtl/>
        </w:rPr>
      </w:pPr>
    </w:p>
    <w:p w14:paraId="372772C0" w14:textId="77777777" w:rsidR="00AC4E92" w:rsidRPr="0086125A" w:rsidRDefault="00AC4E92" w:rsidP="00AC4E92">
      <w:pPr>
        <w:spacing w:line="360" w:lineRule="auto"/>
        <w:jc w:val="both"/>
        <w:rPr>
          <w:rFonts w:ascii="David" w:hAnsi="David"/>
          <w:b/>
          <w:bCs/>
          <w:noProof w:val="0"/>
          <w:u w:val="single"/>
          <w:rtl/>
        </w:rPr>
      </w:pPr>
      <w:r w:rsidRPr="0086125A">
        <w:rPr>
          <w:rFonts w:ascii="David" w:hAnsi="David"/>
          <w:b/>
          <w:bCs/>
          <w:noProof w:val="0"/>
          <w:u w:val="single"/>
          <w:rtl/>
        </w:rPr>
        <w:t>תסקיר שירות המבחן</w:t>
      </w:r>
    </w:p>
    <w:p w14:paraId="7F6A0E62" w14:textId="77777777" w:rsidR="00AC4E92" w:rsidRPr="0086125A" w:rsidRDefault="00AC4E92" w:rsidP="00AC4E92">
      <w:pPr>
        <w:numPr>
          <w:ilvl w:val="0"/>
          <w:numId w:val="1"/>
        </w:numPr>
        <w:spacing w:line="360" w:lineRule="auto"/>
        <w:ind w:left="84" w:firstLine="0"/>
        <w:contextualSpacing/>
        <w:jc w:val="both"/>
        <w:rPr>
          <w:rFonts w:ascii="David" w:hAnsi="David"/>
          <w:b/>
          <w:bCs/>
          <w:noProof w:val="0"/>
          <w:u w:val="single"/>
        </w:rPr>
      </w:pPr>
      <w:r w:rsidRPr="0086125A">
        <w:rPr>
          <w:rFonts w:ascii="David" w:hAnsi="David"/>
          <w:noProof w:val="0"/>
          <w:rtl/>
        </w:rPr>
        <w:t xml:space="preserve">על פי האמור בתסקיר מיום 14.9.2020, המתייחס גם לעבירות שאינן קשורות לתיק זה, הנאשם בן 21, רווק, טרם מעצרו, התגורר עם משפחתו בשכונת ראס אל עמוד ועבד בחברת מזגנים במשך שלוש שנים. הנאשם סיים תשע שנות לימוד. הוא הפסיק את לימודיו בשל מעורבות בפלילים ומתוך צורך לסייע בפרנסת המשפחה. בעבר, כחלק מתנאי צו מבחן ובמסגרת שירות מבחן לנוער, שולב הנאשם למשך שנתיים, ועד שהיה בן 18, בהוסטל לצעירים בסיכון מהמגזר הערבי.  </w:t>
      </w:r>
    </w:p>
    <w:p w14:paraId="22B6AF41"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בעברו של הנאשם שלוש הרשעות קודמות מבית המשפט לנוער בין השנים 2016-2013, בגין תקיפה ושוד. </w:t>
      </w:r>
    </w:p>
    <w:p w14:paraId="556E0895"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לגבי העבירות - הנאשם התייחס באופן מצומצם לעבירות אותן ביצע ולא רצה להעמיק בנושא. הוא טען שלא הקדיש לעבירות מחשבה בעת ביצוען ולא בחן את השלכותיהן. בנוסף, הוא לא ביטא הבנה ואמפתיה בנוגע לנזק שנגרם לנפגעים כתוצאה מביצוע העבירות.</w:t>
      </w:r>
    </w:p>
    <w:p w14:paraId="794C3044"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lastRenderedPageBreak/>
        <w:t xml:space="preserve">צוין כי הנאשם מעורב בפלילים ובעבירות על רקע לאומני מגיל צעיר, ורכש דפוסים עברייניים. בעת מגוריו בהוסטל הוא שולב בטיפול אינטנסיבי והשלים את הטיפול. שירות המבחן התרשם כי לנאשם "קושי בהעמקה ביחס לגורמים העומדים בבסיס התנהגותו ומוטיבציה נמוכה לשיתוף פעולה עם שירותנו". לנאשם דפוסים רצידיוויסטים של התנהגות עוברת חוק, והוא אינו מגלה רתיעה מעבירות גם לאחר עונשים קודמים וטיפול. </w:t>
      </w:r>
    </w:p>
    <w:p w14:paraId="7AE48F5E"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הנאשם לא לקח אחריות על ביצוע העבירות, לא התייחס למניעים לביצוען ולא ביטא אמפתיה כלפי נפגעי העבירה. שירות המבחן התייחס, כגורם סיכוי לשיקום, לגילו הצעיר של הנאשם ולמחויבות שגילה כלפי משפחתו, אך העריך כי קיים אצל הנאשם סיכון גבוה לביצוע עבירות נוספות, ובהעדר אפיק שיקומי לא בא בהמלצה בעניינו. </w:t>
      </w:r>
    </w:p>
    <w:p w14:paraId="2D5D144B" w14:textId="77777777" w:rsidR="00AC4E92" w:rsidRPr="0086125A" w:rsidRDefault="00AC4E92" w:rsidP="00AC4E92">
      <w:pPr>
        <w:spacing w:line="360" w:lineRule="auto"/>
        <w:ind w:left="84"/>
        <w:contextualSpacing/>
        <w:jc w:val="both"/>
        <w:rPr>
          <w:rFonts w:ascii="David" w:hAnsi="David"/>
          <w:noProof w:val="0"/>
          <w:rtl/>
        </w:rPr>
      </w:pPr>
    </w:p>
    <w:p w14:paraId="66E0408F" w14:textId="77777777" w:rsidR="00AC4E92" w:rsidRPr="0086125A" w:rsidRDefault="00AC4E92" w:rsidP="00AC4E92">
      <w:pPr>
        <w:spacing w:line="360" w:lineRule="auto"/>
        <w:jc w:val="both"/>
        <w:rPr>
          <w:rFonts w:ascii="David" w:hAnsi="David"/>
          <w:b/>
          <w:bCs/>
          <w:noProof w:val="0"/>
          <w:u w:val="single"/>
          <w:rtl/>
        </w:rPr>
      </w:pPr>
      <w:r w:rsidRPr="0086125A">
        <w:rPr>
          <w:rFonts w:ascii="David" w:hAnsi="David"/>
          <w:b/>
          <w:bCs/>
          <w:noProof w:val="0"/>
          <w:u w:val="single"/>
          <w:rtl/>
        </w:rPr>
        <w:t>הראיות לעונש</w:t>
      </w:r>
    </w:p>
    <w:p w14:paraId="44199A72"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המאשימה הגישה רישום פלילי של הנאשם:</w:t>
      </w:r>
    </w:p>
    <w:p w14:paraId="2546E1DB" w14:textId="77777777" w:rsidR="00AC4E92" w:rsidRPr="0086125A" w:rsidRDefault="00AC4E92" w:rsidP="00AC4E92">
      <w:pPr>
        <w:numPr>
          <w:ilvl w:val="0"/>
          <w:numId w:val="2"/>
        </w:numPr>
        <w:spacing w:line="360" w:lineRule="auto"/>
        <w:contextualSpacing/>
        <w:jc w:val="both"/>
        <w:rPr>
          <w:rFonts w:ascii="David" w:hAnsi="David"/>
          <w:noProof w:val="0"/>
        </w:rPr>
      </w:pPr>
      <w:r w:rsidRPr="0086125A">
        <w:rPr>
          <w:rFonts w:ascii="David" w:hAnsi="David"/>
          <w:noProof w:val="0"/>
          <w:rtl/>
        </w:rPr>
        <w:t xml:space="preserve">42019-01-15 (בית משפט לנוער ירושלים). הנאשם הורשע בעבירות הקשורות בתקיפת שוטרים וביום 30.5.2016 נגזר דינו למאסר על תנאי, שירות לתועלת הציבור, קנס, פיצוי ומבחן. </w:t>
      </w:r>
    </w:p>
    <w:p w14:paraId="2B534B41" w14:textId="77777777" w:rsidR="00AC4E92" w:rsidRPr="0086125A" w:rsidRDefault="00AC4E92" w:rsidP="00AC4E92">
      <w:pPr>
        <w:numPr>
          <w:ilvl w:val="0"/>
          <w:numId w:val="2"/>
        </w:numPr>
        <w:spacing w:line="360" w:lineRule="auto"/>
        <w:contextualSpacing/>
        <w:jc w:val="both"/>
        <w:rPr>
          <w:rFonts w:ascii="David" w:hAnsi="David"/>
          <w:noProof w:val="0"/>
        </w:rPr>
      </w:pPr>
      <w:r w:rsidRPr="0086125A">
        <w:rPr>
          <w:rFonts w:ascii="David" w:hAnsi="David"/>
          <w:noProof w:val="0"/>
          <w:rtl/>
        </w:rPr>
        <w:t xml:space="preserve">47093-03-15 (בית משפט לנוער ירושלים). הנאשם הורשע בעבירת שוד, וביום 2.7.2015 נגזר עליו מאסר על תנאי, שירות לתועלת הציבור ומבחן. </w:t>
      </w:r>
    </w:p>
    <w:p w14:paraId="357AB509" w14:textId="77777777" w:rsidR="00AC4E92" w:rsidRPr="0086125A" w:rsidRDefault="00AC4E92" w:rsidP="00AC4E92">
      <w:pPr>
        <w:numPr>
          <w:ilvl w:val="0"/>
          <w:numId w:val="2"/>
        </w:numPr>
        <w:spacing w:line="360" w:lineRule="auto"/>
        <w:contextualSpacing/>
        <w:jc w:val="both"/>
        <w:rPr>
          <w:rFonts w:ascii="David" w:hAnsi="David"/>
          <w:b/>
          <w:bCs/>
          <w:noProof w:val="0"/>
          <w:u w:val="single"/>
        </w:rPr>
      </w:pPr>
      <w:r w:rsidRPr="0086125A">
        <w:rPr>
          <w:rFonts w:ascii="David" w:hAnsi="David"/>
          <w:noProof w:val="0"/>
          <w:rtl/>
        </w:rPr>
        <w:t xml:space="preserve">53247-10-13 (בית משפט לנוער ירושלים). הנאשם הורשע בסיכון אדם בנתיב תחבורה ובעבירות הקשורות בניסיון לתקיפת שוטרים, וביום 30.1.2015 נגזר עליו מאסר על תנאי וקנס. </w:t>
      </w:r>
    </w:p>
    <w:p w14:paraId="3F7FEB7E" w14:textId="77777777" w:rsidR="00AC4E92" w:rsidRPr="0086125A" w:rsidRDefault="00AC4E92" w:rsidP="00AC4E92">
      <w:pPr>
        <w:spacing w:line="360" w:lineRule="auto"/>
        <w:jc w:val="both"/>
        <w:rPr>
          <w:rFonts w:ascii="David" w:hAnsi="David"/>
          <w:b/>
          <w:bCs/>
          <w:noProof w:val="0"/>
          <w:u w:val="single"/>
          <w:rtl/>
        </w:rPr>
      </w:pPr>
    </w:p>
    <w:p w14:paraId="297A16B8" w14:textId="77777777" w:rsidR="00AC4E92" w:rsidRPr="0086125A" w:rsidRDefault="00AC4E92" w:rsidP="00AC4E92">
      <w:pPr>
        <w:spacing w:line="360" w:lineRule="auto"/>
        <w:jc w:val="both"/>
        <w:rPr>
          <w:rFonts w:ascii="David" w:hAnsi="David"/>
          <w:b/>
          <w:bCs/>
          <w:noProof w:val="0"/>
          <w:u w:val="single"/>
          <w:rtl/>
        </w:rPr>
      </w:pPr>
      <w:r w:rsidRPr="0086125A">
        <w:rPr>
          <w:rFonts w:ascii="David" w:hAnsi="David"/>
          <w:b/>
          <w:bCs/>
          <w:noProof w:val="0"/>
          <w:u w:val="single"/>
          <w:rtl/>
        </w:rPr>
        <w:t>טיעוני הצדדים לעונש</w:t>
      </w:r>
    </w:p>
    <w:p w14:paraId="4BC6516E" w14:textId="77777777" w:rsidR="00AC4E92" w:rsidRPr="0086125A" w:rsidRDefault="00AC4E92" w:rsidP="00AC4E92">
      <w:pPr>
        <w:spacing w:line="360" w:lineRule="auto"/>
        <w:ind w:left="84"/>
        <w:contextualSpacing/>
        <w:jc w:val="both"/>
        <w:rPr>
          <w:rFonts w:ascii="David" w:hAnsi="David"/>
          <w:noProof w:val="0"/>
        </w:rPr>
      </w:pPr>
    </w:p>
    <w:p w14:paraId="122ED8D5"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u w:val="single"/>
          <w:rtl/>
        </w:rPr>
        <w:t>טיעוני ב"כ המאשימה</w:t>
      </w:r>
      <w:r w:rsidRPr="0086125A">
        <w:rPr>
          <w:rFonts w:ascii="David" w:hAnsi="David"/>
          <w:noProof w:val="0"/>
          <w:rtl/>
        </w:rPr>
        <w:t xml:space="preserve"> </w:t>
      </w:r>
    </w:p>
    <w:p w14:paraId="2A411E20"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ב"כ המאשימה התייחס בטיעוניו לסכנות הגלומות בייצור ונשיאת נשק חם בניגוד לדין. לדבריו, שימוש בנשק חם יכול להוביל לפגיעה בביטחון הציבור ולסכנו באופן ממשי, תוך פגיעה בביטחון האישי של הנפגע, לצד פגיעה אפשרית ברכושו. ב"כ המאשימה הפנה לפסיקה.</w:t>
      </w:r>
    </w:p>
    <w:p w14:paraId="1F2D74B0"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אשר לעבירה של ניסיון הצתה, הפנה לפסיקה באשר לחומרת העבירה, וטען כי יש צורך במסר מרתיע. העונש המרבי לעבירת הצתה הוא 15 שנות מאסר ויש בכך, לדבריו, כדי להוות אינדיקציה לחומרת העבירה ולעונש הראוי לה. </w:t>
      </w:r>
    </w:p>
    <w:p w14:paraId="2DE24D38"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לטענת ב"כ המאשימה, נקבע בפסיקה לא אחת כי חומרת העבירות מחייבת החמרה בענישה וגזירת עונש מאסר לריצוי בפועל. לדבריו, אמנם מדובר בעבירת ניסיון ולא בעבירת הצתה ממש, אך אין בכך כדי להוריד מחומרת העבירה - רק המזל וערנותם של הדיירים הפרידו בין התוצאה המעשית לתוצאה הפוטנציאלית שיכלה להיות הרבה יותר גרועה. </w:t>
      </w:r>
    </w:p>
    <w:p w14:paraId="5DB9298B"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לדברי ב"כ המאשימה, יש להוקיע אלימות וכל מעשה אחר, אשר מבוצעים מתוך מניע גזעני. משני כתבי האישום המתוקנים עולה כי הנאשם גמל בליבו לפשוע כנגד יהודים, רק בשל היותם יהודים. הנאשם ביצע את המעשים המיוחסים לו לאחר תכנון. באירוע המתואר באישום הראשון, הוא קשר קשר עם אחר והכין בקבוק תבערה. באירוע המתואר באישום השני, הוא הצטייד מראש בגז פלפל והכין את עצמו לתקיפת המתלוננים. בשני המקרים, הנזק יכול היה להיות רב יותר. בשל תגובה מהירה של הדיירים, לא נגרם נזק נוסף מבקבוק התבערה ולמתלוננים באישום השני נגרמו רק שיעול וצריבה. </w:t>
      </w:r>
    </w:p>
    <w:p w14:paraId="237BAF49"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המאשימה מבקשת לקבוע מתחם ענישה נפרד לכל אחד מהאישומים, מאחר שמדובר באירועים נפרדים, שבוצעו בזמנים שונים, בעבירות שונות, במקומות שונים ובמתלוננים שונים. </w:t>
      </w:r>
    </w:p>
    <w:p w14:paraId="5B004BAD"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נטען כי המתחם ההולם את עבירת יידוי בקבוק התבערה צריך לנוע בין 24 ל- 48 חודשי מאסר בפועל וענישה נלווית. המתחם ההולם את עבירת התקיפה צריך לנוע בין 6 חודשי מאסר בפועל, שניתן לרצות בעבודות שירות, לבין 18 חודשי מאסר בפועל, לצד ענישה נלווית. </w:t>
      </w:r>
    </w:p>
    <w:p w14:paraId="3564029E"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אשר לנסיבות שאינן קשורות לביצוע העבירות, התייחס ב"כ המאשימה, כנסיבות לקולה, לגילו הצעיר של הנאשם, שהיה כבן 20 בעת שבוצעו העבירות; להודאתו של הנאשם בשני התיקים, ולחיסכון בזמן שיפוטי יקר. לחומרה התייחס לעברו הפלילי של הנאשם, הכולל שלוש הרשעות בעבירות שרובן בוצעו, לדבריו, על רקע אידיאולוגי ביטחוני. נטען כי ההרשעות הקודמות הן מהתקופה בה היה הנאשם קטין, והענישה הייתה בהתאם. בנוסף התייחס לצורך בהרתעה ובהגנה על הציבור.</w:t>
      </w:r>
    </w:p>
    <w:p w14:paraId="58C527E9"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כן התייחס ב"כ המאשימה לתסקיר שירות המבחן, שהנו, לדבריו, תסקיר שלילי ביותר ואינו כולל המלצה בעניינו של הנאשם. </w:t>
      </w:r>
    </w:p>
    <w:p w14:paraId="1E98FE8C"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המאשימה מבקשת למקם את הנאשם באמצע מתחמי הענישה, תוך חפיפה חלקית בין העונשים, ולגזור על הנאשם 42 חודשי מאסר בפועל; מאסר על תנאי; קנס; ופיצוי למתלוננים באישום השני.  </w:t>
      </w:r>
    </w:p>
    <w:p w14:paraId="6E69FFB9" w14:textId="77777777" w:rsidR="00AC4E92" w:rsidRPr="0086125A" w:rsidRDefault="00AC4E92" w:rsidP="00AC4E92">
      <w:pPr>
        <w:spacing w:line="360" w:lineRule="auto"/>
        <w:ind w:left="84"/>
        <w:contextualSpacing/>
        <w:jc w:val="both"/>
        <w:rPr>
          <w:rFonts w:ascii="David" w:hAnsi="David"/>
          <w:noProof w:val="0"/>
          <w:u w:val="single"/>
          <w:rtl/>
        </w:rPr>
      </w:pPr>
    </w:p>
    <w:p w14:paraId="73844541"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u w:val="single"/>
          <w:rtl/>
        </w:rPr>
        <w:t xml:space="preserve">טיעוני ב"כ הנאשם </w:t>
      </w:r>
      <w:r w:rsidRPr="0086125A">
        <w:rPr>
          <w:rFonts w:ascii="David" w:hAnsi="David"/>
          <w:noProof w:val="0"/>
          <w:rtl/>
        </w:rPr>
        <w:t xml:space="preserve"> </w:t>
      </w:r>
      <w:bookmarkStart w:id="7" w:name="תיקון"/>
      <w:bookmarkEnd w:id="7"/>
    </w:p>
    <w:p w14:paraId="3461C1EE" w14:textId="77777777" w:rsidR="00AC4E92" w:rsidRPr="0086125A" w:rsidRDefault="00AC4E92" w:rsidP="00AC4E92">
      <w:pPr>
        <w:numPr>
          <w:ilvl w:val="0"/>
          <w:numId w:val="1"/>
        </w:numPr>
        <w:spacing w:line="360" w:lineRule="auto"/>
        <w:ind w:left="84" w:firstLine="0"/>
        <w:contextualSpacing/>
        <w:jc w:val="both"/>
        <w:rPr>
          <w:rFonts w:ascii="David" w:hAnsi="David"/>
          <w:noProof w:val="0"/>
          <w:rtl/>
        </w:rPr>
      </w:pPr>
      <w:r w:rsidRPr="0086125A">
        <w:rPr>
          <w:rFonts w:ascii="David" w:hAnsi="David"/>
          <w:noProof w:val="0"/>
          <w:rtl/>
        </w:rPr>
        <w:t xml:space="preserve">ב"כ הנאשם טען כי הנאשם בגיר–צעיר, בן 21. הוא הודה בתחילת ההליכים בשני התיקים, הודה במשטרה בעבירות המיוחסות לו ובכך קיבל אחריות מלאה למעשיו. הנאשם הודה במסגרת הסדר הטיעון מבלי שקיבל תמורה כלשהי, והטיעון לעונש פתוח. יש לראות בכך קבלת אחריות מלאה על מעשיו. </w:t>
      </w:r>
    </w:p>
    <w:p w14:paraId="25598FEB"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לטענת ב"כ הנאשם, שני האישומים המיוחסים לנאשם זהים, ועל כן יש לקבוע מתחם ענישה אחד לשניהם. כן טען כי בשני המקרים מצוין בכתבי האישום שהמעשים נעשו בצוותא עם אחרים, אך המאשימה לא מסרה מידע לגבי הענישה שקיבלו האחרים. </w:t>
      </w:r>
    </w:p>
    <w:p w14:paraId="77F2F6A5"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לדבריו, העבירות אותן ביצע הנאשם קשות, אך יש לתת משקל לנסיבותיו האישיות. הנאשם נשר מבית הספר בכתה ה'. הוא הפסיק את לימודיו בשל נסיבות כלכליות של המשפחה וכדי לצאת לעבודה. </w:t>
      </w:r>
    </w:p>
    <w:p w14:paraId="3EED14B3"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לדברי ב"כ הנאשם, מתחם העונש ההולם שטוענת לו המאשימה אינו תואם את הפסיקה הנוהגת; ואין לפסוק על פי הפסיקה שהוגשה מטעם המאשימה. לדבריו, מתחם העונש ההולם, בגין שני האישומים, נע בין שישה חודשי מאסר לריצוי בעבודות שירות ל- 18 חודשי מאסר בפועל. העונש המתאים צריך, לדבריו, להיות 15 חודשי מאסר בפועל. </w:t>
      </w:r>
    </w:p>
    <w:p w14:paraId="283FDB24" w14:textId="77777777" w:rsidR="00AC4E92" w:rsidRPr="0086125A" w:rsidRDefault="00AC4E92" w:rsidP="00AC4E92">
      <w:pPr>
        <w:spacing w:line="360" w:lineRule="auto"/>
        <w:ind w:left="84"/>
        <w:contextualSpacing/>
        <w:jc w:val="both"/>
        <w:rPr>
          <w:rFonts w:ascii="David" w:hAnsi="David"/>
          <w:noProof w:val="0"/>
        </w:rPr>
      </w:pPr>
    </w:p>
    <w:p w14:paraId="34C6ABD3"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הנאשם בדבריו בתום הטיעונים לעונש אמר כי במידה שעונשו ייקבע לשישה חודשי מאסר, הוא אינו מעוניין בעבודות שירות. </w:t>
      </w:r>
    </w:p>
    <w:p w14:paraId="44BA9CE3" w14:textId="77777777" w:rsidR="00AC4E92" w:rsidRPr="0086125A" w:rsidRDefault="00AC4E92" w:rsidP="00AC4E92">
      <w:pPr>
        <w:spacing w:line="360" w:lineRule="auto"/>
        <w:ind w:left="84"/>
        <w:contextualSpacing/>
        <w:jc w:val="both"/>
        <w:rPr>
          <w:rFonts w:ascii="David" w:hAnsi="David"/>
          <w:noProof w:val="0"/>
        </w:rPr>
      </w:pPr>
    </w:p>
    <w:p w14:paraId="46218522" w14:textId="77777777" w:rsidR="00AC4E92" w:rsidRPr="0086125A" w:rsidRDefault="00AC4E92" w:rsidP="00AC4E92">
      <w:pPr>
        <w:spacing w:line="360" w:lineRule="auto"/>
        <w:jc w:val="both"/>
        <w:rPr>
          <w:rFonts w:ascii="David" w:hAnsi="David"/>
          <w:b/>
          <w:bCs/>
          <w:noProof w:val="0"/>
          <w:u w:val="single"/>
          <w:rtl/>
        </w:rPr>
      </w:pPr>
      <w:r w:rsidRPr="0086125A">
        <w:rPr>
          <w:rFonts w:ascii="David" w:hAnsi="David"/>
          <w:b/>
          <w:bCs/>
          <w:noProof w:val="0"/>
          <w:u w:val="single"/>
          <w:rtl/>
        </w:rPr>
        <w:t>דיון והכרעה</w:t>
      </w:r>
    </w:p>
    <w:p w14:paraId="0EFD4CEF"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u w:val="single"/>
          <w:rtl/>
        </w:rPr>
        <w:t>מתחם העונש ההולם</w:t>
      </w:r>
    </w:p>
    <w:p w14:paraId="267D2FAA" w14:textId="77777777" w:rsidR="00AC4E92" w:rsidRPr="0086125A" w:rsidRDefault="00AC4E92" w:rsidP="00AC4E92">
      <w:pPr>
        <w:spacing w:line="360" w:lineRule="auto"/>
        <w:ind w:left="84"/>
        <w:contextualSpacing/>
        <w:jc w:val="both"/>
        <w:rPr>
          <w:rFonts w:ascii="David" w:hAnsi="David"/>
          <w:noProof w:val="0"/>
          <w:u w:val="single"/>
          <w:rtl/>
        </w:rPr>
      </w:pPr>
    </w:p>
    <w:p w14:paraId="2B9A4122" w14:textId="77777777" w:rsidR="00AC4E92" w:rsidRPr="0086125A" w:rsidRDefault="00AC4E92" w:rsidP="00AC4E92">
      <w:pPr>
        <w:numPr>
          <w:ilvl w:val="0"/>
          <w:numId w:val="1"/>
        </w:numPr>
        <w:spacing w:line="360" w:lineRule="auto"/>
        <w:ind w:left="84" w:firstLine="0"/>
        <w:contextualSpacing/>
        <w:jc w:val="both"/>
        <w:rPr>
          <w:rFonts w:ascii="David" w:hAnsi="David"/>
          <w:noProof w:val="0"/>
          <w:u w:val="single"/>
        </w:rPr>
      </w:pPr>
      <w:r w:rsidRPr="0086125A">
        <w:rPr>
          <w:rFonts w:ascii="David" w:hAnsi="David"/>
          <w:noProof w:val="0"/>
          <w:rtl/>
        </w:rPr>
        <w:t xml:space="preserve">כאמור, הנאשם הודה בעובדות שני כתבי אישום נפרדים, הנוגעים לאירועים שונים, אשר התרחשו בשני מקומות שונים, כלפי קרבנות שונים ובפער זמנים של כמעט שנה. המכנה המשותף היחידי לשתי העבירות הוא המניע הגזעני. על כן, יש לקבוע מתחם עונש הולם נפרד לכל אחת מהעבירות. </w:t>
      </w:r>
    </w:p>
    <w:p w14:paraId="57C18DEA" w14:textId="77777777" w:rsidR="00AC4E92" w:rsidRPr="0086125A" w:rsidRDefault="00AC4E92" w:rsidP="00AC4E92">
      <w:pPr>
        <w:spacing w:line="360" w:lineRule="auto"/>
        <w:ind w:left="84"/>
        <w:contextualSpacing/>
        <w:jc w:val="both"/>
        <w:rPr>
          <w:rFonts w:ascii="David" w:hAnsi="David"/>
          <w:noProof w:val="0"/>
          <w:u w:val="single"/>
          <w:rtl/>
        </w:rPr>
      </w:pPr>
    </w:p>
    <w:p w14:paraId="376E3EAC"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בהתאם לתיקון 113 לחוק, העיקרון המנחה בענישה הוא עקרון ההלימה: "</w:t>
      </w:r>
      <w:r w:rsidRPr="0086125A">
        <w:rPr>
          <w:rFonts w:ascii="David" w:hAnsi="David"/>
          <w:b/>
          <w:bCs/>
          <w:noProof w:val="0"/>
          <w:rtl/>
        </w:rPr>
        <w:t>קיומו של יחס הולם בין חומרת מעשה העבירה בנסיבותיו ומידת אשמו של הנאשם ובין סוג ומידת העונש המוטל עליו</w:t>
      </w:r>
      <w:r w:rsidRPr="0086125A">
        <w:rPr>
          <w:rFonts w:ascii="David" w:hAnsi="David"/>
          <w:noProof w:val="0"/>
          <w:rtl/>
        </w:rPr>
        <w:t>" (</w:t>
      </w:r>
      <w:hyperlink r:id="rId28" w:history="1">
        <w:r w:rsidR="006C06CA" w:rsidRPr="006C06CA">
          <w:rPr>
            <w:rStyle w:val="Hyperlink"/>
            <w:rFonts w:ascii="David" w:hAnsi="David"/>
            <w:noProof w:val="0"/>
            <w:rtl/>
          </w:rPr>
          <w:t>סעיף 40ב</w:t>
        </w:r>
      </w:hyperlink>
      <w:r w:rsidRPr="0086125A">
        <w:rPr>
          <w:rFonts w:ascii="David" w:hAnsi="David"/>
          <w:noProof w:val="0"/>
          <w:rtl/>
        </w:rPr>
        <w:t xml:space="preserve"> לחוק). בהתאם </w:t>
      </w:r>
      <w:hyperlink r:id="rId29" w:history="1">
        <w:r w:rsidR="006C06CA" w:rsidRPr="006C06CA">
          <w:rPr>
            <w:rStyle w:val="Hyperlink"/>
            <w:rFonts w:ascii="David" w:hAnsi="David"/>
            <w:noProof w:val="0"/>
            <w:rtl/>
          </w:rPr>
          <w:t>לסעיף 40ג</w:t>
        </w:r>
      </w:hyperlink>
      <w:r w:rsidRPr="0086125A">
        <w:rPr>
          <w:rFonts w:ascii="David" w:hAnsi="David"/>
          <w:noProof w:val="0"/>
          <w:rtl/>
        </w:rPr>
        <w:t xml:space="preserve"> לחוק, על בית המשפט לקבוע מתחם עונש הולם, בהתחשב בערך החברתי שנפגע מביצוע העבירה; במידת הפגיעה בו; במדיניות הענישה הנהוגה ובנסיבות הקשורות בביצוע העבירה. בתוך מתחם העונש ההולם, יגזור בית המשפט את העונש המתאים לנאשם, בהתחשב בנסיבות שאינן קשורות בביצוע העבירה, כאמור </w:t>
      </w:r>
      <w:hyperlink r:id="rId30" w:history="1">
        <w:r w:rsidR="006C06CA" w:rsidRPr="006C06CA">
          <w:rPr>
            <w:rStyle w:val="Hyperlink"/>
            <w:rFonts w:ascii="David" w:hAnsi="David"/>
            <w:noProof w:val="0"/>
            <w:rtl/>
          </w:rPr>
          <w:t>בסעיף 40יא</w:t>
        </w:r>
      </w:hyperlink>
      <w:r w:rsidRPr="0086125A">
        <w:rPr>
          <w:rFonts w:ascii="David" w:hAnsi="David"/>
          <w:noProof w:val="0"/>
          <w:rtl/>
        </w:rPr>
        <w:t xml:space="preserve"> לחוק.  </w:t>
      </w:r>
    </w:p>
    <w:p w14:paraId="1B671F35" w14:textId="77777777" w:rsidR="00AC4E92" w:rsidRPr="0086125A" w:rsidRDefault="00AC4E92" w:rsidP="00AC4E92">
      <w:pPr>
        <w:spacing w:line="259" w:lineRule="auto"/>
        <w:ind w:left="720"/>
        <w:contextualSpacing/>
        <w:rPr>
          <w:rFonts w:ascii="David" w:hAnsi="David"/>
          <w:noProof w:val="0"/>
          <w:rtl/>
        </w:rPr>
      </w:pPr>
    </w:p>
    <w:p w14:paraId="5E24FC1C"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ראשית, יש להתייחס לעונש אותו קבע המחוקק לצד העבירות: </w:t>
      </w:r>
    </w:p>
    <w:p w14:paraId="4BE89F6E"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לעבירות של ניסיון הצתה וייצור נשק קבע המחוקק עונש של 15 שנות מאסר. </w:t>
      </w:r>
    </w:p>
    <w:p w14:paraId="36390FF6"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לעבירה של נשיאת נשק קבע המחוקק עונש של שלוש שנות מאסר. </w:t>
      </w:r>
    </w:p>
    <w:p w14:paraId="46261168"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לעבירה של תקיפה בנסיבות מחמירות מתוך מניע גזעני, קבע המחוקק עונש של ארבע שנות מאסר – כפל העונש הקבוע לעבירת תקיפה.</w:t>
      </w:r>
    </w:p>
    <w:p w14:paraId="3D768FBC" w14:textId="77777777" w:rsidR="00AC4E92" w:rsidRPr="0086125A" w:rsidRDefault="00AC4E92" w:rsidP="00AC4E92">
      <w:pPr>
        <w:spacing w:line="360" w:lineRule="auto"/>
        <w:ind w:left="84"/>
        <w:contextualSpacing/>
        <w:jc w:val="both"/>
        <w:rPr>
          <w:rFonts w:ascii="David" w:hAnsi="David"/>
          <w:noProof w:val="0"/>
          <w:rtl/>
        </w:rPr>
      </w:pPr>
    </w:p>
    <w:p w14:paraId="0874E7AE"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לצד הענישה שקבע המחוקק, יש להתחשב במדיניות הענישה הנהוגה. </w:t>
      </w:r>
    </w:p>
    <w:p w14:paraId="07E8C386" w14:textId="77777777" w:rsidR="00AC4E92" w:rsidRDefault="00AC4E92" w:rsidP="00AC4E92">
      <w:pPr>
        <w:spacing w:line="360" w:lineRule="auto"/>
        <w:ind w:left="84"/>
        <w:contextualSpacing/>
        <w:jc w:val="both"/>
        <w:rPr>
          <w:rFonts w:ascii="David" w:hAnsi="David"/>
          <w:noProof w:val="0"/>
          <w:rtl/>
        </w:rPr>
      </w:pPr>
    </w:p>
    <w:p w14:paraId="07A19FD5" w14:textId="77777777" w:rsidR="00AC4E92" w:rsidRPr="0086125A" w:rsidRDefault="00AC4E92" w:rsidP="00AC4E92">
      <w:pPr>
        <w:spacing w:line="360" w:lineRule="auto"/>
        <w:ind w:left="84"/>
        <w:contextualSpacing/>
        <w:jc w:val="both"/>
        <w:rPr>
          <w:rFonts w:ascii="David" w:hAnsi="David"/>
          <w:noProof w:val="0"/>
        </w:rPr>
      </w:pPr>
    </w:p>
    <w:p w14:paraId="5E7D720A"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u w:val="single"/>
          <w:rtl/>
        </w:rPr>
        <w:t>פסיקה שהוצגה על ידי המאשימה:</w:t>
      </w:r>
    </w:p>
    <w:p w14:paraId="0D8CC44D" w14:textId="77777777" w:rsidR="00AC4E92" w:rsidRPr="0086125A" w:rsidRDefault="00AC4E92" w:rsidP="00AC4E92">
      <w:pPr>
        <w:numPr>
          <w:ilvl w:val="0"/>
          <w:numId w:val="3"/>
        </w:numPr>
        <w:spacing w:line="360" w:lineRule="auto"/>
        <w:contextualSpacing/>
        <w:jc w:val="both"/>
        <w:rPr>
          <w:rFonts w:ascii="David" w:hAnsi="David"/>
          <w:noProof w:val="0"/>
        </w:rPr>
      </w:pPr>
      <w:r w:rsidRPr="0086125A">
        <w:rPr>
          <w:rFonts w:ascii="David" w:hAnsi="David"/>
          <w:noProof w:val="0"/>
          <w:rtl/>
        </w:rPr>
        <w:t xml:space="preserve">ע"פ 1509/12 </w:t>
      </w:r>
      <w:r w:rsidRPr="0086125A">
        <w:rPr>
          <w:rFonts w:ascii="David" w:hAnsi="David"/>
          <w:b/>
          <w:bCs/>
          <w:noProof w:val="0"/>
          <w:rtl/>
        </w:rPr>
        <w:t>מדינת ישראל נ' ראפאת נברי</w:t>
      </w:r>
      <w:r w:rsidRPr="0086125A">
        <w:rPr>
          <w:rFonts w:ascii="David" w:hAnsi="David"/>
          <w:noProof w:val="0"/>
          <w:rtl/>
        </w:rPr>
        <w:t xml:space="preserve"> (2.7.20). על המשיב נגזרו 27 חודשי מאסר בפועל ועונשים נלווים, בגין נשיאת תת מקלע וירי באזור מגורים. ערעור המדינה התקבל, עונש המאסר בפועל הועמד על 36 חודשים. </w:t>
      </w:r>
    </w:p>
    <w:p w14:paraId="6C536934" w14:textId="77777777" w:rsidR="00AC4E92" w:rsidRPr="0086125A" w:rsidRDefault="00213115" w:rsidP="00AC4E92">
      <w:pPr>
        <w:numPr>
          <w:ilvl w:val="0"/>
          <w:numId w:val="3"/>
        </w:numPr>
        <w:spacing w:line="360" w:lineRule="auto"/>
        <w:contextualSpacing/>
        <w:jc w:val="both"/>
        <w:rPr>
          <w:rFonts w:ascii="David" w:hAnsi="David"/>
          <w:noProof w:val="0"/>
        </w:rPr>
      </w:pPr>
      <w:hyperlink r:id="rId31" w:history="1">
        <w:r w:rsidRPr="00213115">
          <w:rPr>
            <w:rFonts w:ascii="David" w:hAnsi="David"/>
            <w:noProof w:val="0"/>
            <w:color w:val="0000FF"/>
            <w:u w:val="single"/>
            <w:rtl/>
          </w:rPr>
          <w:t>ע"פ 4311/12</w:t>
        </w:r>
      </w:hyperlink>
      <w:r w:rsidR="00AC4E92" w:rsidRPr="0086125A">
        <w:rPr>
          <w:rFonts w:ascii="David" w:hAnsi="David"/>
          <w:noProof w:val="0"/>
          <w:rtl/>
        </w:rPr>
        <w:t xml:space="preserve"> </w:t>
      </w:r>
      <w:r w:rsidR="00AC4E92" w:rsidRPr="0086125A">
        <w:rPr>
          <w:rFonts w:ascii="David" w:hAnsi="David"/>
          <w:b/>
          <w:bCs/>
          <w:noProof w:val="0"/>
          <w:rtl/>
        </w:rPr>
        <w:t>מילאד סורי נ' מדינת ישראל</w:t>
      </w:r>
      <w:r w:rsidR="00AC4E92" w:rsidRPr="0086125A">
        <w:rPr>
          <w:rFonts w:ascii="David" w:hAnsi="David"/>
          <w:noProof w:val="0"/>
          <w:rtl/>
        </w:rPr>
        <w:t xml:space="preserve"> (8.11.2012). בגין הצתת רכב נדון המערער למאסר בפועל של 9 חודשים ועונשים נלווים. בערעור הועמד עונשו, נוכח המלצת שירות המבחן, על שישה חודשי מאסר לריצוי בעבודות שירות. </w:t>
      </w:r>
    </w:p>
    <w:p w14:paraId="56F7E8AD" w14:textId="77777777" w:rsidR="00AC4E92" w:rsidRPr="0086125A" w:rsidRDefault="00213115" w:rsidP="00AC4E92">
      <w:pPr>
        <w:numPr>
          <w:ilvl w:val="0"/>
          <w:numId w:val="3"/>
        </w:numPr>
        <w:spacing w:line="360" w:lineRule="auto"/>
        <w:contextualSpacing/>
        <w:jc w:val="both"/>
        <w:rPr>
          <w:rFonts w:ascii="David" w:hAnsi="David"/>
          <w:noProof w:val="0"/>
        </w:rPr>
      </w:pPr>
      <w:hyperlink r:id="rId32" w:history="1">
        <w:r w:rsidRPr="00213115">
          <w:rPr>
            <w:rFonts w:ascii="David" w:hAnsi="David"/>
            <w:noProof w:val="0"/>
            <w:color w:val="0000FF"/>
            <w:u w:val="single"/>
            <w:rtl/>
          </w:rPr>
          <w:t>ע"פ 2206/16</w:t>
        </w:r>
      </w:hyperlink>
      <w:r w:rsidR="00AC4E92" w:rsidRPr="0086125A">
        <w:rPr>
          <w:rFonts w:ascii="David" w:hAnsi="David"/>
          <w:noProof w:val="0"/>
          <w:rtl/>
        </w:rPr>
        <w:t xml:space="preserve"> </w:t>
      </w:r>
      <w:r w:rsidR="00AC4E92" w:rsidRPr="0086125A">
        <w:rPr>
          <w:rFonts w:ascii="David" w:hAnsi="David"/>
          <w:b/>
          <w:bCs/>
          <w:noProof w:val="0"/>
          <w:rtl/>
        </w:rPr>
        <w:t>פלוני נ' מדינת ישראל</w:t>
      </w:r>
      <w:r w:rsidR="00AC4E92" w:rsidRPr="0086125A">
        <w:rPr>
          <w:rFonts w:ascii="David" w:hAnsi="David"/>
          <w:noProof w:val="0"/>
          <w:rtl/>
        </w:rPr>
        <w:t xml:space="preserve"> (3.11.2016). המערערים הגיעו למתחם "בית מוסקוביץ" במזרח ירושלים, הכינו בקבוק תבערה מבקבוק זכוכית, בד וחומר דליק, והשליכו אותו לעבר המתחם. הבקבוק התנפץ בסמוך למתחם. המערערים היו בני 15 בעת ביצוע המעשים. במסגרת הסדר טיעון, הורשעו המערערים בעבירות של ייצור נשק; חבלה בכוונה מחמירה וניסיון הצתה. על כל אחד מהמערערים נגזר עונש מאסר בפועל של 18 חודשים ומאסר על תנאי. בשל גילם הצעיר מאוד של המערערים, היעדר עבר פלילי,  ואופק שיקומי ממשי, ערעורם התקבל ותקופת המאסר בפועל הופחתה ל-12 חודשים. </w:t>
      </w:r>
    </w:p>
    <w:p w14:paraId="7FA60731" w14:textId="77777777" w:rsidR="00AC4E92" w:rsidRPr="0086125A" w:rsidRDefault="00213115" w:rsidP="00AC4E92">
      <w:pPr>
        <w:numPr>
          <w:ilvl w:val="0"/>
          <w:numId w:val="3"/>
        </w:numPr>
        <w:spacing w:line="360" w:lineRule="auto"/>
        <w:contextualSpacing/>
        <w:jc w:val="both"/>
        <w:rPr>
          <w:rFonts w:ascii="David" w:hAnsi="David"/>
          <w:noProof w:val="0"/>
        </w:rPr>
      </w:pPr>
      <w:hyperlink r:id="rId33" w:history="1">
        <w:r w:rsidRPr="00213115">
          <w:rPr>
            <w:rFonts w:ascii="David" w:hAnsi="David"/>
            <w:noProof w:val="0"/>
            <w:color w:val="0000FF"/>
            <w:u w:val="single"/>
            <w:rtl/>
          </w:rPr>
          <w:t>ע"פ 9821/16</w:t>
        </w:r>
      </w:hyperlink>
      <w:r w:rsidR="00AC4E92" w:rsidRPr="0086125A">
        <w:rPr>
          <w:rFonts w:ascii="David" w:hAnsi="David"/>
          <w:noProof w:val="0"/>
          <w:rtl/>
        </w:rPr>
        <w:t xml:space="preserve"> </w:t>
      </w:r>
      <w:r w:rsidR="00AC4E92" w:rsidRPr="0086125A">
        <w:rPr>
          <w:rFonts w:ascii="David" w:hAnsi="David"/>
          <w:b/>
          <w:bCs/>
          <w:noProof w:val="0"/>
          <w:rtl/>
        </w:rPr>
        <w:t>פלוני ואח' נ' מדינת ישראל</w:t>
      </w:r>
      <w:r w:rsidR="00AC4E92" w:rsidRPr="0086125A">
        <w:rPr>
          <w:rFonts w:ascii="David" w:hAnsi="David"/>
          <w:noProof w:val="0"/>
          <w:rtl/>
        </w:rPr>
        <w:t xml:space="preserve"> (30.11.2017). שלושה ערעורים מאוחדים, בעניינם של מערערים שחלקם קטינים, אשר הודו בשורה של עבירות, במספר אישומים, ובין היתר בהשלכת בקבוקי תבערה לעבר תושבים יהודיים וכוחות הביטחון בעיר העתיקה בירושלים. על המערערים נגזרו עונשי מאסר, כל אחד בהתאם לעבירות בהן הודה, בין מספר חודשי מאסר בפועל לבין מספר שנות מאסר בפועל. </w:t>
      </w:r>
    </w:p>
    <w:p w14:paraId="1F6ED48B" w14:textId="77777777" w:rsidR="00AC4E92" w:rsidRPr="0086125A" w:rsidRDefault="00213115" w:rsidP="00AC4E92">
      <w:pPr>
        <w:numPr>
          <w:ilvl w:val="0"/>
          <w:numId w:val="3"/>
        </w:numPr>
        <w:spacing w:line="360" w:lineRule="auto"/>
        <w:contextualSpacing/>
        <w:jc w:val="both"/>
        <w:rPr>
          <w:rFonts w:ascii="David" w:hAnsi="David"/>
          <w:noProof w:val="0"/>
        </w:rPr>
      </w:pPr>
      <w:hyperlink r:id="rId34" w:history="1">
        <w:r w:rsidRPr="00213115">
          <w:rPr>
            <w:rFonts w:ascii="David" w:hAnsi="David"/>
            <w:noProof w:val="0"/>
            <w:color w:val="0000FF"/>
            <w:u w:val="single"/>
            <w:rtl/>
          </w:rPr>
          <w:t>ת"פ 37387-04-18</w:t>
        </w:r>
      </w:hyperlink>
      <w:r w:rsidR="00AC4E92" w:rsidRPr="0086125A">
        <w:rPr>
          <w:rFonts w:ascii="David" w:hAnsi="David"/>
          <w:noProof w:val="0"/>
          <w:rtl/>
        </w:rPr>
        <w:t xml:space="preserve"> </w:t>
      </w:r>
      <w:r w:rsidR="00AC4E92" w:rsidRPr="0086125A">
        <w:rPr>
          <w:rFonts w:ascii="David" w:hAnsi="David"/>
          <w:b/>
          <w:bCs/>
          <w:noProof w:val="0"/>
          <w:rtl/>
        </w:rPr>
        <w:t>מדינת ישראל נ' מועתז דחל אללה</w:t>
      </w:r>
      <w:r w:rsidR="00AC4E92" w:rsidRPr="0086125A">
        <w:rPr>
          <w:rFonts w:ascii="David" w:hAnsi="David"/>
          <w:noProof w:val="0"/>
          <w:rtl/>
        </w:rPr>
        <w:t xml:space="preserve"> (18.2.2019). הנאשם הודה והורשע בשני אישומים, בשתי עבירות ייצור נשק, בעבירת נשיאת נשק ובשתי עבירות ניסיון הצתה, בכך שבשני מועדים שונים, ייצר, יחד עם אחרים, בקבוקי תבערה והשליכם אל עבר בית חולים. מתחם הענישה נקבע בין 18 ל-36 חודשי מאסר בפועל. על הנאשם נגזרו 20 חודשי מאסר בפועל ומאסר על תנאי.  </w:t>
      </w:r>
    </w:p>
    <w:p w14:paraId="79DCA824" w14:textId="77777777" w:rsidR="00AC4E92" w:rsidRPr="0086125A" w:rsidRDefault="00213115" w:rsidP="00AC4E92">
      <w:pPr>
        <w:numPr>
          <w:ilvl w:val="0"/>
          <w:numId w:val="3"/>
        </w:numPr>
        <w:spacing w:line="360" w:lineRule="auto"/>
        <w:contextualSpacing/>
        <w:jc w:val="both"/>
        <w:rPr>
          <w:rFonts w:ascii="David" w:hAnsi="David"/>
          <w:noProof w:val="0"/>
        </w:rPr>
      </w:pPr>
      <w:hyperlink r:id="rId35" w:history="1">
        <w:r w:rsidRPr="00213115">
          <w:rPr>
            <w:rFonts w:ascii="David" w:hAnsi="David"/>
            <w:noProof w:val="0"/>
            <w:color w:val="0000FF"/>
            <w:u w:val="single"/>
            <w:rtl/>
          </w:rPr>
          <w:t>ת"פ 12782-09-14</w:t>
        </w:r>
      </w:hyperlink>
      <w:r w:rsidR="00AC4E92" w:rsidRPr="0086125A">
        <w:rPr>
          <w:rFonts w:ascii="David" w:hAnsi="David"/>
          <w:noProof w:val="0"/>
          <w:rtl/>
        </w:rPr>
        <w:t xml:space="preserve"> </w:t>
      </w:r>
      <w:r w:rsidR="00AC4E92" w:rsidRPr="0086125A">
        <w:rPr>
          <w:rFonts w:ascii="David" w:hAnsi="David"/>
          <w:b/>
          <w:bCs/>
          <w:noProof w:val="0"/>
          <w:rtl/>
        </w:rPr>
        <w:t>מדינת ישראל נ' פטרוקוביץ'</w:t>
      </w:r>
      <w:r w:rsidR="00AC4E92" w:rsidRPr="0086125A">
        <w:rPr>
          <w:rFonts w:ascii="David" w:hAnsi="David"/>
          <w:noProof w:val="0"/>
          <w:rtl/>
        </w:rPr>
        <w:t xml:space="preserve"> </w:t>
      </w:r>
      <w:r w:rsidR="00AC4E92" w:rsidRPr="0086125A">
        <w:rPr>
          <w:rFonts w:ascii="David" w:hAnsi="David"/>
          <w:b/>
          <w:bCs/>
          <w:noProof w:val="0"/>
          <w:rtl/>
        </w:rPr>
        <w:t>ואח'</w:t>
      </w:r>
      <w:r w:rsidR="00AC4E92" w:rsidRPr="0086125A">
        <w:rPr>
          <w:rFonts w:ascii="David" w:hAnsi="David"/>
          <w:noProof w:val="0"/>
          <w:rtl/>
        </w:rPr>
        <w:t xml:space="preserve"> (1.1.2015). בגין תקיפת נהג מונית ערבי על רקע גזעני, נגזרו על הנאשמים עונשי מאסר בפועל בין 11 ל-13 חודשים ועונשים נלווים. </w:t>
      </w:r>
    </w:p>
    <w:p w14:paraId="212B7081" w14:textId="77777777" w:rsidR="00AC4E92" w:rsidRPr="0086125A" w:rsidRDefault="00AC4E92" w:rsidP="00AC4E92">
      <w:pPr>
        <w:spacing w:line="360" w:lineRule="auto"/>
        <w:ind w:left="804"/>
        <w:contextualSpacing/>
        <w:jc w:val="both"/>
        <w:rPr>
          <w:rFonts w:ascii="David" w:hAnsi="David"/>
          <w:noProof w:val="0"/>
        </w:rPr>
      </w:pPr>
    </w:p>
    <w:p w14:paraId="1A87CF6B"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u w:val="single"/>
          <w:rtl/>
        </w:rPr>
        <w:t>פסיקה שהוגשה על ידי הנאשם:</w:t>
      </w:r>
    </w:p>
    <w:p w14:paraId="672D0B71" w14:textId="77777777" w:rsidR="00AC4E92" w:rsidRPr="0086125A" w:rsidRDefault="00213115" w:rsidP="00AC4E92">
      <w:pPr>
        <w:numPr>
          <w:ilvl w:val="0"/>
          <w:numId w:val="3"/>
        </w:numPr>
        <w:spacing w:line="360" w:lineRule="auto"/>
        <w:contextualSpacing/>
        <w:jc w:val="both"/>
        <w:rPr>
          <w:rFonts w:ascii="David" w:hAnsi="David"/>
          <w:noProof w:val="0"/>
          <w:u w:val="single"/>
        </w:rPr>
      </w:pPr>
      <w:hyperlink r:id="rId36" w:history="1">
        <w:r w:rsidRPr="00213115">
          <w:rPr>
            <w:rFonts w:ascii="David" w:hAnsi="David"/>
            <w:noProof w:val="0"/>
            <w:color w:val="0000FF"/>
            <w:u w:val="single"/>
            <w:rtl/>
          </w:rPr>
          <w:t>ת"פ 43664-06-16</w:t>
        </w:r>
      </w:hyperlink>
      <w:r w:rsidR="00AC4E92" w:rsidRPr="0086125A">
        <w:rPr>
          <w:rFonts w:ascii="David" w:hAnsi="David"/>
          <w:noProof w:val="0"/>
          <w:rtl/>
        </w:rPr>
        <w:t xml:space="preserve"> </w:t>
      </w:r>
      <w:r w:rsidR="00AC4E92" w:rsidRPr="0086125A">
        <w:rPr>
          <w:rFonts w:ascii="David" w:hAnsi="David"/>
          <w:b/>
          <w:bCs/>
          <w:noProof w:val="0"/>
          <w:rtl/>
        </w:rPr>
        <w:t>מדינת ישראל נ' מסוודה</w:t>
      </w:r>
      <w:r w:rsidR="00AC4E92" w:rsidRPr="0086125A">
        <w:rPr>
          <w:rFonts w:ascii="David" w:hAnsi="David"/>
          <w:noProof w:val="0"/>
          <w:rtl/>
        </w:rPr>
        <w:t xml:space="preserve"> (28.12.2017). הנאשם היה חלק מקבוצת מתפרעים ויידה מספר אבנים ובקבוקי תבערה לעבר כוח מג"ב. לאחר ניהול הליך הוכחות, הורשע הנאשם בעבירות של חבלה בכוונה מחמירה; ניסיון תקיפת שוטר בנסיבות מחמירות והתפרעות. מתחם הענישה נקבע בין 12 ל-36 חודשי מאסר בפועל. על הנאשם נגזר מאסר בפועל למשך 18 חודשים, מאסר על תנאי וקנס.</w:t>
      </w:r>
    </w:p>
    <w:p w14:paraId="461CEA82" w14:textId="77777777" w:rsidR="00AC4E92" w:rsidRPr="0086125A" w:rsidRDefault="00AC4E92" w:rsidP="00AC4E92">
      <w:pPr>
        <w:numPr>
          <w:ilvl w:val="0"/>
          <w:numId w:val="3"/>
        </w:numPr>
        <w:spacing w:line="360" w:lineRule="auto"/>
        <w:contextualSpacing/>
        <w:jc w:val="both"/>
        <w:rPr>
          <w:rFonts w:ascii="David" w:hAnsi="David"/>
          <w:noProof w:val="0"/>
          <w:u w:val="single"/>
        </w:rPr>
      </w:pPr>
      <w:r w:rsidRPr="0086125A">
        <w:rPr>
          <w:rFonts w:ascii="David" w:hAnsi="David"/>
          <w:noProof w:val="0"/>
          <w:rtl/>
        </w:rPr>
        <w:t xml:space="preserve"> </w:t>
      </w:r>
      <w:hyperlink r:id="rId37" w:history="1">
        <w:r w:rsidR="00213115" w:rsidRPr="00213115">
          <w:rPr>
            <w:rFonts w:ascii="David" w:hAnsi="David"/>
            <w:noProof w:val="0"/>
            <w:color w:val="0000FF"/>
            <w:u w:val="single"/>
            <w:rtl/>
          </w:rPr>
          <w:t>ת"פ 8684-06-16</w:t>
        </w:r>
      </w:hyperlink>
      <w:r w:rsidRPr="0086125A">
        <w:rPr>
          <w:rFonts w:ascii="David" w:hAnsi="David"/>
          <w:noProof w:val="0"/>
          <w:rtl/>
        </w:rPr>
        <w:t xml:space="preserve"> </w:t>
      </w:r>
      <w:r w:rsidRPr="0086125A">
        <w:rPr>
          <w:rFonts w:ascii="David" w:hAnsi="David"/>
          <w:b/>
          <w:bCs/>
          <w:noProof w:val="0"/>
          <w:rtl/>
        </w:rPr>
        <w:t>מדינת ישראל נ' עומר אבו ריא ואח'</w:t>
      </w:r>
      <w:r w:rsidRPr="0086125A">
        <w:rPr>
          <w:rFonts w:ascii="David" w:hAnsi="David"/>
          <w:noProof w:val="0"/>
          <w:rtl/>
        </w:rPr>
        <w:t xml:space="preserve"> (15.2.2017). הנאשמים השתתפו בהפגנה בסכנין, ולאחריה החליטו לייצר בקבוקי תבערה וליידות אותם לעבר נכסים בקיבוץ סמוך, כדי להציתם. הם ייצרו שישה בקבוקי תבערה וצעדו רגלית אל עבר הקיבוץ, כשהם רעולי פנים ונושאים איתם את בקבוקי התבערה. כשהגיעו לקיבוץ, הדליקו את בקבוקי התבערה והשליכו אותם לעבר אוהל במתחם אירוח. חלק מבקבוקי התבערה התלקחו וגרמו נזק לגג האוהל ולרכוש שהיה בתוכו. הנאשמים הודו והורשעו בביצוע עבירות של ייצור נשק; נשיאה והובלת נשק; ניסיון הצתה והיזק בזדון. מתחם הענישה נקבע בין שישה חודשי מאסר בפועל לשנה וחצי מאסר בפועל. על הנאשמים הוטלו שישה חודשי מאסר לריצוי בעבודות שירות, מאסר על תנאי, קנס ופיצוי למתלוננים. </w:t>
      </w:r>
    </w:p>
    <w:p w14:paraId="5E5D4BC0" w14:textId="77777777" w:rsidR="00AC4E92" w:rsidRPr="0086125A" w:rsidRDefault="00213115" w:rsidP="00AC4E92">
      <w:pPr>
        <w:numPr>
          <w:ilvl w:val="0"/>
          <w:numId w:val="3"/>
        </w:numPr>
        <w:spacing w:line="360" w:lineRule="auto"/>
        <w:contextualSpacing/>
        <w:jc w:val="both"/>
        <w:rPr>
          <w:rFonts w:ascii="David" w:hAnsi="David"/>
          <w:noProof w:val="0"/>
          <w:u w:val="single"/>
        </w:rPr>
      </w:pPr>
      <w:hyperlink r:id="rId38" w:history="1">
        <w:r w:rsidRPr="00213115">
          <w:rPr>
            <w:rFonts w:ascii="David" w:hAnsi="David"/>
            <w:noProof w:val="0"/>
            <w:color w:val="0000FF"/>
            <w:u w:val="single"/>
            <w:rtl/>
          </w:rPr>
          <w:t>ת"פ 7165-06-15</w:t>
        </w:r>
      </w:hyperlink>
      <w:r w:rsidR="00AC4E92" w:rsidRPr="0086125A">
        <w:rPr>
          <w:rFonts w:ascii="David" w:hAnsi="David"/>
          <w:noProof w:val="0"/>
          <w:rtl/>
        </w:rPr>
        <w:t xml:space="preserve"> </w:t>
      </w:r>
      <w:r w:rsidR="00AC4E92" w:rsidRPr="0086125A">
        <w:rPr>
          <w:rFonts w:ascii="David" w:hAnsi="David"/>
          <w:b/>
          <w:bCs/>
          <w:noProof w:val="0"/>
          <w:rtl/>
        </w:rPr>
        <w:t xml:space="preserve">מדינת ישראל נ' פהמי הימוני ואח' </w:t>
      </w:r>
      <w:r w:rsidR="00AC4E92" w:rsidRPr="0086125A">
        <w:rPr>
          <w:rFonts w:ascii="David" w:hAnsi="David"/>
          <w:noProof w:val="0"/>
          <w:rtl/>
        </w:rPr>
        <w:t xml:space="preserve">(2.3.2016). גזר דין של נאשם 3 בלבד. הנאשם, יחד עם מעורבים נוספים, יידה בקבוקי תבערה וזיקוקים אל עבר ג'יפ משמר הגבול בכיכר ראס אל עמוד. כל אחד מהמעורבים יידה בקבוק תבערה אחד, ואחד מהם ירה ארבעה זיקוקים. מתחם הענישה בגין זריקת בקבוק תבערה (ללא ייצורו) נקבע בין 12 ל-36 חודשי מאסר בפועל. על הנאשם נגזרו 12 חודשי מאסר בפועל, מאסר על תנאי וקנס.  </w:t>
      </w:r>
    </w:p>
    <w:p w14:paraId="3C2FEC60" w14:textId="77777777" w:rsidR="00AC4E92" w:rsidRPr="0086125A" w:rsidRDefault="00AC4E92" w:rsidP="00AC4E92">
      <w:pPr>
        <w:spacing w:line="360" w:lineRule="auto"/>
        <w:ind w:left="804"/>
        <w:contextualSpacing/>
        <w:jc w:val="both"/>
        <w:rPr>
          <w:rFonts w:ascii="David" w:hAnsi="David"/>
          <w:noProof w:val="0"/>
          <w:u w:val="single"/>
        </w:rPr>
      </w:pPr>
    </w:p>
    <w:p w14:paraId="158C00BC" w14:textId="77777777" w:rsidR="00AC4E92" w:rsidRPr="0086125A" w:rsidRDefault="00AC4E92" w:rsidP="00AC4E92">
      <w:pPr>
        <w:numPr>
          <w:ilvl w:val="0"/>
          <w:numId w:val="1"/>
        </w:numPr>
        <w:spacing w:line="360" w:lineRule="auto"/>
        <w:ind w:left="84" w:firstLine="0"/>
        <w:contextualSpacing/>
        <w:jc w:val="both"/>
        <w:rPr>
          <w:rFonts w:ascii="David" w:hAnsi="David"/>
          <w:noProof w:val="0"/>
          <w:u w:val="single"/>
        </w:rPr>
      </w:pPr>
      <w:r w:rsidRPr="0086125A">
        <w:rPr>
          <w:rFonts w:ascii="David" w:hAnsi="David"/>
          <w:noProof w:val="0"/>
          <w:rtl/>
        </w:rPr>
        <w:t xml:space="preserve">הערך החברתי המוגן בעבירות המיוחסות לנאשם, הוא הגנה על קדושת החיים, הגנה על  שלמות הגוף, הגנה על  שלום הציבור, ביטחונו וקניינו. לעניין זה יש לראות בבקבוקי תבערה נשק חם לכל דבר ועניין. </w:t>
      </w:r>
    </w:p>
    <w:p w14:paraId="3704E851" w14:textId="77777777" w:rsidR="00AC4E92" w:rsidRPr="0086125A" w:rsidRDefault="00AC4E92" w:rsidP="00AC4E92">
      <w:pPr>
        <w:spacing w:line="360" w:lineRule="auto"/>
        <w:ind w:left="84"/>
        <w:contextualSpacing/>
        <w:jc w:val="both"/>
        <w:rPr>
          <w:rFonts w:ascii="David" w:hAnsi="David"/>
          <w:noProof w:val="0"/>
          <w:u w:val="single"/>
        </w:rPr>
      </w:pPr>
      <w:r w:rsidRPr="0086125A">
        <w:rPr>
          <w:rFonts w:ascii="David" w:hAnsi="David"/>
          <w:noProof w:val="0"/>
          <w:rtl/>
        </w:rPr>
        <w:t xml:space="preserve">עבירות נשק, ובהן יידוי בקבוקי תבערה, מסכנות באופן ישיר את שלום הציבור וביטחונו, וחומרתן נגזרת מהפגיעה הקשה אשר עלולה להיגרם, גם אם סיכון זה לא התממש בסופו של דבר. </w:t>
      </w:r>
    </w:p>
    <w:p w14:paraId="525131DC" w14:textId="77777777" w:rsidR="00AC4E92" w:rsidRPr="0086125A" w:rsidRDefault="00AC4E92" w:rsidP="00AC4E92">
      <w:pPr>
        <w:spacing w:line="360" w:lineRule="auto"/>
        <w:ind w:left="84"/>
        <w:contextualSpacing/>
        <w:jc w:val="both"/>
        <w:rPr>
          <w:rFonts w:ascii="David" w:hAnsi="David"/>
          <w:noProof w:val="0"/>
          <w:rtl/>
        </w:rPr>
      </w:pPr>
    </w:p>
    <w:p w14:paraId="0FF294E0"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וראו דברי בית המשפט העליון ב</w:t>
      </w:r>
      <w:hyperlink r:id="rId39" w:history="1">
        <w:r w:rsidR="00213115" w:rsidRPr="00213115">
          <w:rPr>
            <w:rFonts w:ascii="David" w:hAnsi="David"/>
            <w:noProof w:val="0"/>
            <w:color w:val="0000FF"/>
            <w:u w:val="single"/>
            <w:rtl/>
          </w:rPr>
          <w:t>ע"פ 2206/16</w:t>
        </w:r>
      </w:hyperlink>
      <w:r w:rsidRPr="0086125A">
        <w:rPr>
          <w:rFonts w:ascii="David" w:hAnsi="David"/>
          <w:noProof w:val="0"/>
          <w:rtl/>
        </w:rPr>
        <w:t xml:space="preserve">, </w:t>
      </w:r>
      <w:r w:rsidRPr="0086125A">
        <w:rPr>
          <w:rFonts w:ascii="David" w:hAnsi="David"/>
          <w:b/>
          <w:bCs/>
          <w:noProof w:val="0"/>
          <w:rtl/>
        </w:rPr>
        <w:t>פלוני נ' מדינת ישראל</w:t>
      </w:r>
      <w:r w:rsidRPr="0086125A">
        <w:rPr>
          <w:rFonts w:ascii="David" w:hAnsi="David"/>
          <w:noProof w:val="0"/>
          <w:rtl/>
        </w:rPr>
        <w:t xml:space="preserve"> (3.11.2016):</w:t>
      </w:r>
    </w:p>
    <w:p w14:paraId="68460195" w14:textId="77777777" w:rsidR="00AC4E92" w:rsidRPr="0086125A" w:rsidRDefault="00AC4E92" w:rsidP="00AC4E92">
      <w:pPr>
        <w:spacing w:line="360" w:lineRule="auto"/>
        <w:ind w:left="454" w:right="454"/>
        <w:contextualSpacing/>
        <w:jc w:val="both"/>
        <w:rPr>
          <w:rFonts w:ascii="David" w:hAnsi="David"/>
          <w:b/>
          <w:bCs/>
          <w:noProof w:val="0"/>
          <w:rtl/>
        </w:rPr>
      </w:pPr>
      <w:r w:rsidRPr="0086125A">
        <w:rPr>
          <w:rFonts w:ascii="David" w:hAnsi="David"/>
          <w:b/>
          <w:bCs/>
          <w:noProof w:val="0"/>
          <w:rtl/>
        </w:rPr>
        <w:t xml:space="preserve">"אין להקל ראש בעבירות שבהן הורשעו המערערים. למרבה הצער, בית משפט זה נדרש לא אחת לחומרה הרבה הטמונה בביצוע עבירות אלימות ממניע לאומני ובפרט השלכת בקבוקי תבערה, ועמד על הצורך הממשי בהרתעה לנוכח ריבוי המקרים מסוג זה... להשלכת בקבוק תבערה עלולות להיות תוצאות הרות אסון, ונפסק כי הדבר שקול לשימוש בנשק חם". </w:t>
      </w:r>
    </w:p>
    <w:p w14:paraId="60B79169" w14:textId="77777777" w:rsidR="00AC4E92" w:rsidRDefault="00AC4E92" w:rsidP="00AC4E92">
      <w:pPr>
        <w:spacing w:line="360" w:lineRule="auto"/>
        <w:ind w:left="84"/>
        <w:contextualSpacing/>
        <w:jc w:val="both"/>
        <w:rPr>
          <w:rFonts w:ascii="David" w:hAnsi="David"/>
          <w:noProof w:val="0"/>
          <w:u w:val="single"/>
          <w:rtl/>
        </w:rPr>
      </w:pPr>
    </w:p>
    <w:p w14:paraId="7D5252A4" w14:textId="77777777" w:rsidR="00AC4E92" w:rsidRPr="0086125A" w:rsidRDefault="00AC4E92" w:rsidP="00AC4E92">
      <w:pPr>
        <w:spacing w:line="360" w:lineRule="auto"/>
        <w:ind w:left="84"/>
        <w:contextualSpacing/>
        <w:jc w:val="both"/>
        <w:rPr>
          <w:rFonts w:ascii="David" w:hAnsi="David"/>
          <w:noProof w:val="0"/>
          <w:u w:val="single"/>
        </w:rPr>
      </w:pPr>
    </w:p>
    <w:p w14:paraId="5A395430" w14:textId="77777777" w:rsidR="00AC4E92" w:rsidRPr="0086125A" w:rsidRDefault="00AC4E92" w:rsidP="00AC4E92">
      <w:pPr>
        <w:numPr>
          <w:ilvl w:val="0"/>
          <w:numId w:val="1"/>
        </w:numPr>
        <w:spacing w:line="360" w:lineRule="auto"/>
        <w:ind w:left="84" w:firstLine="0"/>
        <w:contextualSpacing/>
        <w:jc w:val="both"/>
        <w:rPr>
          <w:rFonts w:ascii="David" w:hAnsi="David"/>
          <w:noProof w:val="0"/>
          <w:u w:val="single"/>
        </w:rPr>
      </w:pPr>
      <w:r w:rsidRPr="0086125A">
        <w:rPr>
          <w:rFonts w:ascii="David" w:hAnsi="David"/>
          <w:noProof w:val="0"/>
          <w:rtl/>
        </w:rPr>
        <w:t xml:space="preserve">אשר לנסיבות ביצוע העבירות – </w:t>
      </w:r>
    </w:p>
    <w:p w14:paraId="645FA3F4" w14:textId="77777777" w:rsidR="00AC4E92" w:rsidRPr="0086125A" w:rsidRDefault="00AC4E92" w:rsidP="00AC4E92">
      <w:pPr>
        <w:spacing w:line="259" w:lineRule="auto"/>
        <w:ind w:left="720"/>
        <w:contextualSpacing/>
        <w:rPr>
          <w:rFonts w:ascii="David" w:hAnsi="David"/>
          <w:noProof w:val="0"/>
          <w:rtl/>
        </w:rPr>
      </w:pPr>
    </w:p>
    <w:p w14:paraId="4421C4C5"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באישום השני, שהוא הראשון מבחינת לוח הזמנים ואירע בינואר 2019, ריסס הנאשם גז פלפל אל עבר המתלוננים, יהודים המתגוררים בעיר העתיקה בירושלים, בשל היותם יהודים ומתוך שנאתו אליהם. כתוצאה מריסוס הגז נגרמו למתלוננים שיעול וצריבה בגרונם. לא נטען כי הנאשם הצטייד בגז פלפל מבעוד מועד לשם כך, ויש להניח לטובתו כי מדובר באירוע ספונטני.  </w:t>
      </w:r>
    </w:p>
    <w:p w14:paraId="5E86A071" w14:textId="77777777" w:rsidR="00AC4E92" w:rsidRPr="0086125A" w:rsidRDefault="00AC4E92" w:rsidP="00AC4E92">
      <w:pPr>
        <w:spacing w:line="360" w:lineRule="auto"/>
        <w:ind w:left="84"/>
        <w:contextualSpacing/>
        <w:jc w:val="both"/>
        <w:rPr>
          <w:rFonts w:ascii="David" w:hAnsi="David"/>
          <w:noProof w:val="0"/>
          <w:u w:val="single"/>
        </w:rPr>
      </w:pPr>
      <w:r w:rsidRPr="0086125A">
        <w:rPr>
          <w:rFonts w:ascii="David" w:hAnsi="David"/>
          <w:noProof w:val="0"/>
          <w:rtl/>
        </w:rPr>
        <w:t xml:space="preserve">באירוע השני המפורט באישום הראשון, חלה הסלמה במעשיו של הנאשם - בדצמבר 2019 קשר הנאשם קשר קשר עם אחר, ליידות בקבוקי תבערה לעבר בית בו מתגוררים יהודים, ממניע גזעני ואידאולוגי, כשהבית מאוכלס במספר משפחות ובהן מספר רב של ילדים. הנאשם הכין בקבוק תבערה, השניים יצאו למקום, הנאשם הצית את בקבוק התבערה שהכין, האחר הצית שני בקבוקי תבערה, והשניים זרקו את שלושת בקבוקי התבערה הבוערים לחצר הבית, ממרחק מטרים ספורים. מדובר במעשה שהסכנה ממנו רבה, וכך גם פוטנציאל הנזק, אלמלא הגיעו דיירי הבית למקום, כיבו את האש במטפים, ומנעו ממנה להתפשט אל עבר הבית. </w:t>
      </w:r>
    </w:p>
    <w:p w14:paraId="6DC5F7F3"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למזלו של הנאשם ולמזלם של המתלוננים, בשני האירועים לא נגרם נזק רב. אך חומרה יתרה יש במעשים בהיותם על רקע אידאולוגי וגזעני. </w:t>
      </w:r>
    </w:p>
    <w:p w14:paraId="5EC60A81" w14:textId="77777777" w:rsidR="00AC4E92" w:rsidRPr="0086125A" w:rsidRDefault="00AC4E92" w:rsidP="00AC4E92">
      <w:pPr>
        <w:spacing w:line="360" w:lineRule="auto"/>
        <w:ind w:left="84"/>
        <w:contextualSpacing/>
        <w:jc w:val="both"/>
        <w:rPr>
          <w:rFonts w:ascii="David" w:hAnsi="David"/>
          <w:noProof w:val="0"/>
          <w:rtl/>
        </w:rPr>
      </w:pPr>
    </w:p>
    <w:p w14:paraId="6E8DDFFC" w14:textId="77777777" w:rsidR="00AC4E92" w:rsidRPr="0086125A" w:rsidRDefault="00AC4E92" w:rsidP="00AC4E92">
      <w:pPr>
        <w:numPr>
          <w:ilvl w:val="0"/>
          <w:numId w:val="1"/>
        </w:numPr>
        <w:spacing w:line="360" w:lineRule="auto"/>
        <w:ind w:left="84" w:firstLine="0"/>
        <w:contextualSpacing/>
        <w:jc w:val="both"/>
        <w:rPr>
          <w:rFonts w:ascii="David" w:hAnsi="David"/>
          <w:noProof w:val="0"/>
          <w:u w:val="single"/>
        </w:rPr>
      </w:pPr>
      <w:r w:rsidRPr="0086125A">
        <w:rPr>
          <w:rFonts w:ascii="David" w:hAnsi="David"/>
          <w:noProof w:val="0"/>
          <w:rtl/>
        </w:rPr>
        <w:t xml:space="preserve">נוכח האמור לעיל ובהתחשב בפסיקה הנוהגת, אני קובעת כי מתחם העונש ההולם בגין עבירת יידוי בקבוק התבערה נע בין 20 ל-42 חודשי מאסר בפועל. </w:t>
      </w:r>
    </w:p>
    <w:p w14:paraId="53D6C0AE"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rtl/>
        </w:rPr>
        <w:t xml:space="preserve">אשר לעבירת התקיפה - נוכח המניע הגזעני המיוחס לנאשם, גורם המכפיל את הענישה הקבועה לעבירה, ובהתחשב בנסיבות ביצוע העבירה, מתחם העונש ההולם נע בין מאסר קצר, שיכול שירוצה בעבודות שירות, לבין 18 חודשי מאסר בפועל. </w:t>
      </w:r>
    </w:p>
    <w:p w14:paraId="70AAB00B" w14:textId="77777777" w:rsidR="00AC4E92" w:rsidRPr="0086125A" w:rsidRDefault="00AC4E92" w:rsidP="00AC4E92">
      <w:pPr>
        <w:spacing w:line="360" w:lineRule="auto"/>
        <w:ind w:left="84"/>
        <w:contextualSpacing/>
        <w:jc w:val="both"/>
        <w:rPr>
          <w:rFonts w:ascii="David" w:hAnsi="David"/>
          <w:noProof w:val="0"/>
          <w:u w:val="single"/>
          <w:rtl/>
        </w:rPr>
      </w:pPr>
    </w:p>
    <w:p w14:paraId="5F309838" w14:textId="77777777" w:rsidR="00AC4E92" w:rsidRPr="0086125A" w:rsidRDefault="00AC4E92" w:rsidP="00AC4E92">
      <w:pPr>
        <w:spacing w:line="360" w:lineRule="auto"/>
        <w:ind w:left="84"/>
        <w:contextualSpacing/>
        <w:jc w:val="both"/>
        <w:rPr>
          <w:rFonts w:ascii="David" w:hAnsi="David"/>
          <w:noProof w:val="0"/>
          <w:u w:val="single"/>
          <w:rtl/>
        </w:rPr>
      </w:pPr>
      <w:r w:rsidRPr="0086125A">
        <w:rPr>
          <w:rFonts w:ascii="David" w:hAnsi="David"/>
          <w:noProof w:val="0"/>
          <w:u w:val="single"/>
          <w:rtl/>
        </w:rPr>
        <w:t>העונש בתוך המתחם</w:t>
      </w:r>
    </w:p>
    <w:p w14:paraId="664C90DB" w14:textId="77777777" w:rsidR="00AC4E92" w:rsidRPr="0086125A" w:rsidRDefault="00AC4E92" w:rsidP="00AC4E92">
      <w:pPr>
        <w:spacing w:line="360" w:lineRule="auto"/>
        <w:ind w:left="84"/>
        <w:contextualSpacing/>
        <w:jc w:val="both"/>
        <w:rPr>
          <w:rFonts w:ascii="David" w:hAnsi="David"/>
          <w:noProof w:val="0"/>
          <w:u w:val="single"/>
          <w:rtl/>
        </w:rPr>
      </w:pPr>
    </w:p>
    <w:p w14:paraId="225E0CB5"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לא הובאו נסיבות המצדיקות חריגה מן המתחם, לקולה או לחומרה. </w:t>
      </w:r>
    </w:p>
    <w:p w14:paraId="0D1A4BDB" w14:textId="77777777" w:rsidR="00AC4E92" w:rsidRPr="0086125A" w:rsidRDefault="00AC4E92" w:rsidP="00AC4E92">
      <w:pPr>
        <w:spacing w:line="360" w:lineRule="auto"/>
        <w:ind w:left="84"/>
        <w:contextualSpacing/>
        <w:jc w:val="both"/>
        <w:rPr>
          <w:rFonts w:ascii="David" w:hAnsi="David"/>
          <w:noProof w:val="0"/>
        </w:rPr>
      </w:pPr>
    </w:p>
    <w:p w14:paraId="44DCCAB4" w14:textId="77777777" w:rsidR="00AC4E92" w:rsidRPr="0086125A"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 xml:space="preserve">לזכותו של הנאשם יש להתחשב בהודאתו ובגילו הצעיר, כבן 20 שנה בעת ביצוע העבירות. עם זאת, להבדיל מרבים מהנאשמים העומדים לדין בעבירות דומות, הנאשם לא היה קטין ואינו נותן את הדין כקטין אלא כבגיר. </w:t>
      </w:r>
    </w:p>
    <w:p w14:paraId="6559336E" w14:textId="77777777" w:rsidR="00AC4E92" w:rsidRPr="0086125A" w:rsidRDefault="00AC4E92" w:rsidP="00AC4E92">
      <w:pPr>
        <w:spacing w:line="360" w:lineRule="auto"/>
        <w:ind w:left="84"/>
        <w:contextualSpacing/>
        <w:jc w:val="both"/>
        <w:rPr>
          <w:rFonts w:ascii="David" w:hAnsi="David"/>
          <w:noProof w:val="0"/>
        </w:rPr>
      </w:pPr>
      <w:r w:rsidRPr="0086125A">
        <w:rPr>
          <w:rFonts w:ascii="David" w:hAnsi="David"/>
          <w:noProof w:val="0"/>
          <w:rtl/>
        </w:rPr>
        <w:t xml:space="preserve">עוד יש להתחשב בכך שזהו מאסרו הראשון של הנאשם. בנוסף יש להתחשב לקולה בפגיעה במשפחתו של הנאשם בשל מעצרו ובשל המאסר, שכן הנאשם מסייע בפרנסת משפחתו.  </w:t>
      </w:r>
    </w:p>
    <w:p w14:paraId="2A16ED36" w14:textId="77777777" w:rsidR="00AC4E92" w:rsidRPr="0086125A" w:rsidRDefault="00AC4E92" w:rsidP="00AC4E92">
      <w:pPr>
        <w:spacing w:line="360" w:lineRule="auto"/>
        <w:ind w:left="84"/>
        <w:contextualSpacing/>
        <w:jc w:val="both"/>
        <w:rPr>
          <w:rFonts w:ascii="David" w:hAnsi="David"/>
          <w:noProof w:val="0"/>
          <w:rtl/>
        </w:rPr>
      </w:pPr>
      <w:r w:rsidRPr="0086125A">
        <w:rPr>
          <w:rFonts w:ascii="David" w:hAnsi="David"/>
          <w:noProof w:val="0"/>
          <w:rtl/>
        </w:rPr>
        <w:t xml:space="preserve">לחומרה, יש לשקול את עברו הפלילי של הנאשם, אשר חלק מהעבירות הקודמות שביצע היו על רקע לאומני. כמו כן, על אף שהנאשם הודה בביצוע העבירות, מתסקיר שירות המבחן עלה כי הוא אינו נושא באחריות מלאה לביצוע העבירות ואינו מגלה אמפתיה לנפגעי העבירה. בנוסף יש להתחשב בהערכת שירות המבחן לפיה קיימים אצל הנאשם "דפוסים  רצידיוויסטים" וישנו סיכון גבוה לביצוע עבירות נוספות. </w:t>
      </w:r>
    </w:p>
    <w:p w14:paraId="4C96F9D2" w14:textId="77777777" w:rsidR="00AC4E92" w:rsidRPr="0086125A" w:rsidRDefault="00AC4E92" w:rsidP="00AC4E92">
      <w:pPr>
        <w:spacing w:line="360" w:lineRule="auto"/>
        <w:ind w:left="84"/>
        <w:contextualSpacing/>
        <w:jc w:val="both"/>
        <w:rPr>
          <w:rFonts w:ascii="David" w:hAnsi="David"/>
          <w:noProof w:val="0"/>
          <w:rtl/>
        </w:rPr>
      </w:pPr>
    </w:p>
    <w:p w14:paraId="56FAD8E3" w14:textId="77777777" w:rsidR="00AC4E92" w:rsidRDefault="00AC4E92" w:rsidP="00AC4E92">
      <w:pPr>
        <w:numPr>
          <w:ilvl w:val="0"/>
          <w:numId w:val="1"/>
        </w:numPr>
        <w:spacing w:line="360" w:lineRule="auto"/>
        <w:ind w:left="84" w:firstLine="0"/>
        <w:contextualSpacing/>
        <w:jc w:val="both"/>
        <w:rPr>
          <w:rFonts w:ascii="David" w:hAnsi="David"/>
          <w:noProof w:val="0"/>
        </w:rPr>
      </w:pPr>
      <w:r w:rsidRPr="0086125A">
        <w:rPr>
          <w:rFonts w:ascii="David" w:hAnsi="David"/>
          <w:noProof w:val="0"/>
          <w:rtl/>
        </w:rPr>
        <w:t>נוכח האמור לעיל, אני דנה את הנאשם כמפורט להלן:</w:t>
      </w:r>
    </w:p>
    <w:p w14:paraId="705F5002" w14:textId="77777777" w:rsidR="00AC4E92" w:rsidRPr="0086125A" w:rsidRDefault="00AC4E92" w:rsidP="00AC4E92">
      <w:pPr>
        <w:ind w:left="84"/>
        <w:contextualSpacing/>
        <w:jc w:val="both"/>
        <w:rPr>
          <w:rFonts w:ascii="David" w:hAnsi="David"/>
          <w:noProof w:val="0"/>
        </w:rPr>
      </w:pPr>
      <w:r w:rsidRPr="0086125A">
        <w:rPr>
          <w:rFonts w:ascii="David" w:hAnsi="David"/>
          <w:noProof w:val="0"/>
          <w:rtl/>
        </w:rPr>
        <w:t xml:space="preserve"> </w:t>
      </w:r>
    </w:p>
    <w:p w14:paraId="138D4AE0" w14:textId="77777777" w:rsidR="00AC4E92" w:rsidRDefault="00AC4E92" w:rsidP="00AC4E92">
      <w:pPr>
        <w:numPr>
          <w:ilvl w:val="0"/>
          <w:numId w:val="4"/>
        </w:numPr>
        <w:spacing w:line="360" w:lineRule="auto"/>
        <w:contextualSpacing/>
        <w:jc w:val="both"/>
        <w:rPr>
          <w:rFonts w:ascii="David" w:hAnsi="David"/>
          <w:noProof w:val="0"/>
        </w:rPr>
      </w:pPr>
      <w:r w:rsidRPr="0086125A">
        <w:rPr>
          <w:rFonts w:ascii="David" w:hAnsi="David"/>
          <w:noProof w:val="0"/>
          <w:rtl/>
        </w:rPr>
        <w:t xml:space="preserve">מאסר בפועל למשך 28 חודשים, החל מיום מעצרו 22.12.2019. </w:t>
      </w:r>
    </w:p>
    <w:p w14:paraId="2E7E2774" w14:textId="77777777" w:rsidR="00AC4E92" w:rsidRPr="0086125A" w:rsidRDefault="00AC4E92" w:rsidP="00AC4E92">
      <w:pPr>
        <w:ind w:left="804"/>
        <w:contextualSpacing/>
        <w:jc w:val="both"/>
        <w:rPr>
          <w:rFonts w:ascii="David" w:hAnsi="David"/>
          <w:noProof w:val="0"/>
        </w:rPr>
      </w:pPr>
    </w:p>
    <w:p w14:paraId="38BC49D5" w14:textId="77777777" w:rsidR="00AC4E92" w:rsidRDefault="00AC4E92" w:rsidP="00AC4E92">
      <w:pPr>
        <w:numPr>
          <w:ilvl w:val="0"/>
          <w:numId w:val="4"/>
        </w:numPr>
        <w:spacing w:line="360" w:lineRule="auto"/>
        <w:contextualSpacing/>
        <w:jc w:val="both"/>
        <w:rPr>
          <w:rFonts w:ascii="David" w:hAnsi="David"/>
          <w:noProof w:val="0"/>
        </w:rPr>
      </w:pPr>
      <w:r w:rsidRPr="0086125A">
        <w:rPr>
          <w:rFonts w:ascii="David" w:hAnsi="David"/>
          <w:noProof w:val="0"/>
          <w:rtl/>
        </w:rPr>
        <w:t xml:space="preserve">מאסר על תנאי של 6 חודשים, אותו לא ירצה הנאשם אלא אם יעבור, תוך שלוש שנים מיום שחרורו מהמאסר, כל עבירת נשק מסוג פשע, עבירת הצתה, עבירת אלימות מסוג פשע, וכל עבירה ממניע גזעני. </w:t>
      </w:r>
    </w:p>
    <w:p w14:paraId="2A694F2A" w14:textId="77777777" w:rsidR="00AC4E92" w:rsidRPr="0086125A" w:rsidRDefault="00AC4E92" w:rsidP="00AC4E92">
      <w:pPr>
        <w:ind w:left="804"/>
        <w:contextualSpacing/>
        <w:jc w:val="both"/>
        <w:rPr>
          <w:rFonts w:ascii="David" w:hAnsi="David"/>
          <w:noProof w:val="0"/>
        </w:rPr>
      </w:pPr>
    </w:p>
    <w:p w14:paraId="250ECF7B" w14:textId="77777777" w:rsidR="00AC4E92" w:rsidRPr="0086125A" w:rsidRDefault="00AC4E92" w:rsidP="00AC4E92">
      <w:pPr>
        <w:numPr>
          <w:ilvl w:val="0"/>
          <w:numId w:val="4"/>
        </w:numPr>
        <w:spacing w:line="360" w:lineRule="auto"/>
        <w:contextualSpacing/>
        <w:jc w:val="both"/>
        <w:rPr>
          <w:rFonts w:ascii="David" w:hAnsi="David"/>
          <w:noProof w:val="0"/>
        </w:rPr>
      </w:pPr>
      <w:r>
        <w:rPr>
          <w:rFonts w:ascii="David" w:hAnsi="David"/>
          <w:noProof w:val="0"/>
          <w:rtl/>
        </w:rPr>
        <w:t>פיצוי ל</w:t>
      </w:r>
      <w:r>
        <w:rPr>
          <w:rFonts w:ascii="David" w:hAnsi="David" w:hint="cs"/>
          <w:noProof w:val="0"/>
          <w:rtl/>
        </w:rPr>
        <w:t>כל אחד מ</w:t>
      </w:r>
      <w:r w:rsidRPr="0086125A">
        <w:rPr>
          <w:rFonts w:ascii="David" w:hAnsi="David"/>
          <w:noProof w:val="0"/>
          <w:rtl/>
        </w:rPr>
        <w:t>המתלוננים באישום השנ</w:t>
      </w:r>
      <w:r>
        <w:rPr>
          <w:rFonts w:ascii="David" w:hAnsi="David"/>
          <w:noProof w:val="0"/>
          <w:rtl/>
        </w:rPr>
        <w:t>י על סך 750 ₪</w:t>
      </w:r>
      <w:r w:rsidRPr="0086125A">
        <w:rPr>
          <w:rFonts w:ascii="David" w:hAnsi="David"/>
          <w:noProof w:val="0"/>
          <w:rtl/>
        </w:rPr>
        <w:t xml:space="preserve">. </w:t>
      </w:r>
    </w:p>
    <w:p w14:paraId="443A77A0" w14:textId="77777777" w:rsidR="00AC4E92" w:rsidRPr="0086125A" w:rsidRDefault="00AC4E92" w:rsidP="00AC4E92">
      <w:pPr>
        <w:spacing w:line="360" w:lineRule="auto"/>
        <w:jc w:val="both"/>
        <w:rPr>
          <w:rFonts w:ascii="David" w:hAnsi="David"/>
          <w:noProof w:val="0"/>
          <w:rtl/>
        </w:rPr>
      </w:pPr>
    </w:p>
    <w:p w14:paraId="120C1C14" w14:textId="77777777" w:rsidR="00AC4E92" w:rsidRDefault="00AC4E92" w:rsidP="00AC4E92">
      <w:pPr>
        <w:spacing w:line="360" w:lineRule="auto"/>
        <w:jc w:val="both"/>
        <w:rPr>
          <w:rFonts w:ascii="David" w:hAnsi="David"/>
          <w:noProof w:val="0"/>
          <w:rtl/>
        </w:rPr>
      </w:pPr>
      <w:r w:rsidRPr="0086125A">
        <w:rPr>
          <w:rFonts w:ascii="David" w:hAnsi="David"/>
          <w:noProof w:val="0"/>
          <w:rtl/>
        </w:rPr>
        <w:t xml:space="preserve">זכות ערעור לבית המשפט המחוזי בירושלים בתוך 45 יום מהיום. </w:t>
      </w:r>
    </w:p>
    <w:p w14:paraId="759DF4C4" w14:textId="77777777" w:rsidR="00AC4E92" w:rsidRDefault="00AC4E92" w:rsidP="00AC4E92">
      <w:pPr>
        <w:spacing w:line="360" w:lineRule="auto"/>
        <w:jc w:val="both"/>
        <w:rPr>
          <w:rFonts w:ascii="David" w:hAnsi="David"/>
          <w:noProof w:val="0"/>
          <w:rtl/>
        </w:rPr>
      </w:pPr>
    </w:p>
    <w:p w14:paraId="47C40AAC" w14:textId="77777777" w:rsidR="00AC4E92" w:rsidRPr="0086125A" w:rsidRDefault="00AC4E92" w:rsidP="00AC4E92">
      <w:pPr>
        <w:spacing w:line="360" w:lineRule="auto"/>
        <w:jc w:val="both"/>
        <w:rPr>
          <w:rFonts w:ascii="David" w:hAnsi="David"/>
          <w:b/>
          <w:bCs/>
          <w:noProof w:val="0"/>
          <w:u w:val="single"/>
        </w:rPr>
      </w:pPr>
      <w:r w:rsidRPr="00053BC6">
        <w:rPr>
          <w:rFonts w:ascii="David" w:hAnsi="David" w:hint="cs"/>
          <w:b/>
          <w:bCs/>
          <w:noProof w:val="0"/>
          <w:u w:val="single"/>
          <w:rtl/>
        </w:rPr>
        <w:t xml:space="preserve">המזכירות תשלח העתק גזר הדין לשירות המבחן. </w:t>
      </w:r>
    </w:p>
    <w:p w14:paraId="46DA51E9" w14:textId="77777777" w:rsidR="00AC4E92" w:rsidRPr="0086125A" w:rsidRDefault="00AC4E92" w:rsidP="00AC4E92">
      <w:pPr>
        <w:spacing w:line="360" w:lineRule="auto"/>
        <w:ind w:left="84"/>
        <w:contextualSpacing/>
        <w:jc w:val="both"/>
        <w:rPr>
          <w:rFonts w:ascii="David" w:hAnsi="David"/>
          <w:noProof w:val="0"/>
          <w:rtl/>
        </w:rPr>
      </w:pPr>
    </w:p>
    <w:p w14:paraId="408520ED" w14:textId="77777777" w:rsidR="00AC4E92" w:rsidRPr="00A65C7C" w:rsidRDefault="00AC4E92" w:rsidP="00AC4E92">
      <w:pPr>
        <w:rPr>
          <w:rStyle w:val="FrankRuehl14"/>
          <w:rtl/>
        </w:rPr>
      </w:pPr>
    </w:p>
    <w:p w14:paraId="4E4CF04D" w14:textId="77777777" w:rsidR="00AC4E92" w:rsidRDefault="00213115" w:rsidP="00AC4E92">
      <w:pPr>
        <w:spacing w:line="360" w:lineRule="auto"/>
        <w:jc w:val="both"/>
        <w:rPr>
          <w:rFonts w:ascii="Arial" w:hAnsi="Arial"/>
        </w:rPr>
      </w:pPr>
      <w:bookmarkStart w:id="8" w:name="Nitan"/>
      <w:r>
        <w:rPr>
          <w:rFonts w:ascii="Arial" w:hAnsi="Arial"/>
          <w:rtl/>
        </w:rPr>
        <w:t xml:space="preserve">ניתן היום,  ג' כסלו תשפ"א, 19 נובמבר 2020, במעמד הצדדים ומתורגמן לשפה הערבית (הנאשם </w:t>
      </w:r>
      <w:bookmarkEnd w:id="8"/>
      <w:r w:rsidR="00AC4E92">
        <w:rPr>
          <w:rFonts w:ascii="Arial" w:hAnsi="Arial" w:hint="cs"/>
          <w:rtl/>
        </w:rPr>
        <w:t xml:space="preserve">השתתף בדיון ממקום מעצרו באמצעות </w:t>
      </w:r>
      <w:r w:rsidR="00AC4E92">
        <w:rPr>
          <w:rFonts w:ascii="Arial" w:hAnsi="Arial" w:hint="cs"/>
        </w:rPr>
        <w:t>VC</w:t>
      </w:r>
      <w:r w:rsidR="00AC4E92">
        <w:rPr>
          <w:rFonts w:ascii="Arial" w:hAnsi="Arial" w:hint="cs"/>
          <w:rtl/>
        </w:rPr>
        <w:t>).</w:t>
      </w:r>
    </w:p>
    <w:p w14:paraId="78AB8965" w14:textId="77777777" w:rsidR="00AC4E92" w:rsidRDefault="00AC4E92" w:rsidP="00AC4E92">
      <w:pPr>
        <w:ind w:left="5040"/>
        <w:rPr>
          <w:rStyle w:val="FrankRuehl14"/>
          <w:rtl/>
        </w:rPr>
      </w:pPr>
    </w:p>
    <w:p w14:paraId="67C2D635" w14:textId="77777777" w:rsidR="00AC4E92" w:rsidRPr="00213115" w:rsidRDefault="00213115" w:rsidP="00AC4E92">
      <w:pPr>
        <w:ind w:left="5040"/>
        <w:rPr>
          <w:rStyle w:val="FrankRuehl14"/>
          <w:color w:val="FFFFFF"/>
          <w:sz w:val="2"/>
          <w:szCs w:val="2"/>
          <w:rtl/>
        </w:rPr>
      </w:pPr>
      <w:r w:rsidRPr="00213115">
        <w:rPr>
          <w:rStyle w:val="FrankRuehl14"/>
          <w:color w:val="FFFFFF"/>
          <w:sz w:val="2"/>
          <w:szCs w:val="2"/>
          <w:rtl/>
        </w:rPr>
        <w:t>5129371</w:t>
      </w:r>
    </w:p>
    <w:tbl>
      <w:tblPr>
        <w:bidiVisual/>
        <w:tblW w:w="0" w:type="auto"/>
        <w:tblInd w:w="5040" w:type="dxa"/>
        <w:tblLook w:val="01E0" w:firstRow="1" w:lastRow="1" w:firstColumn="1" w:lastColumn="1" w:noHBand="0" w:noVBand="0"/>
      </w:tblPr>
      <w:tblGrid>
        <w:gridCol w:w="2869"/>
      </w:tblGrid>
      <w:tr w:rsidR="00AC4E92" w14:paraId="0704F25A" w14:textId="77777777" w:rsidTr="00AC4E92">
        <w:tc>
          <w:tcPr>
            <w:tcW w:w="2869" w:type="dxa"/>
            <w:tcBorders>
              <w:top w:val="nil"/>
              <w:left w:val="nil"/>
              <w:bottom w:val="single" w:sz="4" w:space="0" w:color="auto"/>
              <w:right w:val="nil"/>
            </w:tcBorders>
            <w:shd w:val="clear" w:color="auto" w:fill="auto"/>
            <w:vAlign w:val="center"/>
          </w:tcPr>
          <w:p w14:paraId="38A0AC76" w14:textId="77777777" w:rsidR="00AC4E92" w:rsidRPr="00213115" w:rsidRDefault="00213115" w:rsidP="00AC4E92">
            <w:pPr>
              <w:jc w:val="center"/>
              <w:rPr>
                <w:rFonts w:ascii="Courier New" w:hAnsi="Courier New"/>
                <w:b/>
                <w:bCs/>
                <w:color w:val="FFFFFF"/>
                <w:sz w:val="2"/>
                <w:szCs w:val="2"/>
                <w:rtl/>
              </w:rPr>
            </w:pPr>
            <w:r w:rsidRPr="00213115">
              <w:rPr>
                <w:rFonts w:ascii="Courier New" w:hAnsi="Courier New"/>
                <w:b/>
                <w:bCs/>
                <w:color w:val="FFFFFF"/>
                <w:sz w:val="2"/>
                <w:szCs w:val="2"/>
                <w:rtl/>
              </w:rPr>
              <w:t>54678313</w:t>
            </w:r>
          </w:p>
        </w:tc>
      </w:tr>
      <w:tr w:rsidR="00AC4E92" w14:paraId="0FE688C7" w14:textId="77777777" w:rsidTr="00AC4E92">
        <w:tc>
          <w:tcPr>
            <w:tcW w:w="2869" w:type="dxa"/>
            <w:tcBorders>
              <w:top w:val="single" w:sz="4" w:space="0" w:color="auto"/>
              <w:left w:val="nil"/>
              <w:bottom w:val="nil"/>
              <w:right w:val="nil"/>
            </w:tcBorders>
            <w:shd w:val="clear" w:color="auto" w:fill="auto"/>
          </w:tcPr>
          <w:p w14:paraId="63D2251C" w14:textId="77777777" w:rsidR="00AC4E92" w:rsidRPr="00AC4E92" w:rsidRDefault="00AC4E92" w:rsidP="00AC4E92">
            <w:pPr>
              <w:pStyle w:val="3"/>
              <w:spacing w:line="240" w:lineRule="auto"/>
              <w:jc w:val="center"/>
              <w:rPr>
                <w:sz w:val="28"/>
                <w:rtl/>
              </w:rPr>
            </w:pPr>
            <w:r w:rsidRPr="00AC4E92">
              <w:rPr>
                <w:rFonts w:hint="cs"/>
                <w:sz w:val="28"/>
                <w:rtl/>
              </w:rPr>
              <w:t>רבקה פרידמן-פלדמן, שופטת</w:t>
            </w:r>
          </w:p>
        </w:tc>
      </w:tr>
    </w:tbl>
    <w:p w14:paraId="1A19F976" w14:textId="77777777" w:rsidR="00AC4E92" w:rsidRDefault="00AC4E92" w:rsidP="00AC4E92">
      <w:pPr>
        <w:jc w:val="center"/>
        <w:rPr>
          <w:rtl/>
        </w:rPr>
      </w:pPr>
    </w:p>
    <w:p w14:paraId="7183DC10" w14:textId="77777777" w:rsidR="00AC4E92" w:rsidRPr="00A65C7C" w:rsidRDefault="00AC4E92" w:rsidP="00AC4E92">
      <w:pPr>
        <w:rPr>
          <w:rStyle w:val="FrankRuehl14"/>
          <w:rtl/>
        </w:rPr>
      </w:pPr>
    </w:p>
    <w:p w14:paraId="6A9E347E" w14:textId="77777777" w:rsidR="00617E78" w:rsidRPr="00213115" w:rsidRDefault="00617E78" w:rsidP="00213115">
      <w:pPr>
        <w:keepNext/>
        <w:rPr>
          <w:rFonts w:ascii="David" w:hAnsi="David"/>
          <w:color w:val="000000"/>
          <w:sz w:val="22"/>
          <w:szCs w:val="22"/>
          <w:rtl/>
        </w:rPr>
      </w:pPr>
    </w:p>
    <w:p w14:paraId="5250A827" w14:textId="77777777" w:rsidR="00213115" w:rsidRPr="00213115" w:rsidRDefault="00213115" w:rsidP="00213115">
      <w:pPr>
        <w:keepNext/>
        <w:rPr>
          <w:rFonts w:ascii="David" w:hAnsi="David"/>
          <w:color w:val="000000"/>
          <w:sz w:val="22"/>
          <w:szCs w:val="22"/>
          <w:rtl/>
        </w:rPr>
      </w:pPr>
      <w:r w:rsidRPr="00213115">
        <w:rPr>
          <w:rFonts w:ascii="David" w:hAnsi="David"/>
          <w:color w:val="000000"/>
          <w:sz w:val="22"/>
          <w:szCs w:val="22"/>
          <w:rtl/>
        </w:rPr>
        <w:t>רבקה פרידמן פלדמן 54678313</w:t>
      </w:r>
    </w:p>
    <w:p w14:paraId="7B4FCCF6" w14:textId="77777777" w:rsidR="00213115" w:rsidRDefault="00213115" w:rsidP="00213115">
      <w:pPr>
        <w:rPr>
          <w:rFonts w:hint="cs"/>
        </w:rPr>
      </w:pPr>
      <w:r w:rsidRPr="00213115">
        <w:rPr>
          <w:color w:val="000000"/>
          <w:rtl/>
        </w:rPr>
        <w:t>נוסח מסמך זה כפוף לשינויי ניסוח ועריכה</w:t>
      </w:r>
      <w:r w:rsidR="005C6EF7">
        <w:rPr>
          <w:rFonts w:hint="cs"/>
          <w:rtl/>
        </w:rPr>
        <w:t xml:space="preserve"> </w:t>
      </w:r>
    </w:p>
    <w:p w14:paraId="3F76EFAE" w14:textId="77777777" w:rsidR="00213115" w:rsidRDefault="00213115" w:rsidP="00213115">
      <w:pPr>
        <w:rPr>
          <w:rtl/>
        </w:rPr>
      </w:pPr>
    </w:p>
    <w:p w14:paraId="50D5B8DB" w14:textId="77777777" w:rsidR="00213115" w:rsidRDefault="00213115" w:rsidP="00213115">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322190D0" w14:textId="77777777" w:rsidR="00213115" w:rsidRPr="00213115" w:rsidRDefault="00213115" w:rsidP="00213115">
      <w:pPr>
        <w:jc w:val="center"/>
        <w:rPr>
          <w:color w:val="0000FF"/>
          <w:u w:val="single"/>
        </w:rPr>
      </w:pPr>
    </w:p>
    <w:sectPr w:rsidR="00213115" w:rsidRPr="00213115" w:rsidSect="00213115">
      <w:headerReference w:type="even" r:id="rId41"/>
      <w:headerReference w:type="default" r:id="rId42"/>
      <w:footerReference w:type="even" r:id="rId43"/>
      <w:footerReference w:type="default" r:id="rId44"/>
      <w:pgSz w:w="11907" w:h="16840" w:code="9"/>
      <w:pgMar w:top="1701" w:right="1701" w:bottom="2127"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C18DA" w14:textId="77777777" w:rsidR="001C63F4" w:rsidRDefault="001C63F4" w:rsidP="00BE48C2">
      <w:r>
        <w:separator/>
      </w:r>
    </w:p>
  </w:endnote>
  <w:endnote w:type="continuationSeparator" w:id="0">
    <w:p w14:paraId="4D672562" w14:textId="77777777" w:rsidR="001C63F4" w:rsidRDefault="001C63F4" w:rsidP="00BE4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2276" w14:textId="77777777" w:rsidR="00213115" w:rsidRDefault="00213115" w:rsidP="002131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5E6E64E" w14:textId="77777777" w:rsidR="00213115" w:rsidRPr="00213115" w:rsidRDefault="00213115" w:rsidP="002131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08BC" w14:textId="77777777" w:rsidR="00213115" w:rsidRDefault="00213115" w:rsidP="002131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151B0">
      <w:rPr>
        <w:rFonts w:ascii="FrankRuehl" w:hAnsi="FrankRuehl" w:cs="FrankRuehl"/>
        <w:rtl/>
      </w:rPr>
      <w:t>1</w:t>
    </w:r>
    <w:r>
      <w:rPr>
        <w:rFonts w:ascii="FrankRuehl" w:hAnsi="FrankRuehl" w:cs="FrankRuehl"/>
        <w:rtl/>
      </w:rPr>
      <w:fldChar w:fldCharType="end"/>
    </w:r>
  </w:p>
  <w:p w14:paraId="3A4B1AF2" w14:textId="77777777" w:rsidR="00A66C73" w:rsidRPr="00213115" w:rsidRDefault="00213115" w:rsidP="00213115">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1111F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1064" w14:textId="77777777" w:rsidR="001C63F4" w:rsidRDefault="001C63F4" w:rsidP="00BE48C2">
      <w:r>
        <w:separator/>
      </w:r>
    </w:p>
  </w:footnote>
  <w:footnote w:type="continuationSeparator" w:id="0">
    <w:p w14:paraId="5BC53605" w14:textId="77777777" w:rsidR="001C63F4" w:rsidRDefault="001C63F4" w:rsidP="00BE4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3DC6" w14:textId="77777777" w:rsidR="00213115" w:rsidRPr="00213115" w:rsidRDefault="00213115" w:rsidP="002131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68368-12-19</w:t>
    </w:r>
    <w:r>
      <w:rPr>
        <w:rFonts w:ascii="David" w:hAnsi="David"/>
        <w:color w:val="000000"/>
        <w:sz w:val="22"/>
        <w:szCs w:val="22"/>
        <w:rtl/>
      </w:rPr>
      <w:tab/>
      <w:t xml:space="preserve"> מדינת ישראל נ' מועאז סלאימה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28A7" w14:textId="77777777" w:rsidR="00213115" w:rsidRPr="00213115" w:rsidRDefault="00213115" w:rsidP="002131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68368-12-19</w:t>
    </w:r>
    <w:r>
      <w:rPr>
        <w:rFonts w:ascii="David" w:hAnsi="David"/>
        <w:color w:val="000000"/>
        <w:sz w:val="22"/>
        <w:szCs w:val="22"/>
        <w:rtl/>
      </w:rPr>
      <w:tab/>
      <w:t xml:space="preserve"> מדינת ישראל נ' מועאז סלאימה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89E"/>
    <w:multiLevelType w:val="hybridMultilevel"/>
    <w:tmpl w:val="79E844D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2FBB5F38"/>
    <w:multiLevelType w:val="hybridMultilevel"/>
    <w:tmpl w:val="1FA8EEDE"/>
    <w:lvl w:ilvl="0" w:tplc="6896A0EA">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D2C755E"/>
    <w:multiLevelType w:val="hybridMultilevel"/>
    <w:tmpl w:val="CCAC5F74"/>
    <w:lvl w:ilvl="0" w:tplc="04090013">
      <w:start w:val="1"/>
      <w:numFmt w:val="hebrew1"/>
      <w:lvlText w:val="%1."/>
      <w:lvlJc w:val="center"/>
      <w:pPr>
        <w:ind w:left="804" w:hanging="360"/>
      </w:pPr>
      <w:rPr>
        <w:rFonts w:cs="Times New Roman"/>
      </w:rPr>
    </w:lvl>
    <w:lvl w:ilvl="1" w:tplc="04090019" w:tentative="1">
      <w:start w:val="1"/>
      <w:numFmt w:val="lowerLetter"/>
      <w:lvlText w:val="%2."/>
      <w:lvlJc w:val="left"/>
      <w:pPr>
        <w:ind w:left="1524" w:hanging="360"/>
      </w:pPr>
      <w:rPr>
        <w:rFonts w:cs="Times New Roman"/>
      </w:rPr>
    </w:lvl>
    <w:lvl w:ilvl="2" w:tplc="0409001B" w:tentative="1">
      <w:start w:val="1"/>
      <w:numFmt w:val="lowerRoman"/>
      <w:lvlText w:val="%3."/>
      <w:lvlJc w:val="right"/>
      <w:pPr>
        <w:ind w:left="2244" w:hanging="180"/>
      </w:pPr>
      <w:rPr>
        <w:rFonts w:cs="Times New Roman"/>
      </w:rPr>
    </w:lvl>
    <w:lvl w:ilvl="3" w:tplc="0409000F" w:tentative="1">
      <w:start w:val="1"/>
      <w:numFmt w:val="decimal"/>
      <w:lvlText w:val="%4."/>
      <w:lvlJc w:val="left"/>
      <w:pPr>
        <w:ind w:left="2964" w:hanging="360"/>
      </w:pPr>
      <w:rPr>
        <w:rFonts w:cs="Times New Roman"/>
      </w:rPr>
    </w:lvl>
    <w:lvl w:ilvl="4" w:tplc="04090019" w:tentative="1">
      <w:start w:val="1"/>
      <w:numFmt w:val="lowerLetter"/>
      <w:lvlText w:val="%5."/>
      <w:lvlJc w:val="left"/>
      <w:pPr>
        <w:ind w:left="3684" w:hanging="360"/>
      </w:pPr>
      <w:rPr>
        <w:rFonts w:cs="Times New Roman"/>
      </w:rPr>
    </w:lvl>
    <w:lvl w:ilvl="5" w:tplc="0409001B" w:tentative="1">
      <w:start w:val="1"/>
      <w:numFmt w:val="lowerRoman"/>
      <w:lvlText w:val="%6."/>
      <w:lvlJc w:val="right"/>
      <w:pPr>
        <w:ind w:left="4404" w:hanging="180"/>
      </w:pPr>
      <w:rPr>
        <w:rFonts w:cs="Times New Roman"/>
      </w:rPr>
    </w:lvl>
    <w:lvl w:ilvl="6" w:tplc="0409000F" w:tentative="1">
      <w:start w:val="1"/>
      <w:numFmt w:val="decimal"/>
      <w:lvlText w:val="%7."/>
      <w:lvlJc w:val="left"/>
      <w:pPr>
        <w:ind w:left="5124" w:hanging="360"/>
      </w:pPr>
      <w:rPr>
        <w:rFonts w:cs="Times New Roman"/>
      </w:rPr>
    </w:lvl>
    <w:lvl w:ilvl="7" w:tplc="04090019" w:tentative="1">
      <w:start w:val="1"/>
      <w:numFmt w:val="lowerLetter"/>
      <w:lvlText w:val="%8."/>
      <w:lvlJc w:val="left"/>
      <w:pPr>
        <w:ind w:left="5844" w:hanging="360"/>
      </w:pPr>
      <w:rPr>
        <w:rFonts w:cs="Times New Roman"/>
      </w:rPr>
    </w:lvl>
    <w:lvl w:ilvl="8" w:tplc="0409001B" w:tentative="1">
      <w:start w:val="1"/>
      <w:numFmt w:val="lowerRoman"/>
      <w:lvlText w:val="%9."/>
      <w:lvlJc w:val="right"/>
      <w:pPr>
        <w:ind w:left="6564" w:hanging="180"/>
      </w:pPr>
      <w:rPr>
        <w:rFonts w:cs="Times New Roman"/>
      </w:rPr>
    </w:lvl>
  </w:abstractNum>
  <w:abstractNum w:abstractNumId="3" w15:restartNumberingAfterBreak="0">
    <w:nsid w:val="619A0CA8"/>
    <w:multiLevelType w:val="hybridMultilevel"/>
    <w:tmpl w:val="5EFA1A1A"/>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hint="default"/>
      </w:rPr>
    </w:lvl>
    <w:lvl w:ilvl="8" w:tplc="04090005" w:tentative="1">
      <w:start w:val="1"/>
      <w:numFmt w:val="bullet"/>
      <w:lvlText w:val=""/>
      <w:lvlJc w:val="left"/>
      <w:pPr>
        <w:ind w:left="6564" w:hanging="360"/>
      </w:pPr>
      <w:rPr>
        <w:rFonts w:ascii="Wingdings" w:hAnsi="Wingdings" w:hint="default"/>
      </w:rPr>
    </w:lvl>
  </w:abstractNum>
  <w:num w:numId="1" w16cid:durableId="2004122663">
    <w:abstractNumId w:val="1"/>
  </w:num>
  <w:num w:numId="2" w16cid:durableId="1148747677">
    <w:abstractNumId w:val="3"/>
  </w:num>
  <w:num w:numId="3" w16cid:durableId="1825120129">
    <w:abstractNumId w:val="0"/>
  </w:num>
  <w:num w:numId="4" w16cid:durableId="1390419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4E92"/>
    <w:rsid w:val="000D78E8"/>
    <w:rsid w:val="001C63F4"/>
    <w:rsid w:val="00213115"/>
    <w:rsid w:val="00305DFD"/>
    <w:rsid w:val="003151B0"/>
    <w:rsid w:val="003A33AF"/>
    <w:rsid w:val="003E14C8"/>
    <w:rsid w:val="005C6EF7"/>
    <w:rsid w:val="00603DDB"/>
    <w:rsid w:val="00617E78"/>
    <w:rsid w:val="006C06CA"/>
    <w:rsid w:val="006C72CA"/>
    <w:rsid w:val="008A1575"/>
    <w:rsid w:val="00A66C73"/>
    <w:rsid w:val="00AC4E92"/>
    <w:rsid w:val="00BE48C2"/>
    <w:rsid w:val="00F407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E740D4"/>
  <w15:chartTrackingRefBased/>
  <w15:docId w15:val="{10B15167-8BF2-4A6E-A024-BAA77BD6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4E92"/>
    <w:pPr>
      <w:bidi/>
    </w:pPr>
    <w:rPr>
      <w:rFonts w:ascii="Times New Roman" w:eastAsia="Times New Roman" w:hAnsi="Times New Roman" w:cs="David"/>
      <w:noProof/>
      <w:sz w:val="24"/>
      <w:szCs w:val="24"/>
    </w:rPr>
  </w:style>
  <w:style w:type="paragraph" w:styleId="3">
    <w:name w:val="heading 3"/>
    <w:basedOn w:val="a"/>
    <w:next w:val="a"/>
    <w:link w:val="30"/>
    <w:qFormat/>
    <w:rsid w:val="00AC4E92"/>
    <w:pPr>
      <w:keepNext/>
      <w:spacing w:line="360" w:lineRule="auto"/>
      <w:jc w:val="both"/>
      <w:outlineLvl w:val="2"/>
    </w:pPr>
    <w:rPr>
      <w:b/>
      <w:bCs/>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AC4E92"/>
    <w:rPr>
      <w:rFonts w:ascii="Times New Roman" w:eastAsia="Times New Roman" w:hAnsi="Times New Roman" w:cs="David"/>
      <w:b/>
      <w:bCs/>
      <w:noProof/>
      <w:sz w:val="20"/>
      <w:szCs w:val="24"/>
      <w:lang w:eastAsia="he-IL"/>
    </w:rPr>
  </w:style>
  <w:style w:type="paragraph" w:styleId="a3">
    <w:name w:val="header"/>
    <w:basedOn w:val="a"/>
    <w:link w:val="a4"/>
    <w:rsid w:val="00AC4E92"/>
    <w:pPr>
      <w:tabs>
        <w:tab w:val="center" w:pos="4153"/>
        <w:tab w:val="right" w:pos="8306"/>
      </w:tabs>
    </w:pPr>
  </w:style>
  <w:style w:type="character" w:customStyle="1" w:styleId="a4">
    <w:name w:val="כותרת עליונה תו"/>
    <w:link w:val="a3"/>
    <w:rsid w:val="00AC4E92"/>
    <w:rPr>
      <w:rFonts w:ascii="Times New Roman" w:eastAsia="Times New Roman" w:hAnsi="Times New Roman" w:cs="David"/>
      <w:noProof/>
      <w:sz w:val="24"/>
      <w:szCs w:val="24"/>
    </w:rPr>
  </w:style>
  <w:style w:type="paragraph" w:styleId="a5">
    <w:name w:val="footer"/>
    <w:basedOn w:val="a"/>
    <w:link w:val="a6"/>
    <w:rsid w:val="00AC4E92"/>
    <w:pPr>
      <w:tabs>
        <w:tab w:val="center" w:pos="4153"/>
        <w:tab w:val="right" w:pos="8306"/>
      </w:tabs>
    </w:pPr>
  </w:style>
  <w:style w:type="character" w:customStyle="1" w:styleId="a6">
    <w:name w:val="כותרת תחתונה תו"/>
    <w:link w:val="a5"/>
    <w:rsid w:val="00AC4E92"/>
    <w:rPr>
      <w:rFonts w:ascii="Times New Roman" w:eastAsia="Times New Roman" w:hAnsi="Times New Roman" w:cs="David"/>
      <w:noProof/>
      <w:sz w:val="24"/>
      <w:szCs w:val="24"/>
    </w:rPr>
  </w:style>
  <w:style w:type="table" w:styleId="a7">
    <w:name w:val="Table Grid"/>
    <w:basedOn w:val="a1"/>
    <w:rsid w:val="00AC4E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AC4E92"/>
    <w:rPr>
      <w:rFonts w:ascii="Arial" w:hAnsi="Arial" w:cs="David"/>
      <w:sz w:val="28"/>
      <w:szCs w:val="24"/>
    </w:rPr>
  </w:style>
  <w:style w:type="character" w:customStyle="1" w:styleId="FrankRuehl14">
    <w:name w:val="סגנון (עברית ושפות אחרות) FrankRuehl ‏14 נק'"/>
    <w:rsid w:val="00AC4E92"/>
    <w:rPr>
      <w:rFonts w:cs="David"/>
      <w:sz w:val="28"/>
      <w:szCs w:val="24"/>
    </w:rPr>
  </w:style>
  <w:style w:type="character" w:styleId="a8">
    <w:name w:val="page number"/>
    <w:rsid w:val="00213115"/>
  </w:style>
  <w:style w:type="character" w:styleId="Hyperlink">
    <w:name w:val="Hyperlink"/>
    <w:rsid w:val="002131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f" TargetMode="External"/><Relationship Id="rId18" Type="http://schemas.openxmlformats.org/officeDocument/2006/relationships/hyperlink" Target="http://www.nevo.co.il/law/70301/448.a" TargetMode="External"/><Relationship Id="rId26" Type="http://schemas.openxmlformats.org/officeDocument/2006/relationships/hyperlink" Target="http://www.nevo.co.il/case/26312599" TargetMode="External"/><Relationship Id="rId39" Type="http://schemas.openxmlformats.org/officeDocument/2006/relationships/hyperlink" Target="http://www.nevo.co.il/case/21044600"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case/23879124"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48.a" TargetMode="External"/><Relationship Id="rId29" Type="http://schemas.openxmlformats.org/officeDocument/2006/relationships/hyperlink" Target="http://www.nevo.co.il/law/70301/40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379" TargetMode="External"/><Relationship Id="rId32" Type="http://schemas.openxmlformats.org/officeDocument/2006/relationships/hyperlink" Target="http://www.nevo.co.il/case/21044600" TargetMode="External"/><Relationship Id="rId37" Type="http://schemas.openxmlformats.org/officeDocument/2006/relationships/hyperlink" Target="http://www.nevo.co.il/case/21904972"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6161347" TargetMode="External"/><Relationship Id="rId28" Type="http://schemas.openxmlformats.org/officeDocument/2006/relationships/hyperlink" Target="http://www.nevo.co.il/law/70301/40b" TargetMode="External"/><Relationship Id="rId36" Type="http://schemas.openxmlformats.org/officeDocument/2006/relationships/hyperlink" Target="http://www.nevo.co.il/case/21865090" TargetMode="External"/><Relationship Id="rId10" Type="http://schemas.openxmlformats.org/officeDocument/2006/relationships/hyperlink" Target="http://www.nevo.co.il/law/70301/40c" TargetMode="External"/><Relationship Id="rId19" Type="http://schemas.openxmlformats.org/officeDocument/2006/relationships/hyperlink" Target="http://www.nevo.co.il/law/70301/25" TargetMode="External"/><Relationship Id="rId31" Type="http://schemas.openxmlformats.org/officeDocument/2006/relationships/hyperlink" Target="http://www.nevo.co.il/case/5587202"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379"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6161347"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case/18007225" TargetMode="External"/><Relationship Id="rId43" Type="http://schemas.openxmlformats.org/officeDocument/2006/relationships/footer" Target="footer1.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case/26312599" TargetMode="External"/><Relationship Id="rId25" Type="http://schemas.openxmlformats.org/officeDocument/2006/relationships/hyperlink" Target="http://www.nevo.co.il/law/70301/144f" TargetMode="External"/><Relationship Id="rId33" Type="http://schemas.openxmlformats.org/officeDocument/2006/relationships/hyperlink" Target="http://www.nevo.co.il/case/23506710" TargetMode="External"/><Relationship Id="rId38" Type="http://schemas.openxmlformats.org/officeDocument/2006/relationships/hyperlink" Target="http://www.nevo.co.il/case/20343112" TargetMode="External"/><Relationship Id="rId46"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2966</Words>
  <Characters>14835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17766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3539063</vt:i4>
      </vt:variant>
      <vt:variant>
        <vt:i4>96</vt:i4>
      </vt:variant>
      <vt:variant>
        <vt:i4>0</vt:i4>
      </vt:variant>
      <vt:variant>
        <vt:i4>5</vt:i4>
      </vt:variant>
      <vt:variant>
        <vt:lpwstr>http://www.nevo.co.il/case/21044600</vt:lpwstr>
      </vt:variant>
      <vt:variant>
        <vt:lpwstr/>
      </vt:variant>
      <vt:variant>
        <vt:i4>3342449</vt:i4>
      </vt:variant>
      <vt:variant>
        <vt:i4>93</vt:i4>
      </vt:variant>
      <vt:variant>
        <vt:i4>0</vt:i4>
      </vt:variant>
      <vt:variant>
        <vt:i4>5</vt:i4>
      </vt:variant>
      <vt:variant>
        <vt:lpwstr>http://www.nevo.co.il/case/20343112</vt:lpwstr>
      </vt:variant>
      <vt:variant>
        <vt:lpwstr/>
      </vt:variant>
      <vt:variant>
        <vt:i4>3670140</vt:i4>
      </vt:variant>
      <vt:variant>
        <vt:i4>90</vt:i4>
      </vt:variant>
      <vt:variant>
        <vt:i4>0</vt:i4>
      </vt:variant>
      <vt:variant>
        <vt:i4>5</vt:i4>
      </vt:variant>
      <vt:variant>
        <vt:lpwstr>http://www.nevo.co.il/case/21904972</vt:lpwstr>
      </vt:variant>
      <vt:variant>
        <vt:lpwstr/>
      </vt:variant>
      <vt:variant>
        <vt:i4>3539059</vt:i4>
      </vt:variant>
      <vt:variant>
        <vt:i4>87</vt:i4>
      </vt:variant>
      <vt:variant>
        <vt:i4>0</vt:i4>
      </vt:variant>
      <vt:variant>
        <vt:i4>5</vt:i4>
      </vt:variant>
      <vt:variant>
        <vt:lpwstr>http://www.nevo.co.il/case/21865090</vt:lpwstr>
      </vt:variant>
      <vt:variant>
        <vt:lpwstr/>
      </vt:variant>
      <vt:variant>
        <vt:i4>3407998</vt:i4>
      </vt:variant>
      <vt:variant>
        <vt:i4>84</vt:i4>
      </vt:variant>
      <vt:variant>
        <vt:i4>0</vt:i4>
      </vt:variant>
      <vt:variant>
        <vt:i4>5</vt:i4>
      </vt:variant>
      <vt:variant>
        <vt:lpwstr>http://www.nevo.co.il/case/18007225</vt:lpwstr>
      </vt:variant>
      <vt:variant>
        <vt:lpwstr/>
      </vt:variant>
      <vt:variant>
        <vt:i4>3211377</vt:i4>
      </vt:variant>
      <vt:variant>
        <vt:i4>81</vt:i4>
      </vt:variant>
      <vt:variant>
        <vt:i4>0</vt:i4>
      </vt:variant>
      <vt:variant>
        <vt:i4>5</vt:i4>
      </vt:variant>
      <vt:variant>
        <vt:lpwstr>http://www.nevo.co.il/case/23879124</vt:lpwstr>
      </vt:variant>
      <vt:variant>
        <vt:lpwstr/>
      </vt:variant>
      <vt:variant>
        <vt:i4>3145840</vt:i4>
      </vt:variant>
      <vt:variant>
        <vt:i4>78</vt:i4>
      </vt:variant>
      <vt:variant>
        <vt:i4>0</vt:i4>
      </vt:variant>
      <vt:variant>
        <vt:i4>5</vt:i4>
      </vt:variant>
      <vt:variant>
        <vt:lpwstr>http://www.nevo.co.il/case/23506710</vt:lpwstr>
      </vt:variant>
      <vt:variant>
        <vt:lpwstr/>
      </vt:variant>
      <vt:variant>
        <vt:i4>3539063</vt:i4>
      </vt:variant>
      <vt:variant>
        <vt:i4>75</vt:i4>
      </vt:variant>
      <vt:variant>
        <vt:i4>0</vt:i4>
      </vt:variant>
      <vt:variant>
        <vt:i4>5</vt:i4>
      </vt:variant>
      <vt:variant>
        <vt:lpwstr>http://www.nevo.co.il/case/21044600</vt:lpwstr>
      </vt:variant>
      <vt:variant>
        <vt:lpwstr/>
      </vt:variant>
      <vt:variant>
        <vt:i4>3997814</vt:i4>
      </vt:variant>
      <vt:variant>
        <vt:i4>72</vt:i4>
      </vt:variant>
      <vt:variant>
        <vt:i4>0</vt:i4>
      </vt:variant>
      <vt:variant>
        <vt:i4>5</vt:i4>
      </vt:variant>
      <vt:variant>
        <vt:lpwstr>http://www.nevo.co.il/case/5587202</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3539063</vt:i4>
      </vt:variant>
      <vt:variant>
        <vt:i4>60</vt:i4>
      </vt:variant>
      <vt:variant>
        <vt:i4>0</vt:i4>
      </vt:variant>
      <vt:variant>
        <vt:i4>5</vt:i4>
      </vt:variant>
      <vt:variant>
        <vt:lpwstr>http://www.nevo.co.il/case/26161347</vt:lpwstr>
      </vt:variant>
      <vt:variant>
        <vt:lpwstr/>
      </vt:variant>
      <vt:variant>
        <vt:i4>3801206</vt:i4>
      </vt:variant>
      <vt:variant>
        <vt:i4>57</vt:i4>
      </vt:variant>
      <vt:variant>
        <vt:i4>0</vt:i4>
      </vt:variant>
      <vt:variant>
        <vt:i4>5</vt:i4>
      </vt:variant>
      <vt:variant>
        <vt:lpwstr>http://www.nevo.co.il/case/26312599</vt:lpwstr>
      </vt:variant>
      <vt:variant>
        <vt:lpwstr/>
      </vt:variant>
      <vt:variant>
        <vt:i4>458832</vt:i4>
      </vt:variant>
      <vt:variant>
        <vt:i4>54</vt:i4>
      </vt:variant>
      <vt:variant>
        <vt:i4>0</vt:i4>
      </vt:variant>
      <vt:variant>
        <vt:i4>5</vt:i4>
      </vt:variant>
      <vt:variant>
        <vt:lpwstr>http://www.nevo.co.il/law/70301/144f</vt:lpwstr>
      </vt:variant>
      <vt:variant>
        <vt:lpwstr/>
      </vt:variant>
      <vt:variant>
        <vt:i4>6422630</vt:i4>
      </vt:variant>
      <vt:variant>
        <vt:i4>51</vt:i4>
      </vt:variant>
      <vt:variant>
        <vt:i4>0</vt:i4>
      </vt:variant>
      <vt:variant>
        <vt:i4>5</vt:i4>
      </vt:variant>
      <vt:variant>
        <vt:lpwstr>http://www.nevo.co.il/law/70301/379</vt:lpwstr>
      </vt:variant>
      <vt:variant>
        <vt:lpwstr/>
      </vt:variant>
      <vt:variant>
        <vt:i4>3539063</vt:i4>
      </vt:variant>
      <vt:variant>
        <vt:i4>48</vt:i4>
      </vt:variant>
      <vt:variant>
        <vt:i4>0</vt:i4>
      </vt:variant>
      <vt:variant>
        <vt:i4>5</vt:i4>
      </vt:variant>
      <vt:variant>
        <vt:lpwstr>http://www.nevo.co.il/case/26161347</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5177433</vt:i4>
      </vt:variant>
      <vt:variant>
        <vt:i4>33</vt:i4>
      </vt:variant>
      <vt:variant>
        <vt:i4>0</vt:i4>
      </vt:variant>
      <vt:variant>
        <vt:i4>5</vt:i4>
      </vt:variant>
      <vt:variant>
        <vt:lpwstr>http://www.nevo.co.il/law/70301/448.a</vt:lpwstr>
      </vt:variant>
      <vt:variant>
        <vt:lpwstr/>
      </vt:variant>
      <vt:variant>
        <vt:i4>3801206</vt:i4>
      </vt:variant>
      <vt:variant>
        <vt:i4>30</vt:i4>
      </vt:variant>
      <vt:variant>
        <vt:i4>0</vt:i4>
      </vt:variant>
      <vt:variant>
        <vt:i4>5</vt:i4>
      </vt:variant>
      <vt:variant>
        <vt:lpwstr>http://www.nevo.co.il/case/26312599</vt:lpwstr>
      </vt:variant>
      <vt:variant>
        <vt:lpwstr/>
      </vt:variant>
      <vt:variant>
        <vt:i4>5177433</vt:i4>
      </vt:variant>
      <vt:variant>
        <vt:i4>27</vt:i4>
      </vt:variant>
      <vt:variant>
        <vt:i4>0</vt:i4>
      </vt:variant>
      <vt:variant>
        <vt:i4>5</vt:i4>
      </vt:variant>
      <vt:variant>
        <vt:lpwstr>http://www.nevo.co.il/law/70301/448.a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458832</vt:i4>
      </vt:variant>
      <vt:variant>
        <vt:i4>18</vt:i4>
      </vt:variant>
      <vt:variant>
        <vt:i4>0</vt:i4>
      </vt:variant>
      <vt:variant>
        <vt:i4>5</vt:i4>
      </vt:variant>
      <vt:variant>
        <vt:lpwstr>http://www.nevo.co.il/law/70301/144f</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2023-12-07T12:28:00Z</dcterms:created>
  <dcterms:modified xsi:type="dcterms:W3CDTF">2023-12-07T12:28:00Z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68368</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מועאז סלאימה</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20201119</vt:lpwstr>
  </property>
  <property fmtid="{D5CDD505-2E9C-101B-9397-08002B2CF9AE}" pid="13" name="TYPE_N_DATE">
    <vt:lpwstr>39020201119</vt:lpwstr>
  </property>
  <property fmtid="{D5CDD505-2E9C-101B-9397-08002B2CF9AE}" pid="14" name="WORDNUMPAGES">
    <vt:lpwstr>9</vt:lpwstr>
  </property>
  <property fmtid="{D5CDD505-2E9C-101B-9397-08002B2CF9AE}" pid="15" name="TYPE_ABS_DATE">
    <vt:lpwstr>390020201119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26312599:2;26161347:2;5587202;21044600:2;23506710;23879124;18007225;21865090;21904972;20343112</vt:lpwstr>
  </property>
  <property fmtid="{D5CDD505-2E9C-101B-9397-08002B2CF9AE}" pid="36" name="LAWLISTTMP1">
    <vt:lpwstr>70301/448.a;025;144.b2;144.b;379;144f;040b;040c;40ja</vt:lpwstr>
  </property>
</Properties>
</file>