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BD0437" w:rsidRPr="005C3C28" w14:paraId="292773C4" w14:textId="77777777" w:rsidTr="005D4589">
        <w:trPr>
          <w:trHeight w:hRule="exact" w:val="418"/>
          <w:jc w:val="center"/>
        </w:trPr>
        <w:tc>
          <w:tcPr>
            <w:tcW w:w="8721" w:type="dxa"/>
            <w:gridSpan w:val="2"/>
          </w:tcPr>
          <w:p w14:paraId="72365352" w14:textId="77777777" w:rsidR="00BD0437" w:rsidRPr="005C3C28" w:rsidRDefault="00BD0437" w:rsidP="00783260">
            <w:pPr>
              <w:pStyle w:val="a3"/>
              <w:jc w:val="center"/>
              <w:rPr>
                <w:rFonts w:ascii="Tahoma" w:hAnsi="Tahoma" w:cs="Tahoma"/>
                <w:color w:val="000080"/>
                <w:rtl/>
              </w:rPr>
            </w:pPr>
            <w:bookmarkStart w:id="0" w:name="LastJudge"/>
            <w:r w:rsidRPr="005C3C28">
              <w:rPr>
                <w:rFonts w:ascii="Tahoma" w:hAnsi="Tahoma" w:cs="Tahoma"/>
                <w:b/>
                <w:bCs/>
                <w:color w:val="000080"/>
                <w:rtl/>
              </w:rPr>
              <w:t>בית המשפט המחוזי בחיפה</w:t>
            </w:r>
          </w:p>
        </w:tc>
      </w:tr>
      <w:tr w:rsidR="00BD0437" w:rsidRPr="005C3C28" w14:paraId="7BFCE0CA" w14:textId="77777777" w:rsidTr="005D4589">
        <w:trPr>
          <w:trHeight w:val="337"/>
          <w:jc w:val="center"/>
        </w:trPr>
        <w:tc>
          <w:tcPr>
            <w:tcW w:w="5054" w:type="dxa"/>
          </w:tcPr>
          <w:p w14:paraId="6990ED28" w14:textId="77777777" w:rsidR="00BD0437" w:rsidRPr="005C3C28" w:rsidRDefault="00BD0437" w:rsidP="00783260">
            <w:pPr>
              <w:rPr>
                <w:rFonts w:cs="FrankRuehl"/>
                <w:sz w:val="28"/>
                <w:szCs w:val="28"/>
                <w:rtl/>
              </w:rPr>
            </w:pPr>
            <w:r w:rsidRPr="005C3C28">
              <w:rPr>
                <w:rFonts w:cs="FrankRuehl"/>
                <w:sz w:val="28"/>
                <w:szCs w:val="28"/>
                <w:rtl/>
              </w:rPr>
              <w:t>ת"פ</w:t>
            </w:r>
            <w:r w:rsidRPr="005C3C28">
              <w:rPr>
                <w:rFonts w:cs="FrankRuehl" w:hint="cs"/>
                <w:sz w:val="28"/>
                <w:szCs w:val="28"/>
                <w:rtl/>
              </w:rPr>
              <w:t xml:space="preserve"> </w:t>
            </w:r>
            <w:r w:rsidRPr="005C3C28">
              <w:rPr>
                <w:rFonts w:cs="FrankRuehl"/>
                <w:sz w:val="28"/>
                <w:szCs w:val="28"/>
                <w:rtl/>
              </w:rPr>
              <w:t>11134-01-19</w:t>
            </w:r>
            <w:r w:rsidRPr="005C3C28">
              <w:rPr>
                <w:rFonts w:cs="FrankRuehl" w:hint="cs"/>
                <w:sz w:val="28"/>
                <w:szCs w:val="28"/>
                <w:rtl/>
              </w:rPr>
              <w:t xml:space="preserve"> </w:t>
            </w:r>
            <w:r w:rsidRPr="005C3C28">
              <w:rPr>
                <w:rFonts w:cs="FrankRuehl"/>
                <w:sz w:val="28"/>
                <w:szCs w:val="28"/>
                <w:rtl/>
              </w:rPr>
              <w:t>מדינת ישראל נ' אסדי</w:t>
            </w:r>
          </w:p>
          <w:p w14:paraId="77E71841" w14:textId="77777777" w:rsidR="00BD0437" w:rsidRPr="005C3C28" w:rsidRDefault="00BD0437" w:rsidP="00783260">
            <w:pPr>
              <w:pStyle w:val="a3"/>
              <w:rPr>
                <w:rFonts w:cs="FrankRuehl"/>
                <w:sz w:val="28"/>
                <w:szCs w:val="28"/>
                <w:rtl/>
              </w:rPr>
            </w:pPr>
          </w:p>
        </w:tc>
        <w:tc>
          <w:tcPr>
            <w:tcW w:w="3667" w:type="dxa"/>
          </w:tcPr>
          <w:p w14:paraId="779A780F" w14:textId="77777777" w:rsidR="00BD0437" w:rsidRPr="005C3C28" w:rsidRDefault="00BD0437" w:rsidP="00783260">
            <w:pPr>
              <w:pStyle w:val="a3"/>
              <w:jc w:val="right"/>
              <w:rPr>
                <w:rFonts w:cs="FrankRuehl"/>
                <w:sz w:val="28"/>
                <w:szCs w:val="28"/>
                <w:rtl/>
              </w:rPr>
            </w:pPr>
          </w:p>
        </w:tc>
      </w:tr>
    </w:tbl>
    <w:p w14:paraId="2F48A3A3" w14:textId="77777777" w:rsidR="00BD0437" w:rsidRPr="005C3C28" w:rsidRDefault="00BD0437" w:rsidP="00BD0437">
      <w:pPr>
        <w:pStyle w:val="a3"/>
        <w:rPr>
          <w:rtl/>
        </w:rPr>
      </w:pPr>
      <w:r w:rsidRPr="005C3C28">
        <w:rPr>
          <w:rFonts w:hint="cs"/>
          <w:rtl/>
        </w:rPr>
        <w:t xml:space="preserve"> </w:t>
      </w:r>
    </w:p>
    <w:p w14:paraId="10BA809B" w14:textId="77777777" w:rsidR="00BD0437" w:rsidRPr="005C3C28" w:rsidRDefault="00BD0437" w:rsidP="00BD0437">
      <w:pPr>
        <w:rPr>
          <w:rtl/>
        </w:rPr>
      </w:pPr>
    </w:p>
    <w:p w14:paraId="5DE46C5C" w14:textId="77777777" w:rsidR="00BD0437" w:rsidRPr="005C3C28" w:rsidRDefault="00BD0437" w:rsidP="00BD043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D0437" w:rsidRPr="005C3C28" w14:paraId="527C3CDD" w14:textId="77777777" w:rsidTr="00BD0437">
        <w:trPr>
          <w:trHeight w:val="295"/>
          <w:jc w:val="center"/>
        </w:trPr>
        <w:tc>
          <w:tcPr>
            <w:tcW w:w="923" w:type="dxa"/>
            <w:tcBorders>
              <w:top w:val="nil"/>
              <w:left w:val="nil"/>
              <w:bottom w:val="nil"/>
              <w:right w:val="nil"/>
            </w:tcBorders>
            <w:shd w:val="clear" w:color="auto" w:fill="auto"/>
          </w:tcPr>
          <w:p w14:paraId="1F1DEC27" w14:textId="77777777" w:rsidR="00BD0437" w:rsidRPr="005C3C28" w:rsidRDefault="00BD0437" w:rsidP="00BD0437">
            <w:pPr>
              <w:jc w:val="both"/>
              <w:rPr>
                <w:rFonts w:ascii="David" w:hAnsi="David"/>
                <w:b/>
                <w:bCs/>
                <w:sz w:val="26"/>
                <w:szCs w:val="26"/>
              </w:rPr>
            </w:pPr>
            <w:r w:rsidRPr="005C3C28">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59F948C4" w14:textId="77777777" w:rsidR="00BD0437" w:rsidRPr="005C3C28" w:rsidRDefault="00BD0437" w:rsidP="00783260">
            <w:pPr>
              <w:rPr>
                <w:rFonts w:ascii="David" w:hAnsi="David"/>
                <w:b/>
                <w:bCs/>
                <w:sz w:val="26"/>
                <w:szCs w:val="26"/>
                <w:rtl/>
              </w:rPr>
            </w:pPr>
            <w:r w:rsidRPr="005C3C28">
              <w:rPr>
                <w:rFonts w:ascii="David" w:hAnsi="David"/>
                <w:b/>
                <w:bCs/>
                <w:sz w:val="26"/>
                <w:szCs w:val="26"/>
                <w:rtl/>
              </w:rPr>
              <w:t>כבוד השופטת  רונית בש</w:t>
            </w:r>
          </w:p>
          <w:p w14:paraId="4B6974AC" w14:textId="77777777" w:rsidR="00BD0437" w:rsidRPr="005C3C28" w:rsidRDefault="00BD0437" w:rsidP="00783260">
            <w:pPr>
              <w:rPr>
                <w:rFonts w:ascii="David" w:hAnsi="David"/>
                <w:b/>
                <w:bCs/>
                <w:sz w:val="26"/>
                <w:szCs w:val="26"/>
                <w:rtl/>
              </w:rPr>
            </w:pPr>
          </w:p>
          <w:p w14:paraId="27ADD2C9" w14:textId="77777777" w:rsidR="00BD0437" w:rsidRPr="005C3C28" w:rsidRDefault="00BD0437" w:rsidP="00BD0437">
            <w:pPr>
              <w:jc w:val="both"/>
              <w:rPr>
                <w:rFonts w:ascii="David" w:hAnsi="David"/>
                <w:b/>
                <w:bCs/>
                <w:sz w:val="26"/>
                <w:szCs w:val="26"/>
              </w:rPr>
            </w:pPr>
          </w:p>
        </w:tc>
      </w:tr>
      <w:tr w:rsidR="00BD0437" w:rsidRPr="005C3C28" w14:paraId="4DEA31CA" w14:textId="77777777" w:rsidTr="00BD0437">
        <w:trPr>
          <w:trHeight w:val="355"/>
          <w:jc w:val="center"/>
        </w:trPr>
        <w:tc>
          <w:tcPr>
            <w:tcW w:w="923" w:type="dxa"/>
            <w:tcBorders>
              <w:top w:val="nil"/>
              <w:left w:val="nil"/>
              <w:bottom w:val="nil"/>
              <w:right w:val="nil"/>
            </w:tcBorders>
            <w:shd w:val="clear" w:color="auto" w:fill="auto"/>
          </w:tcPr>
          <w:p w14:paraId="0337CDF2" w14:textId="77777777" w:rsidR="00BD0437" w:rsidRPr="005C3C28" w:rsidRDefault="00BD0437" w:rsidP="00BD0437">
            <w:pPr>
              <w:jc w:val="both"/>
              <w:rPr>
                <w:rFonts w:ascii="David" w:hAnsi="David"/>
                <w:b/>
                <w:bCs/>
                <w:sz w:val="26"/>
                <w:szCs w:val="26"/>
              </w:rPr>
            </w:pPr>
            <w:bookmarkStart w:id="1" w:name="FirstAppellant"/>
            <w:r w:rsidRPr="005C3C28">
              <w:rPr>
                <w:rFonts w:ascii="David" w:hAnsi="David"/>
                <w:b/>
                <w:bCs/>
                <w:sz w:val="26"/>
                <w:szCs w:val="26"/>
                <w:rtl/>
              </w:rPr>
              <w:t>בעניין:</w:t>
            </w:r>
          </w:p>
        </w:tc>
        <w:tc>
          <w:tcPr>
            <w:tcW w:w="4126" w:type="dxa"/>
            <w:tcBorders>
              <w:top w:val="nil"/>
              <w:left w:val="nil"/>
              <w:bottom w:val="nil"/>
              <w:right w:val="nil"/>
            </w:tcBorders>
            <w:shd w:val="clear" w:color="auto" w:fill="auto"/>
          </w:tcPr>
          <w:p w14:paraId="0EE4605C" w14:textId="77777777" w:rsidR="00BD0437" w:rsidRPr="005C3C28" w:rsidRDefault="00BD0437" w:rsidP="00783260">
            <w:pPr>
              <w:rPr>
                <w:rFonts w:ascii="David" w:hAnsi="David"/>
                <w:b/>
                <w:bCs/>
                <w:sz w:val="26"/>
                <w:szCs w:val="26"/>
              </w:rPr>
            </w:pPr>
            <w:r w:rsidRPr="005C3C28">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6A5159AD" w14:textId="77777777" w:rsidR="00BD0437" w:rsidRPr="005C3C28" w:rsidRDefault="00BD0437" w:rsidP="00BD0437">
            <w:pPr>
              <w:jc w:val="both"/>
              <w:rPr>
                <w:rFonts w:ascii="David" w:hAnsi="David"/>
                <w:b/>
                <w:bCs/>
                <w:sz w:val="26"/>
                <w:szCs w:val="26"/>
              </w:rPr>
            </w:pPr>
            <w:r w:rsidRPr="005C3C28">
              <w:rPr>
                <w:rFonts w:ascii="David" w:hAnsi="David"/>
                <w:b/>
                <w:bCs/>
                <w:sz w:val="26"/>
                <w:szCs w:val="26"/>
                <w:rtl/>
              </w:rPr>
              <w:t>המאשימה</w:t>
            </w:r>
          </w:p>
        </w:tc>
      </w:tr>
      <w:bookmarkEnd w:id="1"/>
      <w:tr w:rsidR="00BD0437" w:rsidRPr="005C3C28" w14:paraId="5AE3F057" w14:textId="77777777" w:rsidTr="00BD0437">
        <w:trPr>
          <w:trHeight w:val="355"/>
          <w:jc w:val="center"/>
        </w:trPr>
        <w:tc>
          <w:tcPr>
            <w:tcW w:w="923" w:type="dxa"/>
            <w:tcBorders>
              <w:top w:val="nil"/>
              <w:left w:val="nil"/>
              <w:bottom w:val="nil"/>
              <w:right w:val="nil"/>
            </w:tcBorders>
            <w:shd w:val="clear" w:color="auto" w:fill="auto"/>
          </w:tcPr>
          <w:p w14:paraId="2C84FA76" w14:textId="77777777" w:rsidR="00BD0437" w:rsidRPr="005C3C28" w:rsidRDefault="00BD0437" w:rsidP="00BD0437">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4893FD0" w14:textId="77777777" w:rsidR="00BD0437" w:rsidRPr="005C3C28" w:rsidRDefault="00BD0437" w:rsidP="00BD0437">
            <w:pPr>
              <w:jc w:val="center"/>
              <w:rPr>
                <w:rFonts w:ascii="David" w:hAnsi="David"/>
                <w:b/>
                <w:bCs/>
                <w:sz w:val="26"/>
                <w:szCs w:val="26"/>
                <w:rtl/>
              </w:rPr>
            </w:pPr>
          </w:p>
          <w:p w14:paraId="2061B1DB" w14:textId="77777777" w:rsidR="00BD0437" w:rsidRPr="005C3C28" w:rsidRDefault="00BD0437" w:rsidP="00BD0437">
            <w:pPr>
              <w:jc w:val="center"/>
              <w:rPr>
                <w:rFonts w:ascii="David" w:hAnsi="David"/>
                <w:b/>
                <w:bCs/>
                <w:sz w:val="26"/>
                <w:szCs w:val="26"/>
                <w:rtl/>
              </w:rPr>
            </w:pPr>
            <w:r w:rsidRPr="005C3C28">
              <w:rPr>
                <w:rFonts w:ascii="David" w:hAnsi="David"/>
                <w:b/>
                <w:bCs/>
                <w:sz w:val="26"/>
                <w:szCs w:val="26"/>
                <w:rtl/>
              </w:rPr>
              <w:t>נגד</w:t>
            </w:r>
          </w:p>
          <w:p w14:paraId="5EF0E73D" w14:textId="77777777" w:rsidR="00BD0437" w:rsidRPr="005C3C28" w:rsidRDefault="00BD0437" w:rsidP="00BD0437">
            <w:pPr>
              <w:jc w:val="both"/>
              <w:rPr>
                <w:rFonts w:ascii="David" w:hAnsi="David"/>
                <w:b/>
                <w:bCs/>
                <w:sz w:val="26"/>
                <w:szCs w:val="26"/>
              </w:rPr>
            </w:pPr>
          </w:p>
        </w:tc>
      </w:tr>
      <w:tr w:rsidR="00BD0437" w:rsidRPr="005C3C28" w14:paraId="30B9D9BB" w14:textId="77777777" w:rsidTr="00BD0437">
        <w:trPr>
          <w:trHeight w:val="355"/>
          <w:jc w:val="center"/>
        </w:trPr>
        <w:tc>
          <w:tcPr>
            <w:tcW w:w="923" w:type="dxa"/>
            <w:tcBorders>
              <w:top w:val="nil"/>
              <w:left w:val="nil"/>
              <w:bottom w:val="nil"/>
              <w:right w:val="nil"/>
            </w:tcBorders>
            <w:shd w:val="clear" w:color="auto" w:fill="auto"/>
          </w:tcPr>
          <w:p w14:paraId="758829FF" w14:textId="77777777" w:rsidR="00BD0437" w:rsidRPr="005C3C28" w:rsidRDefault="00BD0437" w:rsidP="00783260">
            <w:pPr>
              <w:rPr>
                <w:rFonts w:ascii="David" w:hAnsi="David"/>
                <w:b/>
                <w:bCs/>
                <w:sz w:val="26"/>
                <w:szCs w:val="26"/>
                <w:rtl/>
              </w:rPr>
            </w:pPr>
          </w:p>
        </w:tc>
        <w:tc>
          <w:tcPr>
            <w:tcW w:w="4126" w:type="dxa"/>
            <w:tcBorders>
              <w:top w:val="nil"/>
              <w:left w:val="nil"/>
              <w:bottom w:val="nil"/>
              <w:right w:val="nil"/>
            </w:tcBorders>
            <w:shd w:val="clear" w:color="auto" w:fill="auto"/>
          </w:tcPr>
          <w:p w14:paraId="03C0072A" w14:textId="77777777" w:rsidR="00BD0437" w:rsidRPr="005C3C28" w:rsidRDefault="00BD0437" w:rsidP="00783260">
            <w:pPr>
              <w:rPr>
                <w:rFonts w:ascii="David" w:hAnsi="David"/>
                <w:b/>
                <w:bCs/>
                <w:sz w:val="26"/>
                <w:szCs w:val="26"/>
                <w:rtl/>
              </w:rPr>
            </w:pPr>
            <w:r w:rsidRPr="005C3C28">
              <w:rPr>
                <w:rFonts w:ascii="David" w:hAnsi="David"/>
                <w:b/>
                <w:bCs/>
                <w:sz w:val="26"/>
                <w:szCs w:val="26"/>
                <w:rtl/>
              </w:rPr>
              <w:t>מוחמד אסדי</w:t>
            </w:r>
            <w:r w:rsidRPr="005C3C28">
              <w:rPr>
                <w:rFonts w:ascii="David" w:hAnsi="David" w:hint="cs"/>
                <w:b/>
                <w:bCs/>
                <w:sz w:val="26"/>
                <w:szCs w:val="26"/>
                <w:rtl/>
              </w:rPr>
              <w:t xml:space="preserve"> ת.ז. </w:t>
            </w:r>
            <w:r w:rsidR="005C3C28">
              <w:rPr>
                <w:rFonts w:ascii="David" w:hAnsi="David"/>
                <w:b/>
                <w:bCs/>
                <w:sz w:val="26"/>
                <w:szCs w:val="26"/>
              </w:rPr>
              <w:t>xxxxxxxxx</w:t>
            </w:r>
          </w:p>
        </w:tc>
        <w:tc>
          <w:tcPr>
            <w:tcW w:w="3771" w:type="dxa"/>
            <w:tcBorders>
              <w:top w:val="nil"/>
              <w:left w:val="nil"/>
              <w:bottom w:val="nil"/>
              <w:right w:val="nil"/>
            </w:tcBorders>
            <w:shd w:val="clear" w:color="auto" w:fill="auto"/>
          </w:tcPr>
          <w:p w14:paraId="78DF7C8B" w14:textId="77777777" w:rsidR="00BD0437" w:rsidRPr="005C3C28" w:rsidRDefault="00BD0437" w:rsidP="00783260">
            <w:pPr>
              <w:rPr>
                <w:rFonts w:ascii="David" w:hAnsi="David"/>
                <w:b/>
                <w:bCs/>
                <w:sz w:val="26"/>
                <w:szCs w:val="26"/>
              </w:rPr>
            </w:pPr>
            <w:r w:rsidRPr="005C3C28">
              <w:rPr>
                <w:rFonts w:ascii="David" w:hAnsi="David"/>
                <w:b/>
                <w:bCs/>
                <w:sz w:val="26"/>
                <w:szCs w:val="26"/>
                <w:rtl/>
              </w:rPr>
              <w:t>הנאשם</w:t>
            </w:r>
          </w:p>
        </w:tc>
      </w:tr>
    </w:tbl>
    <w:p w14:paraId="64E2B0E0" w14:textId="77777777" w:rsidR="005D4589" w:rsidRDefault="005D4589" w:rsidP="00BD0437">
      <w:pPr>
        <w:rPr>
          <w:rtl/>
        </w:rPr>
      </w:pPr>
      <w:bookmarkStart w:id="2" w:name="LawTable"/>
      <w:bookmarkEnd w:id="2"/>
    </w:p>
    <w:p w14:paraId="67A86853" w14:textId="77777777" w:rsidR="005D4589" w:rsidRPr="005D4589" w:rsidRDefault="005D4589" w:rsidP="005D4589">
      <w:pPr>
        <w:spacing w:after="120" w:line="240" w:lineRule="exact"/>
        <w:ind w:left="283" w:hanging="283"/>
        <w:jc w:val="both"/>
        <w:rPr>
          <w:rFonts w:ascii="FrankRuehl" w:hAnsi="FrankRuehl" w:cs="FrankRuehl"/>
          <w:rtl/>
        </w:rPr>
      </w:pPr>
    </w:p>
    <w:p w14:paraId="42B72805" w14:textId="77777777" w:rsidR="005D4589" w:rsidRPr="005D4589" w:rsidRDefault="005D4589" w:rsidP="005D4589">
      <w:pPr>
        <w:spacing w:after="120" w:line="240" w:lineRule="exact"/>
        <w:ind w:left="283" w:hanging="283"/>
        <w:jc w:val="both"/>
        <w:rPr>
          <w:rFonts w:ascii="FrankRuehl" w:hAnsi="FrankRuehl" w:cs="FrankRuehl"/>
          <w:rtl/>
        </w:rPr>
      </w:pPr>
      <w:r w:rsidRPr="005D4589">
        <w:rPr>
          <w:rFonts w:ascii="FrankRuehl" w:hAnsi="FrankRuehl" w:cs="FrankRuehl"/>
          <w:rtl/>
        </w:rPr>
        <w:t xml:space="preserve">חקיקה שאוזכרה: </w:t>
      </w:r>
    </w:p>
    <w:p w14:paraId="078728ED" w14:textId="77777777" w:rsidR="005D4589" w:rsidRPr="005D4589" w:rsidRDefault="005D4589" w:rsidP="005D4589">
      <w:pPr>
        <w:spacing w:after="120" w:line="240" w:lineRule="exact"/>
        <w:ind w:left="283" w:hanging="283"/>
        <w:jc w:val="both"/>
        <w:rPr>
          <w:rFonts w:ascii="FrankRuehl" w:hAnsi="FrankRuehl" w:cs="FrankRuehl"/>
          <w:rtl/>
        </w:rPr>
      </w:pPr>
      <w:hyperlink r:id="rId7" w:history="1">
        <w:r w:rsidRPr="005D4589">
          <w:rPr>
            <w:rFonts w:ascii="FrankRuehl" w:hAnsi="FrankRuehl" w:cs="FrankRuehl"/>
            <w:color w:val="0000FF"/>
            <w:u w:val="single"/>
            <w:rtl/>
          </w:rPr>
          <w:t>חוק העונשין, תשל"ז-1977</w:t>
        </w:r>
      </w:hyperlink>
      <w:r w:rsidRPr="005D4589">
        <w:rPr>
          <w:rFonts w:ascii="FrankRuehl" w:hAnsi="FrankRuehl" w:cs="FrankRuehl"/>
          <w:rtl/>
        </w:rPr>
        <w:t xml:space="preserve">: סע'  </w:t>
      </w:r>
      <w:hyperlink r:id="rId8" w:history="1">
        <w:r w:rsidRPr="005D4589">
          <w:rPr>
            <w:rFonts w:ascii="FrankRuehl" w:hAnsi="FrankRuehl" w:cs="FrankRuehl"/>
            <w:color w:val="0000FF"/>
            <w:u w:val="single"/>
            <w:rtl/>
          </w:rPr>
          <w:t>29</w:t>
        </w:r>
      </w:hyperlink>
      <w:r w:rsidRPr="005D4589">
        <w:rPr>
          <w:rFonts w:ascii="FrankRuehl" w:hAnsi="FrankRuehl" w:cs="FrankRuehl"/>
          <w:rtl/>
        </w:rPr>
        <w:t xml:space="preserve">, </w:t>
      </w:r>
      <w:hyperlink r:id="rId9" w:history="1">
        <w:r w:rsidRPr="005D4589">
          <w:rPr>
            <w:rFonts w:ascii="FrankRuehl" w:hAnsi="FrankRuehl" w:cs="FrankRuehl"/>
            <w:color w:val="0000FF"/>
            <w:u w:val="single"/>
            <w:rtl/>
          </w:rPr>
          <w:t>40ב</w:t>
        </w:r>
      </w:hyperlink>
      <w:r w:rsidRPr="005D4589">
        <w:rPr>
          <w:rFonts w:ascii="FrankRuehl" w:hAnsi="FrankRuehl" w:cs="FrankRuehl"/>
          <w:rtl/>
        </w:rPr>
        <w:t xml:space="preserve">, </w:t>
      </w:r>
      <w:hyperlink r:id="rId10" w:history="1">
        <w:r w:rsidRPr="005D4589">
          <w:rPr>
            <w:rFonts w:ascii="FrankRuehl" w:hAnsi="FrankRuehl" w:cs="FrankRuehl"/>
            <w:color w:val="0000FF"/>
            <w:u w:val="single"/>
            <w:rtl/>
          </w:rPr>
          <w:t>40ג</w:t>
        </w:r>
      </w:hyperlink>
      <w:r w:rsidRPr="005D4589">
        <w:rPr>
          <w:rFonts w:ascii="FrankRuehl" w:hAnsi="FrankRuehl" w:cs="FrankRuehl"/>
          <w:rtl/>
        </w:rPr>
        <w:t xml:space="preserve">, </w:t>
      </w:r>
      <w:hyperlink r:id="rId11" w:history="1">
        <w:r w:rsidRPr="005D4589">
          <w:rPr>
            <w:rFonts w:ascii="FrankRuehl" w:hAnsi="FrankRuehl" w:cs="FrankRuehl"/>
            <w:color w:val="0000FF"/>
            <w:u w:val="single"/>
            <w:rtl/>
          </w:rPr>
          <w:t>40ט</w:t>
        </w:r>
      </w:hyperlink>
      <w:r w:rsidRPr="005D4589">
        <w:rPr>
          <w:rFonts w:ascii="FrankRuehl" w:hAnsi="FrankRuehl" w:cs="FrankRuehl"/>
          <w:rtl/>
        </w:rPr>
        <w:t xml:space="preserve">, </w:t>
      </w:r>
      <w:hyperlink r:id="rId12" w:history="1">
        <w:r w:rsidRPr="005D4589">
          <w:rPr>
            <w:rFonts w:ascii="FrankRuehl" w:hAnsi="FrankRuehl" w:cs="FrankRuehl"/>
            <w:color w:val="0000FF"/>
            <w:u w:val="single"/>
            <w:rtl/>
          </w:rPr>
          <w:t>144</w:t>
        </w:r>
      </w:hyperlink>
      <w:r w:rsidRPr="005D4589">
        <w:rPr>
          <w:rFonts w:ascii="FrankRuehl" w:hAnsi="FrankRuehl" w:cs="FrankRuehl"/>
          <w:rtl/>
        </w:rPr>
        <w:t xml:space="preserve">, </w:t>
      </w:r>
      <w:hyperlink r:id="rId13" w:history="1">
        <w:r w:rsidRPr="005D4589">
          <w:rPr>
            <w:rFonts w:ascii="FrankRuehl" w:hAnsi="FrankRuehl" w:cs="FrankRuehl"/>
            <w:color w:val="0000FF"/>
            <w:u w:val="single"/>
            <w:rtl/>
          </w:rPr>
          <w:t>144(א)</w:t>
        </w:r>
      </w:hyperlink>
      <w:r w:rsidRPr="005D4589">
        <w:rPr>
          <w:rFonts w:ascii="FrankRuehl" w:hAnsi="FrankRuehl" w:cs="FrankRuehl"/>
          <w:rtl/>
        </w:rPr>
        <w:t xml:space="preserve">, </w:t>
      </w:r>
      <w:hyperlink r:id="rId14" w:history="1">
        <w:r w:rsidRPr="005D4589">
          <w:rPr>
            <w:rFonts w:ascii="FrankRuehl" w:hAnsi="FrankRuehl" w:cs="FrankRuehl"/>
            <w:color w:val="0000FF"/>
            <w:u w:val="single"/>
            <w:rtl/>
          </w:rPr>
          <w:t>144(ב)</w:t>
        </w:r>
      </w:hyperlink>
      <w:r w:rsidRPr="005D4589">
        <w:rPr>
          <w:rFonts w:ascii="FrankRuehl" w:hAnsi="FrankRuehl" w:cs="FrankRuehl"/>
          <w:rtl/>
        </w:rPr>
        <w:t xml:space="preserve">, </w:t>
      </w:r>
      <w:hyperlink r:id="rId15" w:history="1">
        <w:r w:rsidRPr="005D4589">
          <w:rPr>
            <w:rFonts w:ascii="FrankRuehl" w:hAnsi="FrankRuehl" w:cs="FrankRuehl"/>
            <w:color w:val="0000FF"/>
            <w:u w:val="single"/>
            <w:rtl/>
          </w:rPr>
          <w:t>245(א)</w:t>
        </w:r>
      </w:hyperlink>
      <w:r w:rsidRPr="005D4589">
        <w:rPr>
          <w:rFonts w:ascii="FrankRuehl" w:hAnsi="FrankRuehl" w:cs="FrankRuehl"/>
          <w:rtl/>
        </w:rPr>
        <w:t xml:space="preserve">, </w:t>
      </w:r>
      <w:hyperlink r:id="rId16" w:history="1">
        <w:r w:rsidRPr="005D4589">
          <w:rPr>
            <w:rFonts w:ascii="FrankRuehl" w:hAnsi="FrankRuehl" w:cs="FrankRuehl"/>
            <w:color w:val="0000FF"/>
            <w:u w:val="single"/>
            <w:rtl/>
          </w:rPr>
          <w:t>275</w:t>
        </w:r>
      </w:hyperlink>
      <w:r w:rsidRPr="005D4589">
        <w:rPr>
          <w:rFonts w:ascii="FrankRuehl" w:hAnsi="FrankRuehl" w:cs="FrankRuehl"/>
          <w:rtl/>
        </w:rPr>
        <w:t xml:space="preserve">, </w:t>
      </w:r>
      <w:hyperlink r:id="rId17" w:history="1">
        <w:r w:rsidRPr="005D4589">
          <w:rPr>
            <w:rFonts w:ascii="FrankRuehl" w:hAnsi="FrankRuehl" w:cs="FrankRuehl"/>
            <w:color w:val="0000FF"/>
            <w:u w:val="single"/>
            <w:rtl/>
          </w:rPr>
          <w:t>א'</w:t>
        </w:r>
      </w:hyperlink>
      <w:r w:rsidRPr="005D4589">
        <w:rPr>
          <w:rFonts w:ascii="FrankRuehl" w:hAnsi="FrankRuehl" w:cs="FrankRuehl"/>
          <w:rtl/>
        </w:rPr>
        <w:t xml:space="preserve">, </w:t>
      </w:r>
      <w:hyperlink r:id="rId18" w:history="1">
        <w:r w:rsidRPr="005D4589">
          <w:rPr>
            <w:rFonts w:ascii="FrankRuehl" w:hAnsi="FrankRuehl" w:cs="FrankRuehl"/>
            <w:color w:val="0000FF"/>
            <w:u w:val="single"/>
            <w:rtl/>
          </w:rPr>
          <w:t>ג'</w:t>
        </w:r>
      </w:hyperlink>
    </w:p>
    <w:p w14:paraId="6739CF28" w14:textId="77777777" w:rsidR="005D4589" w:rsidRPr="005D4589" w:rsidRDefault="005D4589" w:rsidP="005D4589">
      <w:pPr>
        <w:spacing w:after="120" w:line="240" w:lineRule="exact"/>
        <w:ind w:left="283" w:hanging="283"/>
        <w:jc w:val="both"/>
        <w:rPr>
          <w:rFonts w:ascii="FrankRuehl" w:hAnsi="FrankRuehl" w:cs="FrankRuehl"/>
          <w:rtl/>
        </w:rPr>
      </w:pPr>
      <w:hyperlink r:id="rId19" w:history="1">
        <w:r w:rsidRPr="005D4589">
          <w:rPr>
            <w:rFonts w:ascii="FrankRuehl" w:hAnsi="FrankRuehl" w:cs="FrankRuehl"/>
            <w:color w:val="0000FF"/>
            <w:u w:val="single"/>
            <w:rtl/>
          </w:rPr>
          <w:t>תקנות התעבורה, תשכ"א-1961 - לא מרובדות</w:t>
        </w:r>
      </w:hyperlink>
      <w:r w:rsidRPr="005D4589">
        <w:rPr>
          <w:rFonts w:ascii="FrankRuehl" w:hAnsi="FrankRuehl" w:cs="FrankRuehl"/>
          <w:rtl/>
        </w:rPr>
        <w:t xml:space="preserve">: סע'  </w:t>
      </w:r>
      <w:hyperlink r:id="rId20" w:history="1">
        <w:r w:rsidRPr="005D4589">
          <w:rPr>
            <w:rFonts w:ascii="FrankRuehl" w:hAnsi="FrankRuehl" w:cs="FrankRuehl"/>
            <w:color w:val="0000FF"/>
            <w:u w:val="single"/>
            <w:rtl/>
          </w:rPr>
          <w:t>21(ג)</w:t>
        </w:r>
      </w:hyperlink>
      <w:r w:rsidRPr="005D4589">
        <w:rPr>
          <w:rFonts w:ascii="FrankRuehl" w:hAnsi="FrankRuehl" w:cs="FrankRuehl"/>
          <w:rtl/>
        </w:rPr>
        <w:t xml:space="preserve">, </w:t>
      </w:r>
      <w:hyperlink r:id="rId21" w:history="1">
        <w:r w:rsidRPr="005D4589">
          <w:rPr>
            <w:rFonts w:ascii="FrankRuehl" w:hAnsi="FrankRuehl" w:cs="FrankRuehl"/>
            <w:color w:val="0000FF"/>
            <w:u w:val="single"/>
            <w:rtl/>
          </w:rPr>
          <w:t>22(א)</w:t>
        </w:r>
      </w:hyperlink>
    </w:p>
    <w:p w14:paraId="2FCD212D" w14:textId="77777777" w:rsidR="005D4589" w:rsidRPr="005D4589" w:rsidRDefault="005D4589" w:rsidP="005D4589">
      <w:pPr>
        <w:spacing w:after="120" w:line="240" w:lineRule="exact"/>
        <w:ind w:left="283" w:hanging="283"/>
        <w:jc w:val="both"/>
        <w:rPr>
          <w:rFonts w:ascii="FrankRuehl" w:hAnsi="FrankRuehl" w:cs="FrankRuehl"/>
          <w:rtl/>
        </w:rPr>
      </w:pPr>
      <w:hyperlink r:id="rId22" w:history="1">
        <w:r w:rsidRPr="005D4589">
          <w:rPr>
            <w:rFonts w:ascii="FrankRuehl" w:hAnsi="FrankRuehl" w:cs="FrankRuehl"/>
            <w:color w:val="0000FF"/>
            <w:u w:val="single"/>
            <w:rtl/>
          </w:rPr>
          <w:t>פקודת התעבורה [נוסח חדש]</w:t>
        </w:r>
      </w:hyperlink>
      <w:r w:rsidRPr="005D4589">
        <w:rPr>
          <w:rFonts w:ascii="FrankRuehl" w:hAnsi="FrankRuehl" w:cs="FrankRuehl"/>
          <w:rtl/>
        </w:rPr>
        <w:t xml:space="preserve">: סע'  </w:t>
      </w:r>
      <w:hyperlink r:id="rId23" w:history="1">
        <w:r w:rsidRPr="005D4589">
          <w:rPr>
            <w:rFonts w:ascii="FrankRuehl" w:hAnsi="FrankRuehl" w:cs="FrankRuehl"/>
            <w:color w:val="0000FF"/>
            <w:u w:val="single"/>
            <w:rtl/>
          </w:rPr>
          <w:t>38(2)</w:t>
        </w:r>
      </w:hyperlink>
      <w:r w:rsidRPr="005D4589">
        <w:rPr>
          <w:rFonts w:ascii="FrankRuehl" w:hAnsi="FrankRuehl" w:cs="FrankRuehl"/>
          <w:rtl/>
        </w:rPr>
        <w:t xml:space="preserve">, </w:t>
      </w:r>
      <w:hyperlink r:id="rId24" w:history="1">
        <w:r w:rsidRPr="005D4589">
          <w:rPr>
            <w:rFonts w:ascii="FrankRuehl" w:hAnsi="FrankRuehl" w:cs="FrankRuehl"/>
            <w:color w:val="0000FF"/>
            <w:u w:val="single"/>
            <w:rtl/>
          </w:rPr>
          <w:t>62(2)</w:t>
        </w:r>
      </w:hyperlink>
      <w:r w:rsidRPr="005D4589">
        <w:rPr>
          <w:rFonts w:ascii="FrankRuehl" w:hAnsi="FrankRuehl" w:cs="FrankRuehl"/>
          <w:rtl/>
        </w:rPr>
        <w:t xml:space="preserve">, </w:t>
      </w:r>
      <w:hyperlink r:id="rId25" w:history="1">
        <w:r w:rsidRPr="005D4589">
          <w:rPr>
            <w:rFonts w:ascii="FrankRuehl" w:hAnsi="FrankRuehl" w:cs="FrankRuehl"/>
            <w:color w:val="0000FF"/>
            <w:u w:val="single"/>
            <w:rtl/>
          </w:rPr>
          <w:t>62(8)</w:t>
        </w:r>
      </w:hyperlink>
    </w:p>
    <w:p w14:paraId="6B7E878C" w14:textId="77777777" w:rsidR="005D4589" w:rsidRPr="005D4589" w:rsidRDefault="005D4589" w:rsidP="005D4589">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D0437" w14:paraId="3282A0B6" w14:textId="77777777" w:rsidTr="00BD0437">
        <w:trPr>
          <w:trHeight w:val="355"/>
          <w:jc w:val="center"/>
        </w:trPr>
        <w:tc>
          <w:tcPr>
            <w:tcW w:w="8820" w:type="dxa"/>
            <w:tcBorders>
              <w:top w:val="nil"/>
              <w:left w:val="nil"/>
              <w:bottom w:val="nil"/>
              <w:right w:val="nil"/>
            </w:tcBorders>
            <w:shd w:val="clear" w:color="auto" w:fill="auto"/>
          </w:tcPr>
          <w:p w14:paraId="7022FBA5" w14:textId="77777777" w:rsidR="005C3C28" w:rsidRPr="005C3C28" w:rsidRDefault="005C3C28" w:rsidP="005C3C28">
            <w:pPr>
              <w:jc w:val="center"/>
              <w:rPr>
                <w:rFonts w:ascii="Arial" w:hAnsi="Arial" w:cs="FrankRuehl"/>
                <w:b/>
                <w:bCs/>
                <w:sz w:val="32"/>
                <w:szCs w:val="32"/>
                <w:u w:val="single"/>
                <w:rtl/>
              </w:rPr>
            </w:pPr>
            <w:bookmarkStart w:id="3" w:name="LawTable_End"/>
            <w:bookmarkStart w:id="4" w:name="PsakDin" w:colFirst="0" w:colLast="0"/>
            <w:bookmarkEnd w:id="0"/>
            <w:bookmarkEnd w:id="3"/>
            <w:r w:rsidRPr="005C3C28">
              <w:rPr>
                <w:rFonts w:ascii="Arial" w:hAnsi="Arial" w:cs="FrankRuehl"/>
                <w:b/>
                <w:bCs/>
                <w:sz w:val="32"/>
                <w:szCs w:val="32"/>
                <w:u w:val="single"/>
                <w:rtl/>
              </w:rPr>
              <w:t>גזר דין</w:t>
            </w:r>
          </w:p>
          <w:p w14:paraId="091CD777" w14:textId="77777777" w:rsidR="00BD0437" w:rsidRPr="005C3C28" w:rsidRDefault="00BD0437" w:rsidP="005C3C28">
            <w:pPr>
              <w:jc w:val="center"/>
              <w:rPr>
                <w:rFonts w:ascii="Arial" w:hAnsi="Arial" w:cs="FrankRuehl"/>
                <w:bCs/>
                <w:sz w:val="32"/>
                <w:szCs w:val="32"/>
                <w:u w:val="single"/>
                <w:rtl/>
              </w:rPr>
            </w:pPr>
          </w:p>
        </w:tc>
      </w:tr>
      <w:bookmarkEnd w:id="4"/>
    </w:tbl>
    <w:p w14:paraId="585C2D99" w14:textId="77777777" w:rsidR="00BD0437" w:rsidRPr="00B05847" w:rsidRDefault="00BD0437" w:rsidP="00BD0437">
      <w:pPr>
        <w:rPr>
          <w:rFonts w:ascii="Arial" w:hAnsi="Arial"/>
          <w:rtl/>
        </w:rPr>
      </w:pPr>
    </w:p>
    <w:p w14:paraId="634E2B5C" w14:textId="77777777" w:rsidR="00BD0437" w:rsidRDefault="00BD0437" w:rsidP="00BD0437">
      <w:pPr>
        <w:spacing w:line="360" w:lineRule="auto"/>
        <w:jc w:val="both"/>
        <w:rPr>
          <w:rtl/>
        </w:rPr>
      </w:pPr>
    </w:p>
    <w:p w14:paraId="48E24E06" w14:textId="77777777" w:rsidR="00BD0437" w:rsidRDefault="00BD0437" w:rsidP="00BD0437">
      <w:pPr>
        <w:spacing w:line="360" w:lineRule="auto"/>
        <w:jc w:val="both"/>
      </w:pPr>
      <w:r>
        <w:rPr>
          <w:rFonts w:hint="cs"/>
          <w:rtl/>
        </w:rPr>
        <w:t>1.</w:t>
      </w:r>
      <w:r>
        <w:rPr>
          <w:rFonts w:hint="cs"/>
          <w:rtl/>
        </w:rPr>
        <w:tab/>
      </w:r>
      <w:bookmarkStart w:id="5" w:name="ABSTRACT_START"/>
      <w:bookmarkEnd w:id="5"/>
      <w:r>
        <w:rPr>
          <w:rFonts w:hint="cs"/>
          <w:rtl/>
        </w:rPr>
        <w:t xml:space="preserve">הנאשם הורשע, על פי הודאתו, בעבירות המיוחסות לו בכתב האישום  - נשיאה והובלת נשק שלא כדין, עבירה לפי </w:t>
      </w:r>
      <w:hyperlink r:id="rId26" w:history="1">
        <w:r w:rsidR="005D4589" w:rsidRPr="005D4589">
          <w:rPr>
            <w:color w:val="0000FF"/>
            <w:u w:val="single"/>
            <w:rtl/>
          </w:rPr>
          <w:t>סעיפים 144(ב)</w:t>
        </w:r>
      </w:hyperlink>
      <w:r>
        <w:rPr>
          <w:rFonts w:hint="cs"/>
          <w:rtl/>
        </w:rPr>
        <w:t xml:space="preserve"> רישא ו-</w:t>
      </w:r>
      <w:hyperlink r:id="rId27" w:history="1">
        <w:r w:rsidR="005D4589" w:rsidRPr="005D4589">
          <w:rPr>
            <w:color w:val="0000FF"/>
            <w:u w:val="single"/>
            <w:rtl/>
          </w:rPr>
          <w:t>29</w:t>
        </w:r>
      </w:hyperlink>
      <w:r>
        <w:rPr>
          <w:rFonts w:hint="cs"/>
          <w:rtl/>
        </w:rPr>
        <w:t xml:space="preserve"> ל</w:t>
      </w:r>
      <w:hyperlink r:id="rId28" w:history="1">
        <w:r w:rsidR="005C3C28" w:rsidRPr="005C3C28">
          <w:rPr>
            <w:color w:val="0000FF"/>
            <w:u w:val="single"/>
            <w:rtl/>
          </w:rPr>
          <w:t>חוק העונשין</w:t>
        </w:r>
      </w:hyperlink>
      <w:r>
        <w:rPr>
          <w:rFonts w:hint="cs"/>
          <w:rtl/>
        </w:rPr>
        <w:t xml:space="preserve">, התשל"ז-1977 (להלן: </w:t>
      </w:r>
      <w:r w:rsidRPr="00556061">
        <w:rPr>
          <w:rFonts w:ascii="Miriam" w:hAnsi="Miriam" w:cs="Miriam"/>
          <w:rtl/>
        </w:rPr>
        <w:t>חוק העונשין</w:t>
      </w:r>
      <w:r>
        <w:rPr>
          <w:rFonts w:hint="cs"/>
          <w:rtl/>
        </w:rPr>
        <w:t xml:space="preserve">);הפרעה לשוטר במילוי תפקידו כדין, עבירה לפי </w:t>
      </w:r>
      <w:hyperlink r:id="rId29" w:history="1">
        <w:r w:rsidR="005D4589" w:rsidRPr="005D4589">
          <w:rPr>
            <w:color w:val="0000FF"/>
            <w:u w:val="single"/>
            <w:rtl/>
          </w:rPr>
          <w:t>סעיפים  275</w:t>
        </w:r>
      </w:hyperlink>
      <w:r>
        <w:rPr>
          <w:rFonts w:hint="cs"/>
          <w:rtl/>
        </w:rPr>
        <w:t xml:space="preserve"> ו-</w:t>
      </w:r>
      <w:hyperlink r:id="rId30" w:history="1">
        <w:r w:rsidR="005D4589" w:rsidRPr="005D4589">
          <w:rPr>
            <w:color w:val="0000FF"/>
            <w:u w:val="single"/>
            <w:rtl/>
          </w:rPr>
          <w:t>29</w:t>
        </w:r>
      </w:hyperlink>
      <w:r>
        <w:rPr>
          <w:rFonts w:hint="cs"/>
          <w:rtl/>
        </w:rPr>
        <w:t xml:space="preserve"> לחוק העונשין וכן </w:t>
      </w:r>
      <w:r>
        <w:rPr>
          <w:rtl/>
        </w:rPr>
        <w:t xml:space="preserve">הדחה בחקירה, עבירה לפי </w:t>
      </w:r>
      <w:hyperlink r:id="rId31" w:history="1">
        <w:r w:rsidR="005D4589" w:rsidRPr="005D4589">
          <w:rPr>
            <w:color w:val="0000FF"/>
            <w:u w:val="single"/>
            <w:rtl/>
          </w:rPr>
          <w:t>סעיף  245(א)</w:t>
        </w:r>
      </w:hyperlink>
      <w:r>
        <w:rPr>
          <w:rtl/>
        </w:rPr>
        <w:t xml:space="preserve"> לחוק הנ"ל.  </w:t>
      </w:r>
    </w:p>
    <w:p w14:paraId="2CD821B6" w14:textId="77777777" w:rsidR="00BD0437" w:rsidRDefault="00BD0437" w:rsidP="00BD0437">
      <w:pPr>
        <w:jc w:val="both"/>
        <w:rPr>
          <w:rtl/>
        </w:rPr>
      </w:pPr>
      <w:bookmarkStart w:id="6" w:name="ABSTRACT_END"/>
      <w:bookmarkEnd w:id="6"/>
    </w:p>
    <w:p w14:paraId="7A91FB4F" w14:textId="77777777" w:rsidR="00BD0437" w:rsidRPr="002B33CA" w:rsidRDefault="00BD0437" w:rsidP="00BD0437">
      <w:pPr>
        <w:rPr>
          <w:rFonts w:ascii="Miriam" w:hAnsi="Miriam" w:cs="Miriam"/>
          <w:u w:val="single"/>
          <w:rtl/>
        </w:rPr>
      </w:pPr>
      <w:r w:rsidRPr="002B33CA">
        <w:rPr>
          <w:rFonts w:ascii="Miriam" w:hAnsi="Miriam" w:cs="Miriam" w:hint="cs"/>
          <w:u w:val="single"/>
          <w:rtl/>
        </w:rPr>
        <w:t xml:space="preserve">עובדות </w:t>
      </w:r>
      <w:r w:rsidRPr="002B33CA">
        <w:rPr>
          <w:rFonts w:ascii="Miriam" w:hAnsi="Miriam" w:cs="Miriam"/>
          <w:u w:val="single"/>
          <w:rtl/>
        </w:rPr>
        <w:t>כתב האישום</w:t>
      </w:r>
    </w:p>
    <w:p w14:paraId="4D630EBE" w14:textId="77777777" w:rsidR="00BD0437" w:rsidRPr="00B05847" w:rsidRDefault="00BD0437" w:rsidP="00BD0437">
      <w:pPr>
        <w:rPr>
          <w:rtl/>
        </w:rPr>
      </w:pPr>
    </w:p>
    <w:p w14:paraId="6C397167" w14:textId="77777777" w:rsidR="00BD0437" w:rsidRDefault="00BD0437" w:rsidP="00BD0437">
      <w:pPr>
        <w:rPr>
          <w:rtl/>
        </w:rPr>
      </w:pPr>
    </w:p>
    <w:p w14:paraId="72C06936" w14:textId="77777777" w:rsidR="00BD0437" w:rsidRDefault="00BD0437" w:rsidP="00BD0437">
      <w:pPr>
        <w:spacing w:line="360" w:lineRule="auto"/>
        <w:jc w:val="both"/>
        <w:rPr>
          <w:rtl/>
        </w:rPr>
      </w:pPr>
      <w:r>
        <w:rPr>
          <w:rFonts w:hint="cs"/>
          <w:rtl/>
        </w:rPr>
        <w:t>2.</w:t>
      </w:r>
      <w:r>
        <w:rPr>
          <w:rFonts w:hint="cs"/>
          <w:rtl/>
        </w:rPr>
        <w:tab/>
        <w:t xml:space="preserve">הנאשם וג'ואד אסדי (להלן: </w:t>
      </w:r>
      <w:r w:rsidRPr="00556061">
        <w:rPr>
          <w:rFonts w:ascii="Miriam" w:hAnsi="Miriam" w:cs="Miriam"/>
          <w:rtl/>
        </w:rPr>
        <w:t>ג</w:t>
      </w:r>
      <w:r w:rsidRPr="00556061">
        <w:rPr>
          <w:rFonts w:ascii="Miriam" w:hAnsi="Miriam" w:cs="Miriam" w:hint="cs"/>
          <w:rtl/>
        </w:rPr>
        <w:t>'</w:t>
      </w:r>
      <w:r w:rsidRPr="00556061">
        <w:rPr>
          <w:rFonts w:ascii="Miriam" w:hAnsi="Miriam" w:cs="Miriam"/>
          <w:rtl/>
        </w:rPr>
        <w:t>ואד</w:t>
      </w:r>
      <w:r>
        <w:rPr>
          <w:rFonts w:hint="cs"/>
          <w:rtl/>
        </w:rPr>
        <w:t xml:space="preserve">) הם תושבי הכפר דיר אל אסד (להלן: </w:t>
      </w:r>
      <w:r w:rsidRPr="00556061">
        <w:rPr>
          <w:rFonts w:ascii="Miriam" w:hAnsi="Miriam" w:cs="Miriam"/>
          <w:rtl/>
        </w:rPr>
        <w:t>הכפר</w:t>
      </w:r>
      <w:r>
        <w:rPr>
          <w:rFonts w:hint="cs"/>
          <w:rtl/>
        </w:rPr>
        <w:t xml:space="preserve">) וביניהם היכרות מוקדמת. ביום 25/12/18 בשעה 12:50 ,לערך, נערך חיפוש של משטרת ישראל (להלן: </w:t>
      </w:r>
      <w:r w:rsidRPr="00556061">
        <w:rPr>
          <w:rFonts w:ascii="Miriam" w:hAnsi="Miriam" w:cs="Miriam"/>
          <w:rtl/>
        </w:rPr>
        <w:t>המשטרה</w:t>
      </w:r>
      <w:r>
        <w:rPr>
          <w:rFonts w:hint="cs"/>
          <w:rtl/>
        </w:rPr>
        <w:t xml:space="preserve">), מתוקף צו בית משפט, בביתו של סמיר ( להלן: </w:t>
      </w:r>
      <w:r w:rsidRPr="00556061">
        <w:rPr>
          <w:rFonts w:ascii="Miriam" w:hAnsi="Miriam" w:cs="Miriam"/>
          <w:rtl/>
        </w:rPr>
        <w:t>הבית של סמיר</w:t>
      </w:r>
      <w:r>
        <w:rPr>
          <w:rFonts w:hint="cs"/>
          <w:rtl/>
        </w:rPr>
        <w:t>). באותו מועד, בשעה 13:43 לערך, קשרו הנאשם וג</w:t>
      </w:r>
      <w:r>
        <w:rPr>
          <w:rtl/>
        </w:rPr>
        <w:t>'</w:t>
      </w:r>
      <w:r>
        <w:rPr>
          <w:rFonts w:hint="cs"/>
          <w:rtl/>
        </w:rPr>
        <w:t xml:space="preserve">ואד קשר לזריקת רימון יד הלם לכיוון הבית של סמיר (להלן: </w:t>
      </w:r>
      <w:r w:rsidRPr="00556061">
        <w:rPr>
          <w:rFonts w:ascii="Miriam" w:hAnsi="Miriam" w:cs="Miriam"/>
          <w:rtl/>
        </w:rPr>
        <w:t>הקשר</w:t>
      </w:r>
      <w:r>
        <w:rPr>
          <w:rFonts w:hint="cs"/>
          <w:rtl/>
        </w:rPr>
        <w:t>), בכוונה להפריע את מהלך החיפוש של המשטרה בבית של סמיר.</w:t>
      </w:r>
    </w:p>
    <w:p w14:paraId="5A9132ED" w14:textId="77777777" w:rsidR="00BD0437" w:rsidRDefault="00BD0437" w:rsidP="00BD0437">
      <w:pPr>
        <w:spacing w:line="360" w:lineRule="auto"/>
        <w:jc w:val="both"/>
        <w:rPr>
          <w:rtl/>
        </w:rPr>
      </w:pPr>
    </w:p>
    <w:p w14:paraId="0F5BA71C" w14:textId="77777777" w:rsidR="00BD0437" w:rsidRDefault="00BD0437" w:rsidP="00BD0437">
      <w:pPr>
        <w:spacing w:line="360" w:lineRule="auto"/>
        <w:ind w:firstLine="720"/>
        <w:jc w:val="both"/>
      </w:pPr>
      <w:r>
        <w:rPr>
          <w:rFonts w:hint="cs"/>
          <w:rtl/>
        </w:rPr>
        <w:lastRenderedPageBreak/>
        <w:t>בהמשך לכך, במסגרת הקשר ולשם קידומו, התקשר הנאשם אל ג</w:t>
      </w:r>
      <w:r>
        <w:rPr>
          <w:rtl/>
        </w:rPr>
        <w:t>'</w:t>
      </w:r>
      <w:r>
        <w:rPr>
          <w:rFonts w:hint="cs"/>
          <w:rtl/>
        </w:rPr>
        <w:t>ואד, ותיאם עמו שיסיעו אל הבית של סמיר. ג</w:t>
      </w:r>
      <w:r>
        <w:rPr>
          <w:rtl/>
        </w:rPr>
        <w:t>'</w:t>
      </w:r>
      <w:r>
        <w:rPr>
          <w:rFonts w:hint="cs"/>
          <w:rtl/>
        </w:rPr>
        <w:t xml:space="preserve">ואד נסע ברכבו מסוג יונדאי בצבע לבן, ואסף את הנאשם מביתו. הנאשם עלה לרכב כשהוא מצויד ברימון הלם/ סינוור </w:t>
      </w:r>
      <w:r>
        <w:t>M7290</w:t>
      </w:r>
      <w:r>
        <w:rPr>
          <w:rFonts w:hint="cs"/>
          <w:rtl/>
        </w:rPr>
        <w:t xml:space="preserve"> בצבע תפוז שמספרו </w:t>
      </w:r>
      <w:r>
        <w:rPr>
          <w:rFonts w:hint="cs"/>
        </w:rPr>
        <w:t>E</w:t>
      </w:r>
      <w:r>
        <w:t xml:space="preserve">749393 </w:t>
      </w:r>
      <w:r>
        <w:rPr>
          <w:rFonts w:hint="cs"/>
          <w:rtl/>
        </w:rPr>
        <w:t xml:space="preserve"> (להלן: </w:t>
      </w:r>
      <w:r w:rsidRPr="009D3A16">
        <w:rPr>
          <w:rFonts w:ascii="Miriam" w:hAnsi="Miriam" w:cs="Miriam"/>
          <w:rtl/>
        </w:rPr>
        <w:t>הרימון</w:t>
      </w:r>
      <w:r>
        <w:rPr>
          <w:rFonts w:hint="cs"/>
          <w:rtl/>
        </w:rPr>
        <w:t>), כפפות בצבע שחור ובד שחור לכיסוי הפנים. בכוחו של הרימון להזיק לאדם ולגרום לו פגיעה גופנית בעת פעולתו, בכפוף לקרבה של האדם למוקד פעולת הרימון.</w:t>
      </w:r>
    </w:p>
    <w:p w14:paraId="4A269E0F" w14:textId="77777777" w:rsidR="00BD0437" w:rsidRDefault="00BD0437" w:rsidP="00BD0437">
      <w:pPr>
        <w:spacing w:line="360" w:lineRule="auto"/>
        <w:jc w:val="both"/>
        <w:rPr>
          <w:rtl/>
        </w:rPr>
      </w:pPr>
    </w:p>
    <w:p w14:paraId="468A8AD4" w14:textId="77777777" w:rsidR="00BD0437" w:rsidRDefault="00BD0437" w:rsidP="00BD0437">
      <w:pPr>
        <w:spacing w:line="360" w:lineRule="auto"/>
        <w:ind w:firstLine="720"/>
        <w:jc w:val="both"/>
      </w:pPr>
      <w:r>
        <w:rPr>
          <w:rFonts w:hint="cs"/>
          <w:rtl/>
        </w:rPr>
        <w:t>בהמשך למתואר לעיל, נסעו הנאשם וג</w:t>
      </w:r>
      <w:r>
        <w:rPr>
          <w:rtl/>
        </w:rPr>
        <w:t>'</w:t>
      </w:r>
      <w:r>
        <w:rPr>
          <w:rFonts w:hint="cs"/>
          <w:rtl/>
        </w:rPr>
        <w:t>ואד ברכב לבית של סמיר כשהם נושאים ומובילים את הרימון בלא רשות על פי דין. בהגיעם סמוך לבית של סמיר, עצר ג</w:t>
      </w:r>
      <w:r>
        <w:rPr>
          <w:rtl/>
        </w:rPr>
        <w:t>'</w:t>
      </w:r>
      <w:r>
        <w:rPr>
          <w:rFonts w:hint="cs"/>
          <w:rtl/>
        </w:rPr>
        <w:t>ואד את הרכב. הנאשם עטה כפפות בצבע שחור על ידיו, כיסה את פניו באמצעות בד בצבע שחור, חבש קפוצ'ון בצבע שחור לראשו, ירד מהרכב וביקש מג</w:t>
      </w:r>
      <w:r>
        <w:rPr>
          <w:rtl/>
        </w:rPr>
        <w:t>'</w:t>
      </w:r>
      <w:r>
        <w:rPr>
          <w:rFonts w:hint="cs"/>
          <w:rtl/>
        </w:rPr>
        <w:t>ואד לעזוב את המקום ולהמתין לו במעלה השכונה.</w:t>
      </w:r>
    </w:p>
    <w:p w14:paraId="4BFCB7A3" w14:textId="77777777" w:rsidR="00BD0437" w:rsidRDefault="00BD0437" w:rsidP="00BD0437">
      <w:pPr>
        <w:spacing w:line="360" w:lineRule="auto"/>
        <w:jc w:val="both"/>
      </w:pPr>
    </w:p>
    <w:p w14:paraId="391DD323" w14:textId="77777777" w:rsidR="00BD0437" w:rsidRDefault="00BD0437" w:rsidP="00BD0437">
      <w:pPr>
        <w:spacing w:line="360" w:lineRule="auto"/>
        <w:ind w:firstLine="720"/>
        <w:jc w:val="both"/>
      </w:pPr>
      <w:r>
        <w:rPr>
          <w:rFonts w:hint="cs"/>
          <w:rtl/>
        </w:rPr>
        <w:t>בשלב זה, הגיע הנאשם סמוך לבית של סמיר, שחרר את ניצרת הרימון והשליך את הרימון לעבר הבית. זאת עשה בכוונה להפריע  לשוטרים כשהם ממלאים את תפקידם כחוק או להכשילם. כתוצאה מכך, התפוצץ הרימון סמוך לבית של סמיר, תוך גרימת קול נפץ עז.</w:t>
      </w:r>
    </w:p>
    <w:p w14:paraId="4839C745" w14:textId="77777777" w:rsidR="00BD0437" w:rsidRDefault="00BD0437" w:rsidP="00BD0437">
      <w:pPr>
        <w:spacing w:line="360" w:lineRule="auto"/>
        <w:jc w:val="both"/>
        <w:rPr>
          <w:rtl/>
        </w:rPr>
      </w:pPr>
    </w:p>
    <w:p w14:paraId="6B9E8EEF" w14:textId="77777777" w:rsidR="00BD0437" w:rsidRDefault="00BD0437" w:rsidP="00BD0437">
      <w:pPr>
        <w:spacing w:line="360" w:lineRule="auto"/>
        <w:ind w:firstLine="720"/>
        <w:jc w:val="both"/>
      </w:pPr>
      <w:r>
        <w:rPr>
          <w:rFonts w:hint="cs"/>
          <w:rtl/>
        </w:rPr>
        <w:t>בהמשך לכך, ברח הנאשם ברגל, פגש את ג</w:t>
      </w:r>
      <w:r>
        <w:rPr>
          <w:rtl/>
        </w:rPr>
        <w:t>'</w:t>
      </w:r>
      <w:r>
        <w:rPr>
          <w:rFonts w:hint="cs"/>
          <w:rtl/>
        </w:rPr>
        <w:t>ואד במעלה השכונה ושניהם נמלטו מהמקום ברכב, ואז הנאשם פנה אל ג</w:t>
      </w:r>
      <w:r>
        <w:rPr>
          <w:rtl/>
        </w:rPr>
        <w:t>'</w:t>
      </w:r>
      <w:r>
        <w:rPr>
          <w:rFonts w:hint="cs"/>
          <w:rtl/>
        </w:rPr>
        <w:t>ואד ואמר לו "</w:t>
      </w:r>
      <w:r w:rsidRPr="00556061">
        <w:rPr>
          <w:rtl/>
        </w:rPr>
        <w:t>אם המשטרה תיקח אותך אל תדבר ואל תזכיר את השם שלי ואל תגיד להם שאני עשיתי כך, ותגיד להם כי אני לא מכיר אותו</w:t>
      </w:r>
      <w:r>
        <w:rPr>
          <w:rFonts w:hint="cs"/>
          <w:rtl/>
        </w:rPr>
        <w:t>". בכך, ניסה הנאשם להניע את ג</w:t>
      </w:r>
      <w:r>
        <w:rPr>
          <w:rtl/>
        </w:rPr>
        <w:t>'</w:t>
      </w:r>
      <w:r>
        <w:rPr>
          <w:rFonts w:hint="cs"/>
          <w:rtl/>
        </w:rPr>
        <w:t>ואד, שבחקירה על פי דין לא ימסור הודעה או ימסור הודעת שקר.</w:t>
      </w:r>
    </w:p>
    <w:p w14:paraId="3CDE641B" w14:textId="77777777" w:rsidR="00BD0437" w:rsidRDefault="00BD0437" w:rsidP="00BD0437">
      <w:pPr>
        <w:spacing w:line="360" w:lineRule="auto"/>
        <w:jc w:val="both"/>
        <w:rPr>
          <w:rtl/>
        </w:rPr>
      </w:pPr>
    </w:p>
    <w:p w14:paraId="3AB32E42" w14:textId="77777777" w:rsidR="00BD0437" w:rsidRPr="002B33CA" w:rsidRDefault="00BD0437" w:rsidP="00BD0437">
      <w:pPr>
        <w:rPr>
          <w:rFonts w:ascii="Miriam" w:hAnsi="Miriam" w:cs="Miriam"/>
          <w:sz w:val="22"/>
          <w:szCs w:val="22"/>
          <w:u w:val="single"/>
        </w:rPr>
      </w:pPr>
      <w:r w:rsidRPr="002B33CA">
        <w:rPr>
          <w:rFonts w:ascii="Miriam" w:hAnsi="Miriam" w:cs="Miriam"/>
          <w:u w:val="single"/>
          <w:rtl/>
        </w:rPr>
        <w:t>תסקיר שירות המבחן</w:t>
      </w:r>
    </w:p>
    <w:p w14:paraId="07027AA3" w14:textId="77777777" w:rsidR="00BD0437" w:rsidRDefault="00BD0437" w:rsidP="00BD0437">
      <w:pPr>
        <w:spacing w:line="360" w:lineRule="auto"/>
        <w:rPr>
          <w:rtl/>
        </w:rPr>
      </w:pPr>
    </w:p>
    <w:p w14:paraId="05277ED5" w14:textId="77777777" w:rsidR="00BD0437" w:rsidRPr="00652843" w:rsidRDefault="00BD0437" w:rsidP="00BD0437">
      <w:pPr>
        <w:spacing w:line="360" w:lineRule="auto"/>
        <w:jc w:val="both"/>
        <w:rPr>
          <w:rFonts w:ascii="David" w:hAnsi="David"/>
          <w:rtl/>
        </w:rPr>
      </w:pPr>
      <w:r>
        <w:rPr>
          <w:rFonts w:ascii="David" w:hAnsi="David" w:hint="cs"/>
          <w:rtl/>
        </w:rPr>
        <w:t>3.</w:t>
      </w:r>
      <w:r>
        <w:rPr>
          <w:rFonts w:ascii="David" w:hAnsi="David" w:hint="cs"/>
          <w:rtl/>
        </w:rPr>
        <w:tab/>
      </w:r>
      <w:r w:rsidRPr="00652843">
        <w:rPr>
          <w:rFonts w:ascii="David" w:hAnsi="David"/>
          <w:rtl/>
        </w:rPr>
        <w:t>תסקיר שירות המבחן סוקר קורותיו של הנאשם ומלמד כי הלה בן 21, רווק, שוהה במעצר בית בבית הוריו. טרם מעצרו, שירת הנאשם בשירות סדיר בצה"ל .</w:t>
      </w:r>
    </w:p>
    <w:p w14:paraId="57396D05" w14:textId="77777777" w:rsidR="00BD0437" w:rsidRPr="00652843" w:rsidRDefault="00BD0437" w:rsidP="00BD0437">
      <w:pPr>
        <w:spacing w:line="360" w:lineRule="auto"/>
        <w:rPr>
          <w:rFonts w:ascii="David" w:hAnsi="David"/>
          <w:rtl/>
        </w:rPr>
      </w:pPr>
    </w:p>
    <w:p w14:paraId="51184922" w14:textId="77777777" w:rsidR="00BD0437" w:rsidRPr="00652843" w:rsidRDefault="00BD0437" w:rsidP="00BD0437">
      <w:pPr>
        <w:spacing w:line="360" w:lineRule="auto"/>
        <w:jc w:val="both"/>
        <w:rPr>
          <w:rFonts w:ascii="David" w:hAnsi="David"/>
          <w:rtl/>
        </w:rPr>
      </w:pPr>
      <w:r w:rsidRPr="00652843">
        <w:rPr>
          <w:rFonts w:ascii="David" w:hAnsi="David"/>
          <w:rtl/>
        </w:rPr>
        <w:tab/>
        <w:t>שירות המבחן התרשם מצעיר שנולד וגדל  במשפחה קשת יום</w:t>
      </w:r>
      <w:r>
        <w:rPr>
          <w:rFonts w:ascii="David" w:hAnsi="David" w:hint="cs"/>
          <w:rtl/>
        </w:rPr>
        <w:t>,</w:t>
      </w:r>
      <w:r w:rsidRPr="00652843">
        <w:rPr>
          <w:rFonts w:ascii="David" w:hAnsi="David"/>
          <w:rtl/>
        </w:rPr>
        <w:t xml:space="preserve"> הטרודה בעיקר במישור הכלכלי. הוריו של הנאשם</w:t>
      </w:r>
      <w:r>
        <w:rPr>
          <w:rFonts w:ascii="David" w:hAnsi="David"/>
          <w:rtl/>
        </w:rPr>
        <w:t xml:space="preserve"> התקשו לספק מענה לצרכיו השונים</w:t>
      </w:r>
      <w:r>
        <w:rPr>
          <w:rFonts w:ascii="David" w:hAnsi="David" w:hint="cs"/>
        </w:rPr>
        <w:t xml:space="preserve"> </w:t>
      </w:r>
      <w:r w:rsidRPr="00652843">
        <w:rPr>
          <w:rFonts w:ascii="David" w:hAnsi="David"/>
          <w:rtl/>
        </w:rPr>
        <w:t>מה שהוביל לדימוי</w:t>
      </w:r>
      <w:r>
        <w:rPr>
          <w:rFonts w:ascii="David" w:hAnsi="David" w:hint="cs"/>
          <w:rtl/>
        </w:rPr>
        <w:t>ו</w:t>
      </w:r>
      <w:r w:rsidRPr="00652843">
        <w:rPr>
          <w:rFonts w:ascii="David" w:hAnsi="David"/>
          <w:rtl/>
        </w:rPr>
        <w:t xml:space="preserve"> </w:t>
      </w:r>
      <w:r>
        <w:rPr>
          <w:rFonts w:ascii="David" w:hAnsi="David" w:hint="cs"/>
          <w:rtl/>
        </w:rPr>
        <w:t>ה</w:t>
      </w:r>
      <w:r w:rsidRPr="00652843">
        <w:rPr>
          <w:rFonts w:ascii="David" w:hAnsi="David"/>
          <w:rtl/>
        </w:rPr>
        <w:t xml:space="preserve">עצמי </w:t>
      </w:r>
      <w:r>
        <w:rPr>
          <w:rFonts w:ascii="David" w:hAnsi="David" w:hint="cs"/>
          <w:rtl/>
        </w:rPr>
        <w:t>ה</w:t>
      </w:r>
      <w:r w:rsidRPr="00652843">
        <w:rPr>
          <w:rFonts w:ascii="David" w:hAnsi="David"/>
          <w:rtl/>
        </w:rPr>
        <w:t>נמוך. עוד צוין כי מצבה הכלכלי הקשה של המשפחה היווה גורם משמעותי בבחירת הנאשם להתנדב לצבא. בשל גיוסו לצה"ל, בעקבות אחיו,  חווה הנאשם דחייה חברתית בכפרו שהעמיקה אצלו את הפגיעה בדימויו העצמי ואת תחושת חוסר הסיפוק והקורבנות.</w:t>
      </w:r>
    </w:p>
    <w:p w14:paraId="2BBA81E8" w14:textId="77777777" w:rsidR="00BD0437" w:rsidRPr="00652843" w:rsidRDefault="00BD0437" w:rsidP="00BD0437">
      <w:pPr>
        <w:spacing w:line="360" w:lineRule="auto"/>
        <w:rPr>
          <w:rFonts w:ascii="David" w:hAnsi="David"/>
          <w:rtl/>
        </w:rPr>
      </w:pPr>
    </w:p>
    <w:p w14:paraId="2D1671FB" w14:textId="77777777" w:rsidR="00BD0437" w:rsidRPr="00652843" w:rsidRDefault="00BD0437" w:rsidP="00BD0437">
      <w:pPr>
        <w:spacing w:line="360" w:lineRule="auto"/>
        <w:jc w:val="both"/>
        <w:rPr>
          <w:rFonts w:ascii="David" w:hAnsi="David"/>
          <w:rtl/>
        </w:rPr>
      </w:pPr>
      <w:r w:rsidRPr="00652843">
        <w:rPr>
          <w:rFonts w:ascii="David" w:hAnsi="David"/>
          <w:rtl/>
        </w:rPr>
        <w:tab/>
        <w:t>שירות המבחן לא התרשם ממאפייני אישיות אנטי-סוציאליים מושרשים אצל הנאשם והתרשם כי התנהלותו בביצוע העבירות אינה תואמת את מהלך חייו. עם זאת, צוין כי הנאשם התקשה להסביר את הפער בין מהלך חייו לאופי העבירות שביצע</w:t>
      </w:r>
      <w:r>
        <w:rPr>
          <w:rFonts w:ascii="David" w:hAnsi="David" w:hint="cs"/>
          <w:rtl/>
        </w:rPr>
        <w:t>,</w:t>
      </w:r>
      <w:r w:rsidRPr="00652843">
        <w:rPr>
          <w:rFonts w:ascii="David" w:hAnsi="David"/>
          <w:rtl/>
        </w:rPr>
        <w:t xml:space="preserve"> ואך טען כי העבירות בוצעו מיוזמתו כ"פוזה", אולם התקשה להסביר את מי ניסה לה</w:t>
      </w:r>
      <w:r>
        <w:rPr>
          <w:rFonts w:ascii="David" w:hAnsi="David" w:hint="cs"/>
          <w:rtl/>
        </w:rPr>
        <w:t>רשי</w:t>
      </w:r>
      <w:r w:rsidRPr="00652843">
        <w:rPr>
          <w:rFonts w:ascii="David" w:hAnsi="David"/>
          <w:rtl/>
        </w:rPr>
        <w:t xml:space="preserve">ם. שרות המבחן העריך כי העבירות </w:t>
      </w:r>
      <w:r w:rsidRPr="00652843">
        <w:rPr>
          <w:rFonts w:ascii="David" w:hAnsi="David"/>
          <w:rtl/>
        </w:rPr>
        <w:lastRenderedPageBreak/>
        <w:t>בוצעו על רק</w:t>
      </w:r>
      <w:r>
        <w:rPr>
          <w:rFonts w:ascii="David" w:hAnsi="David" w:hint="cs"/>
          <w:rtl/>
        </w:rPr>
        <w:t>ע</w:t>
      </w:r>
      <w:r w:rsidRPr="00652843">
        <w:rPr>
          <w:rFonts w:ascii="David" w:hAnsi="David"/>
          <w:rtl/>
        </w:rPr>
        <w:t xml:space="preserve"> ניסיונו של הנאשם לשפר את דימויו העצמי בפני אחרים. שירות המבחן התרשם, כי הנאשם מבין כיום את חומרת התנהלותו וכי ההליך המשפטי המתנהל נגדו ו"המחירים שמשלם", מהווים עבורו גורם מרתיע ומציב גבולות. בסיכומו של דבר, מעריך שירות המבחן כי רמת הסיכון להישנות עבירות דומות בעתיד ע"י הנאשם, נמוכה יחסית. שירות המבחן לא התרשם מביטויי מצוקה רגשית ומנזקקות טיפולית של הנאשם והעריך כי הוא מסוגל להפיק לקחים בעצמו.</w:t>
      </w:r>
    </w:p>
    <w:p w14:paraId="511F75B6" w14:textId="77777777" w:rsidR="00BD0437" w:rsidRPr="00652843" w:rsidRDefault="00BD0437" w:rsidP="00BD0437">
      <w:pPr>
        <w:spacing w:line="360" w:lineRule="auto"/>
        <w:rPr>
          <w:rFonts w:ascii="David" w:hAnsi="David"/>
          <w:rtl/>
        </w:rPr>
      </w:pPr>
    </w:p>
    <w:p w14:paraId="3EF3A48E" w14:textId="77777777" w:rsidR="00BD0437" w:rsidRPr="00652843" w:rsidRDefault="00BD0437" w:rsidP="00BD0437">
      <w:pPr>
        <w:spacing w:line="360" w:lineRule="auto"/>
        <w:ind w:firstLine="720"/>
        <w:jc w:val="both"/>
        <w:rPr>
          <w:rFonts w:ascii="David" w:hAnsi="David"/>
          <w:rtl/>
        </w:rPr>
      </w:pPr>
      <w:r w:rsidRPr="00652843">
        <w:rPr>
          <w:rFonts w:ascii="David" w:hAnsi="David"/>
          <w:rtl/>
        </w:rPr>
        <w:t>בסיכומו של דבר, ומבלי להתעלם מחומרת העבירות, נוכח עברו הנקי של הנאשם הצעיר שאינו בעל מאפיינים אנטי-סוציאליים מושרשים ונוכח לקיחת האחריות על-ידו לביצוע העבירות, ממליץ שירות המבחן להטיל עליו עונש של מאסר שניתן יהא לרצותו בעבודות שירות, וזאת תוך הערכה כי למאסר בפועל מאחורי סורג ובריח עלולות להיות השלכות קשות עליו והוא עלול לפגוע בסיכויי שיקומו בעתיד.</w:t>
      </w:r>
    </w:p>
    <w:p w14:paraId="23FCA278" w14:textId="77777777" w:rsidR="00BD0437" w:rsidRPr="00652843" w:rsidRDefault="00BD0437" w:rsidP="00BD0437">
      <w:pPr>
        <w:spacing w:line="360" w:lineRule="auto"/>
        <w:rPr>
          <w:rFonts w:ascii="David" w:hAnsi="David"/>
          <w:rtl/>
        </w:rPr>
      </w:pPr>
    </w:p>
    <w:p w14:paraId="2DF1A8FE" w14:textId="77777777" w:rsidR="00BD0437" w:rsidRPr="00BB143D" w:rsidRDefault="00BD0437" w:rsidP="00BD0437">
      <w:pPr>
        <w:spacing w:line="360" w:lineRule="auto"/>
        <w:rPr>
          <w:rFonts w:ascii="Miriam" w:hAnsi="Miriam" w:cs="Miriam"/>
          <w:u w:val="single"/>
          <w:rtl/>
        </w:rPr>
      </w:pPr>
      <w:r w:rsidRPr="00BB143D">
        <w:rPr>
          <w:rFonts w:ascii="Miriam" w:hAnsi="Miriam" w:cs="Miriam"/>
          <w:u w:val="single"/>
          <w:rtl/>
        </w:rPr>
        <w:t>ראיות ההגנה לעונש וטיעוני הצדדים לעונש</w:t>
      </w:r>
    </w:p>
    <w:p w14:paraId="2AECD21F" w14:textId="77777777" w:rsidR="00BD0437" w:rsidRPr="00652843" w:rsidRDefault="00BD0437" w:rsidP="00BD0437">
      <w:pPr>
        <w:spacing w:line="360" w:lineRule="auto"/>
        <w:rPr>
          <w:rFonts w:ascii="David" w:hAnsi="David"/>
          <w:rtl/>
        </w:rPr>
      </w:pPr>
    </w:p>
    <w:p w14:paraId="5A45AB6E" w14:textId="77777777" w:rsidR="00BD0437" w:rsidRPr="00652843" w:rsidRDefault="00BD0437" w:rsidP="00BD0437">
      <w:pPr>
        <w:spacing w:line="360" w:lineRule="auto"/>
        <w:jc w:val="both"/>
        <w:rPr>
          <w:rFonts w:ascii="David" w:hAnsi="David"/>
          <w:rtl/>
        </w:rPr>
      </w:pPr>
      <w:r>
        <w:rPr>
          <w:rFonts w:ascii="David" w:hAnsi="David" w:hint="cs"/>
          <w:rtl/>
        </w:rPr>
        <w:t>4.</w:t>
      </w:r>
      <w:r w:rsidRPr="00652843">
        <w:rPr>
          <w:rFonts w:ascii="David" w:hAnsi="David"/>
          <w:rtl/>
        </w:rPr>
        <w:tab/>
        <w:t xml:space="preserve">במסגרת ראיות ההגנה לעונש העידה אמו של הנאשם, הגב' עפאף אסדי (להלן: </w:t>
      </w:r>
      <w:r w:rsidRPr="00652843">
        <w:rPr>
          <w:rFonts w:ascii="Miriam" w:hAnsi="Miriam" w:cs="Miriam"/>
          <w:rtl/>
        </w:rPr>
        <w:t>הגב' אסדי</w:t>
      </w:r>
      <w:r w:rsidRPr="00652843">
        <w:rPr>
          <w:rFonts w:ascii="David" w:hAnsi="David"/>
          <w:rtl/>
        </w:rPr>
        <w:t xml:space="preserve">). בפתח דבריה סיפרה הגב' אסדי כי היא וכל יתר בני המשפחה מודעים למעשיו של הנאשם ומגנים אותם בתוקף. הגב' אסדי סיפרה על מסירותה של משפחתה למדינה, תוך שציינה כי אחיו של הנאשם התגייס לצבא ואחותו שירתה שירות לאומי. הגב' אסדי הבהירה כי הנאשם מתחרט חרטה עמוקה על מעשיו, ציינה כי מדובר באירוע חד-פעמי </w:t>
      </w:r>
      <w:r>
        <w:rPr>
          <w:rFonts w:ascii="David" w:hAnsi="David" w:hint="cs"/>
          <w:rtl/>
        </w:rPr>
        <w:t>במשפחתם</w:t>
      </w:r>
      <w:r w:rsidRPr="00652843">
        <w:rPr>
          <w:rFonts w:ascii="David" w:hAnsi="David"/>
          <w:rtl/>
        </w:rPr>
        <w:t xml:space="preserve"> שאינו תואם את החינוך שהקנתה לילדיה וביקשה כי בית המשפט ייתן לנאשם</w:t>
      </w:r>
      <w:r>
        <w:rPr>
          <w:rFonts w:ascii="David" w:hAnsi="David" w:hint="cs"/>
          <w:rtl/>
        </w:rPr>
        <w:t xml:space="preserve">, אשר </w:t>
      </w:r>
      <w:r w:rsidRPr="00652843">
        <w:rPr>
          <w:rFonts w:ascii="David" w:hAnsi="David"/>
          <w:rtl/>
        </w:rPr>
        <w:t xml:space="preserve">טעה מבלי לחשוב, הזדמנות לחזור למוטב. </w:t>
      </w:r>
    </w:p>
    <w:p w14:paraId="3DCE6F55" w14:textId="77777777" w:rsidR="00BD0437" w:rsidRPr="00652843" w:rsidRDefault="00BD0437" w:rsidP="00BD0437">
      <w:pPr>
        <w:spacing w:line="360" w:lineRule="auto"/>
        <w:rPr>
          <w:rFonts w:ascii="David" w:hAnsi="David"/>
          <w:rtl/>
        </w:rPr>
      </w:pPr>
    </w:p>
    <w:p w14:paraId="3391D796" w14:textId="77777777" w:rsidR="00BD0437" w:rsidRPr="00652843" w:rsidRDefault="00BD0437" w:rsidP="00BD0437">
      <w:pPr>
        <w:spacing w:line="360" w:lineRule="auto"/>
        <w:jc w:val="both"/>
        <w:rPr>
          <w:rFonts w:ascii="David" w:hAnsi="David"/>
          <w:rtl/>
        </w:rPr>
      </w:pPr>
      <w:r w:rsidRPr="00652843">
        <w:rPr>
          <w:rFonts w:ascii="David" w:hAnsi="David"/>
          <w:rtl/>
        </w:rPr>
        <w:tab/>
        <w:t>ב"כ המאשימה הגישה את טיעוניה לעונש בכתב (</w:t>
      </w:r>
      <w:r w:rsidRPr="00652843">
        <w:rPr>
          <w:rFonts w:ascii="Miriam" w:hAnsi="Miriam" w:cs="Miriam"/>
          <w:rtl/>
        </w:rPr>
        <w:t>ט/1</w:t>
      </w:r>
      <w:r w:rsidRPr="00652843">
        <w:rPr>
          <w:rFonts w:ascii="David" w:hAnsi="David"/>
          <w:rtl/>
        </w:rPr>
        <w:t xml:space="preserve">) והוסיפה וטענה בעל- פה בדיון בפניי ביום 30/10/19. מטיעוני ב"כ המאשימה עולה כי הערכים החברתיים שנפגעו מביצוע העבירות הם- הסדר הציבורי בכלל ועבודת המשטרה בפרט, הפגיעה בתחושת הביטחון האישי, ההגנה על שלמות גופו של אדם וביטחון הציבור. עוד נטען כי במקרה זה הפגיעה בערכים המוגנים היא משמעותית, שכן במעשיו נקט הנאשם במעשה קיצוני  במטרה להפריע לעבודת המשטרה. </w:t>
      </w:r>
      <w:r>
        <w:rPr>
          <w:rFonts w:ascii="David" w:hAnsi="David" w:hint="cs"/>
          <w:rtl/>
        </w:rPr>
        <w:t xml:space="preserve">כמו </w:t>
      </w:r>
      <w:r w:rsidRPr="00652843">
        <w:rPr>
          <w:rFonts w:ascii="David" w:hAnsi="David"/>
          <w:rtl/>
        </w:rPr>
        <w:t xml:space="preserve">כן נטען כי בית המשפט העליון נתן דעתו בפסיקתו להשלכות הרות האסון הנובעות מעבירות הנשק ומהסיכון הגלום בהן. </w:t>
      </w:r>
    </w:p>
    <w:p w14:paraId="7D0868CF" w14:textId="77777777" w:rsidR="00BD0437" w:rsidRPr="00652843" w:rsidRDefault="00BD0437" w:rsidP="00BD0437">
      <w:pPr>
        <w:spacing w:line="360" w:lineRule="auto"/>
        <w:rPr>
          <w:rFonts w:ascii="David" w:hAnsi="David"/>
          <w:rtl/>
        </w:rPr>
      </w:pPr>
    </w:p>
    <w:p w14:paraId="46A9CCCD" w14:textId="77777777" w:rsidR="00BD0437" w:rsidRPr="00652843" w:rsidRDefault="00BD0437" w:rsidP="00BD0437">
      <w:pPr>
        <w:spacing w:line="360" w:lineRule="auto"/>
        <w:jc w:val="both"/>
        <w:rPr>
          <w:rFonts w:ascii="David" w:hAnsi="David"/>
          <w:rtl/>
        </w:rPr>
      </w:pPr>
      <w:r w:rsidRPr="00652843">
        <w:rPr>
          <w:rFonts w:ascii="David" w:hAnsi="David"/>
          <w:rtl/>
        </w:rPr>
        <w:tab/>
        <w:t>במסגרת הנסיבות הקשורות בביצוע העבירה נטען ע"י המאשימה, כי חומרת המקרה שבפנינו נעוצה בכך שהנאשם וג'ואד הצטיידו מבעוד מעוד ברימון הלם, כפפות שחורות וכיסוי לפנים, דבר המלמד על התכנון שקדם למעשים. צוין כי הנאשם  כיסה את פניו, עטה את הכפפות וחבש לראשו קפוצ'ון ובהמשך, ירד מהרכב</w:t>
      </w:r>
      <w:r>
        <w:rPr>
          <w:rFonts w:ascii="David" w:hAnsi="David" w:hint="cs"/>
          <w:rtl/>
        </w:rPr>
        <w:t xml:space="preserve">, </w:t>
      </w:r>
      <w:r w:rsidRPr="00652843">
        <w:rPr>
          <w:rFonts w:ascii="David" w:hAnsi="David"/>
          <w:rtl/>
        </w:rPr>
        <w:t>ביקש מג'ואד להמתין לו ואז זר</w:t>
      </w:r>
      <w:r>
        <w:rPr>
          <w:rFonts w:ascii="David" w:hAnsi="David"/>
          <w:rtl/>
        </w:rPr>
        <w:t>ק בצהרי היום את הרימון בלב הכפר לעבר בית מגורים</w:t>
      </w:r>
      <w:r w:rsidRPr="00652843">
        <w:rPr>
          <w:rFonts w:ascii="David" w:hAnsi="David"/>
          <w:rtl/>
        </w:rPr>
        <w:t xml:space="preserve"> ונמלט עם ג'ואד. נטען כי  אין לזקוף לזכות הנאשם את העובדה שהאירוע הסתיים אך בקול נפץ עז, שכן פוטנציאל הנזק הוא רב  ורק בדרך נס לא נגרם נזק כבד יותר לרכוש ולחיי אדם. עוד, לחומרה, ציינה המאשימה כי המעשים בוצעו במטרה לחבל בעבודת המשטרה שביקשה לבצע חיפוש בביתו של סמיר.</w:t>
      </w:r>
    </w:p>
    <w:p w14:paraId="7B22BB32" w14:textId="77777777" w:rsidR="00BD0437" w:rsidRPr="00652843" w:rsidRDefault="00BD0437" w:rsidP="00BD0437">
      <w:pPr>
        <w:spacing w:line="360" w:lineRule="auto"/>
        <w:rPr>
          <w:rFonts w:ascii="David" w:hAnsi="David"/>
          <w:rtl/>
        </w:rPr>
      </w:pPr>
    </w:p>
    <w:p w14:paraId="7E746E7D" w14:textId="77777777" w:rsidR="00BD0437" w:rsidRPr="00652843" w:rsidRDefault="00BD0437" w:rsidP="00BD0437">
      <w:pPr>
        <w:spacing w:line="360" w:lineRule="auto"/>
        <w:jc w:val="both"/>
        <w:rPr>
          <w:rFonts w:ascii="David" w:hAnsi="David"/>
          <w:rtl/>
        </w:rPr>
      </w:pPr>
      <w:r w:rsidRPr="00652843">
        <w:rPr>
          <w:rFonts w:ascii="David" w:hAnsi="David"/>
          <w:rtl/>
        </w:rPr>
        <w:tab/>
        <w:t>ב"כ המאשימה הפנתה</w:t>
      </w:r>
      <w:r>
        <w:rPr>
          <w:rFonts w:ascii="David" w:hAnsi="David" w:hint="cs"/>
          <w:rtl/>
        </w:rPr>
        <w:t>,</w:t>
      </w:r>
      <w:r w:rsidRPr="00652843">
        <w:rPr>
          <w:rFonts w:ascii="David" w:hAnsi="David"/>
          <w:rtl/>
        </w:rPr>
        <w:t xml:space="preserve"> בטיעוניה לעונש בכתב</w:t>
      </w:r>
      <w:r>
        <w:rPr>
          <w:rFonts w:ascii="David" w:hAnsi="David" w:hint="cs"/>
          <w:rtl/>
        </w:rPr>
        <w:t>,</w:t>
      </w:r>
      <w:r w:rsidRPr="00652843">
        <w:rPr>
          <w:rFonts w:ascii="David" w:hAnsi="David"/>
          <w:rtl/>
        </w:rPr>
        <w:t xml:space="preserve"> לפסיקה לצורך המחשת עמדתה לעונש. המאשימה טענה למתחם עונש הולם הנע בין 36-18 חודשי מאסר בפועל, לצד עונש של מאסר על תנאי וקנס. עוד נטען כי בעניינו של הנאשם מתקיימים שיקולים המצדיקים החמרה בעונשו ביחס לג'ואד עליו נגזר עונש של שישה חודשי מאסר בפועל בעבודות שירות. הוטעם לעניין זה כי ג'ואד הורשע אך בעבירה של נשיאה והובלת נשק בלבד, וכי חלקו בביצוע העבירה היה קטן באופן משמעותי מחלקו של הנאשם, שכן ג'ואד נותר ברכב בעוד שהנאשם השליך בפועל את הרימון לעבר הבית. עוד נטען לעניין זה, כי הנאשם אף ניסה להניע את ג'ואד למסור הודעת שקר במשטרה לבל יפליל אותו בביצוע העבירה, דבר נוסף המצדיק אבחנה בין השניים.</w:t>
      </w:r>
    </w:p>
    <w:p w14:paraId="53BF9F08" w14:textId="77777777" w:rsidR="00BD0437" w:rsidRPr="00652843" w:rsidRDefault="00BD0437" w:rsidP="00BD0437">
      <w:pPr>
        <w:spacing w:line="360" w:lineRule="auto"/>
        <w:rPr>
          <w:rFonts w:ascii="David" w:hAnsi="David"/>
          <w:rtl/>
        </w:rPr>
      </w:pPr>
    </w:p>
    <w:p w14:paraId="7944C5DA" w14:textId="77777777" w:rsidR="00BD0437" w:rsidRPr="00652843" w:rsidRDefault="00BD0437" w:rsidP="00BD0437">
      <w:pPr>
        <w:spacing w:line="360" w:lineRule="auto"/>
        <w:jc w:val="both"/>
        <w:rPr>
          <w:rFonts w:ascii="David" w:hAnsi="David"/>
          <w:rtl/>
        </w:rPr>
      </w:pPr>
      <w:r w:rsidRPr="00652843">
        <w:rPr>
          <w:rFonts w:ascii="David" w:hAnsi="David"/>
          <w:rtl/>
        </w:rPr>
        <w:tab/>
        <w:t>אשר לנסיבות שאינן קשורות בביצוע העבירה, התייחסה המאשימה לתסקיר שירות המבחן. נטע</w:t>
      </w:r>
      <w:r>
        <w:rPr>
          <w:rFonts w:ascii="David" w:hAnsi="David" w:hint="cs"/>
          <w:rtl/>
        </w:rPr>
        <w:t>ן</w:t>
      </w:r>
      <w:r w:rsidRPr="00652843">
        <w:rPr>
          <w:rFonts w:ascii="David" w:hAnsi="David"/>
          <w:rtl/>
        </w:rPr>
        <w:t xml:space="preserve"> כי אומנם מהתסקיר עולה כי הנאשם לקח אחריות על מעשיו, אולם הוא מתקש</w:t>
      </w:r>
      <w:r>
        <w:rPr>
          <w:rFonts w:ascii="David" w:hAnsi="David"/>
          <w:rtl/>
        </w:rPr>
        <w:t xml:space="preserve">ה להסביר את המניעים להתנהלותו. </w:t>
      </w:r>
      <w:r w:rsidRPr="00652843">
        <w:rPr>
          <w:rFonts w:ascii="David" w:hAnsi="David"/>
          <w:rtl/>
        </w:rPr>
        <w:t>המאשימה סבורה, כי חרף גילו הצעיר של הנאשם ועברו הנקי, אין מקום להקלה משמעותית בעונשו ויש לדחות את המלצת שירות המבחן להשית עליו עונש של מאסר שניתן לרצותו בעבודות שירות, שעה שמדובר בעבירות שיש בהן חומרה  ממשית ומידה רבה של פגיעה באינטרס הציבורי ובגורמי אכיפת החוק.</w:t>
      </w:r>
    </w:p>
    <w:p w14:paraId="5E673521" w14:textId="77777777" w:rsidR="00BD0437" w:rsidRPr="00652843" w:rsidRDefault="00BD0437" w:rsidP="00BD0437">
      <w:pPr>
        <w:spacing w:line="360" w:lineRule="auto"/>
        <w:rPr>
          <w:rFonts w:ascii="David" w:hAnsi="David"/>
          <w:rtl/>
        </w:rPr>
      </w:pPr>
    </w:p>
    <w:p w14:paraId="386E136C" w14:textId="77777777" w:rsidR="00BD0437" w:rsidRPr="00652843" w:rsidRDefault="00BD0437" w:rsidP="00BD0437">
      <w:pPr>
        <w:spacing w:line="360" w:lineRule="auto"/>
        <w:jc w:val="both"/>
        <w:rPr>
          <w:rFonts w:ascii="David" w:hAnsi="David"/>
          <w:rtl/>
        </w:rPr>
      </w:pPr>
      <w:r w:rsidRPr="00652843">
        <w:rPr>
          <w:rFonts w:ascii="David" w:hAnsi="David"/>
          <w:rtl/>
        </w:rPr>
        <w:tab/>
        <w:t>לסיכום, מבקשת המאשימה לאמץ את מתחם העונש ההולם לו היא עותרת, כאמור, ולקבוע את עונשו של הנאשם בחלקו התחתון של המתחם המוצע, בצירוף מאסר מותנה ארוך ומרתיע וקנס.</w:t>
      </w:r>
    </w:p>
    <w:p w14:paraId="71EBE74E" w14:textId="77777777" w:rsidR="00BD0437" w:rsidRPr="00652843" w:rsidRDefault="00BD0437" w:rsidP="00BD0437">
      <w:pPr>
        <w:spacing w:line="360" w:lineRule="auto"/>
        <w:rPr>
          <w:rFonts w:ascii="David" w:hAnsi="David"/>
          <w:rtl/>
        </w:rPr>
      </w:pPr>
    </w:p>
    <w:p w14:paraId="021589B6" w14:textId="77777777" w:rsidR="00BD0437" w:rsidRPr="00652843" w:rsidRDefault="00BD0437" w:rsidP="00BD0437">
      <w:pPr>
        <w:spacing w:line="360" w:lineRule="auto"/>
        <w:jc w:val="both"/>
        <w:rPr>
          <w:rFonts w:ascii="David" w:hAnsi="David"/>
          <w:rtl/>
        </w:rPr>
      </w:pPr>
      <w:r>
        <w:rPr>
          <w:rFonts w:ascii="David" w:hAnsi="David" w:hint="cs"/>
          <w:rtl/>
        </w:rPr>
        <w:t>5.</w:t>
      </w:r>
      <w:r w:rsidRPr="00652843">
        <w:rPr>
          <w:rFonts w:ascii="David" w:hAnsi="David"/>
          <w:rtl/>
        </w:rPr>
        <w:tab/>
        <w:t xml:space="preserve">בפתח טיעוניו לעונש הסכים הסניגור עם המאשימה </w:t>
      </w:r>
      <w:r>
        <w:rPr>
          <w:rFonts w:ascii="David" w:hAnsi="David" w:hint="cs"/>
          <w:rtl/>
        </w:rPr>
        <w:t xml:space="preserve">לעניין </w:t>
      </w:r>
      <w:r w:rsidRPr="00652843">
        <w:rPr>
          <w:rFonts w:ascii="David" w:hAnsi="David"/>
          <w:rtl/>
        </w:rPr>
        <w:t xml:space="preserve">חומרת העבירה </w:t>
      </w:r>
      <w:r>
        <w:rPr>
          <w:rFonts w:ascii="David" w:hAnsi="David" w:hint="cs"/>
          <w:rtl/>
        </w:rPr>
        <w:t>בה הורשע</w:t>
      </w:r>
      <w:r w:rsidRPr="00652843">
        <w:rPr>
          <w:rFonts w:ascii="David" w:hAnsi="David"/>
          <w:rtl/>
        </w:rPr>
        <w:t xml:space="preserve"> הנאשם, אולם</w:t>
      </w:r>
      <w:r>
        <w:rPr>
          <w:rFonts w:ascii="David" w:hAnsi="David" w:hint="cs"/>
          <w:rtl/>
        </w:rPr>
        <w:t xml:space="preserve"> הוסיף כי </w:t>
      </w:r>
      <w:r w:rsidRPr="00652843">
        <w:rPr>
          <w:rFonts w:ascii="David" w:hAnsi="David"/>
          <w:rtl/>
        </w:rPr>
        <w:t>העבירה שבפנינו  מצויה ברף הנמוך של עבירות הנשק. בנקודה זו הפנה הסניגור לעובדות כתב האישום תוך שטען כי אלו מלמדות על כך שעסקינן בנשק מסוג רימון הלם בלבד ועל כוונת הנאשם  שנועדה אך להפריע לחיפוש המשטרתי ולא, חלילה, לגרום נזק לאדם או לרכוש. הודגש כי בפועל לא נגרם כל נזק למעט רעש חזק. עוד הפנה הסניגור לאמור בתסקיר שירות המבחן, וזאת על מנת ללמד כי הנאשם פעל רק כדי לעשות "פוזה" ולא בכוונה לפגוע בשוטרים. הסנגור הוסיף וטען, כי לטענת הנאשם,  הרימון הושלך לעבר הבית בקרבתו לא נכחה ניידת משטרה</w:t>
      </w:r>
      <w:r>
        <w:rPr>
          <w:rFonts w:ascii="David" w:hAnsi="David" w:hint="cs"/>
          <w:rtl/>
        </w:rPr>
        <w:t xml:space="preserve">, וזאת </w:t>
      </w:r>
      <w:r w:rsidRPr="00652843">
        <w:rPr>
          <w:rFonts w:ascii="David" w:hAnsi="David"/>
          <w:rtl/>
        </w:rPr>
        <w:t>ממרחק רב ובהפרשי גובה מה</w:t>
      </w:r>
      <w:r>
        <w:rPr>
          <w:rFonts w:ascii="David" w:hAnsi="David" w:hint="cs"/>
          <w:rtl/>
        </w:rPr>
        <w:t>בית, דבר העולה גם מ</w:t>
      </w:r>
      <w:r w:rsidRPr="00652843">
        <w:rPr>
          <w:rFonts w:ascii="David" w:hAnsi="David"/>
          <w:rtl/>
        </w:rPr>
        <w:t>מזכרו של השוטר דודו קרן</w:t>
      </w:r>
      <w:r>
        <w:rPr>
          <w:rFonts w:ascii="David" w:hAnsi="David" w:hint="cs"/>
          <w:rtl/>
        </w:rPr>
        <w:t>,</w:t>
      </w:r>
      <w:r w:rsidRPr="00652843">
        <w:rPr>
          <w:rFonts w:ascii="David" w:hAnsi="David"/>
          <w:rtl/>
        </w:rPr>
        <w:t xml:space="preserve"> המצוי  בתיק החקירה</w:t>
      </w:r>
      <w:r>
        <w:rPr>
          <w:rFonts w:ascii="David" w:hAnsi="David" w:hint="cs"/>
          <w:rtl/>
        </w:rPr>
        <w:t>.</w:t>
      </w:r>
    </w:p>
    <w:p w14:paraId="0F50ADAA" w14:textId="77777777" w:rsidR="00BD0437" w:rsidRPr="00652843" w:rsidRDefault="00BD0437" w:rsidP="00BD0437">
      <w:pPr>
        <w:spacing w:line="360" w:lineRule="auto"/>
        <w:rPr>
          <w:rFonts w:ascii="David" w:hAnsi="David"/>
          <w:rtl/>
        </w:rPr>
      </w:pPr>
    </w:p>
    <w:p w14:paraId="2522FC1F" w14:textId="77777777" w:rsidR="00BD0437" w:rsidRPr="00652843" w:rsidRDefault="00BD0437" w:rsidP="00BD0437">
      <w:pPr>
        <w:spacing w:line="360" w:lineRule="auto"/>
        <w:jc w:val="both"/>
        <w:rPr>
          <w:rFonts w:ascii="David" w:hAnsi="David"/>
          <w:rtl/>
        </w:rPr>
      </w:pPr>
      <w:r w:rsidRPr="00652843">
        <w:rPr>
          <w:rFonts w:ascii="David" w:hAnsi="David"/>
          <w:rtl/>
        </w:rPr>
        <w:tab/>
        <w:t xml:space="preserve">נטען ע"י הסנגור כי מדיניות הענישה בעבירות נשק נגזרת, בין היתר, מסוג הנשק. הסניגור הדגיש כי רימון הלם אינו מסוכן כדוגמת כלי נשק אחרים שביכולתם לגרום לפגיעה בחיי אדם. הסניגור הגיש את גזר הדין שניתן בעניינו של </w:t>
      </w:r>
      <w:r>
        <w:rPr>
          <w:rFonts w:ascii="David" w:hAnsi="David" w:hint="cs"/>
          <w:rtl/>
        </w:rPr>
        <w:t xml:space="preserve">השותף </w:t>
      </w:r>
      <w:r w:rsidRPr="00652843">
        <w:rPr>
          <w:rFonts w:ascii="David" w:hAnsi="David"/>
          <w:rtl/>
        </w:rPr>
        <w:t>ג'ואד (</w:t>
      </w:r>
      <w:r w:rsidRPr="00936C13">
        <w:rPr>
          <w:rFonts w:ascii="Miriam" w:hAnsi="Miriam" w:cs="Miriam"/>
          <w:rtl/>
        </w:rPr>
        <w:t>נע/1</w:t>
      </w:r>
      <w:r>
        <w:rPr>
          <w:rFonts w:ascii="David" w:hAnsi="David"/>
          <w:rtl/>
        </w:rPr>
        <w:t>)</w:t>
      </w:r>
      <w:r>
        <w:rPr>
          <w:rFonts w:ascii="David" w:hAnsi="David" w:hint="cs"/>
          <w:rtl/>
        </w:rPr>
        <w:t xml:space="preserve">, ולפיו </w:t>
      </w:r>
      <w:r w:rsidRPr="00652843">
        <w:rPr>
          <w:rFonts w:ascii="David" w:hAnsi="David"/>
          <w:rtl/>
        </w:rPr>
        <w:t xml:space="preserve">הושת </w:t>
      </w:r>
      <w:r>
        <w:rPr>
          <w:rFonts w:ascii="David" w:hAnsi="David" w:hint="cs"/>
          <w:rtl/>
        </w:rPr>
        <w:t xml:space="preserve">על ג'ואד </w:t>
      </w:r>
      <w:r w:rsidRPr="00652843">
        <w:rPr>
          <w:rFonts w:ascii="David" w:hAnsi="David"/>
          <w:rtl/>
        </w:rPr>
        <w:t>עונש של שישה חודשי מאסר בפועל בעבודות שירות, לצד רכיבי ענישה של מאסר מותנה וקנס בסך 5,000 ₪. לטענת הסנגור, יש לראות בשניים כמבצעים בצוותא הנושאים באותה אחריות לביצוע העבירה, מה גם שתסקיר שירות המבחן בעניינו של ג'ואד  היה</w:t>
      </w:r>
      <w:r>
        <w:rPr>
          <w:rFonts w:ascii="David" w:hAnsi="David" w:hint="cs"/>
          <w:rtl/>
        </w:rPr>
        <w:t xml:space="preserve"> </w:t>
      </w:r>
      <w:r w:rsidRPr="00652843">
        <w:rPr>
          <w:rFonts w:ascii="David" w:hAnsi="David"/>
          <w:rtl/>
        </w:rPr>
        <w:t>שלילי.</w:t>
      </w:r>
    </w:p>
    <w:p w14:paraId="4A2F05EE" w14:textId="77777777" w:rsidR="00BD0437" w:rsidRPr="00652843" w:rsidRDefault="00BD0437" w:rsidP="00BD0437">
      <w:pPr>
        <w:spacing w:line="360" w:lineRule="auto"/>
        <w:rPr>
          <w:rFonts w:ascii="David" w:hAnsi="David"/>
          <w:rtl/>
        </w:rPr>
      </w:pPr>
    </w:p>
    <w:p w14:paraId="09035F0B" w14:textId="77777777" w:rsidR="00BD0437" w:rsidRDefault="00BD0437" w:rsidP="00BD0437">
      <w:pPr>
        <w:spacing w:line="360" w:lineRule="auto"/>
        <w:jc w:val="both"/>
        <w:rPr>
          <w:rtl/>
        </w:rPr>
      </w:pPr>
      <w:r w:rsidRPr="00652843">
        <w:rPr>
          <w:rFonts w:ascii="David" w:hAnsi="David"/>
          <w:rtl/>
        </w:rPr>
        <w:tab/>
        <w:t>אשר לעביר</w:t>
      </w:r>
      <w:r>
        <w:rPr>
          <w:rFonts w:ascii="David" w:hAnsi="David" w:hint="cs"/>
          <w:rtl/>
        </w:rPr>
        <w:t xml:space="preserve">ות </w:t>
      </w:r>
      <w:r w:rsidRPr="00652843">
        <w:rPr>
          <w:rFonts w:ascii="David" w:hAnsi="David"/>
          <w:rtl/>
        </w:rPr>
        <w:t xml:space="preserve">שעניינן הפרעה לשוטר והדחה בחקירה, </w:t>
      </w:r>
      <w:r>
        <w:rPr>
          <w:rFonts w:ascii="David" w:hAnsi="David" w:hint="cs"/>
          <w:rtl/>
        </w:rPr>
        <w:t xml:space="preserve">טען הסנגור </w:t>
      </w:r>
      <w:r w:rsidRPr="00652843">
        <w:rPr>
          <w:rFonts w:ascii="David" w:hAnsi="David"/>
          <w:rtl/>
        </w:rPr>
        <w:t>כי אלו בוצעו כחלק מאותה מסכת ע</w:t>
      </w:r>
      <w:r>
        <w:rPr>
          <w:rFonts w:ascii="David" w:hAnsi="David"/>
          <w:rtl/>
        </w:rPr>
        <w:t>ובדתית ובדרגת חומרה נמוכה. נטען</w:t>
      </w:r>
      <w:r w:rsidRPr="00652843">
        <w:rPr>
          <w:rFonts w:ascii="David" w:hAnsi="David"/>
          <w:rtl/>
        </w:rPr>
        <w:t xml:space="preserve"> כי הנאשם ביצע את העבירה של הדחה בחקירה אגב ביצוע עבירת הנשק</w:t>
      </w:r>
      <w:r>
        <w:rPr>
          <w:rFonts w:ascii="David" w:hAnsi="David" w:hint="cs"/>
          <w:rtl/>
        </w:rPr>
        <w:t>,</w:t>
      </w:r>
      <w:r w:rsidRPr="00652843">
        <w:rPr>
          <w:rFonts w:ascii="David" w:hAnsi="David"/>
          <w:rtl/>
        </w:rPr>
        <w:t xml:space="preserve"> תוך שהוא אומר לג'</w:t>
      </w:r>
      <w:r>
        <w:rPr>
          <w:rFonts w:ascii="David" w:hAnsi="David" w:hint="cs"/>
          <w:rtl/>
        </w:rPr>
        <w:t>וא</w:t>
      </w:r>
      <w:r w:rsidRPr="00652843">
        <w:rPr>
          <w:rFonts w:ascii="David" w:hAnsi="David"/>
          <w:rtl/>
        </w:rPr>
        <w:t>ד את הדברים</w:t>
      </w:r>
      <w:r>
        <w:rPr>
          <w:rFonts w:ascii="David" w:hAnsi="David" w:hint="cs"/>
          <w:rtl/>
        </w:rPr>
        <w:t>,</w:t>
      </w:r>
      <w:r w:rsidRPr="00652843">
        <w:rPr>
          <w:rFonts w:ascii="David" w:hAnsi="David"/>
          <w:rtl/>
        </w:rPr>
        <w:t xml:space="preserve"> </w:t>
      </w:r>
      <w:r>
        <w:rPr>
          <w:rFonts w:ascii="David" w:hAnsi="David" w:hint="cs"/>
          <w:rtl/>
        </w:rPr>
        <w:t xml:space="preserve">הנזכרים בכתב האישום, </w:t>
      </w:r>
      <w:r w:rsidRPr="00652843">
        <w:rPr>
          <w:rFonts w:ascii="David" w:hAnsi="David"/>
          <w:rtl/>
        </w:rPr>
        <w:t xml:space="preserve">מיד עם שובו לרכב, מה גם שבסופו של </w:t>
      </w:r>
      <w:r>
        <w:rPr>
          <w:rFonts w:ascii="David" w:hAnsi="David" w:hint="cs"/>
          <w:rtl/>
        </w:rPr>
        <w:t xml:space="preserve">דבר לא עלה בידי </w:t>
      </w:r>
      <w:r w:rsidRPr="00652843">
        <w:rPr>
          <w:rFonts w:ascii="David" w:hAnsi="David"/>
          <w:rtl/>
        </w:rPr>
        <w:t xml:space="preserve">הנאשם למנוע </w:t>
      </w:r>
      <w:r>
        <w:rPr>
          <w:rFonts w:ascii="David" w:hAnsi="David" w:hint="cs"/>
          <w:rtl/>
        </w:rPr>
        <w:t xml:space="preserve">את הפללתו ע"י </w:t>
      </w:r>
      <w:r w:rsidRPr="00652843">
        <w:rPr>
          <w:rFonts w:ascii="David" w:hAnsi="David"/>
          <w:rtl/>
        </w:rPr>
        <w:t>ג'ואד. אשר לעבירה של הפרעה לשוטר</w:t>
      </w:r>
      <w:r>
        <w:rPr>
          <w:rFonts w:ascii="David" w:hAnsi="David" w:hint="cs"/>
          <w:rtl/>
        </w:rPr>
        <w:t xml:space="preserve">, </w:t>
      </w:r>
      <w:r w:rsidRPr="00652843">
        <w:rPr>
          <w:rFonts w:ascii="David" w:hAnsi="David"/>
          <w:rtl/>
        </w:rPr>
        <w:t>נטען כ</w:t>
      </w:r>
      <w:r>
        <w:rPr>
          <w:rFonts w:ascii="David" w:hAnsi="David"/>
          <w:rtl/>
        </w:rPr>
        <w:t>י הנאשם לא הצליח לסכל את החיפוש</w:t>
      </w:r>
      <w:r w:rsidRPr="00652843">
        <w:rPr>
          <w:rFonts w:ascii="David" w:hAnsi="David"/>
          <w:rtl/>
        </w:rPr>
        <w:t xml:space="preserve"> ו</w:t>
      </w:r>
      <w:r>
        <w:rPr>
          <w:rFonts w:ascii="David" w:hAnsi="David" w:hint="cs"/>
          <w:rtl/>
        </w:rPr>
        <w:t>כי</w:t>
      </w:r>
      <w:r w:rsidRPr="00652843">
        <w:rPr>
          <w:rFonts w:ascii="David" w:hAnsi="David"/>
          <w:rtl/>
        </w:rPr>
        <w:t xml:space="preserve"> גם עבירה זו מצויה ברף נמוך מבחינות נסיבות ביצועה.</w:t>
      </w:r>
    </w:p>
    <w:p w14:paraId="6161EBD5" w14:textId="77777777" w:rsidR="00BD0437" w:rsidRDefault="00BD0437" w:rsidP="00BD0437">
      <w:pPr>
        <w:spacing w:line="360" w:lineRule="auto"/>
        <w:jc w:val="both"/>
        <w:rPr>
          <w:rtl/>
        </w:rPr>
      </w:pPr>
    </w:p>
    <w:p w14:paraId="04A1251F" w14:textId="77777777" w:rsidR="00BD0437" w:rsidRDefault="00BD0437" w:rsidP="00BD0437">
      <w:pPr>
        <w:spacing w:line="360" w:lineRule="auto"/>
        <w:jc w:val="both"/>
        <w:rPr>
          <w:rtl/>
        </w:rPr>
      </w:pPr>
      <w:r>
        <w:rPr>
          <w:rFonts w:hint="cs"/>
          <w:rtl/>
        </w:rPr>
        <w:t xml:space="preserve"> </w:t>
      </w:r>
      <w:r>
        <w:rPr>
          <w:rFonts w:hint="cs"/>
          <w:rtl/>
        </w:rPr>
        <w:tab/>
        <w:t>על רקע העובדה שעל ג'ואד  הושת, כאמור, עונש של שישה חודשי מאסר בפועל בעבודות שירות, טען הסנגור כי יש לראות בשנים כמבצעים בצוותא הנושאים באותה אחריות לביצוע עבירת הנשק. בהתייחס לכך שהנאשם  הורשע  בשתי עבירות נוספות, טען הסנגור כי מנגד יש להתייחס לתסקירו השלילי של שירות המבחן בעניינו של ג'ואד לעומת תסקירו החיובי של הנאשם.</w:t>
      </w:r>
    </w:p>
    <w:p w14:paraId="3519C877" w14:textId="77777777" w:rsidR="00BD0437" w:rsidRDefault="00BD0437" w:rsidP="00BD0437">
      <w:pPr>
        <w:pStyle w:val="a9"/>
        <w:spacing w:line="360" w:lineRule="auto"/>
        <w:ind w:left="0"/>
        <w:jc w:val="both"/>
        <w:rPr>
          <w:rtl/>
        </w:rPr>
      </w:pPr>
    </w:p>
    <w:p w14:paraId="392C4B88" w14:textId="77777777" w:rsidR="00BD0437" w:rsidRDefault="00BD0437" w:rsidP="00BD0437">
      <w:pPr>
        <w:pStyle w:val="a9"/>
        <w:spacing w:line="360" w:lineRule="auto"/>
        <w:ind w:left="0" w:firstLine="720"/>
        <w:jc w:val="both"/>
      </w:pPr>
      <w:r>
        <w:rPr>
          <w:rFonts w:hint="cs"/>
          <w:rtl/>
        </w:rPr>
        <w:t>עוד טען הסניגור כי הענישה היא לעולם אינדיבידואלית וביקש להעדיף את אינטרס הנאשם, שכן לשיטתו, הוגשם כבר אינטרס הציבור על-ידי מעצרו הממושך של הנאשם והיותו  נתון במעצר בית מלא במשך כשנה. הסניגור הוסיף והתייחס לנסיבותיו האישיות של הנאשם, העולות מתסקיר שירות המבחן ובהן: גילו הצעיר, עברו הנקי, משפחתו הנורמטיבית ושירותו הצבאי שנגדע בשל ביצוע העבירות.  עוד ציין הסנגור את התרשמות שירות המבחן, כי אין מדובר בצעיר  בעל מאפיינים אנטי- סוציאליי</w:t>
      </w:r>
      <w:r>
        <w:rPr>
          <w:rFonts w:hint="eastAsia"/>
          <w:rtl/>
        </w:rPr>
        <w:t>ם</w:t>
      </w:r>
      <w:r>
        <w:rPr>
          <w:rFonts w:hint="cs"/>
          <w:rtl/>
        </w:rPr>
        <w:t xml:space="preserve"> או עברייניים, וכן כי רמת המסוכנות של הנאשם להישנות עבירות היא נמוכה. </w:t>
      </w:r>
    </w:p>
    <w:p w14:paraId="735A7320" w14:textId="77777777" w:rsidR="00BD0437" w:rsidRDefault="00BD0437" w:rsidP="00BD0437">
      <w:pPr>
        <w:pStyle w:val="a9"/>
        <w:spacing w:line="360" w:lineRule="auto"/>
        <w:ind w:left="0" w:firstLine="720"/>
        <w:jc w:val="both"/>
        <w:rPr>
          <w:rtl/>
        </w:rPr>
      </w:pPr>
    </w:p>
    <w:p w14:paraId="6FFF80D8" w14:textId="77777777" w:rsidR="00BD0437" w:rsidRDefault="00BD0437" w:rsidP="00BD0437">
      <w:pPr>
        <w:pStyle w:val="a9"/>
        <w:spacing w:line="360" w:lineRule="auto"/>
        <w:ind w:left="0" w:firstLine="720"/>
        <w:jc w:val="both"/>
        <w:rPr>
          <w:rtl/>
        </w:rPr>
      </w:pPr>
      <w:r>
        <w:rPr>
          <w:rFonts w:hint="cs"/>
          <w:rtl/>
        </w:rPr>
        <w:t>בסיכומו של דבר, ביקש הסניגור לאמץ את המלצת שירות המבחן ולהטיל על הנאשם עונש מאסר שניתן יהא לרצותו בעבודות שירות.</w:t>
      </w:r>
    </w:p>
    <w:p w14:paraId="37FEBFCD" w14:textId="77777777" w:rsidR="00BD0437" w:rsidRDefault="00BD0437" w:rsidP="00BD0437">
      <w:pPr>
        <w:spacing w:line="360" w:lineRule="auto"/>
        <w:jc w:val="both"/>
        <w:rPr>
          <w:rtl/>
        </w:rPr>
      </w:pPr>
    </w:p>
    <w:p w14:paraId="4310F383" w14:textId="77777777" w:rsidR="00BD0437" w:rsidRDefault="00BD0437" w:rsidP="00BD0437">
      <w:pPr>
        <w:spacing w:line="360" w:lineRule="auto"/>
        <w:jc w:val="both"/>
        <w:rPr>
          <w:rtl/>
        </w:rPr>
      </w:pPr>
    </w:p>
    <w:p w14:paraId="7C5AD2D6" w14:textId="77777777" w:rsidR="00BD0437" w:rsidRDefault="00BD0437" w:rsidP="00BD0437">
      <w:pPr>
        <w:spacing w:line="360" w:lineRule="auto"/>
        <w:jc w:val="both"/>
      </w:pPr>
      <w:r>
        <w:rPr>
          <w:rFonts w:hint="cs"/>
          <w:rtl/>
        </w:rPr>
        <w:t>6.</w:t>
      </w:r>
      <w:r>
        <w:rPr>
          <w:rtl/>
        </w:rPr>
        <w:tab/>
      </w:r>
      <w:r>
        <w:rPr>
          <w:rFonts w:hint="cs"/>
          <w:rtl/>
        </w:rPr>
        <w:t>ואלו דבריו של הנאשם בפני בית המשפט, כלשונם:</w:t>
      </w:r>
    </w:p>
    <w:p w14:paraId="43574B4F" w14:textId="77777777" w:rsidR="00BD0437" w:rsidRDefault="00BD0437" w:rsidP="00BD0437">
      <w:pPr>
        <w:pStyle w:val="a9"/>
        <w:rPr>
          <w:rtl/>
        </w:rPr>
      </w:pPr>
    </w:p>
    <w:p w14:paraId="06F10160" w14:textId="77777777" w:rsidR="00BD0437" w:rsidRPr="002F3EA8" w:rsidRDefault="00BD0437" w:rsidP="00BD0437">
      <w:pPr>
        <w:spacing w:line="360" w:lineRule="auto"/>
        <w:ind w:left="1080"/>
        <w:jc w:val="both"/>
        <w:rPr>
          <w:rFonts w:ascii="Miriam" w:hAnsi="Miriam" w:cs="Miriam"/>
        </w:rPr>
      </w:pPr>
      <w:r>
        <w:rPr>
          <w:rFonts w:ascii="Miriam" w:hAnsi="Miriam" w:cs="Miriam" w:hint="cs"/>
          <w:rtl/>
        </w:rPr>
        <w:t>"</w:t>
      </w:r>
      <w:r w:rsidRPr="002F3EA8">
        <w:rPr>
          <w:rFonts w:ascii="Miriam" w:hAnsi="Miriam" w:cs="Miriam"/>
          <w:rtl/>
        </w:rPr>
        <w:t>אני עשיתי טעות מאוד מאוד חמורה,  הרסתי את החיים שלי, הייתי בצבא,  הייתי אמור לחתום קבע,  הרסתי את העתיד שלי, הרסתי את הכל.   הייתי עוזר בבית, הייתי חוזר  מהצבא והולך לעבוד.  אני מבין את הטעות  שלי ואני מצטער על זה.  אני לא אחזור על זה שוב. אני כמעט שנה בלי עבודה</w:t>
      </w:r>
      <w:r>
        <w:rPr>
          <w:rFonts w:ascii="Miriam" w:hAnsi="Miriam" w:cs="Miriam" w:hint="cs"/>
          <w:rtl/>
        </w:rPr>
        <w:t>"</w:t>
      </w:r>
      <w:r w:rsidRPr="002F3EA8">
        <w:rPr>
          <w:rFonts w:ascii="Miriam" w:hAnsi="Miriam" w:cs="Miriam"/>
          <w:rtl/>
        </w:rPr>
        <w:t xml:space="preserve">.  </w:t>
      </w:r>
    </w:p>
    <w:p w14:paraId="66CE7406" w14:textId="77777777" w:rsidR="00BD0437" w:rsidRDefault="00BD0437" w:rsidP="00BD0437">
      <w:pPr>
        <w:rPr>
          <w:rFonts w:ascii="Miriam" w:hAnsi="Miriam" w:cs="Miriam"/>
          <w:rtl/>
        </w:rPr>
      </w:pPr>
    </w:p>
    <w:p w14:paraId="1945F435" w14:textId="77777777" w:rsidR="00BD0437" w:rsidRPr="00830E97" w:rsidRDefault="00BD0437" w:rsidP="00BD0437">
      <w:pPr>
        <w:rPr>
          <w:rFonts w:ascii="Miriam" w:hAnsi="Miriam" w:cs="Miriam"/>
          <w:u w:val="single"/>
          <w:rtl/>
        </w:rPr>
      </w:pPr>
      <w:r w:rsidRPr="00830E97">
        <w:rPr>
          <w:rFonts w:ascii="Miriam" w:hAnsi="Miriam" w:cs="Miriam"/>
          <w:u w:val="single"/>
          <w:rtl/>
        </w:rPr>
        <w:t>דיון והכרעה</w:t>
      </w:r>
    </w:p>
    <w:p w14:paraId="2BB6498E" w14:textId="77777777" w:rsidR="00BD0437" w:rsidRDefault="00BD0437" w:rsidP="00BD0437">
      <w:pPr>
        <w:spacing w:line="360" w:lineRule="auto"/>
        <w:jc w:val="both"/>
        <w:rPr>
          <w:rtl/>
        </w:rPr>
      </w:pPr>
    </w:p>
    <w:p w14:paraId="0B309E30" w14:textId="77777777" w:rsidR="00BD0437" w:rsidRDefault="00BD0437" w:rsidP="00BD0437">
      <w:pPr>
        <w:spacing w:line="360" w:lineRule="auto"/>
        <w:jc w:val="both"/>
      </w:pPr>
      <w:r>
        <w:rPr>
          <w:rFonts w:hint="cs"/>
          <w:rtl/>
        </w:rPr>
        <w:t xml:space="preserve">7. </w:t>
      </w:r>
      <w:r>
        <w:rPr>
          <w:rtl/>
        </w:rPr>
        <w:tab/>
        <w:t>תיקון  113 ל</w:t>
      </w:r>
      <w:hyperlink r:id="rId32" w:history="1">
        <w:r w:rsidR="005C3C28" w:rsidRPr="005C3C28">
          <w:rPr>
            <w:color w:val="0000FF"/>
            <w:u w:val="single"/>
            <w:rtl/>
          </w:rPr>
          <w:t>חוק העונשין</w:t>
        </w:r>
      </w:hyperlink>
      <w:r>
        <w:rPr>
          <w:rtl/>
        </w:rPr>
        <w:t xml:space="preserve"> מתווה את העיקרון המנחה את ביהמ"ש בבואו לגזור דינו</w:t>
      </w:r>
      <w:r>
        <w:rPr>
          <w:rFonts w:hint="cs"/>
          <w:rtl/>
        </w:rPr>
        <w:t xml:space="preserve"> </w:t>
      </w:r>
      <w:r>
        <w:rPr>
          <w:rtl/>
        </w:rPr>
        <w:t xml:space="preserve">של נאשם שהינו, לפי </w:t>
      </w:r>
      <w:hyperlink r:id="rId33" w:history="1">
        <w:r w:rsidR="005D4589" w:rsidRPr="005D4589">
          <w:rPr>
            <w:color w:val="0000FF"/>
            <w:u w:val="single"/>
            <w:rtl/>
          </w:rPr>
          <w:t>סעיף 40ב</w:t>
        </w:r>
      </w:hyperlink>
      <w:r>
        <w:rPr>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34" w:history="1">
        <w:r w:rsidR="005C3C28" w:rsidRPr="005C3C28">
          <w:rPr>
            <w:color w:val="0000FF"/>
            <w:u w:val="single"/>
            <w:rtl/>
          </w:rPr>
          <w:t>ע.פ. 1523/10</w:t>
        </w:r>
      </w:hyperlink>
      <w:r>
        <w:rPr>
          <w:rtl/>
        </w:rPr>
        <w:t xml:space="preserve"> </w:t>
      </w:r>
      <w:r w:rsidRPr="00466AAE">
        <w:rPr>
          <w:rFonts w:cs="Miriam"/>
          <w:rtl/>
        </w:rPr>
        <w:t>פלוני נ' מדינת ישראל</w:t>
      </w:r>
      <w:r>
        <w:rPr>
          <w:rtl/>
        </w:rPr>
        <w:t xml:space="preserve">, 18/4/12 ). </w:t>
      </w:r>
      <w:hyperlink r:id="rId35" w:history="1">
        <w:r w:rsidR="005D4589" w:rsidRPr="005D4589">
          <w:rPr>
            <w:color w:val="0000FF"/>
            <w:u w:val="single"/>
            <w:rtl/>
          </w:rPr>
          <w:t>סעיף 40ג</w:t>
        </w:r>
      </w:hyperlink>
      <w:r>
        <w:rPr>
          <w:rtl/>
        </w:rPr>
        <w:t xml:space="preserve"> ל</w:t>
      </w:r>
      <w:hyperlink r:id="rId36" w:history="1">
        <w:r w:rsidR="005C3C28" w:rsidRPr="005C3C28">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37" w:history="1">
        <w:r w:rsidR="005D4589" w:rsidRPr="005D4589">
          <w:rPr>
            <w:color w:val="0000FF"/>
            <w:u w:val="single"/>
            <w:rtl/>
          </w:rPr>
          <w:t>בסעיף 40ט</w:t>
        </w:r>
      </w:hyperlink>
      <w:r>
        <w:rPr>
          <w:rtl/>
        </w:rPr>
        <w:t xml:space="preserve"> ל</w:t>
      </w:r>
      <w:hyperlink r:id="rId38" w:history="1">
        <w:r w:rsidR="005C3C28" w:rsidRPr="005C3C28">
          <w:rPr>
            <w:color w:val="0000FF"/>
            <w:u w:val="single"/>
            <w:rtl/>
          </w:rPr>
          <w:t>חוק העונשין</w:t>
        </w:r>
      </w:hyperlink>
      <w:r>
        <w:rPr>
          <w:rFonts w:hint="cs"/>
          <w:rtl/>
        </w:rPr>
        <w:t>.</w:t>
      </w:r>
      <w:r>
        <w:rPr>
          <w:rtl/>
        </w:rPr>
        <w:t xml:space="preserve"> העבירות מושא כתב האישום מהוות אירוע אחד </w:t>
      </w:r>
      <w:r>
        <w:rPr>
          <w:rFonts w:hint="cs"/>
          <w:rtl/>
        </w:rPr>
        <w:t>ו</w:t>
      </w:r>
      <w:r>
        <w:rPr>
          <w:rtl/>
        </w:rPr>
        <w:t xml:space="preserve">בגינו ייקבע להלן מתחם העונש ההולם. </w:t>
      </w:r>
    </w:p>
    <w:p w14:paraId="6331437E" w14:textId="77777777" w:rsidR="00BD0437" w:rsidRDefault="00BD0437" w:rsidP="00BD0437">
      <w:pPr>
        <w:spacing w:line="360" w:lineRule="auto"/>
        <w:jc w:val="both"/>
        <w:rPr>
          <w:rtl/>
        </w:rPr>
      </w:pPr>
    </w:p>
    <w:p w14:paraId="73F7317B" w14:textId="77777777" w:rsidR="00BD0437" w:rsidRDefault="00BD0437" w:rsidP="00BD0437">
      <w:pPr>
        <w:spacing w:line="360" w:lineRule="auto"/>
        <w:jc w:val="both"/>
        <w:rPr>
          <w:rtl/>
        </w:rPr>
      </w:pPr>
      <w:r>
        <w:rPr>
          <w:rFonts w:hint="cs"/>
          <w:rtl/>
        </w:rPr>
        <w:t>8.</w:t>
      </w:r>
      <w:r>
        <w:rPr>
          <w:rFonts w:hint="cs"/>
          <w:rtl/>
        </w:rPr>
        <w:tab/>
        <w:t xml:space="preserve">אקדים ואציין </w:t>
      </w:r>
      <w:r>
        <w:rPr>
          <w:rtl/>
        </w:rPr>
        <w:t xml:space="preserve"> אציין כי הערכים החברתיים </w:t>
      </w:r>
      <w:r>
        <w:rPr>
          <w:rFonts w:hint="cs"/>
          <w:rtl/>
        </w:rPr>
        <w:t>הנפגעים</w:t>
      </w:r>
      <w:r>
        <w:rPr>
          <w:rtl/>
        </w:rPr>
        <w:t xml:space="preserve"> כתוצאה מביצוע </w:t>
      </w:r>
      <w:r>
        <w:rPr>
          <w:rFonts w:hint="cs"/>
          <w:rtl/>
        </w:rPr>
        <w:t>העבירות</w:t>
      </w:r>
      <w:r>
        <w:rPr>
          <w:rtl/>
        </w:rPr>
        <w:t xml:space="preserve"> </w:t>
      </w:r>
      <w:r>
        <w:rPr>
          <w:rFonts w:hint="cs"/>
          <w:rtl/>
        </w:rPr>
        <w:t>בהן הורשע</w:t>
      </w:r>
      <w:r>
        <w:rPr>
          <w:rtl/>
        </w:rPr>
        <w:t xml:space="preserve"> הנאשם הם – שלומו ובטחונו של הציבור</w:t>
      </w:r>
      <w:r>
        <w:rPr>
          <w:rFonts w:hint="cs"/>
          <w:rtl/>
        </w:rPr>
        <w:t>, שלטון החוק והסדר הציבורי, וכן תחושת הביטחון של אנשי כוחות הביטחון בכלל ושוטרים בפרט וזכותם למלא תפקידם כדין בבטחה וללא מפרע.</w:t>
      </w:r>
    </w:p>
    <w:p w14:paraId="6D322D6C" w14:textId="77777777" w:rsidR="00BD0437" w:rsidRDefault="00BD0437" w:rsidP="00BD0437">
      <w:pPr>
        <w:spacing w:line="360" w:lineRule="auto"/>
        <w:jc w:val="both"/>
        <w:rPr>
          <w:rtl/>
        </w:rPr>
      </w:pPr>
    </w:p>
    <w:p w14:paraId="39057E3F" w14:textId="77777777" w:rsidR="00BD0437" w:rsidRDefault="00BD0437" w:rsidP="00BD0437">
      <w:pPr>
        <w:spacing w:line="360" w:lineRule="auto"/>
        <w:jc w:val="both"/>
        <w:rPr>
          <w:rtl/>
        </w:rPr>
      </w:pPr>
      <w:r>
        <w:rPr>
          <w:rFonts w:hint="cs"/>
          <w:rtl/>
        </w:rPr>
        <w:t>9.</w:t>
      </w:r>
      <w:r>
        <w:rPr>
          <w:rtl/>
        </w:rPr>
        <w:tab/>
        <w:t>הנאשם הורשע, כאמור, בעבירות שעניינן נשיא</w:t>
      </w:r>
      <w:r>
        <w:rPr>
          <w:rFonts w:hint="cs"/>
          <w:rtl/>
        </w:rPr>
        <w:t>ת</w:t>
      </w:r>
      <w:r>
        <w:rPr>
          <w:rtl/>
        </w:rPr>
        <w:t xml:space="preserve"> והובלה</w:t>
      </w:r>
      <w:r>
        <w:rPr>
          <w:rFonts w:hint="cs"/>
          <w:rtl/>
        </w:rPr>
        <w:t>, בצוותא חדא,</w:t>
      </w:r>
      <w:r>
        <w:rPr>
          <w:rtl/>
        </w:rPr>
        <w:t xml:space="preserve"> של נשק מסוג רימון הלם</w:t>
      </w:r>
      <w:r>
        <w:rPr>
          <w:rFonts w:hint="cs"/>
          <w:rtl/>
        </w:rPr>
        <w:t>,</w:t>
      </w:r>
      <w:r>
        <w:rPr>
          <w:rtl/>
        </w:rPr>
        <w:t xml:space="preserve"> וזאת לצד עבירות </w:t>
      </w:r>
      <w:r>
        <w:rPr>
          <w:rFonts w:hint="cs"/>
          <w:rtl/>
        </w:rPr>
        <w:t>שעניינן הפרעה, בצוותא חדא, לשוטר במילוי תפקידו כדין והדחה בחקירה.</w:t>
      </w:r>
      <w:r>
        <w:rPr>
          <w:rtl/>
        </w:rPr>
        <w:t xml:space="preserve"> אין צורך להכביר במילים </w:t>
      </w:r>
      <w:r>
        <w:rPr>
          <w:rFonts w:hint="cs"/>
          <w:rtl/>
        </w:rPr>
        <w:t>אשר ל</w:t>
      </w:r>
      <w:r>
        <w:rPr>
          <w:rtl/>
        </w:rPr>
        <w:t xml:space="preserve">נזק הפוטנציאלי הטמון </w:t>
      </w:r>
      <w:r>
        <w:rPr>
          <w:rFonts w:hint="cs"/>
          <w:rtl/>
        </w:rPr>
        <w:t xml:space="preserve">ככלל </w:t>
      </w:r>
      <w:r>
        <w:rPr>
          <w:rtl/>
        </w:rPr>
        <w:t xml:space="preserve">בשימוש בנשק. עם זאת, ראוי לציין כי סכנתו של רימון הלם פחותה מהסכנה הטמונה בכלי נשק אחרים, </w:t>
      </w:r>
      <w:r>
        <w:rPr>
          <w:rFonts w:hint="cs"/>
          <w:rtl/>
        </w:rPr>
        <w:t xml:space="preserve">אשר </w:t>
      </w:r>
      <w:r>
        <w:rPr>
          <w:rtl/>
        </w:rPr>
        <w:t xml:space="preserve">בכוחם </w:t>
      </w:r>
      <w:r>
        <w:rPr>
          <w:rFonts w:hint="cs"/>
          <w:rtl/>
        </w:rPr>
        <w:t xml:space="preserve">אף </w:t>
      </w:r>
      <w:r>
        <w:rPr>
          <w:rtl/>
        </w:rPr>
        <w:t>לגרום למותו של אדם</w:t>
      </w:r>
      <w:r w:rsidRPr="00466AAE">
        <w:rPr>
          <w:b/>
          <w:bCs/>
          <w:rtl/>
        </w:rPr>
        <w:t xml:space="preserve">. </w:t>
      </w:r>
      <w:r>
        <w:rPr>
          <w:rtl/>
        </w:rPr>
        <w:t>נקבע זה מכבר על ידי בית המשפט העליון כי רימון הלם נועד לגרום לאי נוחות לאדם, והנזק שנגרם ממנו גורם בעצם לטשטושו של אדם, ולהכנסתו למצב של הלם. דירוגו של רימון ההלם אינו בין החמורים</w:t>
      </w:r>
      <w:r>
        <w:rPr>
          <w:rFonts w:hint="cs"/>
          <w:rtl/>
        </w:rPr>
        <w:t xml:space="preserve"> אם כי</w:t>
      </w:r>
      <w:r>
        <w:rPr>
          <w:rtl/>
        </w:rPr>
        <w:t xml:space="preserve"> אין להקל בו ראש (לעניין הנזק העלול להיגרם כתוצאה משימוש ברימון הלם ראו: רע"פ 7124/06 </w:t>
      </w:r>
      <w:r w:rsidRPr="00466AAE">
        <w:rPr>
          <w:rFonts w:cs="Miriam"/>
          <w:rtl/>
        </w:rPr>
        <w:t>דרורי נ' מדינת ישראל</w:t>
      </w:r>
      <w:r w:rsidRPr="00466AAE">
        <w:rPr>
          <w:b/>
          <w:bCs/>
          <w:rtl/>
        </w:rPr>
        <w:t xml:space="preserve"> </w:t>
      </w:r>
      <w:r>
        <w:rPr>
          <w:rtl/>
        </w:rPr>
        <w:t>(9/5/07)</w:t>
      </w:r>
      <w:r>
        <w:rPr>
          <w:rFonts w:hint="cs"/>
          <w:rtl/>
        </w:rPr>
        <w:t xml:space="preserve"> וכן </w:t>
      </w:r>
      <w:hyperlink r:id="rId39" w:history="1">
        <w:r w:rsidR="005C3C28" w:rsidRPr="005C3C28">
          <w:rPr>
            <w:color w:val="0000FF"/>
            <w:u w:val="single"/>
            <w:rtl/>
          </w:rPr>
          <w:t>ע"פ 7386/13</w:t>
        </w:r>
      </w:hyperlink>
      <w:r>
        <w:rPr>
          <w:rtl/>
        </w:rPr>
        <w:t xml:space="preserve"> </w:t>
      </w:r>
      <w:r w:rsidRPr="00466AAE">
        <w:rPr>
          <w:rFonts w:cs="Miriam"/>
          <w:rtl/>
        </w:rPr>
        <w:t xml:space="preserve">עווד נ' מדינת ישראל </w:t>
      </w:r>
      <w:r>
        <w:rPr>
          <w:rtl/>
        </w:rPr>
        <w:t xml:space="preserve">(23/3/13)). </w:t>
      </w:r>
      <w:r>
        <w:rPr>
          <w:rFonts w:hint="cs"/>
          <w:rtl/>
        </w:rPr>
        <w:t>כאן יצוין, לקולה, כי במקרה שבפנינו גרם פיצוצו של רימון ההלם אך לקול נפץ עז, ומעבר לכך לא נגרם נזק כלשהו. לחומרה, אציין את חלקו הדומיננטי של הנאשם  באירוע, וכן אציין את העובדה שהנאשם תכנן היטב עם שותפו ג'ואד את ביצוע עבירת הנשק, כמתואר בכתב האישום. עוד אזקוף, לחובת הנאשם, כי עבירת הנשק שבפנינו באה לעולם לצורך השגת מטרה בזויה שיש להוקיעה- להפריע לחיפוש המשטרתי בביתו של סמיר. ראוי גם לציין כי בנוסף לעבירות של נשיאת והובלת נשק והפרעה לשוטר במילוי תפקידו כחוק, ביצע הנאשם, כאמור, עבירה של הדחה בחקירה, אם כי עסקינן בעבירה לא מתוכננת שבוצעה אגב הימלטותם של הנאשם וג'ואד מזירת העבירה, כנטען על ידי הסניגור לעניין זה, ובצדק.</w:t>
      </w:r>
    </w:p>
    <w:p w14:paraId="22C91406" w14:textId="77777777" w:rsidR="00BD0437" w:rsidRDefault="00BD0437" w:rsidP="00BD0437">
      <w:pPr>
        <w:spacing w:line="360" w:lineRule="auto"/>
        <w:jc w:val="both"/>
        <w:rPr>
          <w:rtl/>
        </w:rPr>
      </w:pPr>
    </w:p>
    <w:p w14:paraId="1711FB8E" w14:textId="77777777" w:rsidR="00BD0437" w:rsidRDefault="00BD0437" w:rsidP="00BD0437">
      <w:pPr>
        <w:spacing w:line="360" w:lineRule="auto"/>
        <w:jc w:val="both"/>
      </w:pPr>
      <w:r>
        <w:rPr>
          <w:rFonts w:hint="cs"/>
          <w:rtl/>
        </w:rPr>
        <w:t>10.</w:t>
      </w:r>
      <w:r>
        <w:rPr>
          <w:rtl/>
        </w:rPr>
        <w:tab/>
        <w:t>במסגרת סקירת מדיניות הענישה הנהוגה</w:t>
      </w:r>
      <w:r>
        <w:rPr>
          <w:rFonts w:hint="cs"/>
          <w:rtl/>
        </w:rPr>
        <w:t xml:space="preserve"> בעבירות בנשק מסוג רימון הלם</w:t>
      </w:r>
      <w:r>
        <w:rPr>
          <w:rtl/>
        </w:rPr>
        <w:t>, תובא הפסיקה הבאה:</w:t>
      </w:r>
    </w:p>
    <w:p w14:paraId="27EC341B" w14:textId="77777777" w:rsidR="00BD0437" w:rsidRDefault="00BD0437" w:rsidP="00BD0437">
      <w:pPr>
        <w:jc w:val="both"/>
        <w:rPr>
          <w:rtl/>
        </w:rPr>
      </w:pPr>
    </w:p>
    <w:p w14:paraId="2B97A828" w14:textId="77777777" w:rsidR="00BD0437" w:rsidRDefault="00BD0437" w:rsidP="00BD0437">
      <w:pPr>
        <w:numPr>
          <w:ilvl w:val="0"/>
          <w:numId w:val="1"/>
        </w:numPr>
        <w:shd w:val="clear" w:color="auto" w:fill="FFFFFF"/>
        <w:spacing w:line="360" w:lineRule="auto"/>
        <w:contextualSpacing/>
        <w:jc w:val="both"/>
        <w:rPr>
          <w:rtl/>
        </w:rPr>
      </w:pPr>
      <w:r>
        <w:rPr>
          <w:rFonts w:ascii="Calibri" w:hAnsi="Calibri"/>
          <w:rtl/>
        </w:rPr>
        <w:t>ב</w:t>
      </w:r>
      <w:hyperlink r:id="rId40" w:history="1">
        <w:r w:rsidR="005C3C28" w:rsidRPr="005C3C28">
          <w:rPr>
            <w:rFonts w:ascii="Calibri" w:hAnsi="Calibri" w:hint="eastAsia"/>
            <w:color w:val="0000FF"/>
            <w:u w:val="single"/>
            <w:rtl/>
          </w:rPr>
          <w:t>ת</w:t>
        </w:r>
        <w:r w:rsidR="005C3C28" w:rsidRPr="005C3C28">
          <w:rPr>
            <w:rFonts w:ascii="Calibri" w:hAnsi="Calibri"/>
            <w:color w:val="0000FF"/>
            <w:u w:val="single"/>
            <w:rtl/>
          </w:rPr>
          <w:t>.</w:t>
        </w:r>
        <w:r w:rsidR="005C3C28" w:rsidRPr="005C3C28">
          <w:rPr>
            <w:rFonts w:ascii="Calibri" w:hAnsi="Calibri" w:hint="eastAsia"/>
            <w:color w:val="0000FF"/>
            <w:u w:val="single"/>
            <w:rtl/>
          </w:rPr>
          <w:t>פ</w:t>
        </w:r>
        <w:r w:rsidR="005C3C28" w:rsidRPr="005C3C28">
          <w:rPr>
            <w:rFonts w:ascii="Calibri" w:hAnsi="Calibri"/>
            <w:color w:val="0000FF"/>
            <w:u w:val="single"/>
            <w:rtl/>
          </w:rPr>
          <w:t>. (</w:t>
        </w:r>
        <w:r w:rsidR="005C3C28" w:rsidRPr="005C3C28">
          <w:rPr>
            <w:rFonts w:ascii="Calibri" w:hAnsi="Calibri" w:hint="eastAsia"/>
            <w:color w:val="0000FF"/>
            <w:u w:val="single"/>
            <w:rtl/>
          </w:rPr>
          <w:t>מחוזי</w:t>
        </w:r>
        <w:r w:rsidR="005C3C28" w:rsidRPr="005C3C28">
          <w:rPr>
            <w:rFonts w:ascii="Calibri" w:hAnsi="Calibri"/>
            <w:color w:val="0000FF"/>
            <w:u w:val="single"/>
            <w:rtl/>
          </w:rPr>
          <w:t>-</w:t>
        </w:r>
        <w:r w:rsidR="005C3C28" w:rsidRPr="005C3C28">
          <w:rPr>
            <w:rFonts w:ascii="Calibri" w:hAnsi="Calibri" w:hint="eastAsia"/>
            <w:color w:val="0000FF"/>
            <w:u w:val="single"/>
            <w:rtl/>
          </w:rPr>
          <w:t>חיפה</w:t>
        </w:r>
        <w:r w:rsidR="005C3C28" w:rsidRPr="005C3C28">
          <w:rPr>
            <w:rFonts w:ascii="Calibri" w:hAnsi="Calibri"/>
            <w:color w:val="0000FF"/>
            <w:u w:val="single"/>
            <w:rtl/>
          </w:rPr>
          <w:t>) 31218-10-14</w:t>
        </w:r>
      </w:hyperlink>
      <w:r>
        <w:rPr>
          <w:rFonts w:ascii="Calibri" w:hAnsi="Calibri"/>
          <w:rtl/>
        </w:rPr>
        <w:t xml:space="preserve"> </w:t>
      </w:r>
      <w:r>
        <w:rPr>
          <w:rFonts w:ascii="Calibri" w:hAnsi="Calibri" w:cs="Miriam"/>
          <w:rtl/>
        </w:rPr>
        <w:t>מדינת ישראל נ' אסדי</w:t>
      </w:r>
      <w:r>
        <w:rPr>
          <w:rFonts w:ascii="Calibri" w:hAnsi="Calibri"/>
          <w:rtl/>
        </w:rPr>
        <w:t xml:space="preserve"> (11/2/15) דובר בנאשם שהשליך רימון הלם לעבר מרפסת ביתו של המתלונן. </w:t>
      </w:r>
      <w:r>
        <w:rPr>
          <w:rFonts w:ascii="Calibri" w:hAnsi="Calibri" w:hint="cs"/>
          <w:rtl/>
        </w:rPr>
        <w:t xml:space="preserve">בתיק הנ"ל </w:t>
      </w:r>
      <w:r>
        <w:rPr>
          <w:rFonts w:ascii="Calibri" w:hAnsi="Calibri"/>
          <w:rtl/>
        </w:rPr>
        <w:t xml:space="preserve">נקבע מתחם עונש הולם </w:t>
      </w:r>
      <w:r>
        <w:rPr>
          <w:rFonts w:ascii="Calibri" w:hAnsi="Calibri" w:hint="cs"/>
          <w:rtl/>
        </w:rPr>
        <w:t>ה</w:t>
      </w:r>
      <w:r>
        <w:rPr>
          <w:rFonts w:ascii="Calibri" w:hAnsi="Calibri"/>
          <w:rtl/>
        </w:rPr>
        <w:t>נע בין 8 ל-20 חודשי מאסר בפועל, ובסופו של דבר הושת על הנאשם</w:t>
      </w:r>
      <w:r>
        <w:rPr>
          <w:rFonts w:ascii="Calibri" w:hAnsi="Calibri" w:hint="cs"/>
          <w:rtl/>
        </w:rPr>
        <w:t xml:space="preserve">, אשר </w:t>
      </w:r>
      <w:r>
        <w:rPr>
          <w:rFonts w:ascii="Calibri" w:hAnsi="Calibri"/>
          <w:rtl/>
        </w:rPr>
        <w:t xml:space="preserve">היה בעל עבר פלילי בעבירות נשק, עונש מאסר בפועל לתקופה של 9 חודשים. יצוין כי נזקפו לטובת הנאשם הודאתו ונסיבות אישיות חריגות. </w:t>
      </w:r>
    </w:p>
    <w:p w14:paraId="741AD0C8" w14:textId="77777777" w:rsidR="00BD0437" w:rsidRDefault="00BD0437" w:rsidP="00BD0437">
      <w:pPr>
        <w:shd w:val="clear" w:color="auto" w:fill="FFFFFF"/>
        <w:spacing w:line="360" w:lineRule="auto"/>
        <w:ind w:left="778"/>
        <w:contextualSpacing/>
        <w:jc w:val="both"/>
        <w:rPr>
          <w:rtl/>
        </w:rPr>
      </w:pPr>
    </w:p>
    <w:p w14:paraId="43C88915" w14:textId="77777777" w:rsidR="00BD0437" w:rsidRDefault="00BD0437" w:rsidP="00BD0437">
      <w:pPr>
        <w:numPr>
          <w:ilvl w:val="0"/>
          <w:numId w:val="1"/>
        </w:numPr>
        <w:shd w:val="clear" w:color="auto" w:fill="FFFFFF"/>
        <w:spacing w:line="360" w:lineRule="auto"/>
        <w:contextualSpacing/>
        <w:jc w:val="both"/>
      </w:pPr>
      <w:r>
        <w:rPr>
          <w:rFonts w:ascii="Calibri" w:hAnsi="Calibri"/>
          <w:rtl/>
        </w:rPr>
        <w:t>ב</w:t>
      </w:r>
      <w:hyperlink r:id="rId41" w:history="1">
        <w:r w:rsidR="005C3C28" w:rsidRPr="005C3C28">
          <w:rPr>
            <w:rFonts w:ascii="Calibri" w:hAnsi="Calibri" w:hint="eastAsia"/>
            <w:color w:val="0000FF"/>
            <w:u w:val="single"/>
            <w:rtl/>
          </w:rPr>
          <w:t>ע</w:t>
        </w:r>
        <w:r w:rsidR="005C3C28" w:rsidRPr="005C3C28">
          <w:rPr>
            <w:rFonts w:ascii="Calibri" w:hAnsi="Calibri"/>
            <w:color w:val="0000FF"/>
            <w:u w:val="single"/>
            <w:rtl/>
          </w:rPr>
          <w:t>"</w:t>
        </w:r>
        <w:r w:rsidR="005C3C28" w:rsidRPr="005C3C28">
          <w:rPr>
            <w:rFonts w:ascii="Calibri" w:hAnsi="Calibri" w:hint="eastAsia"/>
            <w:color w:val="0000FF"/>
            <w:u w:val="single"/>
            <w:rtl/>
          </w:rPr>
          <w:t>פ</w:t>
        </w:r>
        <w:r w:rsidR="005C3C28" w:rsidRPr="005C3C28">
          <w:rPr>
            <w:rFonts w:ascii="Calibri" w:hAnsi="Calibri"/>
            <w:color w:val="0000FF"/>
            <w:u w:val="single"/>
            <w:rtl/>
          </w:rPr>
          <w:t xml:space="preserve"> 8845/15</w:t>
        </w:r>
      </w:hyperlink>
      <w:r>
        <w:rPr>
          <w:rFonts w:ascii="Calibri" w:hAnsi="Calibri"/>
          <w:rtl/>
        </w:rPr>
        <w:t xml:space="preserve"> </w:t>
      </w:r>
      <w:r>
        <w:rPr>
          <w:rFonts w:ascii="Calibri" w:hAnsi="Calibri" w:cs="Miriam"/>
          <w:rtl/>
        </w:rPr>
        <w:t>מנסור נ' מדינת ישראל</w:t>
      </w:r>
      <w:r>
        <w:rPr>
          <w:rFonts w:ascii="Calibri" w:hAnsi="Calibri"/>
          <w:rtl/>
        </w:rPr>
        <w:t xml:space="preserve"> (17/11/16) דובר במערער שהשליך רימון הלם לעבר בית, </w:t>
      </w:r>
      <w:r>
        <w:rPr>
          <w:rFonts w:ascii="Calibri" w:hAnsi="Calibri" w:hint="cs"/>
          <w:rtl/>
        </w:rPr>
        <w:t>וזה</w:t>
      </w:r>
      <w:r>
        <w:rPr>
          <w:rFonts w:ascii="Calibri" w:hAnsi="Calibri"/>
          <w:rtl/>
        </w:rPr>
        <w:t xml:space="preserve"> התפוצץ סמוך לשני בני משפחה. לא נגרם נזק. בית המשפט המחוזי קבע מתחם עונש הולם </w:t>
      </w:r>
      <w:r>
        <w:rPr>
          <w:rFonts w:ascii="Calibri" w:hAnsi="Calibri" w:hint="cs"/>
          <w:rtl/>
        </w:rPr>
        <w:t>ה</w:t>
      </w:r>
      <w:r>
        <w:rPr>
          <w:rFonts w:ascii="Calibri" w:hAnsi="Calibri"/>
          <w:rtl/>
        </w:rPr>
        <w:t>נע בין 3-1 שנות מאסר בפועל. אותו מערער היה בחור צעיר שניהל את משפטו והיה בעל עבר פלילי</w:t>
      </w:r>
      <w:r>
        <w:rPr>
          <w:rFonts w:ascii="Calibri" w:hAnsi="Calibri" w:hint="cs"/>
          <w:rtl/>
        </w:rPr>
        <w:t>,</w:t>
      </w:r>
      <w:r>
        <w:rPr>
          <w:rFonts w:ascii="Calibri" w:hAnsi="Calibri"/>
          <w:rtl/>
        </w:rPr>
        <w:t xml:space="preserve"> אם כי לא מכביד. ערעורו על חומרת העונש (מאסר בפועל בן 18 חודשים) - נדחה. </w:t>
      </w:r>
    </w:p>
    <w:p w14:paraId="7F3FD15A" w14:textId="77777777" w:rsidR="00BD0437" w:rsidRDefault="00BD0437" w:rsidP="00BD0437">
      <w:pPr>
        <w:spacing w:line="360" w:lineRule="auto"/>
        <w:jc w:val="both"/>
      </w:pPr>
    </w:p>
    <w:p w14:paraId="4E4F6B05" w14:textId="77777777" w:rsidR="00BD0437" w:rsidRDefault="00BD0437" w:rsidP="00BD0437">
      <w:pPr>
        <w:numPr>
          <w:ilvl w:val="0"/>
          <w:numId w:val="1"/>
        </w:numPr>
        <w:spacing w:line="360" w:lineRule="auto"/>
        <w:contextualSpacing/>
        <w:jc w:val="both"/>
        <w:rPr>
          <w:rFonts w:ascii="Calibri" w:hAnsi="Calibri"/>
        </w:rPr>
      </w:pPr>
      <w:r>
        <w:rPr>
          <w:rFonts w:ascii="Calibri" w:hAnsi="Calibri"/>
          <w:rtl/>
        </w:rPr>
        <w:t>ב</w:t>
      </w:r>
      <w:hyperlink r:id="rId42" w:history="1">
        <w:r w:rsidR="005C3C28" w:rsidRPr="005C3C28">
          <w:rPr>
            <w:rFonts w:ascii="Calibri" w:hAnsi="Calibri" w:hint="eastAsia"/>
            <w:color w:val="0000FF"/>
            <w:u w:val="single"/>
            <w:rtl/>
          </w:rPr>
          <w:t>ת</w:t>
        </w:r>
        <w:r w:rsidR="005C3C28" w:rsidRPr="005C3C28">
          <w:rPr>
            <w:rFonts w:ascii="Calibri" w:hAnsi="Calibri"/>
            <w:color w:val="0000FF"/>
            <w:u w:val="single"/>
            <w:rtl/>
          </w:rPr>
          <w:t>.</w:t>
        </w:r>
        <w:r w:rsidR="005C3C28" w:rsidRPr="005C3C28">
          <w:rPr>
            <w:rFonts w:ascii="Calibri" w:hAnsi="Calibri" w:hint="eastAsia"/>
            <w:color w:val="0000FF"/>
            <w:u w:val="single"/>
            <w:rtl/>
          </w:rPr>
          <w:t>פ</w:t>
        </w:r>
        <w:r w:rsidR="005C3C28" w:rsidRPr="005C3C28">
          <w:rPr>
            <w:rFonts w:ascii="Calibri" w:hAnsi="Calibri"/>
            <w:color w:val="0000FF"/>
            <w:u w:val="single"/>
            <w:rtl/>
          </w:rPr>
          <w:t>. (</w:t>
        </w:r>
        <w:r w:rsidR="005C3C28" w:rsidRPr="005C3C28">
          <w:rPr>
            <w:rFonts w:ascii="Calibri" w:hAnsi="Calibri" w:hint="eastAsia"/>
            <w:color w:val="0000FF"/>
            <w:u w:val="single"/>
            <w:rtl/>
          </w:rPr>
          <w:t>מחוזי</w:t>
        </w:r>
        <w:r w:rsidR="005C3C28" w:rsidRPr="005C3C28">
          <w:rPr>
            <w:rFonts w:ascii="Calibri" w:hAnsi="Calibri"/>
            <w:color w:val="0000FF"/>
            <w:u w:val="single"/>
            <w:rtl/>
          </w:rPr>
          <w:t xml:space="preserve"> </w:t>
        </w:r>
        <w:r w:rsidR="005C3C28" w:rsidRPr="005C3C28">
          <w:rPr>
            <w:rFonts w:ascii="Calibri" w:hAnsi="Calibri" w:hint="eastAsia"/>
            <w:color w:val="0000FF"/>
            <w:u w:val="single"/>
            <w:rtl/>
          </w:rPr>
          <w:t>חיפה</w:t>
        </w:r>
        <w:r w:rsidR="005C3C28" w:rsidRPr="005C3C28">
          <w:rPr>
            <w:rFonts w:ascii="Calibri" w:hAnsi="Calibri"/>
            <w:color w:val="0000FF"/>
            <w:u w:val="single"/>
            <w:rtl/>
          </w:rPr>
          <w:t>) 40450-09-15</w:t>
        </w:r>
      </w:hyperlink>
      <w:r>
        <w:rPr>
          <w:rFonts w:ascii="Calibri" w:hAnsi="Calibri"/>
          <w:rtl/>
        </w:rPr>
        <w:t xml:space="preserve"> </w:t>
      </w:r>
      <w:r>
        <w:rPr>
          <w:rFonts w:ascii="Calibri" w:hAnsi="Calibri" w:cs="Miriam"/>
          <w:rtl/>
        </w:rPr>
        <w:t>מדינת ישראל נ' עכאווי</w:t>
      </w:r>
      <w:r>
        <w:rPr>
          <w:rFonts w:ascii="Calibri" w:hAnsi="Calibri"/>
          <w:rtl/>
        </w:rPr>
        <w:t xml:space="preserve"> (20/1/16) דובר בנאשם שהשליך רימון הלם לתוך חנות בה עבד המתלונן. שם נקבע מתחם עונש הולם </w:t>
      </w:r>
      <w:r>
        <w:rPr>
          <w:rFonts w:ascii="Calibri" w:hAnsi="Calibri" w:hint="cs"/>
          <w:rtl/>
        </w:rPr>
        <w:t>ה</w:t>
      </w:r>
      <w:r>
        <w:rPr>
          <w:rFonts w:ascii="Calibri" w:hAnsi="Calibri"/>
          <w:rtl/>
        </w:rPr>
        <w:t xml:space="preserve">נע בין 6 ל-24 חודשי מאסר בפועל והוטל עונש של 10 חודשי מאסר בפועל, תוך מתן הדעת להודאת הנאשם, להיותו בחור צעיר, להסכם סולחה ולכך שעברו של הנאשם לא היה מכביד. </w:t>
      </w:r>
    </w:p>
    <w:p w14:paraId="57C98C6F" w14:textId="77777777" w:rsidR="00BD0437" w:rsidRDefault="00BD0437" w:rsidP="00BD0437">
      <w:pPr>
        <w:pStyle w:val="a9"/>
        <w:rPr>
          <w:rFonts w:ascii="Calibri" w:hAnsi="Calibri"/>
          <w:rtl/>
        </w:rPr>
      </w:pPr>
    </w:p>
    <w:p w14:paraId="6A1D748F" w14:textId="77777777" w:rsidR="00BD0437" w:rsidRDefault="00BD0437" w:rsidP="00BD0437">
      <w:pPr>
        <w:numPr>
          <w:ilvl w:val="0"/>
          <w:numId w:val="1"/>
        </w:numPr>
        <w:spacing w:line="360" w:lineRule="auto"/>
        <w:contextualSpacing/>
        <w:jc w:val="both"/>
        <w:rPr>
          <w:rFonts w:ascii="Calibri" w:hAnsi="Calibri"/>
        </w:rPr>
      </w:pPr>
      <w:r w:rsidRPr="009D132F">
        <w:rPr>
          <w:rFonts w:ascii="Calibri" w:hAnsi="Calibri" w:hint="cs"/>
          <w:rtl/>
        </w:rPr>
        <w:t>ב</w:t>
      </w:r>
      <w:hyperlink r:id="rId43" w:history="1">
        <w:r w:rsidR="005C3C28" w:rsidRPr="005C3C28">
          <w:rPr>
            <w:rFonts w:ascii="Calibri" w:hAnsi="Calibri" w:hint="eastAsia"/>
            <w:color w:val="0000FF"/>
            <w:u w:val="single"/>
            <w:rtl/>
          </w:rPr>
          <w:t>ת</w:t>
        </w:r>
        <w:r w:rsidR="005C3C28" w:rsidRPr="005C3C28">
          <w:rPr>
            <w:rFonts w:ascii="Calibri" w:hAnsi="Calibri"/>
            <w:color w:val="0000FF"/>
            <w:u w:val="single"/>
            <w:rtl/>
          </w:rPr>
          <w:t>.</w:t>
        </w:r>
        <w:r w:rsidR="005C3C28" w:rsidRPr="005C3C28">
          <w:rPr>
            <w:rFonts w:ascii="Calibri" w:hAnsi="Calibri" w:hint="eastAsia"/>
            <w:color w:val="0000FF"/>
            <w:u w:val="single"/>
            <w:rtl/>
          </w:rPr>
          <w:t>פ</w:t>
        </w:r>
        <w:r w:rsidR="005C3C28" w:rsidRPr="005C3C28">
          <w:rPr>
            <w:rFonts w:ascii="Calibri" w:hAnsi="Calibri"/>
            <w:color w:val="0000FF"/>
            <w:u w:val="single"/>
            <w:rtl/>
          </w:rPr>
          <w:t>. 10476-12-17</w:t>
        </w:r>
      </w:hyperlink>
      <w:r w:rsidRPr="009D132F">
        <w:rPr>
          <w:rFonts w:ascii="Calibri" w:hAnsi="Calibri" w:hint="cs"/>
          <w:rtl/>
        </w:rPr>
        <w:t xml:space="preserve"> מדינת ישראל נ' מחאג'נה ה</w:t>
      </w:r>
      <w:r>
        <w:rPr>
          <w:rFonts w:ascii="Calibri" w:hAnsi="Calibri" w:hint="cs"/>
          <w:rtl/>
        </w:rPr>
        <w:t>שתתי</w:t>
      </w:r>
      <w:r w:rsidRPr="009D132F">
        <w:rPr>
          <w:rFonts w:ascii="Calibri" w:hAnsi="Calibri" w:hint="cs"/>
          <w:rtl/>
        </w:rPr>
        <w:t xml:space="preserve"> עונש שעיקרו 9 חודשי מאסר בפועל בעבודות שרות על נאשם בן 21 בעל עבר נקי שהורשע מכוח הודאתו בביצוע עבירות </w:t>
      </w:r>
      <w:r>
        <w:rPr>
          <w:rtl/>
        </w:rPr>
        <w:t xml:space="preserve">בנשק, לפי </w:t>
      </w:r>
      <w:hyperlink r:id="rId44" w:history="1">
        <w:r w:rsidR="005D4589" w:rsidRPr="005D4589">
          <w:rPr>
            <w:color w:val="0000FF"/>
            <w:u w:val="single"/>
            <w:rtl/>
          </w:rPr>
          <w:t>סעיף 144(א)</w:t>
        </w:r>
      </w:hyperlink>
      <w:r>
        <w:rPr>
          <w:rtl/>
        </w:rPr>
        <w:t xml:space="preserve"> רישא ו-</w:t>
      </w:r>
      <w:hyperlink r:id="rId45" w:history="1">
        <w:r w:rsidR="005D4589" w:rsidRPr="005D4589">
          <w:rPr>
            <w:color w:val="0000FF"/>
            <w:u w:val="single"/>
            <w:rtl/>
          </w:rPr>
          <w:t>(ב)</w:t>
        </w:r>
      </w:hyperlink>
      <w:r>
        <w:rPr>
          <w:rtl/>
        </w:rPr>
        <w:t xml:space="preserve"> רישא ל</w:t>
      </w:r>
      <w:hyperlink r:id="rId46" w:history="1">
        <w:r w:rsidR="005C3C28" w:rsidRPr="005C3C28">
          <w:rPr>
            <w:color w:val="0000FF"/>
            <w:u w:val="single"/>
            <w:rtl/>
          </w:rPr>
          <w:t>חוק העונשין</w:t>
        </w:r>
      </w:hyperlink>
      <w:r>
        <w:rPr>
          <w:rtl/>
        </w:rPr>
        <w:t>, התשל"ז-1977</w:t>
      </w:r>
      <w:r>
        <w:rPr>
          <w:rFonts w:hint="cs"/>
          <w:rtl/>
        </w:rPr>
        <w:t xml:space="preserve">, לצד </w:t>
      </w:r>
      <w:r>
        <w:rPr>
          <w:rtl/>
        </w:rPr>
        <w:t xml:space="preserve">עבירה של אי ציות לתמרור, לפי </w:t>
      </w:r>
      <w:hyperlink r:id="rId47" w:history="1">
        <w:r w:rsidR="005D4589" w:rsidRPr="005D4589">
          <w:rPr>
            <w:color w:val="0000FF"/>
            <w:u w:val="single"/>
            <w:rtl/>
          </w:rPr>
          <w:t>תקנה 22(א)</w:t>
        </w:r>
      </w:hyperlink>
      <w:r>
        <w:rPr>
          <w:rtl/>
        </w:rPr>
        <w:t xml:space="preserve"> ל</w:t>
      </w:r>
      <w:hyperlink r:id="rId48" w:history="1">
        <w:r w:rsidR="005C3C28" w:rsidRPr="005C3C28">
          <w:rPr>
            <w:color w:val="0000FF"/>
            <w:u w:val="single"/>
            <w:rtl/>
          </w:rPr>
          <w:t>תקנות התעבורה</w:t>
        </w:r>
      </w:hyperlink>
      <w:r>
        <w:rPr>
          <w:rtl/>
        </w:rPr>
        <w:t xml:space="preserve">, התשכ"א -1961 וסעיף </w:t>
      </w:r>
      <w:hyperlink r:id="rId49" w:history="1">
        <w:r w:rsidR="005D4589" w:rsidRPr="005D4589">
          <w:rPr>
            <w:color w:val="0000FF"/>
            <w:u w:val="single"/>
            <w:rtl/>
          </w:rPr>
          <w:t>62(8)</w:t>
        </w:r>
      </w:hyperlink>
      <w:r>
        <w:rPr>
          <w:rtl/>
        </w:rPr>
        <w:t>ל</w:t>
      </w:r>
      <w:hyperlink r:id="rId50" w:history="1">
        <w:r w:rsidR="005C3C28" w:rsidRPr="005C3C28">
          <w:rPr>
            <w:color w:val="0000FF"/>
            <w:u w:val="single"/>
            <w:rtl/>
          </w:rPr>
          <w:t>פקודת התעבורה</w:t>
        </w:r>
      </w:hyperlink>
      <w:r>
        <w:rPr>
          <w:rtl/>
        </w:rPr>
        <w:t xml:space="preserve"> [נוסח חדש], התשכ"א-1961 </w:t>
      </w:r>
      <w:r>
        <w:rPr>
          <w:rFonts w:hint="cs"/>
          <w:rtl/>
        </w:rPr>
        <w:t>ו</w:t>
      </w:r>
      <w:r>
        <w:rPr>
          <w:rtl/>
        </w:rPr>
        <w:t xml:space="preserve">עבירה של נהיגה רשלנית, לפי </w:t>
      </w:r>
      <w:hyperlink r:id="rId51" w:history="1">
        <w:r w:rsidR="005D4589" w:rsidRPr="005D4589">
          <w:rPr>
            <w:color w:val="0000FF"/>
            <w:u w:val="single"/>
            <w:rtl/>
          </w:rPr>
          <w:t>תקנה 21(ג)</w:t>
        </w:r>
      </w:hyperlink>
      <w:r>
        <w:rPr>
          <w:rtl/>
        </w:rPr>
        <w:t xml:space="preserve"> לתקנות התעבורה </w:t>
      </w:r>
      <w:hyperlink r:id="rId52" w:history="1">
        <w:r w:rsidR="005D4589" w:rsidRPr="005D4589">
          <w:rPr>
            <w:color w:val="0000FF"/>
            <w:u w:val="single"/>
            <w:rtl/>
          </w:rPr>
          <w:t>וסעיפים 62(2)</w:t>
        </w:r>
      </w:hyperlink>
      <w:r>
        <w:rPr>
          <w:rtl/>
        </w:rPr>
        <w:t xml:space="preserve"> ו- </w:t>
      </w:r>
      <w:hyperlink r:id="rId53" w:history="1">
        <w:r w:rsidR="005D4589" w:rsidRPr="005D4589">
          <w:rPr>
            <w:color w:val="0000FF"/>
            <w:u w:val="single"/>
            <w:rtl/>
          </w:rPr>
          <w:t>38(2)</w:t>
        </w:r>
      </w:hyperlink>
      <w:r>
        <w:rPr>
          <w:rtl/>
        </w:rPr>
        <w:t xml:space="preserve"> לפקודת התעבורה.</w:t>
      </w:r>
      <w:r>
        <w:rPr>
          <w:rFonts w:hint="cs"/>
          <w:rtl/>
        </w:rPr>
        <w:t xml:space="preserve"> בתיק הנ"ל דובר במי שנשא רימון הלם והשליך אותו לעבר דלת בניין, וכתוצאה מהפיצוץ העז נגרם נזק של פיח בכניסה לבניין, וזאת בנוסף לעבירות תעבורה שביצע, כאמור לעיל.</w:t>
      </w:r>
    </w:p>
    <w:p w14:paraId="070D83EB" w14:textId="77777777" w:rsidR="00BD0437" w:rsidRDefault="00BD0437" w:rsidP="00BD0437">
      <w:pPr>
        <w:spacing w:line="360" w:lineRule="auto"/>
        <w:ind w:left="418"/>
        <w:contextualSpacing/>
        <w:jc w:val="both"/>
        <w:rPr>
          <w:rFonts w:ascii="Calibri" w:hAnsi="Calibri"/>
        </w:rPr>
      </w:pPr>
    </w:p>
    <w:p w14:paraId="2C8A8C6A" w14:textId="77777777" w:rsidR="00BD0437" w:rsidRDefault="00BD0437" w:rsidP="00BD0437">
      <w:pPr>
        <w:pStyle w:val="a9"/>
        <w:rPr>
          <w:rFonts w:ascii="Calibri" w:hAnsi="Calibri"/>
          <w:rtl/>
        </w:rPr>
      </w:pPr>
    </w:p>
    <w:p w14:paraId="5A398145" w14:textId="77777777" w:rsidR="00BD0437" w:rsidRDefault="00BD0437" w:rsidP="00BD0437">
      <w:pPr>
        <w:spacing w:line="360" w:lineRule="auto"/>
        <w:contextualSpacing/>
        <w:jc w:val="both"/>
        <w:rPr>
          <w:rFonts w:ascii="Calibri" w:hAnsi="Calibri"/>
          <w:rtl/>
        </w:rPr>
      </w:pPr>
      <w:r>
        <w:rPr>
          <w:rFonts w:ascii="Calibri" w:hAnsi="Calibri" w:hint="cs"/>
          <w:rtl/>
        </w:rPr>
        <w:t>11.</w:t>
      </w:r>
      <w:r>
        <w:rPr>
          <w:rFonts w:ascii="Calibri" w:hAnsi="Calibri" w:hint="cs"/>
          <w:rtl/>
        </w:rPr>
        <w:tab/>
      </w:r>
      <w:r w:rsidRPr="00466AAE">
        <w:rPr>
          <w:rFonts w:ascii="Calibri" w:hAnsi="Calibri"/>
          <w:rtl/>
        </w:rPr>
        <w:t xml:space="preserve">לאחר שנתתי דעתי לערכים החברתיים שנפגעו כתוצאה מביצוע העבירות שבפנינו, לנסיבות ביצוע העבירות, </w:t>
      </w:r>
      <w:r w:rsidRPr="00466AAE">
        <w:rPr>
          <w:rFonts w:ascii="Calibri" w:hAnsi="Calibri" w:hint="cs"/>
          <w:rtl/>
        </w:rPr>
        <w:t xml:space="preserve"> </w:t>
      </w:r>
      <w:r w:rsidRPr="00466AAE">
        <w:rPr>
          <w:rFonts w:ascii="Calibri" w:hAnsi="Calibri"/>
          <w:rtl/>
        </w:rPr>
        <w:t xml:space="preserve">וכן </w:t>
      </w:r>
      <w:r w:rsidRPr="00466AAE">
        <w:rPr>
          <w:rFonts w:ascii="Calibri" w:hAnsi="Calibri" w:hint="cs"/>
          <w:rtl/>
        </w:rPr>
        <w:t xml:space="preserve">בחנתי את </w:t>
      </w:r>
      <w:r w:rsidRPr="00466AAE">
        <w:rPr>
          <w:rFonts w:ascii="Calibri" w:hAnsi="Calibri"/>
          <w:rtl/>
        </w:rPr>
        <w:t>מדיניות הענישה הנהוגה</w:t>
      </w:r>
      <w:r w:rsidRPr="00466AAE">
        <w:rPr>
          <w:rFonts w:ascii="Calibri" w:hAnsi="Calibri" w:hint="cs"/>
          <w:rtl/>
        </w:rPr>
        <w:t xml:space="preserve">, לרבות העונש שהושת, כאמור, על שותפו של הנאשם בביצוע עבירת הנשק, </w:t>
      </w:r>
      <w:r w:rsidRPr="00466AAE">
        <w:rPr>
          <w:rFonts w:ascii="Calibri" w:hAnsi="Calibri"/>
          <w:rtl/>
        </w:rPr>
        <w:t xml:space="preserve">הגעתי לכלל מסקנה כי מתחם העונש ההולם בתיק זה נע בין עונש של 9 חודשי מאסר בפועל, </w:t>
      </w:r>
      <w:r w:rsidRPr="00466AAE">
        <w:rPr>
          <w:rFonts w:ascii="Calibri" w:hAnsi="Calibri" w:hint="cs"/>
          <w:rtl/>
        </w:rPr>
        <w:t xml:space="preserve">לרבות </w:t>
      </w:r>
      <w:r w:rsidRPr="00466AAE">
        <w:rPr>
          <w:rFonts w:ascii="Calibri" w:hAnsi="Calibri"/>
          <w:rtl/>
        </w:rPr>
        <w:t xml:space="preserve">בדרך של עבודות שירות, לבין עונש של 24 חודשי מאסר בפועל. </w:t>
      </w:r>
    </w:p>
    <w:p w14:paraId="6B2107D5" w14:textId="77777777" w:rsidR="00BD0437" w:rsidRDefault="00BD0437" w:rsidP="00BD0437">
      <w:pPr>
        <w:spacing w:line="360" w:lineRule="auto"/>
        <w:contextualSpacing/>
        <w:jc w:val="both"/>
        <w:rPr>
          <w:rFonts w:ascii="Calibri" w:hAnsi="Calibri"/>
          <w:rtl/>
        </w:rPr>
      </w:pPr>
    </w:p>
    <w:p w14:paraId="6D36796D" w14:textId="77777777" w:rsidR="00BD0437" w:rsidRDefault="00BD0437" w:rsidP="00BD0437">
      <w:pPr>
        <w:spacing w:line="360" w:lineRule="auto"/>
        <w:contextualSpacing/>
        <w:jc w:val="both"/>
        <w:rPr>
          <w:rFonts w:ascii="Calibri" w:hAnsi="Calibri"/>
          <w:rtl/>
        </w:rPr>
      </w:pPr>
      <w:r>
        <w:rPr>
          <w:rFonts w:ascii="Calibri" w:hAnsi="Calibri" w:hint="cs"/>
          <w:rtl/>
        </w:rPr>
        <w:t>12.</w:t>
      </w:r>
      <w:r>
        <w:rPr>
          <w:rFonts w:ascii="Calibri" w:hAnsi="Calibri"/>
          <w:rtl/>
        </w:rPr>
        <w:tab/>
      </w:r>
      <w:r w:rsidRPr="00466AAE">
        <w:rPr>
          <w:rFonts w:ascii="Calibri" w:hAnsi="Calibri"/>
          <w:rtl/>
        </w:rPr>
        <w:t>במסגרת בחינת הנסיבות שאינן קשורות בביצוע העביר</w:t>
      </w:r>
      <w:r w:rsidRPr="00466AAE">
        <w:rPr>
          <w:rFonts w:ascii="Calibri" w:hAnsi="Calibri" w:hint="cs"/>
          <w:rtl/>
        </w:rPr>
        <w:t>ות</w:t>
      </w:r>
      <w:r w:rsidRPr="00466AAE">
        <w:rPr>
          <w:rFonts w:ascii="Calibri" w:hAnsi="Calibri"/>
          <w:rtl/>
        </w:rPr>
        <w:t xml:space="preserve"> אציין</w:t>
      </w:r>
      <w:r w:rsidRPr="00466AAE">
        <w:rPr>
          <w:rFonts w:ascii="Calibri" w:hAnsi="Calibri" w:hint="cs"/>
          <w:rtl/>
        </w:rPr>
        <w:t>,</w:t>
      </w:r>
      <w:r w:rsidRPr="00466AAE">
        <w:rPr>
          <w:rFonts w:ascii="Calibri" w:hAnsi="Calibri"/>
          <w:rtl/>
        </w:rPr>
        <w:t xml:space="preserve"> לטובת הנאשם</w:t>
      </w:r>
      <w:r w:rsidRPr="00466AAE">
        <w:rPr>
          <w:rFonts w:ascii="Calibri" w:hAnsi="Calibri" w:hint="cs"/>
          <w:rtl/>
        </w:rPr>
        <w:t>,</w:t>
      </w:r>
      <w:r w:rsidRPr="00466AAE">
        <w:rPr>
          <w:rFonts w:ascii="Calibri" w:hAnsi="Calibri"/>
          <w:rtl/>
        </w:rPr>
        <w:t xml:space="preserve"> את עברו הפלילי הנקי ללא רבב, וכן את גילו הצעיר</w:t>
      </w:r>
      <w:r>
        <w:rPr>
          <w:rFonts w:ascii="Calibri" w:hAnsi="Calibri" w:hint="cs"/>
          <w:rtl/>
        </w:rPr>
        <w:t>- היותו בן</w:t>
      </w:r>
      <w:r w:rsidRPr="00466AAE">
        <w:rPr>
          <w:rFonts w:ascii="Calibri" w:hAnsi="Calibri"/>
          <w:rtl/>
        </w:rPr>
        <w:t xml:space="preserve"> 2</w:t>
      </w:r>
      <w:r w:rsidRPr="00466AAE">
        <w:rPr>
          <w:rFonts w:ascii="Calibri" w:hAnsi="Calibri" w:hint="cs"/>
          <w:rtl/>
        </w:rPr>
        <w:t xml:space="preserve">1 </w:t>
      </w:r>
      <w:r w:rsidRPr="00466AAE">
        <w:rPr>
          <w:rFonts w:ascii="Calibri" w:hAnsi="Calibri"/>
          <w:rtl/>
        </w:rPr>
        <w:t>בעת ביצוע העבירות. עוד אציין</w:t>
      </w:r>
      <w:r>
        <w:rPr>
          <w:rFonts w:ascii="Calibri" w:hAnsi="Calibri" w:hint="cs"/>
          <w:rtl/>
        </w:rPr>
        <w:t>,</w:t>
      </w:r>
      <w:r w:rsidRPr="00466AAE">
        <w:rPr>
          <w:rFonts w:ascii="Calibri" w:hAnsi="Calibri"/>
          <w:rtl/>
        </w:rPr>
        <w:t xml:space="preserve"> לקולה</w:t>
      </w:r>
      <w:r>
        <w:rPr>
          <w:rFonts w:ascii="Calibri" w:hAnsi="Calibri" w:hint="cs"/>
          <w:rtl/>
        </w:rPr>
        <w:t>,</w:t>
      </w:r>
      <w:r w:rsidRPr="00466AAE">
        <w:rPr>
          <w:rFonts w:ascii="Calibri" w:hAnsi="Calibri"/>
          <w:rtl/>
        </w:rPr>
        <w:t xml:space="preserve"> את העובדה שהנאשם היה נתון בגין תיק זה במעצר של ממש, </w:t>
      </w:r>
      <w:r w:rsidRPr="00466AAE">
        <w:rPr>
          <w:rFonts w:ascii="Calibri" w:hAnsi="Calibri" w:hint="cs"/>
          <w:rtl/>
        </w:rPr>
        <w:t>מיום 28/12/18 ועד ליום 7/1/19</w:t>
      </w:r>
      <w:r w:rsidRPr="00466AAE">
        <w:rPr>
          <w:rFonts w:ascii="Calibri" w:hAnsi="Calibri"/>
          <w:rtl/>
        </w:rPr>
        <w:t xml:space="preserve"> ו</w:t>
      </w:r>
      <w:r w:rsidRPr="00466AAE">
        <w:rPr>
          <w:rFonts w:ascii="Calibri" w:hAnsi="Calibri" w:hint="cs"/>
          <w:rtl/>
        </w:rPr>
        <w:t xml:space="preserve">מאז הוא </w:t>
      </w:r>
      <w:r w:rsidRPr="00466AAE">
        <w:rPr>
          <w:rFonts w:ascii="Calibri" w:hAnsi="Calibri"/>
          <w:rtl/>
        </w:rPr>
        <w:t>נתון במעצר בית</w:t>
      </w:r>
      <w:r w:rsidRPr="00466AAE">
        <w:rPr>
          <w:rFonts w:ascii="Calibri" w:hAnsi="Calibri" w:hint="cs"/>
          <w:rtl/>
        </w:rPr>
        <w:t xml:space="preserve"> מלא, במשך תקופה ממושכת של עשרה חודשים.</w:t>
      </w:r>
    </w:p>
    <w:p w14:paraId="5DDD3EF6" w14:textId="77777777" w:rsidR="00BD0437" w:rsidRDefault="00BD0437" w:rsidP="00BD0437">
      <w:pPr>
        <w:spacing w:line="360" w:lineRule="auto"/>
        <w:contextualSpacing/>
        <w:jc w:val="both"/>
        <w:rPr>
          <w:rFonts w:ascii="Calibri" w:hAnsi="Calibri"/>
          <w:rtl/>
        </w:rPr>
      </w:pPr>
    </w:p>
    <w:p w14:paraId="0BC540A8" w14:textId="77777777" w:rsidR="00BD0437" w:rsidRDefault="00BD0437" w:rsidP="00BD0437">
      <w:pPr>
        <w:spacing w:line="360" w:lineRule="auto"/>
        <w:contextualSpacing/>
        <w:jc w:val="both"/>
        <w:rPr>
          <w:rtl/>
        </w:rPr>
      </w:pPr>
      <w:r>
        <w:rPr>
          <w:rFonts w:ascii="Calibri" w:hAnsi="Calibri" w:hint="cs"/>
          <w:rtl/>
        </w:rPr>
        <w:t>13.</w:t>
      </w:r>
      <w:r>
        <w:rPr>
          <w:rFonts w:ascii="Calibri" w:hAnsi="Calibri"/>
          <w:rtl/>
        </w:rPr>
        <w:tab/>
      </w:r>
      <w:r w:rsidRPr="00466AAE">
        <w:rPr>
          <w:rFonts w:ascii="Calibri" w:hAnsi="Calibri" w:hint="cs"/>
          <w:rtl/>
        </w:rPr>
        <w:t xml:space="preserve">עוד </w:t>
      </w:r>
      <w:r w:rsidRPr="00466AAE">
        <w:rPr>
          <w:rFonts w:ascii="Calibri" w:hAnsi="Calibri"/>
          <w:rtl/>
        </w:rPr>
        <w:t xml:space="preserve">אוסיף, לטובת הנאשם, את הודאתו בעובדות כתב האישום </w:t>
      </w:r>
      <w:r w:rsidRPr="00466AAE">
        <w:rPr>
          <w:rFonts w:ascii="Calibri" w:hAnsi="Calibri" w:hint="cs"/>
          <w:rtl/>
        </w:rPr>
        <w:t xml:space="preserve">בהזדמנות הראשונה, </w:t>
      </w:r>
      <w:r w:rsidRPr="00466AAE">
        <w:rPr>
          <w:rFonts w:ascii="Calibri" w:hAnsi="Calibri"/>
          <w:rtl/>
        </w:rPr>
        <w:t xml:space="preserve">אשר חסכה הן את העדת עדי התביעה והן מזמנו היקר של בית המשפט. בנקודה זו </w:t>
      </w:r>
      <w:r w:rsidRPr="00466AAE">
        <w:rPr>
          <w:rFonts w:ascii="Calibri" w:hAnsi="Calibri" w:hint="cs"/>
          <w:rtl/>
        </w:rPr>
        <w:t xml:space="preserve">יצוין </w:t>
      </w:r>
      <w:r w:rsidRPr="00466AAE">
        <w:rPr>
          <w:rFonts w:ascii="Calibri" w:hAnsi="Calibri"/>
          <w:rtl/>
        </w:rPr>
        <w:t xml:space="preserve">כי הנאשם </w:t>
      </w:r>
      <w:r w:rsidRPr="00466AAE">
        <w:rPr>
          <w:rFonts w:ascii="Calibri" w:hAnsi="Calibri" w:hint="cs"/>
          <w:rtl/>
        </w:rPr>
        <w:t xml:space="preserve">נטל </w:t>
      </w:r>
      <w:r w:rsidRPr="00466AAE">
        <w:rPr>
          <w:rFonts w:ascii="Calibri" w:hAnsi="Calibri"/>
          <w:rtl/>
        </w:rPr>
        <w:t>אחריות על מעשיו בפני שירות המבחן</w:t>
      </w:r>
      <w:r w:rsidRPr="00466AAE">
        <w:rPr>
          <w:rFonts w:ascii="Calibri" w:hAnsi="Calibri" w:hint="cs"/>
          <w:rtl/>
        </w:rPr>
        <w:t xml:space="preserve">, אם כי התקשה להסביר את הפער שבין מהלך חייו הנורמטיבי לבין ביצוע העבירות. </w:t>
      </w:r>
      <w:r>
        <w:rPr>
          <w:rFonts w:hint="cs"/>
          <w:rtl/>
        </w:rPr>
        <w:t>שירות המבחן התרשם כי לא קיימים מאפייני אישיות אנטי-סוציאליים מושרשים אצל הנאשם וכי התנהלותו בביצוע העבירות אינה תואמת את מהלך חייו.  עוד התרשם שירות המבחן, כי הנאשם מבין כיום את חומרת התנהלותו וההליך המשפטי המתנהל נגדו, כמו גם "המחירים שמשלם", המהווים עבורו גורם מרתיע ומציב גבולות. לכך יש להוסיף, לקולה, את הערכת שירות המבחן כי רמת הסיכון להישנות עבירות דומות בעתיד ע"י הנאשם נמוכה יחסית, וכן את העובדה שאין המלצה להשית צו מבחן על הנאשם מן הטעם ששרות המבחן התרשם כי הנאשם הפיק את הלקח הנדרש ואך מסיבה זו אין צורך לשלבו בהליך טיפולי.</w:t>
      </w:r>
    </w:p>
    <w:p w14:paraId="294E25FA" w14:textId="77777777" w:rsidR="00BD0437" w:rsidRDefault="00BD0437" w:rsidP="00BD0437">
      <w:pPr>
        <w:spacing w:line="360" w:lineRule="auto"/>
        <w:contextualSpacing/>
        <w:jc w:val="both"/>
        <w:rPr>
          <w:rtl/>
        </w:rPr>
      </w:pPr>
    </w:p>
    <w:p w14:paraId="3613C375" w14:textId="77777777" w:rsidR="00BD0437" w:rsidRPr="006C3C55" w:rsidRDefault="00BD0437" w:rsidP="00BD0437">
      <w:pPr>
        <w:spacing w:line="360" w:lineRule="auto"/>
        <w:contextualSpacing/>
        <w:jc w:val="both"/>
      </w:pPr>
      <w:r>
        <w:rPr>
          <w:rFonts w:hint="cs"/>
          <w:rtl/>
        </w:rPr>
        <w:t>14.</w:t>
      </w:r>
      <w:r>
        <w:rPr>
          <w:rtl/>
        </w:rPr>
        <w:tab/>
      </w:r>
      <w:r w:rsidRPr="00375566">
        <w:rPr>
          <w:rtl/>
        </w:rPr>
        <w:t xml:space="preserve">במהלך </w:t>
      </w:r>
      <w:r>
        <w:rPr>
          <w:rFonts w:hint="cs"/>
          <w:rtl/>
        </w:rPr>
        <w:t>טיעוניו לעונש</w:t>
      </w:r>
      <w:r>
        <w:rPr>
          <w:rtl/>
        </w:rPr>
        <w:t xml:space="preserve"> </w:t>
      </w:r>
      <w:r>
        <w:rPr>
          <w:rFonts w:hint="cs"/>
          <w:rtl/>
        </w:rPr>
        <w:t>ביקש, כאמור, הסניגור</w:t>
      </w:r>
      <w:r w:rsidRPr="00375566">
        <w:rPr>
          <w:rtl/>
        </w:rPr>
        <w:t xml:space="preserve"> להחיל את עיקרון אחידות הענישה </w:t>
      </w:r>
      <w:r>
        <w:rPr>
          <w:rFonts w:hint="cs"/>
          <w:rtl/>
        </w:rPr>
        <w:t>ולהשית על הנאשם עונש בדומה לעונש שהושת על ג'ואד, ומנגד ביקשה ב"כ המאשימה להחמיר בדינו של הנאשם, בהינתן חלקו הדומיננטי באירוע ונוכח העובדה שביצע שתי עבירות נוספות</w:t>
      </w:r>
      <w:r w:rsidRPr="00375566">
        <w:rPr>
          <w:rtl/>
        </w:rPr>
        <w:t xml:space="preserve">. עקרון אחידות הענישה </w:t>
      </w:r>
      <w:r>
        <w:rPr>
          <w:rtl/>
        </w:rPr>
        <w:t xml:space="preserve">הוא בעל חשיבות רבה </w:t>
      </w:r>
      <w:r>
        <w:rPr>
          <w:rFonts w:hint="cs"/>
          <w:rtl/>
        </w:rPr>
        <w:t>ו</w:t>
      </w:r>
      <w:r w:rsidRPr="00375566">
        <w:rPr>
          <w:rtl/>
        </w:rPr>
        <w:t>משקף את ערכי השוויון, ההגינות והצדק, ואף את האינטרס לשמור על אמון הצ</w:t>
      </w:r>
      <w:r>
        <w:rPr>
          <w:rtl/>
        </w:rPr>
        <w:t>יבור בהליך הפלילי ובמערכת המשפט</w:t>
      </w:r>
      <w:r w:rsidRPr="00375566">
        <w:rPr>
          <w:rtl/>
        </w:rPr>
        <w:t xml:space="preserve">. </w:t>
      </w:r>
      <w:r>
        <w:rPr>
          <w:rFonts w:hint="cs"/>
          <w:rtl/>
        </w:rPr>
        <w:t xml:space="preserve">ברם, אין פרוש הדבר שעל כל המעורבים בפרשה אחת יושת עונש זהה ויש לבחון את חלקו של כל אחד מהמעורבים בביצוע העבירה, כמו גם את נסיבותיו המיוחדות על מנת לחתור לענישה ההולמת את העבירה עפ"י אמות המידה המקובלות במשפטנו (ראו: </w:t>
      </w:r>
      <w:hyperlink r:id="rId54" w:history="1">
        <w:r w:rsidR="005C3C28" w:rsidRPr="005C3C28">
          <w:rPr>
            <w:color w:val="0000FF"/>
            <w:u w:val="single"/>
            <w:rtl/>
          </w:rPr>
          <w:t>ע"פ 5195/11</w:t>
        </w:r>
      </w:hyperlink>
      <w:r w:rsidRPr="00AE4042">
        <w:rPr>
          <w:rtl/>
        </w:rPr>
        <w:t xml:space="preserve"> </w:t>
      </w:r>
      <w:r w:rsidRPr="00466AAE">
        <w:rPr>
          <w:rFonts w:ascii="Miriam" w:hAnsi="Miriam" w:cs="Miriam"/>
          <w:rtl/>
        </w:rPr>
        <w:t>גיאורגי קריניאן נ' מדינת ישראל</w:t>
      </w:r>
      <w:r w:rsidRPr="00AE4042">
        <w:rPr>
          <w:rtl/>
        </w:rPr>
        <w:t xml:space="preserve"> (28.03.2012)</w:t>
      </w:r>
      <w:r>
        <w:rPr>
          <w:rFonts w:hint="cs"/>
          <w:rtl/>
        </w:rPr>
        <w:t>). ומהתם להכא: לחובת הנאשם יש לציין את חלקו המשמעותי בביצוע עבירת הנשק, שהרי הנאשם הוא זה שהשליך את הרימון לעבר ביתו של סמיר. עוד יש להוסיף לחובתו את העובדה שהורשע גם בעבירות של הפרעה לשוטר והדחה בחקירה. מנגד, יש לתת את הדעת לכך שג'ואד הורשע כמבצע בצוותא עם הנאשם של עבירת הנשק, שהינה החמורה מבין העבירות בתיק זה, אשר בוצעו כולן ע"י הנאשם במסגרת אותה מסכת עבריינית. בנוסף, יש לזקוף, לטובת הנאשם, את העובדה שתסקירו מתאר תמונה חיובית בעיקרה לגביו ואילו תסקירו של ג'ואד מלמד כי הלה מתקשה בקבלת אחריות על מעשיו וכי קיים סיכון להישנות עבירות על-ידו בעתיד. בהתאם, לא בא שרות המבחן בהמלצה כלשהי לגבי ג'ואד ואילו בעניינו של הנאשם ממליץ שרות המבחן על ענישה בדמות של מאסר בעבודות שרות, תוך שהוא נמנע, כאמור, מהמלצה טיפולית אך מן הטעם שהנאשם כבר הפיק לקח ואינו זקוק להכוונה טיפולית.</w:t>
      </w:r>
    </w:p>
    <w:p w14:paraId="2F3E3EF7" w14:textId="77777777" w:rsidR="00BD0437" w:rsidRPr="006C3C55" w:rsidRDefault="00BD0437" w:rsidP="00BD0437">
      <w:pPr>
        <w:pStyle w:val="a9"/>
        <w:rPr>
          <w:rFonts w:ascii="David" w:hAnsi="David"/>
          <w:rtl/>
        </w:rPr>
      </w:pPr>
    </w:p>
    <w:p w14:paraId="02024CF2" w14:textId="77777777" w:rsidR="00BD0437" w:rsidRPr="00466AAE" w:rsidRDefault="00BD0437" w:rsidP="00BD0437">
      <w:pPr>
        <w:spacing w:line="360" w:lineRule="auto"/>
        <w:jc w:val="both"/>
        <w:rPr>
          <w:rFonts w:ascii="Calibri" w:hAnsi="Calibri"/>
        </w:rPr>
      </w:pPr>
      <w:r>
        <w:rPr>
          <w:rFonts w:ascii="Calibri" w:hAnsi="Calibri" w:hint="cs"/>
          <w:rtl/>
        </w:rPr>
        <w:t>15.</w:t>
      </w:r>
      <w:r>
        <w:rPr>
          <w:rFonts w:ascii="Calibri" w:hAnsi="Calibri" w:hint="cs"/>
          <w:rtl/>
        </w:rPr>
        <w:tab/>
      </w:r>
      <w:r w:rsidRPr="00466AAE">
        <w:rPr>
          <w:rFonts w:ascii="Calibri" w:hAnsi="Calibri"/>
          <w:rtl/>
        </w:rPr>
        <w:t xml:space="preserve">לאחר ששקלתי את מכלול הנסיבות </w:t>
      </w:r>
      <w:r w:rsidRPr="00466AAE">
        <w:rPr>
          <w:rFonts w:ascii="Calibri" w:hAnsi="Calibri" w:hint="cs"/>
          <w:rtl/>
        </w:rPr>
        <w:t xml:space="preserve">שאינן קשורות בביצוע העבירות, לרבות העובדה שעסקינן במעידה חד-פעמית מבחינת הנאשם המתחרט מעומק ליבו על כך, וכן נתתי דעתי לקווי הדמיון והשוני בין הנאשם לשותפו, החלטתי להשית על הנאשם  </w:t>
      </w:r>
      <w:r w:rsidRPr="00466AAE">
        <w:rPr>
          <w:rFonts w:ascii="Calibri" w:hAnsi="Calibri"/>
          <w:rtl/>
        </w:rPr>
        <w:t xml:space="preserve">עונש </w:t>
      </w:r>
      <w:r w:rsidRPr="00466AAE">
        <w:rPr>
          <w:rFonts w:ascii="Calibri" w:hAnsi="Calibri" w:hint="cs"/>
          <w:rtl/>
        </w:rPr>
        <w:t xml:space="preserve">החמור במקצת מעונשו של השותף ג'ואד- עונש </w:t>
      </w:r>
      <w:r w:rsidRPr="00466AAE">
        <w:rPr>
          <w:rFonts w:ascii="Calibri" w:hAnsi="Calibri"/>
          <w:rtl/>
        </w:rPr>
        <w:t>של מאסר בפועל לתקופה של 9 חודשים בדרך של עבודות שירות</w:t>
      </w:r>
      <w:r w:rsidRPr="00466AAE">
        <w:rPr>
          <w:rFonts w:ascii="Calibri" w:hAnsi="Calibri" w:hint="cs"/>
          <w:rtl/>
        </w:rPr>
        <w:t xml:space="preserve">, לצד רכיבי ענישה של מאסר מותנה וקנס כספי. </w:t>
      </w:r>
      <w:r w:rsidRPr="00466AAE">
        <w:rPr>
          <w:rFonts w:ascii="Calibri" w:hAnsi="Calibri"/>
          <w:rtl/>
        </w:rPr>
        <w:t xml:space="preserve">השתת עונש </w:t>
      </w:r>
      <w:r w:rsidRPr="00466AAE">
        <w:rPr>
          <w:rFonts w:ascii="Calibri" w:hAnsi="Calibri" w:hint="cs"/>
          <w:rtl/>
        </w:rPr>
        <w:t xml:space="preserve">של </w:t>
      </w:r>
      <w:r w:rsidRPr="00466AAE">
        <w:rPr>
          <w:rFonts w:ascii="Calibri" w:hAnsi="Calibri"/>
          <w:rtl/>
        </w:rPr>
        <w:t xml:space="preserve">מאסר בפועל של ממש על הנאשם עלולה, </w:t>
      </w:r>
      <w:r w:rsidRPr="00466AAE">
        <w:rPr>
          <w:rFonts w:ascii="Calibri" w:hAnsi="Calibri" w:hint="cs"/>
          <w:rtl/>
        </w:rPr>
        <w:t xml:space="preserve">לדידי, </w:t>
      </w:r>
      <w:r w:rsidRPr="00466AAE">
        <w:rPr>
          <w:rFonts w:ascii="Calibri" w:hAnsi="Calibri"/>
          <w:rtl/>
        </w:rPr>
        <w:t xml:space="preserve">בנסיבות העניין </w:t>
      </w:r>
      <w:r w:rsidRPr="00466AAE">
        <w:rPr>
          <w:rFonts w:ascii="Calibri" w:hAnsi="Calibri" w:hint="cs"/>
          <w:rtl/>
        </w:rPr>
        <w:t xml:space="preserve">ונוכח האמור בתסקיר, </w:t>
      </w:r>
      <w:r w:rsidRPr="00466AAE">
        <w:rPr>
          <w:rFonts w:ascii="Calibri" w:hAnsi="Calibri"/>
          <w:rtl/>
        </w:rPr>
        <w:t>להביא לשילובו במעגל הפשיעה, דבר המחטיא את האינטרס הציבורי</w:t>
      </w:r>
      <w:r w:rsidRPr="00466AAE">
        <w:rPr>
          <w:rFonts w:ascii="Calibri" w:hAnsi="Calibri" w:hint="cs"/>
          <w:rtl/>
        </w:rPr>
        <w:t xml:space="preserve"> המבכר את שילובו של הנאשם בחיק החברה הנורמטיבית.</w:t>
      </w:r>
    </w:p>
    <w:p w14:paraId="2D4E90C5" w14:textId="77777777" w:rsidR="00BD0437" w:rsidRDefault="00BD0437" w:rsidP="00BD0437">
      <w:pPr>
        <w:pStyle w:val="a9"/>
        <w:spacing w:line="360" w:lineRule="auto"/>
        <w:jc w:val="both"/>
        <w:rPr>
          <w:rFonts w:ascii="Calibri" w:hAnsi="Calibri"/>
        </w:rPr>
      </w:pPr>
    </w:p>
    <w:p w14:paraId="3A149988" w14:textId="77777777" w:rsidR="00BD0437" w:rsidRPr="00466AAE" w:rsidRDefault="00BD0437" w:rsidP="00BD0437">
      <w:pPr>
        <w:spacing w:line="360" w:lineRule="auto"/>
        <w:jc w:val="both"/>
        <w:rPr>
          <w:rFonts w:ascii="Calibri" w:hAnsi="Calibri"/>
        </w:rPr>
      </w:pPr>
      <w:r w:rsidRPr="00466AAE">
        <w:rPr>
          <w:rFonts w:ascii="Calibri" w:hAnsi="Calibri"/>
          <w:rtl/>
        </w:rPr>
        <w:t xml:space="preserve"> </w:t>
      </w:r>
      <w:r>
        <w:rPr>
          <w:rFonts w:ascii="Calibri" w:hAnsi="Calibri" w:hint="cs"/>
          <w:rtl/>
        </w:rPr>
        <w:t>16.</w:t>
      </w:r>
      <w:r>
        <w:rPr>
          <w:rFonts w:ascii="Calibri" w:hAnsi="Calibri" w:hint="cs"/>
          <w:rtl/>
        </w:rPr>
        <w:tab/>
      </w:r>
      <w:r w:rsidRPr="00466AAE">
        <w:rPr>
          <w:rFonts w:ascii="Calibri" w:hAnsi="Calibri"/>
          <w:rtl/>
        </w:rPr>
        <w:t xml:space="preserve">בסיכומו של דבר, אני דנה את הנאשם, כדלקמן: </w:t>
      </w:r>
    </w:p>
    <w:p w14:paraId="4352B738" w14:textId="77777777" w:rsidR="00BD0437" w:rsidRPr="00724EAF" w:rsidRDefault="00BD0437" w:rsidP="00BD0437">
      <w:pPr>
        <w:pStyle w:val="a9"/>
        <w:rPr>
          <w:rFonts w:ascii="Calibri" w:hAnsi="Calibri"/>
          <w:rtl/>
        </w:rPr>
      </w:pPr>
    </w:p>
    <w:p w14:paraId="574BBDC1" w14:textId="77777777" w:rsidR="00BD0437" w:rsidRDefault="00BD0437" w:rsidP="00BD0437">
      <w:pPr>
        <w:pStyle w:val="a9"/>
        <w:numPr>
          <w:ilvl w:val="0"/>
          <w:numId w:val="1"/>
        </w:numPr>
        <w:spacing w:line="360" w:lineRule="auto"/>
        <w:jc w:val="both"/>
        <w:rPr>
          <w:rFonts w:ascii="Calibri" w:hAnsi="Calibri"/>
        </w:rPr>
      </w:pPr>
      <w:r w:rsidRPr="009D132F">
        <w:rPr>
          <w:rFonts w:ascii="Calibri" w:hAnsi="Calibri"/>
          <w:rtl/>
        </w:rPr>
        <w:t xml:space="preserve">למאסר בפועל למשך 9 חודשים שירוצה </w:t>
      </w:r>
      <w:r>
        <w:rPr>
          <w:rFonts w:ascii="Calibri" w:hAnsi="Calibri" w:hint="cs"/>
          <w:rtl/>
        </w:rPr>
        <w:t xml:space="preserve">ע"י הנאשם </w:t>
      </w:r>
      <w:r w:rsidRPr="009D132F">
        <w:rPr>
          <w:rFonts w:ascii="Calibri" w:hAnsi="Calibri"/>
          <w:rtl/>
        </w:rPr>
        <w:t xml:space="preserve">בדרך של עבודות שירות, כאמור בחוות דעת הממונה על עבודות שירות, </w:t>
      </w:r>
      <w:r>
        <w:rPr>
          <w:rFonts w:ascii="Calibri" w:hAnsi="Calibri" w:hint="cs"/>
          <w:rtl/>
        </w:rPr>
        <w:t xml:space="preserve">היינו. ב"שיקום מקצועי" שלוחת מג'ד אלכרום. </w:t>
      </w:r>
      <w:r w:rsidRPr="009D132F">
        <w:rPr>
          <w:rFonts w:ascii="Calibri" w:hAnsi="Calibri"/>
          <w:rtl/>
        </w:rPr>
        <w:t xml:space="preserve"> </w:t>
      </w:r>
      <w:r>
        <w:rPr>
          <w:rFonts w:ascii="Calibri" w:hAnsi="Calibri" w:hint="cs"/>
          <w:rtl/>
        </w:rPr>
        <w:t xml:space="preserve">הנאשם יתייצב ביום 12/12/19 בשעה 08:00 לתחילת ריצוי עבודות השרות ברחוב הציונות 14 בטבריה. </w:t>
      </w:r>
      <w:r w:rsidRPr="009D132F">
        <w:rPr>
          <w:rFonts w:ascii="Calibri" w:hAnsi="Calibri"/>
          <w:rtl/>
        </w:rPr>
        <w:t>הנאשם מוזהר בזה, לבקשת הממונה על עבודות שירות</w:t>
      </w:r>
      <w:r>
        <w:rPr>
          <w:rFonts w:ascii="Calibri" w:hAnsi="Calibri" w:hint="cs"/>
          <w:rtl/>
        </w:rPr>
        <w:t>,</w:t>
      </w:r>
      <w:r w:rsidRPr="009D132F">
        <w:rPr>
          <w:rFonts w:ascii="Calibri" w:hAnsi="Calibri"/>
          <w:rtl/>
        </w:rPr>
        <w:t xml:space="preserve"> כי מדובר בתנאי העסקה קפדניים המצריכים התייצבות רציפה וכל חריגה מהכללים עלולה להביא להפסקת ריצוי עבודות השירות ול</w:t>
      </w:r>
      <w:r>
        <w:rPr>
          <w:rFonts w:ascii="Calibri" w:hAnsi="Calibri"/>
          <w:rtl/>
        </w:rPr>
        <w:t xml:space="preserve">ריצוי יתרת העונש במאסר של ממש. </w:t>
      </w:r>
    </w:p>
    <w:p w14:paraId="0FBB69DC" w14:textId="77777777" w:rsidR="00BD0437" w:rsidRDefault="00BD0437" w:rsidP="00BD0437">
      <w:pPr>
        <w:pStyle w:val="a9"/>
        <w:spacing w:line="360" w:lineRule="auto"/>
        <w:ind w:left="778"/>
        <w:jc w:val="both"/>
        <w:rPr>
          <w:rFonts w:ascii="Calibri" w:hAnsi="Calibri"/>
        </w:rPr>
      </w:pPr>
    </w:p>
    <w:p w14:paraId="23D8E11C" w14:textId="77777777" w:rsidR="00BD0437" w:rsidRDefault="00BD0437" w:rsidP="00BD0437">
      <w:pPr>
        <w:pStyle w:val="a9"/>
        <w:numPr>
          <w:ilvl w:val="0"/>
          <w:numId w:val="1"/>
        </w:numPr>
        <w:spacing w:line="360" w:lineRule="auto"/>
        <w:jc w:val="both"/>
        <w:rPr>
          <w:rFonts w:ascii="Calibri" w:hAnsi="Calibri"/>
        </w:rPr>
      </w:pPr>
      <w:r w:rsidRPr="009D132F">
        <w:rPr>
          <w:rFonts w:ascii="Calibri" w:hAnsi="Calibri"/>
          <w:rtl/>
        </w:rPr>
        <w:t xml:space="preserve"> למאסר על תנאי לתקופה של 12 חודשים למשך 3 שנים והתנאי הוא לבל יעבור הנאשם עבירה מסוג פשע לפי </w:t>
      </w:r>
      <w:hyperlink r:id="rId55" w:history="1">
        <w:r w:rsidR="005D4589" w:rsidRPr="005D4589">
          <w:rPr>
            <w:rFonts w:ascii="Calibri" w:hAnsi="Calibri" w:hint="eastAsia"/>
            <w:color w:val="0000FF"/>
            <w:u w:val="single"/>
            <w:rtl/>
          </w:rPr>
          <w:t>סעיף</w:t>
        </w:r>
        <w:r w:rsidR="005D4589" w:rsidRPr="005D4589">
          <w:rPr>
            <w:rFonts w:ascii="Calibri" w:hAnsi="Calibri"/>
            <w:color w:val="0000FF"/>
            <w:u w:val="single"/>
            <w:rtl/>
          </w:rPr>
          <w:t xml:space="preserve"> 144</w:t>
        </w:r>
      </w:hyperlink>
      <w:r>
        <w:rPr>
          <w:rFonts w:ascii="Calibri" w:hAnsi="Calibri"/>
          <w:rtl/>
        </w:rPr>
        <w:t xml:space="preserve"> ל</w:t>
      </w:r>
      <w:hyperlink r:id="rId56" w:history="1">
        <w:r w:rsidR="005C3C28" w:rsidRPr="005C3C28">
          <w:rPr>
            <w:rFonts w:ascii="Calibri" w:hAnsi="Calibri" w:hint="eastAsia"/>
            <w:color w:val="0000FF"/>
            <w:u w:val="single"/>
            <w:rtl/>
          </w:rPr>
          <w:t>חוק</w:t>
        </w:r>
        <w:r w:rsidR="005C3C28" w:rsidRPr="005C3C28">
          <w:rPr>
            <w:rFonts w:ascii="Calibri" w:hAnsi="Calibri"/>
            <w:color w:val="0000FF"/>
            <w:u w:val="single"/>
            <w:rtl/>
          </w:rPr>
          <w:t xml:space="preserve"> </w:t>
        </w:r>
        <w:r w:rsidR="005C3C28" w:rsidRPr="005C3C28">
          <w:rPr>
            <w:rFonts w:ascii="Calibri" w:hAnsi="Calibri" w:hint="eastAsia"/>
            <w:color w:val="0000FF"/>
            <w:u w:val="single"/>
            <w:rtl/>
          </w:rPr>
          <w:t>העונשין</w:t>
        </w:r>
      </w:hyperlink>
      <w:r>
        <w:rPr>
          <w:rFonts w:ascii="Calibri" w:hAnsi="Calibri"/>
          <w:rtl/>
        </w:rPr>
        <w:t xml:space="preserve"> התשל"ז-1977. </w:t>
      </w:r>
    </w:p>
    <w:p w14:paraId="5240ADE3" w14:textId="77777777" w:rsidR="00BD0437" w:rsidRPr="00724EAF" w:rsidRDefault="00BD0437" w:rsidP="00BD0437">
      <w:pPr>
        <w:pStyle w:val="a9"/>
        <w:rPr>
          <w:rFonts w:ascii="Calibri" w:hAnsi="Calibri"/>
          <w:rtl/>
        </w:rPr>
      </w:pPr>
    </w:p>
    <w:p w14:paraId="165BB895" w14:textId="77777777" w:rsidR="00BD0437" w:rsidRDefault="00BD0437" w:rsidP="00BD0437">
      <w:pPr>
        <w:pStyle w:val="a9"/>
        <w:numPr>
          <w:ilvl w:val="0"/>
          <w:numId w:val="1"/>
        </w:numPr>
        <w:spacing w:line="360" w:lineRule="auto"/>
        <w:jc w:val="both"/>
        <w:rPr>
          <w:rFonts w:ascii="Calibri" w:hAnsi="Calibri"/>
        </w:rPr>
      </w:pPr>
      <w:r w:rsidRPr="009D132F">
        <w:rPr>
          <w:rFonts w:ascii="Calibri" w:hAnsi="Calibri"/>
          <w:rtl/>
        </w:rPr>
        <w:t xml:space="preserve">למאסר על תנאי לתקופה של 5 חודשים למשך 3 שנים והתנאי הוא לבל יעבור הנאשם עבירה מסוג עוון לפי </w:t>
      </w:r>
      <w:hyperlink r:id="rId57" w:history="1">
        <w:r w:rsidR="005D4589" w:rsidRPr="005D4589">
          <w:rPr>
            <w:rFonts w:ascii="Calibri" w:hAnsi="Calibri" w:hint="eastAsia"/>
            <w:color w:val="0000FF"/>
            <w:u w:val="single"/>
            <w:rtl/>
          </w:rPr>
          <w:t>סעיף</w:t>
        </w:r>
        <w:r w:rsidR="005D4589" w:rsidRPr="005D4589">
          <w:rPr>
            <w:rFonts w:ascii="Calibri" w:hAnsi="Calibri"/>
            <w:color w:val="0000FF"/>
            <w:u w:val="single"/>
            <w:rtl/>
          </w:rPr>
          <w:t xml:space="preserve"> 144</w:t>
        </w:r>
      </w:hyperlink>
      <w:r w:rsidRPr="009D132F">
        <w:rPr>
          <w:rFonts w:ascii="Calibri" w:hAnsi="Calibri"/>
          <w:rtl/>
        </w:rPr>
        <w:t xml:space="preserve"> ל</w:t>
      </w:r>
      <w:hyperlink r:id="rId58" w:history="1">
        <w:r w:rsidR="005C3C28" w:rsidRPr="005C3C28">
          <w:rPr>
            <w:rFonts w:ascii="Calibri" w:hAnsi="Calibri" w:hint="eastAsia"/>
            <w:color w:val="0000FF"/>
            <w:u w:val="single"/>
            <w:rtl/>
          </w:rPr>
          <w:t>חוק</w:t>
        </w:r>
        <w:r w:rsidR="005C3C28" w:rsidRPr="005C3C28">
          <w:rPr>
            <w:rFonts w:ascii="Calibri" w:hAnsi="Calibri"/>
            <w:color w:val="0000FF"/>
            <w:u w:val="single"/>
            <w:rtl/>
          </w:rPr>
          <w:t xml:space="preserve"> </w:t>
        </w:r>
        <w:r w:rsidR="005C3C28" w:rsidRPr="005C3C28">
          <w:rPr>
            <w:rFonts w:ascii="Calibri" w:hAnsi="Calibri" w:hint="eastAsia"/>
            <w:color w:val="0000FF"/>
            <w:u w:val="single"/>
            <w:rtl/>
          </w:rPr>
          <w:t>העונשין</w:t>
        </w:r>
      </w:hyperlink>
      <w:r w:rsidRPr="009D132F">
        <w:rPr>
          <w:rFonts w:ascii="Calibri" w:hAnsi="Calibri"/>
          <w:rtl/>
        </w:rPr>
        <w:t xml:space="preserve"> התשל"ז-1977</w:t>
      </w:r>
      <w:r>
        <w:rPr>
          <w:rFonts w:ascii="Calibri" w:hAnsi="Calibri" w:hint="cs"/>
          <w:rtl/>
        </w:rPr>
        <w:t xml:space="preserve"> או עבירה לפי </w:t>
      </w:r>
      <w:hyperlink r:id="rId59" w:history="1">
        <w:r w:rsidR="005D4589" w:rsidRPr="005D4589">
          <w:rPr>
            <w:rFonts w:ascii="Calibri" w:hAnsi="Calibri" w:hint="eastAsia"/>
            <w:color w:val="0000FF"/>
            <w:u w:val="single"/>
            <w:rtl/>
          </w:rPr>
          <w:t>סימן</w:t>
        </w:r>
        <w:r w:rsidR="005D4589" w:rsidRPr="005D4589">
          <w:rPr>
            <w:rFonts w:ascii="Calibri" w:hAnsi="Calibri"/>
            <w:color w:val="0000FF"/>
            <w:u w:val="single"/>
            <w:rtl/>
          </w:rPr>
          <w:t xml:space="preserve"> </w:t>
        </w:r>
        <w:r w:rsidR="005D4589" w:rsidRPr="005D4589">
          <w:rPr>
            <w:rFonts w:ascii="Calibri" w:hAnsi="Calibri" w:hint="eastAsia"/>
            <w:color w:val="0000FF"/>
            <w:u w:val="single"/>
            <w:rtl/>
          </w:rPr>
          <w:t>א</w:t>
        </w:r>
        <w:r w:rsidR="005D4589" w:rsidRPr="005D4589">
          <w:rPr>
            <w:rFonts w:ascii="Calibri" w:hAnsi="Calibri"/>
            <w:color w:val="0000FF"/>
            <w:u w:val="single"/>
            <w:rtl/>
          </w:rPr>
          <w:t>'</w:t>
        </w:r>
      </w:hyperlink>
      <w:r>
        <w:rPr>
          <w:rFonts w:ascii="Calibri" w:hAnsi="Calibri" w:hint="cs"/>
          <w:rtl/>
        </w:rPr>
        <w:t xml:space="preserve"> וסימן </w:t>
      </w:r>
      <w:hyperlink r:id="rId60" w:history="1">
        <w:r w:rsidR="005D4589" w:rsidRPr="005D4589">
          <w:rPr>
            <w:rFonts w:ascii="Calibri" w:hAnsi="Calibri" w:hint="eastAsia"/>
            <w:color w:val="0000FF"/>
            <w:u w:val="single"/>
            <w:rtl/>
          </w:rPr>
          <w:t>ג</w:t>
        </w:r>
        <w:r w:rsidR="005D4589" w:rsidRPr="005D4589">
          <w:rPr>
            <w:rFonts w:ascii="Calibri" w:hAnsi="Calibri"/>
            <w:color w:val="0000FF"/>
            <w:u w:val="single"/>
            <w:rtl/>
          </w:rPr>
          <w:t>'</w:t>
        </w:r>
      </w:hyperlink>
      <w:r>
        <w:rPr>
          <w:rFonts w:ascii="Calibri" w:hAnsi="Calibri" w:hint="cs"/>
          <w:rtl/>
        </w:rPr>
        <w:t xml:space="preserve"> לפרק ט' לחוק העונשין.</w:t>
      </w:r>
    </w:p>
    <w:p w14:paraId="57C4DACF" w14:textId="77777777" w:rsidR="00BD0437" w:rsidRPr="00724EAF" w:rsidRDefault="00BD0437" w:rsidP="00BD0437">
      <w:pPr>
        <w:pStyle w:val="a9"/>
        <w:rPr>
          <w:rFonts w:ascii="Calibri" w:hAnsi="Calibri"/>
          <w:rtl/>
        </w:rPr>
      </w:pPr>
    </w:p>
    <w:p w14:paraId="360B1742" w14:textId="77777777" w:rsidR="00BD0437" w:rsidRDefault="00BD0437" w:rsidP="00BD0437">
      <w:pPr>
        <w:pStyle w:val="a9"/>
        <w:numPr>
          <w:ilvl w:val="0"/>
          <w:numId w:val="1"/>
        </w:numPr>
        <w:spacing w:line="360" w:lineRule="auto"/>
        <w:jc w:val="both"/>
        <w:rPr>
          <w:rFonts w:ascii="Calibri" w:hAnsi="Calibri"/>
        </w:rPr>
      </w:pPr>
      <w:r>
        <w:rPr>
          <w:rFonts w:ascii="Calibri" w:hAnsi="Calibri" w:hint="cs"/>
          <w:rtl/>
        </w:rPr>
        <w:t xml:space="preserve">לתשלום קנס בסך 7,000 ₪ או 35 ימי מאסר תמורתו. בהתחשב במצבו הכלכלי של הנאשם, אני מורה על פריסת תשלום הקנס ל-20 תשלומים חודשיים, שווים ורצופים בסך 350 ₪ כל אחד, החל מיום 1/4/20 ואילך. </w:t>
      </w:r>
    </w:p>
    <w:p w14:paraId="62881392" w14:textId="77777777" w:rsidR="00BD0437" w:rsidRPr="00724EAF" w:rsidRDefault="00BD0437" w:rsidP="00BD0437">
      <w:pPr>
        <w:pStyle w:val="a9"/>
        <w:rPr>
          <w:rFonts w:ascii="Calibri" w:hAnsi="Calibri"/>
          <w:rtl/>
        </w:rPr>
      </w:pPr>
    </w:p>
    <w:p w14:paraId="1963A4A7" w14:textId="77777777" w:rsidR="00BD0437" w:rsidRDefault="00BD0437" w:rsidP="00BD0437">
      <w:pPr>
        <w:pStyle w:val="a9"/>
        <w:spacing w:line="360" w:lineRule="auto"/>
        <w:ind w:left="778"/>
        <w:jc w:val="both"/>
        <w:rPr>
          <w:rFonts w:ascii="Calibri" w:hAnsi="Calibri"/>
          <w:rtl/>
        </w:rPr>
      </w:pPr>
      <w:r w:rsidRPr="009D132F">
        <w:rPr>
          <w:rFonts w:ascii="Calibri" w:hAnsi="Calibri"/>
          <w:rtl/>
        </w:rPr>
        <w:t xml:space="preserve"> המזכירות תמציא גזר הדין לשירות המבחן ולממונה על עבודות שירות. </w:t>
      </w:r>
    </w:p>
    <w:p w14:paraId="1EB061A1" w14:textId="77777777" w:rsidR="00BD0437" w:rsidRDefault="00BD0437" w:rsidP="00BD0437">
      <w:pPr>
        <w:pStyle w:val="a9"/>
        <w:spacing w:line="360" w:lineRule="auto"/>
        <w:ind w:left="778"/>
        <w:jc w:val="both"/>
        <w:rPr>
          <w:rFonts w:ascii="Calibri" w:hAnsi="Calibri"/>
          <w:rtl/>
        </w:rPr>
      </w:pPr>
    </w:p>
    <w:p w14:paraId="6F9E117C" w14:textId="77777777" w:rsidR="00BD0437" w:rsidRPr="00466AAE" w:rsidRDefault="00BD0437" w:rsidP="00BD0437">
      <w:pPr>
        <w:pStyle w:val="a9"/>
        <w:spacing w:line="360" w:lineRule="auto"/>
        <w:ind w:left="778"/>
        <w:jc w:val="both"/>
        <w:rPr>
          <w:rFonts w:ascii="Calibri" w:hAnsi="Calibri"/>
          <w:b/>
          <w:bCs/>
          <w:u w:val="single"/>
        </w:rPr>
      </w:pPr>
      <w:r w:rsidRPr="00466AAE">
        <w:rPr>
          <w:rFonts w:ascii="Calibri" w:hAnsi="Calibri"/>
          <w:b/>
          <w:bCs/>
          <w:u w:val="single"/>
          <w:rtl/>
        </w:rPr>
        <w:t>זכות ערעור לבית המשפט העליון תוך 45 ימים.</w:t>
      </w:r>
    </w:p>
    <w:p w14:paraId="1E11C480" w14:textId="77777777" w:rsidR="00BD0437" w:rsidRDefault="00BD0437" w:rsidP="00BD0437">
      <w:pPr>
        <w:spacing w:line="360" w:lineRule="auto"/>
        <w:jc w:val="both"/>
      </w:pPr>
    </w:p>
    <w:p w14:paraId="2AAC1F1E" w14:textId="77777777" w:rsidR="00BD0437" w:rsidRPr="005C3C28" w:rsidRDefault="005C3C28" w:rsidP="00BD0437">
      <w:pPr>
        <w:spacing w:line="360" w:lineRule="auto"/>
        <w:jc w:val="both"/>
        <w:rPr>
          <w:rFonts w:ascii="Calibri" w:hAnsi="Calibri"/>
          <w:color w:val="FFFFFF"/>
          <w:sz w:val="2"/>
          <w:szCs w:val="2"/>
          <w:rtl/>
        </w:rPr>
      </w:pPr>
      <w:r w:rsidRPr="005C3C28">
        <w:rPr>
          <w:rFonts w:ascii="Calibri" w:hAnsi="Calibri"/>
          <w:color w:val="FFFFFF"/>
          <w:sz w:val="2"/>
          <w:szCs w:val="2"/>
          <w:rtl/>
        </w:rPr>
        <w:t>5129371</w:t>
      </w:r>
    </w:p>
    <w:p w14:paraId="283299B7" w14:textId="77777777" w:rsidR="00BD0437" w:rsidRDefault="005C3C28" w:rsidP="00BD0437">
      <w:pPr>
        <w:spacing w:line="360" w:lineRule="auto"/>
        <w:jc w:val="both"/>
        <w:rPr>
          <w:rFonts w:ascii="Arial" w:hAnsi="Arial"/>
        </w:rPr>
      </w:pPr>
      <w:bookmarkStart w:id="7" w:name="Nitan"/>
      <w:r w:rsidRPr="005C3C28">
        <w:rPr>
          <w:rFonts w:ascii="Arial" w:hAnsi="Arial"/>
          <w:color w:val="FFFFFF"/>
          <w:sz w:val="2"/>
          <w:szCs w:val="2"/>
          <w:rtl/>
        </w:rPr>
        <w:t>54678313</w:t>
      </w:r>
      <w:r>
        <w:rPr>
          <w:rFonts w:ascii="Arial" w:hAnsi="Arial"/>
          <w:rtl/>
        </w:rPr>
        <w:t xml:space="preserve">ניתן היום,  כ"ג חשון תש"ף, 21 נובמבר 2019, במעמד ב"כ המאשימה, עו"ד חכרוש, ב"כ הנאשם, </w:t>
      </w:r>
      <w:bookmarkEnd w:id="7"/>
      <w:r w:rsidR="00BD0437">
        <w:rPr>
          <w:rFonts w:ascii="Arial" w:hAnsi="Arial" w:hint="cs"/>
          <w:rtl/>
        </w:rPr>
        <w:t>עו"ד סנעאללה והנאשם בעצמו.</w:t>
      </w:r>
    </w:p>
    <w:p w14:paraId="383FD6D3" w14:textId="77777777" w:rsidR="00BD0437" w:rsidRPr="00A003CB" w:rsidRDefault="00BD0437" w:rsidP="00BD0437">
      <w:pPr>
        <w:rPr>
          <w:rFonts w:cs="FrankRuehl"/>
          <w:sz w:val="28"/>
          <w:szCs w:val="28"/>
          <w:rtl/>
        </w:rPr>
      </w:pPr>
    </w:p>
    <w:p w14:paraId="04213239" w14:textId="77777777" w:rsidR="00BD0437" w:rsidRDefault="00BD0437" w:rsidP="005C3C2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89078D2" w14:textId="77777777" w:rsidR="00BD0437" w:rsidRDefault="00BD0437" w:rsidP="00BD0437">
      <w:pPr>
        <w:jc w:val="center"/>
        <w:rPr>
          <w:rFonts w:ascii="Arial" w:hAnsi="Arial" w:cs="FrankRuehl"/>
          <w:sz w:val="28"/>
          <w:szCs w:val="28"/>
          <w:rtl/>
        </w:rPr>
      </w:pPr>
    </w:p>
    <w:p w14:paraId="2977C80A" w14:textId="77777777" w:rsidR="00BD0437" w:rsidRDefault="00BD0437" w:rsidP="00BD0437">
      <w:pPr>
        <w:rPr>
          <w:rFonts w:cs="FrankRuehl"/>
          <w:sz w:val="28"/>
          <w:szCs w:val="28"/>
          <w:rtl/>
        </w:rPr>
      </w:pPr>
    </w:p>
    <w:p w14:paraId="7341E080" w14:textId="77777777" w:rsidR="00C16BB4" w:rsidRPr="005C3C28" w:rsidRDefault="00C16BB4" w:rsidP="005C3C28">
      <w:pPr>
        <w:keepNext/>
        <w:rPr>
          <w:rFonts w:ascii="David" w:hAnsi="David"/>
          <w:color w:val="000000"/>
          <w:sz w:val="22"/>
          <w:szCs w:val="22"/>
          <w:rtl/>
        </w:rPr>
      </w:pPr>
    </w:p>
    <w:p w14:paraId="414E8988" w14:textId="77777777" w:rsidR="005C3C28" w:rsidRPr="005C3C28" w:rsidRDefault="005C3C28" w:rsidP="005C3C28">
      <w:pPr>
        <w:keepNext/>
        <w:rPr>
          <w:rFonts w:ascii="David" w:hAnsi="David"/>
          <w:color w:val="000000"/>
          <w:sz w:val="22"/>
          <w:szCs w:val="22"/>
          <w:rtl/>
        </w:rPr>
      </w:pPr>
      <w:r w:rsidRPr="005C3C28">
        <w:rPr>
          <w:rFonts w:ascii="David" w:hAnsi="David"/>
          <w:color w:val="000000"/>
          <w:sz w:val="22"/>
          <w:szCs w:val="22"/>
          <w:rtl/>
        </w:rPr>
        <w:t>רונית בש 54678313</w:t>
      </w:r>
    </w:p>
    <w:p w14:paraId="7CFF0A22" w14:textId="77777777" w:rsidR="005C3C28" w:rsidRDefault="005C3C28" w:rsidP="005C3C28">
      <w:r w:rsidRPr="005C3C28">
        <w:rPr>
          <w:color w:val="000000"/>
          <w:rtl/>
        </w:rPr>
        <w:t>נוסח מסמך זה כפוף לשינויי ניסוח ועריכה</w:t>
      </w:r>
    </w:p>
    <w:p w14:paraId="5F34B17C" w14:textId="77777777" w:rsidR="005C3C28" w:rsidRDefault="005C3C28" w:rsidP="005C3C28">
      <w:pPr>
        <w:rPr>
          <w:rtl/>
        </w:rPr>
      </w:pPr>
    </w:p>
    <w:p w14:paraId="0389DB0F" w14:textId="77777777" w:rsidR="005C3C28" w:rsidRDefault="005C3C28" w:rsidP="005C3C28">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5AA58F56" w14:textId="77777777" w:rsidR="005C3C28" w:rsidRPr="005C3C28" w:rsidRDefault="005C3C28" w:rsidP="005C3C28">
      <w:pPr>
        <w:jc w:val="center"/>
        <w:rPr>
          <w:color w:val="0000FF"/>
          <w:u w:val="single"/>
        </w:rPr>
      </w:pPr>
    </w:p>
    <w:sectPr w:rsidR="005C3C28" w:rsidRPr="005C3C28" w:rsidSect="005C3C28">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0A409" w14:textId="77777777" w:rsidR="0081601C" w:rsidRDefault="0081601C" w:rsidP="00CA709E">
      <w:r>
        <w:separator/>
      </w:r>
    </w:p>
  </w:endnote>
  <w:endnote w:type="continuationSeparator" w:id="0">
    <w:p w14:paraId="7D1B205C" w14:textId="77777777" w:rsidR="0081601C" w:rsidRDefault="0081601C" w:rsidP="00CA7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C1EA" w14:textId="77777777" w:rsidR="005C3C28" w:rsidRDefault="005C3C28" w:rsidP="005C3C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73F6FC" w14:textId="77777777" w:rsidR="00783260" w:rsidRPr="005C3C28" w:rsidRDefault="005C3C28" w:rsidP="005C3C2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D9EE" w14:textId="77777777" w:rsidR="005C3C28" w:rsidRDefault="005C3C28" w:rsidP="005C3C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5175">
      <w:rPr>
        <w:rFonts w:ascii="FrankRuehl" w:hAnsi="FrankRuehl" w:cs="FrankRuehl"/>
        <w:noProof/>
        <w:rtl/>
      </w:rPr>
      <w:t>1</w:t>
    </w:r>
    <w:r>
      <w:rPr>
        <w:rFonts w:ascii="FrankRuehl" w:hAnsi="FrankRuehl" w:cs="FrankRuehl"/>
        <w:rtl/>
      </w:rPr>
      <w:fldChar w:fldCharType="end"/>
    </w:r>
  </w:p>
  <w:p w14:paraId="145E4D17" w14:textId="77777777" w:rsidR="00783260" w:rsidRPr="005C3C28" w:rsidRDefault="005C3C28" w:rsidP="005C3C2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EA91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29362" w14:textId="77777777" w:rsidR="0081601C" w:rsidRDefault="0081601C" w:rsidP="00CA709E">
      <w:r>
        <w:separator/>
      </w:r>
    </w:p>
  </w:footnote>
  <w:footnote w:type="continuationSeparator" w:id="0">
    <w:p w14:paraId="4750533C" w14:textId="77777777" w:rsidR="0081601C" w:rsidRDefault="0081601C" w:rsidP="00CA7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F3230" w14:textId="77777777" w:rsidR="005C3C28" w:rsidRPr="005C3C28" w:rsidRDefault="005C3C28" w:rsidP="005C3C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11134-01-19</w:t>
    </w:r>
    <w:r>
      <w:rPr>
        <w:rFonts w:ascii="David" w:hAnsi="David"/>
        <w:color w:val="000000"/>
        <w:sz w:val="22"/>
        <w:szCs w:val="22"/>
        <w:rtl/>
      </w:rPr>
      <w:tab/>
      <w:t xml:space="preserve"> מדינת ישראל נ' מוחמד אסדי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9B66" w14:textId="77777777" w:rsidR="005C3C28" w:rsidRPr="005C3C28" w:rsidRDefault="005C3C28" w:rsidP="005C3C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11134-01-19</w:t>
    </w:r>
    <w:r>
      <w:rPr>
        <w:rFonts w:ascii="David" w:hAnsi="David"/>
        <w:color w:val="000000"/>
        <w:sz w:val="22"/>
        <w:szCs w:val="22"/>
        <w:rtl/>
      </w:rPr>
      <w:tab/>
      <w:t xml:space="preserve"> מדינת ישראל נ' מוחמד אסדי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643F7"/>
    <w:multiLevelType w:val="hybridMultilevel"/>
    <w:tmpl w:val="97423386"/>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start w:val="1"/>
      <w:numFmt w:val="bullet"/>
      <w:lvlText w:val=""/>
      <w:lvlJc w:val="left"/>
      <w:pPr>
        <w:ind w:left="2938" w:hanging="360"/>
      </w:pPr>
      <w:rPr>
        <w:rFonts w:ascii="Symbol" w:hAnsi="Symbol" w:hint="default"/>
      </w:rPr>
    </w:lvl>
    <w:lvl w:ilvl="4" w:tplc="04090003">
      <w:start w:val="1"/>
      <w:numFmt w:val="bullet"/>
      <w:lvlText w:val="o"/>
      <w:lvlJc w:val="left"/>
      <w:pPr>
        <w:ind w:left="3658" w:hanging="360"/>
      </w:pPr>
      <w:rPr>
        <w:rFonts w:ascii="Courier New" w:hAnsi="Courier New" w:cs="Courier New" w:hint="default"/>
      </w:rPr>
    </w:lvl>
    <w:lvl w:ilvl="5" w:tplc="04090005">
      <w:start w:val="1"/>
      <w:numFmt w:val="bullet"/>
      <w:lvlText w:val=""/>
      <w:lvlJc w:val="left"/>
      <w:pPr>
        <w:ind w:left="4378" w:hanging="360"/>
      </w:pPr>
      <w:rPr>
        <w:rFonts w:ascii="Wingdings" w:hAnsi="Wingdings" w:hint="default"/>
      </w:rPr>
    </w:lvl>
    <w:lvl w:ilvl="6" w:tplc="04090001">
      <w:start w:val="1"/>
      <w:numFmt w:val="bullet"/>
      <w:lvlText w:val=""/>
      <w:lvlJc w:val="left"/>
      <w:pPr>
        <w:ind w:left="5098" w:hanging="360"/>
      </w:pPr>
      <w:rPr>
        <w:rFonts w:ascii="Symbol" w:hAnsi="Symbol" w:hint="default"/>
      </w:rPr>
    </w:lvl>
    <w:lvl w:ilvl="7" w:tplc="04090003">
      <w:start w:val="1"/>
      <w:numFmt w:val="bullet"/>
      <w:lvlText w:val="o"/>
      <w:lvlJc w:val="left"/>
      <w:pPr>
        <w:ind w:left="5818" w:hanging="360"/>
      </w:pPr>
      <w:rPr>
        <w:rFonts w:ascii="Courier New" w:hAnsi="Courier New" w:cs="Courier New" w:hint="default"/>
      </w:rPr>
    </w:lvl>
    <w:lvl w:ilvl="8" w:tplc="04090005">
      <w:start w:val="1"/>
      <w:numFmt w:val="bullet"/>
      <w:lvlText w:val=""/>
      <w:lvlJc w:val="left"/>
      <w:pPr>
        <w:ind w:left="6538" w:hanging="360"/>
      </w:pPr>
      <w:rPr>
        <w:rFonts w:ascii="Wingdings" w:hAnsi="Wingdings" w:hint="default"/>
      </w:rPr>
    </w:lvl>
  </w:abstractNum>
  <w:num w:numId="1" w16cid:durableId="98239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0437"/>
    <w:rsid w:val="00155175"/>
    <w:rsid w:val="005C3C28"/>
    <w:rsid w:val="005D4589"/>
    <w:rsid w:val="00783260"/>
    <w:rsid w:val="0081601C"/>
    <w:rsid w:val="00AD1024"/>
    <w:rsid w:val="00BD0437"/>
    <w:rsid w:val="00C16BB4"/>
    <w:rsid w:val="00CA709E"/>
    <w:rsid w:val="00CB63BD"/>
    <w:rsid w:val="00D92E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3A5FC1"/>
  <w15:chartTrackingRefBased/>
  <w15:docId w15:val="{93BF0CE5-020F-4EBB-8B50-3B2C05EB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043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D0437"/>
    <w:pPr>
      <w:tabs>
        <w:tab w:val="center" w:pos="4153"/>
        <w:tab w:val="right" w:pos="8306"/>
      </w:tabs>
    </w:pPr>
  </w:style>
  <w:style w:type="character" w:customStyle="1" w:styleId="a4">
    <w:name w:val="כותרת עליונה תו"/>
    <w:link w:val="a3"/>
    <w:rsid w:val="00BD0437"/>
    <w:rPr>
      <w:rFonts w:ascii="Times New Roman" w:eastAsia="Times New Roman" w:hAnsi="Times New Roman" w:cs="David"/>
      <w:sz w:val="24"/>
      <w:szCs w:val="24"/>
    </w:rPr>
  </w:style>
  <w:style w:type="paragraph" w:styleId="a5">
    <w:name w:val="footer"/>
    <w:basedOn w:val="a"/>
    <w:link w:val="a6"/>
    <w:rsid w:val="00BD0437"/>
    <w:pPr>
      <w:tabs>
        <w:tab w:val="center" w:pos="4153"/>
        <w:tab w:val="right" w:pos="8306"/>
      </w:tabs>
    </w:pPr>
  </w:style>
  <w:style w:type="character" w:customStyle="1" w:styleId="a6">
    <w:name w:val="כותרת תחתונה תו"/>
    <w:link w:val="a5"/>
    <w:rsid w:val="00BD0437"/>
    <w:rPr>
      <w:rFonts w:ascii="Times New Roman" w:eastAsia="Times New Roman" w:hAnsi="Times New Roman" w:cs="David"/>
      <w:sz w:val="24"/>
      <w:szCs w:val="24"/>
    </w:rPr>
  </w:style>
  <w:style w:type="table" w:styleId="a7">
    <w:name w:val="Table Grid"/>
    <w:basedOn w:val="a1"/>
    <w:rsid w:val="00BD043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D0437"/>
  </w:style>
  <w:style w:type="paragraph" w:styleId="a9">
    <w:name w:val="List Paragraph"/>
    <w:basedOn w:val="a"/>
    <w:qFormat/>
    <w:rsid w:val="00BD0437"/>
    <w:pPr>
      <w:ind w:left="720"/>
      <w:contextualSpacing/>
    </w:pPr>
  </w:style>
  <w:style w:type="character" w:styleId="Hyperlink">
    <w:name w:val="Hyperlink"/>
    <w:rsid w:val="005C3C2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74274/22.a" TargetMode="External"/><Relationship Id="rId34" Type="http://schemas.openxmlformats.org/officeDocument/2006/relationships/hyperlink" Target="http://www.nevo.co.il/case/6243627" TargetMode="External"/><Relationship Id="rId42" Type="http://schemas.openxmlformats.org/officeDocument/2006/relationships/hyperlink" Target="http://www.nevo.co.il/case/20590970" TargetMode="External"/><Relationship Id="rId47" Type="http://schemas.openxmlformats.org/officeDocument/2006/relationships/hyperlink" Target="http://www.nevo.co.il/law/74274/22.a" TargetMode="External"/><Relationship Id="rId50" Type="http://schemas.openxmlformats.org/officeDocument/2006/relationships/hyperlink" Target="http://www.nevo.co.il/law/5227" TargetMode="External"/><Relationship Id="rId55" Type="http://schemas.openxmlformats.org/officeDocument/2006/relationships/hyperlink" Target="http://www.nevo.co.il/law/70301/144" TargetMode="External"/><Relationship Id="rId63"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law/70301/275"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5227/62.2"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i" TargetMode="External"/><Relationship Id="rId40" Type="http://schemas.openxmlformats.org/officeDocument/2006/relationships/hyperlink" Target="http://www.nevo.co.il/case/18105668" TargetMode="External"/><Relationship Id="rId45" Type="http://schemas.openxmlformats.org/officeDocument/2006/relationships/hyperlink" Target="http://www.nevo.co.il/law/70301/144.b" TargetMode="External"/><Relationship Id="rId53" Type="http://schemas.openxmlformats.org/officeDocument/2006/relationships/hyperlink" Target="http://www.nevo.co.il/law/5227/38.2" TargetMode="External"/><Relationship Id="rId58" Type="http://schemas.openxmlformats.org/officeDocument/2006/relationships/hyperlink" Target="http://www.nevo.co.il/law/70301"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4274"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5227"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70301/29" TargetMode="External"/><Relationship Id="rId35" Type="http://schemas.openxmlformats.org/officeDocument/2006/relationships/hyperlink" Target="http://www.nevo.co.il/law/70301/40c" TargetMode="External"/><Relationship Id="rId43" Type="http://schemas.openxmlformats.org/officeDocument/2006/relationships/hyperlink" Target="http://www.nevo.co.il/case/23392658" TargetMode="External"/><Relationship Id="rId48" Type="http://schemas.openxmlformats.org/officeDocument/2006/relationships/hyperlink" Target="http://www.nevo.co.il/law/74274" TargetMode="External"/><Relationship Id="rId56" Type="http://schemas.openxmlformats.org/officeDocument/2006/relationships/hyperlink" Target="http://www.nevo.co.il/law/70301" TargetMode="External"/><Relationship Id="rId64"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hyperlink" Target="http://www.nevo.co.il/law/74274/21.c"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iCaS" TargetMode="External"/><Relationship Id="rId25" Type="http://schemas.openxmlformats.org/officeDocument/2006/relationships/hyperlink" Target="http://www.nevo.co.il/law/5227/62.8" TargetMode="External"/><Relationship Id="rId33" Type="http://schemas.openxmlformats.org/officeDocument/2006/relationships/hyperlink" Target="http://www.nevo.co.il/law/70301/40b"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iCaS" TargetMode="External"/><Relationship Id="rId67" Type="http://schemas.openxmlformats.org/officeDocument/2006/relationships/theme" Target="theme/theme1.xml"/><Relationship Id="rId20" Type="http://schemas.openxmlformats.org/officeDocument/2006/relationships/hyperlink" Target="http://www.nevo.co.il/law/74274/21.c" TargetMode="External"/><Relationship Id="rId41" Type="http://schemas.openxmlformats.org/officeDocument/2006/relationships/hyperlink" Target="http://www.nevo.co.il/case/20817889" TargetMode="External"/><Relationship Id="rId54" Type="http://schemas.openxmlformats.org/officeDocument/2006/relationships/hyperlink" Target="http://www.nevo.co.il/case/5933664"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45.a" TargetMode="External"/><Relationship Id="rId23" Type="http://schemas.openxmlformats.org/officeDocument/2006/relationships/hyperlink" Target="http://www.nevo.co.il/law/5227/38.2"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hyperlink" Target="http://www.nevo.co.il/law/5227/62.8" TargetMode="External"/><Relationship Id="rId57" Type="http://schemas.openxmlformats.org/officeDocument/2006/relationships/hyperlink" Target="http://www.nevo.co.il/law/70301/144"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245.a"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law/5227/62.2" TargetMode="External"/><Relationship Id="rId60" Type="http://schemas.openxmlformats.org/officeDocument/2006/relationships/hyperlink" Target="http://www.nevo.co.il/law/70301/iCcS"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iCcS" TargetMode="External"/><Relationship Id="rId39" Type="http://schemas.openxmlformats.org/officeDocument/2006/relationships/hyperlink" Target="http://www.nevo.co.il/case/104430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3543</Words>
  <Characters>17720</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21221</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4522079</vt:i4>
      </vt:variant>
      <vt:variant>
        <vt:i4>159</vt:i4>
      </vt:variant>
      <vt:variant>
        <vt:i4>0</vt:i4>
      </vt:variant>
      <vt:variant>
        <vt:i4>5</vt:i4>
      </vt:variant>
      <vt:variant>
        <vt:lpwstr>http://www.nevo.co.il/law/70301/iCcS</vt:lpwstr>
      </vt:variant>
      <vt:variant>
        <vt:lpwstr/>
      </vt:variant>
      <vt:variant>
        <vt:i4>4522077</vt:i4>
      </vt:variant>
      <vt:variant>
        <vt:i4>156</vt:i4>
      </vt:variant>
      <vt:variant>
        <vt:i4>0</vt:i4>
      </vt:variant>
      <vt:variant>
        <vt:i4>5</vt:i4>
      </vt:variant>
      <vt:variant>
        <vt:lpwstr>http://www.nevo.co.il/law/70301/iCaS</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6357092</vt:i4>
      </vt:variant>
      <vt:variant>
        <vt:i4>150</vt:i4>
      </vt:variant>
      <vt:variant>
        <vt:i4>0</vt:i4>
      </vt:variant>
      <vt:variant>
        <vt:i4>5</vt:i4>
      </vt:variant>
      <vt:variant>
        <vt:lpwstr>http://www.nevo.co.il/law/70301/144</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6357092</vt:i4>
      </vt:variant>
      <vt:variant>
        <vt:i4>144</vt:i4>
      </vt:variant>
      <vt:variant>
        <vt:i4>0</vt:i4>
      </vt:variant>
      <vt:variant>
        <vt:i4>5</vt:i4>
      </vt:variant>
      <vt:variant>
        <vt:lpwstr>http://www.nevo.co.il/law/70301/144</vt:lpwstr>
      </vt:variant>
      <vt:variant>
        <vt:lpwstr/>
      </vt:variant>
      <vt:variant>
        <vt:i4>3407992</vt:i4>
      </vt:variant>
      <vt:variant>
        <vt:i4>141</vt:i4>
      </vt:variant>
      <vt:variant>
        <vt:i4>0</vt:i4>
      </vt:variant>
      <vt:variant>
        <vt:i4>5</vt:i4>
      </vt:variant>
      <vt:variant>
        <vt:lpwstr>http://www.nevo.co.il/case/5933664</vt:lpwstr>
      </vt:variant>
      <vt:variant>
        <vt:lpwstr/>
      </vt:variant>
      <vt:variant>
        <vt:i4>6422640</vt:i4>
      </vt:variant>
      <vt:variant>
        <vt:i4>138</vt:i4>
      </vt:variant>
      <vt:variant>
        <vt:i4>0</vt:i4>
      </vt:variant>
      <vt:variant>
        <vt:i4>5</vt:i4>
      </vt:variant>
      <vt:variant>
        <vt:lpwstr>http://www.nevo.co.il/law/5227/38.2</vt:lpwstr>
      </vt:variant>
      <vt:variant>
        <vt:lpwstr/>
      </vt:variant>
      <vt:variant>
        <vt:i4>6750330</vt:i4>
      </vt:variant>
      <vt:variant>
        <vt:i4>135</vt:i4>
      </vt:variant>
      <vt:variant>
        <vt:i4>0</vt:i4>
      </vt:variant>
      <vt:variant>
        <vt:i4>5</vt:i4>
      </vt:variant>
      <vt:variant>
        <vt:lpwstr>http://www.nevo.co.il/law/5227/62.2</vt:lpwstr>
      </vt:variant>
      <vt:variant>
        <vt:lpwstr/>
      </vt:variant>
      <vt:variant>
        <vt:i4>262221</vt:i4>
      </vt:variant>
      <vt:variant>
        <vt:i4>132</vt:i4>
      </vt:variant>
      <vt:variant>
        <vt:i4>0</vt:i4>
      </vt:variant>
      <vt:variant>
        <vt:i4>5</vt:i4>
      </vt:variant>
      <vt:variant>
        <vt:lpwstr>http://www.nevo.co.il/law/74274/21.c</vt:lpwstr>
      </vt:variant>
      <vt:variant>
        <vt:lpwstr/>
      </vt:variant>
      <vt:variant>
        <vt:i4>8323175</vt:i4>
      </vt:variant>
      <vt:variant>
        <vt:i4>129</vt:i4>
      </vt:variant>
      <vt:variant>
        <vt:i4>0</vt:i4>
      </vt:variant>
      <vt:variant>
        <vt:i4>5</vt:i4>
      </vt:variant>
      <vt:variant>
        <vt:lpwstr>http://www.nevo.co.il/law/5227</vt:lpwstr>
      </vt:variant>
      <vt:variant>
        <vt:lpwstr/>
      </vt:variant>
      <vt:variant>
        <vt:i4>6750330</vt:i4>
      </vt:variant>
      <vt:variant>
        <vt:i4>126</vt:i4>
      </vt:variant>
      <vt:variant>
        <vt:i4>0</vt:i4>
      </vt:variant>
      <vt:variant>
        <vt:i4>5</vt:i4>
      </vt:variant>
      <vt:variant>
        <vt:lpwstr>http://www.nevo.co.il/law/5227/62.8</vt:lpwstr>
      </vt:variant>
      <vt:variant>
        <vt:lpwstr/>
      </vt:variant>
      <vt:variant>
        <vt:i4>7929957</vt:i4>
      </vt:variant>
      <vt:variant>
        <vt:i4>123</vt:i4>
      </vt:variant>
      <vt:variant>
        <vt:i4>0</vt:i4>
      </vt:variant>
      <vt:variant>
        <vt:i4>5</vt:i4>
      </vt:variant>
      <vt:variant>
        <vt:lpwstr>http://www.nevo.co.il/law/74274</vt:lpwstr>
      </vt:variant>
      <vt:variant>
        <vt:lpwstr/>
      </vt:variant>
      <vt:variant>
        <vt:i4>327757</vt:i4>
      </vt:variant>
      <vt:variant>
        <vt:i4>120</vt:i4>
      </vt:variant>
      <vt:variant>
        <vt:i4>0</vt:i4>
      </vt:variant>
      <vt:variant>
        <vt:i4>5</vt:i4>
      </vt:variant>
      <vt:variant>
        <vt:lpwstr>http://www.nevo.co.il/law/74274/22.a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http://www.nevo.co.il/law/70301/144.b</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3539064</vt:i4>
      </vt:variant>
      <vt:variant>
        <vt:i4>108</vt:i4>
      </vt:variant>
      <vt:variant>
        <vt:i4>0</vt:i4>
      </vt:variant>
      <vt:variant>
        <vt:i4>5</vt:i4>
      </vt:variant>
      <vt:variant>
        <vt:lpwstr>http://www.nevo.co.il/case/23392658</vt:lpwstr>
      </vt:variant>
      <vt:variant>
        <vt:lpwstr/>
      </vt:variant>
      <vt:variant>
        <vt:i4>3145844</vt:i4>
      </vt:variant>
      <vt:variant>
        <vt:i4>105</vt:i4>
      </vt:variant>
      <vt:variant>
        <vt:i4>0</vt:i4>
      </vt:variant>
      <vt:variant>
        <vt:i4>5</vt:i4>
      </vt:variant>
      <vt:variant>
        <vt:lpwstr>http://www.nevo.co.il/case/20590970</vt:lpwstr>
      </vt:variant>
      <vt:variant>
        <vt:lpwstr/>
      </vt:variant>
      <vt:variant>
        <vt:i4>3473533</vt:i4>
      </vt:variant>
      <vt:variant>
        <vt:i4>102</vt:i4>
      </vt:variant>
      <vt:variant>
        <vt:i4>0</vt:i4>
      </vt:variant>
      <vt:variant>
        <vt:i4>5</vt:i4>
      </vt:variant>
      <vt:variant>
        <vt:lpwstr>http://www.nevo.co.il/case/20817889</vt:lpwstr>
      </vt:variant>
      <vt:variant>
        <vt:lpwstr/>
      </vt:variant>
      <vt:variant>
        <vt:i4>3342458</vt:i4>
      </vt:variant>
      <vt:variant>
        <vt:i4>99</vt:i4>
      </vt:variant>
      <vt:variant>
        <vt:i4>0</vt:i4>
      </vt:variant>
      <vt:variant>
        <vt:i4>5</vt:i4>
      </vt:variant>
      <vt:variant>
        <vt:lpwstr>http://www.nevo.co.il/case/18105668</vt:lpwstr>
      </vt:variant>
      <vt:variant>
        <vt:lpwstr/>
      </vt:variant>
      <vt:variant>
        <vt:i4>3604592</vt:i4>
      </vt:variant>
      <vt:variant>
        <vt:i4>96</vt:i4>
      </vt:variant>
      <vt:variant>
        <vt:i4>0</vt:i4>
      </vt:variant>
      <vt:variant>
        <vt:i4>5</vt:i4>
      </vt:variant>
      <vt:variant>
        <vt:lpwstr>http://www.nevo.co.il/case/10443017</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http://www.nevo.co.il/law/70301/40c</vt:lpwstr>
      </vt:variant>
      <vt:variant>
        <vt:lpwstr/>
      </vt:variant>
      <vt:variant>
        <vt:i4>3342455</vt:i4>
      </vt:variant>
      <vt:variant>
        <vt:i4>81</vt:i4>
      </vt:variant>
      <vt:variant>
        <vt:i4>0</vt:i4>
      </vt:variant>
      <vt:variant>
        <vt:i4>5</vt:i4>
      </vt:variant>
      <vt:variant>
        <vt:lpwstr>http://www.nevo.co.il/case/6243627</vt:lpwstr>
      </vt:variant>
      <vt:variant>
        <vt:lpwstr/>
      </vt:variant>
      <vt:variant>
        <vt:i4>6619233</vt:i4>
      </vt:variant>
      <vt:variant>
        <vt:i4>78</vt:i4>
      </vt:variant>
      <vt:variant>
        <vt:i4>0</vt:i4>
      </vt:variant>
      <vt:variant>
        <vt:i4>5</vt:i4>
      </vt:variant>
      <vt:variant>
        <vt:lpwstr>http://www.nevo.co.il/law/70301/40b</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5177426</vt:i4>
      </vt:variant>
      <vt:variant>
        <vt:i4>72</vt:i4>
      </vt:variant>
      <vt:variant>
        <vt:i4>0</vt:i4>
      </vt:variant>
      <vt:variant>
        <vt:i4>5</vt:i4>
      </vt:variant>
      <vt:variant>
        <vt:lpwstr>http://www.nevo.co.il/law/70301/245.a</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6422631</vt:i4>
      </vt:variant>
      <vt:variant>
        <vt:i4>66</vt:i4>
      </vt:variant>
      <vt:variant>
        <vt:i4>0</vt:i4>
      </vt:variant>
      <vt:variant>
        <vt:i4>5</vt:i4>
      </vt:variant>
      <vt:variant>
        <vt:lpwstr>http://www.nevo.co.il/law/70301/275</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6750330</vt:i4>
      </vt:variant>
      <vt:variant>
        <vt:i4>54</vt:i4>
      </vt:variant>
      <vt:variant>
        <vt:i4>0</vt:i4>
      </vt:variant>
      <vt:variant>
        <vt:i4>5</vt:i4>
      </vt:variant>
      <vt:variant>
        <vt:lpwstr>http://www.nevo.co.il/law/5227/62.8</vt:lpwstr>
      </vt:variant>
      <vt:variant>
        <vt:lpwstr/>
      </vt:variant>
      <vt:variant>
        <vt:i4>6750330</vt:i4>
      </vt:variant>
      <vt:variant>
        <vt:i4>51</vt:i4>
      </vt:variant>
      <vt:variant>
        <vt:i4>0</vt:i4>
      </vt:variant>
      <vt:variant>
        <vt:i4>5</vt:i4>
      </vt:variant>
      <vt:variant>
        <vt:lpwstr>http://www.nevo.co.il/law/5227/62.2</vt:lpwstr>
      </vt:variant>
      <vt:variant>
        <vt:lpwstr/>
      </vt:variant>
      <vt:variant>
        <vt:i4>6422640</vt:i4>
      </vt:variant>
      <vt:variant>
        <vt:i4>48</vt:i4>
      </vt:variant>
      <vt:variant>
        <vt:i4>0</vt:i4>
      </vt:variant>
      <vt:variant>
        <vt:i4>5</vt:i4>
      </vt:variant>
      <vt:variant>
        <vt:lpwstr>http://www.nevo.co.il/law/5227/38.2</vt:lpwstr>
      </vt:variant>
      <vt:variant>
        <vt:lpwstr/>
      </vt:variant>
      <vt:variant>
        <vt:i4>8323175</vt:i4>
      </vt:variant>
      <vt:variant>
        <vt:i4>45</vt:i4>
      </vt:variant>
      <vt:variant>
        <vt:i4>0</vt:i4>
      </vt:variant>
      <vt:variant>
        <vt:i4>5</vt:i4>
      </vt:variant>
      <vt:variant>
        <vt:lpwstr>http://www.nevo.co.il/law/5227</vt:lpwstr>
      </vt:variant>
      <vt:variant>
        <vt:lpwstr/>
      </vt:variant>
      <vt:variant>
        <vt:i4>327757</vt:i4>
      </vt:variant>
      <vt:variant>
        <vt:i4>42</vt:i4>
      </vt:variant>
      <vt:variant>
        <vt:i4>0</vt:i4>
      </vt:variant>
      <vt:variant>
        <vt:i4>5</vt:i4>
      </vt:variant>
      <vt:variant>
        <vt:lpwstr>http://www.nevo.co.il/law/74274/22.a</vt:lpwstr>
      </vt:variant>
      <vt:variant>
        <vt:lpwstr/>
      </vt:variant>
      <vt:variant>
        <vt:i4>262221</vt:i4>
      </vt:variant>
      <vt:variant>
        <vt:i4>39</vt:i4>
      </vt:variant>
      <vt:variant>
        <vt:i4>0</vt:i4>
      </vt:variant>
      <vt:variant>
        <vt:i4>5</vt:i4>
      </vt:variant>
      <vt:variant>
        <vt:lpwstr>http://www.nevo.co.il/law/74274/21.c</vt:lpwstr>
      </vt:variant>
      <vt:variant>
        <vt:lpwstr/>
      </vt:variant>
      <vt:variant>
        <vt:i4>7929957</vt:i4>
      </vt:variant>
      <vt:variant>
        <vt:i4>36</vt:i4>
      </vt:variant>
      <vt:variant>
        <vt:i4>0</vt:i4>
      </vt:variant>
      <vt:variant>
        <vt:i4>5</vt:i4>
      </vt:variant>
      <vt:variant>
        <vt:lpwstr>http://www.nevo.co.il/law/74274</vt:lpwstr>
      </vt:variant>
      <vt:variant>
        <vt:lpwstr/>
      </vt:variant>
      <vt:variant>
        <vt:i4>4522079</vt:i4>
      </vt:variant>
      <vt:variant>
        <vt:i4>33</vt:i4>
      </vt:variant>
      <vt:variant>
        <vt:i4>0</vt:i4>
      </vt:variant>
      <vt:variant>
        <vt:i4>5</vt:i4>
      </vt:variant>
      <vt:variant>
        <vt:lpwstr>http://www.nevo.co.il/law/70301/iCcS</vt:lpwstr>
      </vt:variant>
      <vt:variant>
        <vt:lpwstr/>
      </vt:variant>
      <vt:variant>
        <vt:i4>4522077</vt:i4>
      </vt:variant>
      <vt:variant>
        <vt:i4>30</vt:i4>
      </vt:variant>
      <vt:variant>
        <vt:i4>0</vt:i4>
      </vt:variant>
      <vt:variant>
        <vt:i4>5</vt:i4>
      </vt:variant>
      <vt:variant>
        <vt:lpwstr>http://www.nevo.co.il/law/70301/iCaS</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5177426</vt:i4>
      </vt:variant>
      <vt:variant>
        <vt:i4>24</vt:i4>
      </vt:variant>
      <vt:variant>
        <vt:i4>0</vt:i4>
      </vt:variant>
      <vt:variant>
        <vt:i4>5</vt:i4>
      </vt:variant>
      <vt:variant>
        <vt:lpwstr>http://www.nevo.co.il/law/70301/245.a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2023-12-07T12:14:00Z</dcterms:created>
  <dcterms:modified xsi:type="dcterms:W3CDTF">2023-12-07T12:14:00Z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11134</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מוחמד אסדי</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20191121</vt:lpwstr>
  </property>
  <property fmtid="{D5CDD505-2E9C-101B-9397-08002B2CF9AE}" pid="13" name="TYPE_N_DATE">
    <vt:lpwstr>39020191121</vt:lpwstr>
  </property>
  <property fmtid="{D5CDD505-2E9C-101B-9397-08002B2CF9AE}" pid="14" name="CASESLISTTMP1">
    <vt:lpwstr>6243627;10443017;18105668;20817889;20590970;23392658;5933664</vt:lpwstr>
  </property>
  <property fmtid="{D5CDD505-2E9C-101B-9397-08002B2CF9AE}" pid="15" name="CASENOTES1">
    <vt:lpwstr>ProcID=174&amp;PartA=7124&amp;PartC=06</vt:lpwstr>
  </property>
  <property fmtid="{D5CDD505-2E9C-101B-9397-08002B2CF9AE}" pid="16" name="WORDNUMPAGES">
    <vt:lpwstr>10</vt:lpwstr>
  </property>
  <property fmtid="{D5CDD505-2E9C-101B-9397-08002B2CF9AE}" pid="17" name="TYPE_ABS_DATE">
    <vt:lpwstr>390020191121</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70301/144.b:2;029:2;275;245.a;040b;040c;040i;144.a;144:2;iCaS;iCcS</vt:lpwstr>
  </property>
  <property fmtid="{D5CDD505-2E9C-101B-9397-08002B2CF9AE}" pid="38" name="LAWLISTTMP2">
    <vt:lpwstr>74274/022.a;021.c</vt:lpwstr>
  </property>
  <property fmtid="{D5CDD505-2E9C-101B-9397-08002B2CF9AE}" pid="39" name="LAWLISTTMP3">
    <vt:lpwstr>5227/062.8;062.2;038.2</vt:lpwstr>
  </property>
</Properties>
</file>