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8B74B3" w:rsidRPr="008B74B3" w14:paraId="7B36D088" w14:textId="77777777" w:rsidTr="005948C0">
        <w:trPr>
          <w:trHeight w:hRule="exact" w:val="418"/>
          <w:jc w:val="center"/>
        </w:trPr>
        <w:tc>
          <w:tcPr>
            <w:tcW w:w="8721" w:type="dxa"/>
            <w:gridSpan w:val="2"/>
          </w:tcPr>
          <w:p w14:paraId="02FB3BEE" w14:textId="77777777" w:rsidR="008B74B3" w:rsidRPr="008B74B3" w:rsidRDefault="008B74B3" w:rsidP="007117FC">
            <w:pPr>
              <w:pStyle w:val="a3"/>
              <w:jc w:val="center"/>
              <w:rPr>
                <w:rFonts w:ascii="Tahoma" w:hAnsi="Tahoma" w:cs="Tahoma"/>
                <w:color w:val="000080"/>
                <w:rtl/>
              </w:rPr>
            </w:pPr>
            <w:bookmarkStart w:id="0" w:name="LastJudge"/>
            <w:r w:rsidRPr="008B74B3">
              <w:rPr>
                <w:rFonts w:ascii="Tahoma" w:hAnsi="Tahoma" w:cs="Tahoma"/>
                <w:b/>
                <w:bCs/>
                <w:color w:val="000080"/>
                <w:rtl/>
              </w:rPr>
              <w:t>בית המשפט המחוזי בחיפה</w:t>
            </w:r>
          </w:p>
        </w:tc>
      </w:tr>
      <w:tr w:rsidR="008B74B3" w:rsidRPr="008B74B3" w14:paraId="45660223" w14:textId="77777777" w:rsidTr="005948C0">
        <w:trPr>
          <w:trHeight w:val="337"/>
          <w:jc w:val="center"/>
        </w:trPr>
        <w:tc>
          <w:tcPr>
            <w:tcW w:w="5054" w:type="dxa"/>
          </w:tcPr>
          <w:p w14:paraId="00EADEA9" w14:textId="77777777" w:rsidR="008B74B3" w:rsidRPr="00DF1ED4" w:rsidRDefault="008B74B3" w:rsidP="00DF1ED4">
            <w:pPr>
              <w:spacing w:before="120" w:after="120" w:line="240" w:lineRule="exact"/>
              <w:rPr>
                <w:rFonts w:ascii="David" w:hAnsi="David"/>
                <w:b/>
                <w:bCs/>
                <w:sz w:val="26"/>
                <w:szCs w:val="26"/>
                <w:rtl/>
              </w:rPr>
            </w:pPr>
            <w:r w:rsidRPr="00DF1ED4">
              <w:rPr>
                <w:rFonts w:ascii="David" w:hAnsi="David"/>
                <w:b/>
                <w:bCs/>
                <w:sz w:val="26"/>
                <w:szCs w:val="26"/>
                <w:rtl/>
              </w:rPr>
              <w:t>ת"פ 2058-09-17 מדינת ישראל נ' אבו שנדי ואח'</w:t>
            </w:r>
            <w:r w:rsidRPr="00DF1ED4">
              <w:rPr>
                <w:rFonts w:ascii="David" w:hAnsi="David"/>
                <w:b/>
                <w:bCs/>
                <w:sz w:val="26"/>
                <w:szCs w:val="26"/>
                <w:rtl/>
              </w:rPr>
              <w:br/>
              <w:t>ת"פ 19167-09-17 מדינת ישראל נ' אבו שנדי ואח'</w:t>
            </w:r>
            <w:r w:rsidRPr="00DF1ED4">
              <w:rPr>
                <w:rFonts w:ascii="David" w:hAnsi="David"/>
                <w:b/>
                <w:bCs/>
                <w:sz w:val="26"/>
                <w:szCs w:val="26"/>
                <w:rtl/>
              </w:rPr>
              <w:br/>
              <w:t>ת"פ 15112-10-17 מדינת ישראל נ' אבו שנדי ואח'</w:t>
            </w:r>
          </w:p>
          <w:p w14:paraId="4D6C9724" w14:textId="77777777" w:rsidR="008B74B3" w:rsidRPr="008B74B3" w:rsidRDefault="008B74B3" w:rsidP="007117FC">
            <w:pPr>
              <w:pStyle w:val="a3"/>
              <w:rPr>
                <w:rFonts w:cs="FrankRuehl"/>
                <w:sz w:val="28"/>
                <w:szCs w:val="28"/>
                <w:rtl/>
              </w:rPr>
            </w:pPr>
          </w:p>
        </w:tc>
        <w:tc>
          <w:tcPr>
            <w:tcW w:w="3667" w:type="dxa"/>
          </w:tcPr>
          <w:p w14:paraId="59EF1E30" w14:textId="77777777" w:rsidR="008B74B3" w:rsidRPr="008B74B3" w:rsidRDefault="008B74B3" w:rsidP="007117FC">
            <w:pPr>
              <w:pStyle w:val="a3"/>
              <w:jc w:val="right"/>
              <w:rPr>
                <w:rFonts w:cs="FrankRuehl"/>
                <w:sz w:val="28"/>
                <w:szCs w:val="28"/>
                <w:rtl/>
              </w:rPr>
            </w:pPr>
          </w:p>
        </w:tc>
      </w:tr>
    </w:tbl>
    <w:p w14:paraId="756CC55D" w14:textId="77777777" w:rsidR="008B74B3" w:rsidRPr="008B74B3" w:rsidRDefault="008B74B3" w:rsidP="008B74B3">
      <w:pPr>
        <w:pStyle w:val="a3"/>
        <w:rPr>
          <w:rtl/>
        </w:rPr>
      </w:pPr>
      <w:r w:rsidRPr="008B74B3">
        <w:rPr>
          <w:rtl/>
        </w:rPr>
        <w:t xml:space="preserve"> </w:t>
      </w:r>
    </w:p>
    <w:p w14:paraId="68DC7A04" w14:textId="77777777" w:rsidR="004C3216" w:rsidRPr="00DF1ED4" w:rsidRDefault="004C3216" w:rsidP="00CA5BE8">
      <w:pPr>
        <w:spacing w:line="360" w:lineRule="auto"/>
        <w:jc w:val="both"/>
        <w:rPr>
          <w:rFonts w:hint="cs"/>
          <w:b/>
          <w:bCs/>
          <w:sz w:val="26"/>
          <w:szCs w:val="26"/>
          <w:rtl/>
        </w:rPr>
      </w:pPr>
      <w:r w:rsidRPr="00DF1ED4">
        <w:rPr>
          <w:b/>
          <w:bCs/>
          <w:sz w:val="26"/>
          <w:szCs w:val="26"/>
          <w:rtl/>
        </w:rPr>
        <w:t>בפני כב' השופט יחיאל ליפשיץ</w:t>
      </w:r>
    </w:p>
    <w:p w14:paraId="6D41E7C2" w14:textId="77777777" w:rsidR="00B9435F" w:rsidRPr="008B74B3" w:rsidRDefault="00B9435F" w:rsidP="00CA5BE8">
      <w:pPr>
        <w:spacing w:line="360" w:lineRule="auto"/>
        <w:jc w:val="both"/>
        <w:rPr>
          <w:rFonts w:hint="cs"/>
          <w:b/>
          <w:bCs/>
          <w:rtl/>
        </w:rPr>
      </w:pPr>
    </w:p>
    <w:tbl>
      <w:tblPr>
        <w:bidiVisual/>
        <w:tblW w:w="9018" w:type="dxa"/>
        <w:tblInd w:w="80" w:type="dxa"/>
        <w:tblLook w:val="01E0" w:firstRow="1" w:lastRow="1" w:firstColumn="1" w:lastColumn="1" w:noHBand="0" w:noVBand="0"/>
      </w:tblPr>
      <w:tblGrid>
        <w:gridCol w:w="2950"/>
        <w:gridCol w:w="6068"/>
      </w:tblGrid>
      <w:tr w:rsidR="00B9435F" w:rsidRPr="008B74B3" w14:paraId="688F8B14" w14:textId="77777777" w:rsidTr="00FD7206">
        <w:trPr>
          <w:cantSplit/>
          <w:trHeight w:val="724"/>
        </w:trPr>
        <w:tc>
          <w:tcPr>
            <w:tcW w:w="2950" w:type="dxa"/>
            <w:tcBorders>
              <w:top w:val="nil"/>
              <w:left w:val="nil"/>
              <w:bottom w:val="nil"/>
              <w:right w:val="nil"/>
            </w:tcBorders>
          </w:tcPr>
          <w:p w14:paraId="1464E46E" w14:textId="77777777" w:rsidR="00B9435F" w:rsidRPr="008B74B3" w:rsidRDefault="00B9435F" w:rsidP="00DF1ED4">
            <w:pPr>
              <w:spacing w:before="120" w:after="120" w:line="240" w:lineRule="exact"/>
              <w:rPr>
                <w:b/>
                <w:bCs/>
                <w:sz w:val="26"/>
                <w:szCs w:val="26"/>
              </w:rPr>
            </w:pPr>
            <w:bookmarkStart w:id="1" w:name="FirstAppellant"/>
            <w:r w:rsidRPr="008B74B3">
              <w:rPr>
                <w:b/>
                <w:bCs/>
                <w:sz w:val="26"/>
                <w:szCs w:val="26"/>
                <w:rtl/>
              </w:rPr>
              <w:t>המאשימה:</w:t>
            </w:r>
          </w:p>
        </w:tc>
        <w:tc>
          <w:tcPr>
            <w:tcW w:w="6068" w:type="dxa"/>
            <w:tcBorders>
              <w:top w:val="nil"/>
              <w:left w:val="nil"/>
              <w:bottom w:val="nil"/>
              <w:right w:val="nil"/>
            </w:tcBorders>
          </w:tcPr>
          <w:p w14:paraId="7D9C199D" w14:textId="77777777" w:rsidR="00B9435F" w:rsidRPr="008B74B3" w:rsidRDefault="00B9435F" w:rsidP="00DF1ED4">
            <w:pPr>
              <w:spacing w:before="120" w:after="120" w:line="240" w:lineRule="exact"/>
              <w:rPr>
                <w:b/>
                <w:bCs/>
                <w:sz w:val="26"/>
                <w:szCs w:val="26"/>
                <w:rtl/>
              </w:rPr>
            </w:pPr>
            <w:r w:rsidRPr="008B74B3">
              <w:rPr>
                <w:b/>
                <w:bCs/>
                <w:sz w:val="26"/>
                <w:szCs w:val="26"/>
                <w:rtl/>
              </w:rPr>
              <w:t>מדינת ישראל</w:t>
            </w:r>
          </w:p>
        </w:tc>
      </w:tr>
      <w:bookmarkEnd w:id="1"/>
      <w:tr w:rsidR="00B9435F" w:rsidRPr="008B74B3" w14:paraId="127B488D" w14:textId="77777777" w:rsidTr="00FD7206">
        <w:tc>
          <w:tcPr>
            <w:tcW w:w="9018" w:type="dxa"/>
            <w:gridSpan w:val="2"/>
            <w:tcBorders>
              <w:top w:val="nil"/>
              <w:left w:val="nil"/>
              <w:bottom w:val="nil"/>
              <w:right w:val="nil"/>
            </w:tcBorders>
            <w:vAlign w:val="center"/>
          </w:tcPr>
          <w:p w14:paraId="65D75F98" w14:textId="77777777" w:rsidR="00B9435F" w:rsidRPr="008B74B3" w:rsidRDefault="00B9435F" w:rsidP="00DF1ED4">
            <w:pPr>
              <w:tabs>
                <w:tab w:val="left" w:pos="3870"/>
              </w:tabs>
              <w:spacing w:before="240" w:after="240"/>
              <w:jc w:val="center"/>
              <w:rPr>
                <w:rFonts w:ascii="Arial" w:hAnsi="Arial"/>
                <w:b/>
                <w:bCs/>
                <w:sz w:val="26"/>
                <w:szCs w:val="26"/>
                <w:rtl/>
              </w:rPr>
            </w:pPr>
            <w:r w:rsidRPr="008B74B3">
              <w:rPr>
                <w:rFonts w:ascii="Arial" w:hAnsi="Arial"/>
                <w:b/>
                <w:bCs/>
                <w:sz w:val="26"/>
                <w:szCs w:val="26"/>
                <w:rtl/>
              </w:rPr>
              <w:t>נגד</w:t>
            </w:r>
          </w:p>
        </w:tc>
      </w:tr>
      <w:tr w:rsidR="00B9435F" w:rsidRPr="008B74B3" w14:paraId="784EF9EE" w14:textId="77777777" w:rsidTr="00FD7206">
        <w:tc>
          <w:tcPr>
            <w:tcW w:w="2950" w:type="dxa"/>
            <w:tcBorders>
              <w:top w:val="nil"/>
              <w:left w:val="nil"/>
              <w:bottom w:val="nil"/>
              <w:right w:val="nil"/>
            </w:tcBorders>
          </w:tcPr>
          <w:p w14:paraId="1E9B0624" w14:textId="77777777" w:rsidR="00B9435F" w:rsidRPr="008B74B3" w:rsidRDefault="00DF1ED4" w:rsidP="00DF1ED4">
            <w:pPr>
              <w:spacing w:before="120" w:after="120" w:line="240" w:lineRule="exact"/>
              <w:rPr>
                <w:b/>
                <w:bCs/>
                <w:sz w:val="26"/>
                <w:szCs w:val="26"/>
                <w:rtl/>
              </w:rPr>
            </w:pPr>
            <w:r w:rsidRPr="008B74B3">
              <w:rPr>
                <w:rFonts w:ascii="Arial" w:hAnsi="Arial"/>
                <w:b/>
                <w:bCs/>
                <w:sz w:val="26"/>
                <w:szCs w:val="26"/>
                <w:rtl/>
              </w:rPr>
              <w:t>הנאשמים:</w:t>
            </w:r>
          </w:p>
        </w:tc>
        <w:tc>
          <w:tcPr>
            <w:tcW w:w="6068" w:type="dxa"/>
            <w:tcBorders>
              <w:top w:val="nil"/>
              <w:left w:val="nil"/>
              <w:bottom w:val="nil"/>
              <w:right w:val="nil"/>
            </w:tcBorders>
          </w:tcPr>
          <w:p w14:paraId="3C476068" w14:textId="77777777" w:rsidR="00B9435F" w:rsidRPr="008B74B3" w:rsidRDefault="00B9435F" w:rsidP="00DF1ED4">
            <w:pPr>
              <w:spacing w:before="120" w:after="120" w:line="240" w:lineRule="exact"/>
              <w:rPr>
                <w:b/>
                <w:bCs/>
                <w:sz w:val="26"/>
                <w:szCs w:val="26"/>
                <w:rtl/>
              </w:rPr>
            </w:pPr>
            <w:r w:rsidRPr="008B74B3">
              <w:rPr>
                <w:b/>
                <w:bCs/>
                <w:sz w:val="26"/>
                <w:szCs w:val="26"/>
              </w:rPr>
              <w:t>.1</w:t>
            </w:r>
            <w:r w:rsidRPr="008B74B3">
              <w:rPr>
                <w:b/>
                <w:bCs/>
                <w:sz w:val="26"/>
                <w:szCs w:val="26"/>
                <w:rtl/>
              </w:rPr>
              <w:t xml:space="preserve"> עודה עבד אל סאלם אבו שנדי ת.ז. </w:t>
            </w:r>
            <w:r w:rsidR="008B74B3">
              <w:rPr>
                <w:b/>
                <w:bCs/>
                <w:sz w:val="26"/>
                <w:szCs w:val="26"/>
              </w:rPr>
              <w:t>xxxxxxxxxx</w:t>
            </w:r>
            <w:r w:rsidRPr="008B74B3">
              <w:rPr>
                <w:rtl/>
              </w:rPr>
              <w:br/>
            </w:r>
            <w:r w:rsidRPr="008B74B3">
              <w:rPr>
                <w:b/>
                <w:bCs/>
                <w:sz w:val="26"/>
                <w:szCs w:val="26"/>
                <w:rtl/>
              </w:rPr>
              <w:t>2. טארק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194A3AA5" w14:textId="77777777" w:rsidR="00B9435F" w:rsidRPr="008B74B3" w:rsidRDefault="00B9435F" w:rsidP="00DF1ED4">
            <w:pPr>
              <w:spacing w:before="120" w:after="120" w:line="240" w:lineRule="exact"/>
              <w:rPr>
                <w:b/>
                <w:bCs/>
                <w:sz w:val="26"/>
                <w:szCs w:val="26"/>
                <w:rtl/>
              </w:rPr>
            </w:pPr>
            <w:r w:rsidRPr="008B74B3">
              <w:rPr>
                <w:b/>
                <w:bCs/>
                <w:sz w:val="26"/>
                <w:szCs w:val="26"/>
              </w:rPr>
              <w:t>.3</w:t>
            </w:r>
            <w:r w:rsidRPr="008B74B3">
              <w:rPr>
                <w:rtl/>
              </w:rPr>
              <w:t xml:space="preserve">  </w:t>
            </w:r>
            <w:r w:rsidRPr="008B74B3">
              <w:rPr>
                <w:b/>
                <w:bCs/>
                <w:sz w:val="26"/>
                <w:szCs w:val="26"/>
                <w:rtl/>
              </w:rPr>
              <w:t>תמים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4FB87CA5" w14:textId="77777777" w:rsidR="00B9435F" w:rsidRPr="008B74B3" w:rsidRDefault="00B9435F" w:rsidP="00DF1ED4">
            <w:pPr>
              <w:spacing w:before="120" w:after="120" w:line="240" w:lineRule="exact"/>
              <w:rPr>
                <w:b/>
                <w:bCs/>
                <w:sz w:val="26"/>
                <w:szCs w:val="26"/>
                <w:rtl/>
              </w:rPr>
            </w:pPr>
            <w:r w:rsidRPr="008B74B3">
              <w:rPr>
                <w:b/>
                <w:bCs/>
                <w:rtl/>
              </w:rPr>
              <w:t xml:space="preserve">4. </w:t>
            </w:r>
            <w:r w:rsidRPr="008B74B3">
              <w:rPr>
                <w:rtl/>
              </w:rPr>
              <w:t xml:space="preserve"> </w:t>
            </w:r>
            <w:r w:rsidRPr="008B74B3">
              <w:rPr>
                <w:b/>
                <w:bCs/>
                <w:sz w:val="26"/>
                <w:szCs w:val="26"/>
                <w:rtl/>
              </w:rPr>
              <w:t>סאמי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7392A253" w14:textId="77777777" w:rsidR="00B9435F" w:rsidRPr="008B74B3" w:rsidRDefault="00B9435F" w:rsidP="00DF1ED4">
            <w:pPr>
              <w:spacing w:before="120" w:after="120" w:line="240" w:lineRule="exact"/>
              <w:rPr>
                <w:b/>
                <w:bCs/>
                <w:sz w:val="26"/>
                <w:szCs w:val="26"/>
              </w:rPr>
            </w:pPr>
            <w:r w:rsidRPr="008B74B3">
              <w:rPr>
                <w:b/>
                <w:bCs/>
                <w:sz w:val="26"/>
                <w:szCs w:val="26"/>
              </w:rPr>
              <w:t>.5</w:t>
            </w:r>
            <w:r w:rsidRPr="008B74B3">
              <w:rPr>
                <w:rtl/>
              </w:rPr>
              <w:t xml:space="preserve"> </w:t>
            </w:r>
            <w:r w:rsidRPr="008B74B3">
              <w:rPr>
                <w:b/>
                <w:bCs/>
                <w:sz w:val="26"/>
                <w:szCs w:val="26"/>
                <w:rtl/>
              </w:rPr>
              <w:t>אמיר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5B6A48EE" w14:textId="77777777" w:rsidR="00B9435F" w:rsidRPr="008B74B3" w:rsidRDefault="00B9435F" w:rsidP="00DF1ED4">
            <w:pPr>
              <w:spacing w:before="120" w:after="120" w:line="240" w:lineRule="exact"/>
              <w:rPr>
                <w:b/>
                <w:bCs/>
                <w:sz w:val="26"/>
                <w:szCs w:val="26"/>
                <w:rtl/>
              </w:rPr>
            </w:pPr>
            <w:r w:rsidRPr="008B74B3">
              <w:rPr>
                <w:b/>
                <w:bCs/>
                <w:sz w:val="26"/>
                <w:szCs w:val="26"/>
              </w:rPr>
              <w:t>.6</w:t>
            </w:r>
            <w:r w:rsidRPr="008B74B3">
              <w:rPr>
                <w:rtl/>
              </w:rPr>
              <w:t xml:space="preserve"> </w:t>
            </w:r>
            <w:r w:rsidRPr="008B74B3">
              <w:rPr>
                <w:b/>
                <w:bCs/>
                <w:sz w:val="26"/>
                <w:szCs w:val="26"/>
                <w:rtl/>
              </w:rPr>
              <w:t>חמודה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177CB931" w14:textId="77777777" w:rsidR="00B9435F" w:rsidRPr="008B74B3" w:rsidRDefault="00B9435F" w:rsidP="00DF1ED4">
            <w:pPr>
              <w:spacing w:before="120" w:after="120" w:line="240" w:lineRule="exact"/>
              <w:rPr>
                <w:b/>
                <w:bCs/>
                <w:sz w:val="26"/>
                <w:szCs w:val="26"/>
                <w:rtl/>
              </w:rPr>
            </w:pPr>
            <w:r w:rsidRPr="008B74B3">
              <w:rPr>
                <w:b/>
                <w:bCs/>
                <w:sz w:val="26"/>
                <w:szCs w:val="26"/>
              </w:rPr>
              <w:t>.7</w:t>
            </w:r>
            <w:r w:rsidRPr="008B74B3">
              <w:rPr>
                <w:rtl/>
              </w:rPr>
              <w:t xml:space="preserve"> </w:t>
            </w:r>
            <w:r w:rsidRPr="008B74B3">
              <w:rPr>
                <w:b/>
                <w:bCs/>
                <w:sz w:val="26"/>
                <w:szCs w:val="26"/>
                <w:rtl/>
              </w:rPr>
              <w:t>ממדוח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26D94167" w14:textId="77777777" w:rsidR="00B9435F" w:rsidRPr="008B74B3" w:rsidRDefault="00B9435F" w:rsidP="00DF1ED4">
            <w:pPr>
              <w:spacing w:before="120" w:after="120" w:line="240" w:lineRule="exact"/>
              <w:rPr>
                <w:b/>
                <w:bCs/>
                <w:sz w:val="26"/>
                <w:szCs w:val="26"/>
                <w:rtl/>
              </w:rPr>
            </w:pPr>
            <w:r w:rsidRPr="008B74B3">
              <w:rPr>
                <w:b/>
                <w:bCs/>
                <w:sz w:val="26"/>
                <w:szCs w:val="26"/>
              </w:rPr>
              <w:t>.8</w:t>
            </w:r>
            <w:r w:rsidRPr="008B74B3">
              <w:rPr>
                <w:rtl/>
              </w:rPr>
              <w:t xml:space="preserve"> </w:t>
            </w:r>
            <w:r w:rsidRPr="008B74B3">
              <w:rPr>
                <w:b/>
                <w:bCs/>
                <w:sz w:val="26"/>
                <w:szCs w:val="26"/>
                <w:rtl/>
              </w:rPr>
              <w:t>סאאיד אבו שנדי (עציר)</w:t>
            </w:r>
            <w:r w:rsidRPr="008B74B3">
              <w:rPr>
                <w:rtl/>
              </w:rPr>
              <w:t xml:space="preserve"> </w:t>
            </w:r>
            <w:r w:rsidRPr="008B74B3">
              <w:rPr>
                <w:b/>
                <w:bCs/>
                <w:sz w:val="26"/>
                <w:szCs w:val="26"/>
                <w:rtl/>
              </w:rPr>
              <w:t xml:space="preserve">ת.ז.  </w:t>
            </w:r>
            <w:r w:rsidR="008B74B3">
              <w:rPr>
                <w:b/>
                <w:bCs/>
                <w:sz w:val="26"/>
                <w:szCs w:val="26"/>
              </w:rPr>
              <w:t>xxxxxxxxxx</w:t>
            </w:r>
          </w:p>
          <w:p w14:paraId="77AED386" w14:textId="77777777" w:rsidR="00B9435F" w:rsidRPr="008B74B3" w:rsidRDefault="00B9435F" w:rsidP="00DF1ED4">
            <w:pPr>
              <w:spacing w:before="120" w:after="120" w:line="240" w:lineRule="exact"/>
              <w:rPr>
                <w:b/>
                <w:bCs/>
                <w:sz w:val="26"/>
                <w:szCs w:val="26"/>
                <w:rtl/>
              </w:rPr>
            </w:pPr>
            <w:r w:rsidRPr="008B74B3">
              <w:rPr>
                <w:b/>
                <w:bCs/>
                <w:sz w:val="26"/>
                <w:szCs w:val="26"/>
                <w:rtl/>
              </w:rPr>
              <w:t xml:space="preserve">9. נימר אבו שנדי (עציר) ת.ז. </w:t>
            </w:r>
            <w:r w:rsidR="008B74B3">
              <w:rPr>
                <w:b/>
                <w:bCs/>
                <w:sz w:val="26"/>
                <w:szCs w:val="26"/>
              </w:rPr>
              <w:t>xxxxxxxxx</w:t>
            </w:r>
          </w:p>
          <w:p w14:paraId="08F5A3FC" w14:textId="77777777" w:rsidR="00B9435F" w:rsidRPr="008B74B3" w:rsidRDefault="00B9435F" w:rsidP="00DF1ED4">
            <w:pPr>
              <w:spacing w:before="120" w:after="120" w:line="240" w:lineRule="exact"/>
              <w:rPr>
                <w:b/>
                <w:bCs/>
                <w:sz w:val="26"/>
                <w:szCs w:val="26"/>
                <w:rtl/>
              </w:rPr>
            </w:pPr>
          </w:p>
          <w:p w14:paraId="52A0A807" w14:textId="77777777" w:rsidR="00B9435F" w:rsidRPr="008B74B3" w:rsidRDefault="00B9435F" w:rsidP="00DF1ED4">
            <w:pPr>
              <w:spacing w:before="120" w:after="120" w:line="240" w:lineRule="exact"/>
              <w:rPr>
                <w:b/>
                <w:bCs/>
                <w:sz w:val="26"/>
                <w:szCs w:val="26"/>
                <w:rtl/>
              </w:rPr>
            </w:pPr>
            <w:r w:rsidRPr="008B74B3">
              <w:rPr>
                <w:b/>
                <w:bCs/>
                <w:sz w:val="26"/>
                <w:szCs w:val="26"/>
                <w:rtl/>
              </w:rPr>
              <w:t>10.</w:t>
            </w:r>
            <w:r w:rsidRPr="008B74B3">
              <w:rPr>
                <w:rtl/>
              </w:rPr>
              <w:t xml:space="preserve"> </w:t>
            </w:r>
            <w:r w:rsidRPr="008B74B3">
              <w:rPr>
                <w:b/>
                <w:bCs/>
                <w:sz w:val="26"/>
                <w:szCs w:val="26"/>
                <w:rtl/>
              </w:rPr>
              <w:t>עבד אל חלים רזוק (עציר)</w:t>
            </w:r>
            <w:r w:rsidRPr="008B74B3">
              <w:rPr>
                <w:rtl/>
              </w:rPr>
              <w:t xml:space="preserve"> </w:t>
            </w:r>
            <w:r w:rsidRPr="008B74B3">
              <w:rPr>
                <w:b/>
                <w:bCs/>
                <w:sz w:val="26"/>
                <w:szCs w:val="26"/>
                <w:rtl/>
              </w:rPr>
              <w:t xml:space="preserve">ת.ז.  </w:t>
            </w:r>
            <w:r w:rsidR="008B74B3">
              <w:rPr>
                <w:b/>
                <w:bCs/>
                <w:sz w:val="26"/>
                <w:szCs w:val="26"/>
              </w:rPr>
              <w:t>xxxxxxxxxxx</w:t>
            </w:r>
            <w:r w:rsidRPr="008B74B3">
              <w:rPr>
                <w:b/>
                <w:bCs/>
                <w:sz w:val="26"/>
                <w:szCs w:val="26"/>
                <w:rtl/>
              </w:rPr>
              <w:t xml:space="preserve">(משפטו   </w:t>
            </w:r>
          </w:p>
          <w:p w14:paraId="785AF832" w14:textId="77777777" w:rsidR="00B9435F" w:rsidRPr="008B74B3" w:rsidRDefault="00B9435F" w:rsidP="00DF1ED4">
            <w:pPr>
              <w:spacing w:before="120" w:after="120" w:line="240" w:lineRule="exact"/>
              <w:rPr>
                <w:b/>
                <w:bCs/>
                <w:sz w:val="26"/>
                <w:szCs w:val="26"/>
                <w:rtl/>
              </w:rPr>
            </w:pPr>
            <w:r w:rsidRPr="008B74B3">
              <w:rPr>
                <w:b/>
                <w:bCs/>
                <w:sz w:val="26"/>
                <w:szCs w:val="26"/>
                <w:rtl/>
              </w:rPr>
              <w:t xml:space="preserve">      הופרד)</w:t>
            </w:r>
          </w:p>
          <w:p w14:paraId="54F08655" w14:textId="77777777" w:rsidR="00B9435F" w:rsidRPr="008B74B3" w:rsidRDefault="00B9435F" w:rsidP="00DF1ED4">
            <w:pPr>
              <w:spacing w:before="120" w:after="120" w:line="240" w:lineRule="exact"/>
              <w:rPr>
                <w:b/>
                <w:bCs/>
                <w:sz w:val="26"/>
                <w:szCs w:val="26"/>
                <w:rtl/>
              </w:rPr>
            </w:pPr>
            <w:r w:rsidRPr="008B74B3">
              <w:rPr>
                <w:b/>
                <w:bCs/>
                <w:sz w:val="26"/>
                <w:szCs w:val="26"/>
              </w:rPr>
              <w:t>.11</w:t>
            </w:r>
            <w:r w:rsidRPr="008B74B3">
              <w:rPr>
                <w:rtl/>
              </w:rPr>
              <w:t xml:space="preserve"> </w:t>
            </w:r>
            <w:r w:rsidRPr="008B74B3">
              <w:rPr>
                <w:b/>
                <w:bCs/>
                <w:sz w:val="26"/>
                <w:szCs w:val="26"/>
                <w:rtl/>
              </w:rPr>
              <w:t>ג'אהד מרזוק (עציר)</w:t>
            </w:r>
            <w:r w:rsidRPr="008B74B3">
              <w:rPr>
                <w:rtl/>
              </w:rPr>
              <w:t xml:space="preserve"> </w:t>
            </w:r>
            <w:r w:rsidRPr="008B74B3">
              <w:rPr>
                <w:b/>
                <w:bCs/>
                <w:sz w:val="26"/>
                <w:szCs w:val="26"/>
                <w:rtl/>
              </w:rPr>
              <w:t xml:space="preserve">ת.ז.  </w:t>
            </w:r>
            <w:r w:rsidR="008B74B3">
              <w:rPr>
                <w:b/>
                <w:bCs/>
                <w:sz w:val="26"/>
                <w:szCs w:val="26"/>
              </w:rPr>
              <w:t>xxxxxxxxxx</w:t>
            </w:r>
            <w:r w:rsidRPr="008B74B3">
              <w:rPr>
                <w:b/>
                <w:bCs/>
                <w:sz w:val="26"/>
                <w:szCs w:val="26"/>
                <w:rtl/>
              </w:rPr>
              <w:t>(משפטו הופרד)</w:t>
            </w:r>
          </w:p>
          <w:p w14:paraId="2A5E4193" w14:textId="77777777" w:rsidR="00B9435F" w:rsidRPr="008B74B3" w:rsidRDefault="00B9435F" w:rsidP="00DF1ED4">
            <w:pPr>
              <w:spacing w:before="120" w:after="120" w:line="240" w:lineRule="exact"/>
              <w:rPr>
                <w:b/>
                <w:bCs/>
                <w:sz w:val="26"/>
                <w:szCs w:val="26"/>
                <w:rtl/>
              </w:rPr>
            </w:pPr>
            <w:r w:rsidRPr="008B74B3">
              <w:rPr>
                <w:b/>
                <w:bCs/>
                <w:sz w:val="26"/>
                <w:szCs w:val="26"/>
              </w:rPr>
              <w:t>12</w:t>
            </w:r>
            <w:r w:rsidRPr="008B74B3">
              <w:rPr>
                <w:rtl/>
              </w:rPr>
              <w:t xml:space="preserve">. </w:t>
            </w:r>
            <w:r w:rsidRPr="008B74B3">
              <w:rPr>
                <w:b/>
                <w:bCs/>
                <w:sz w:val="26"/>
                <w:szCs w:val="26"/>
                <w:rtl/>
              </w:rPr>
              <w:t>עבד אל רחמאן רזוק (עציר)</w:t>
            </w:r>
            <w:r w:rsidRPr="008B74B3">
              <w:rPr>
                <w:rtl/>
              </w:rPr>
              <w:t xml:space="preserve"> </w:t>
            </w:r>
            <w:r w:rsidRPr="008B74B3">
              <w:rPr>
                <w:b/>
                <w:bCs/>
                <w:sz w:val="26"/>
                <w:szCs w:val="26"/>
                <w:rtl/>
              </w:rPr>
              <w:t xml:space="preserve">ת.ז.  </w:t>
            </w:r>
            <w:r w:rsidR="008B74B3">
              <w:rPr>
                <w:b/>
                <w:bCs/>
                <w:sz w:val="26"/>
                <w:szCs w:val="26"/>
              </w:rPr>
              <w:t>xxxxxxxxxx</w:t>
            </w:r>
            <w:r w:rsidRPr="008B74B3">
              <w:rPr>
                <w:b/>
                <w:bCs/>
                <w:sz w:val="26"/>
                <w:szCs w:val="26"/>
                <w:rtl/>
              </w:rPr>
              <w:t xml:space="preserve">(משפטו </w:t>
            </w:r>
          </w:p>
          <w:p w14:paraId="7D065DF2" w14:textId="77777777" w:rsidR="00B9435F" w:rsidRPr="008B74B3" w:rsidRDefault="00B9435F" w:rsidP="00DF1ED4">
            <w:pPr>
              <w:spacing w:before="120" w:after="120" w:line="240" w:lineRule="exact"/>
              <w:rPr>
                <w:b/>
                <w:bCs/>
                <w:sz w:val="26"/>
                <w:szCs w:val="26"/>
                <w:rtl/>
              </w:rPr>
            </w:pPr>
            <w:r w:rsidRPr="008B74B3">
              <w:rPr>
                <w:b/>
                <w:bCs/>
                <w:sz w:val="26"/>
                <w:szCs w:val="26"/>
                <w:rtl/>
              </w:rPr>
              <w:t xml:space="preserve">      הופרד)</w:t>
            </w:r>
          </w:p>
        </w:tc>
      </w:tr>
    </w:tbl>
    <w:p w14:paraId="08D72AC2" w14:textId="77777777" w:rsidR="005948C0" w:rsidRDefault="005948C0" w:rsidP="00DF1ED4">
      <w:pPr>
        <w:spacing w:before="120" w:after="120" w:line="240" w:lineRule="exact"/>
        <w:rPr>
          <w:rtl/>
        </w:rPr>
      </w:pPr>
    </w:p>
    <w:p w14:paraId="418FFB5D" w14:textId="77777777" w:rsidR="006E4279" w:rsidRPr="006E4279" w:rsidRDefault="006E4279" w:rsidP="006E4279">
      <w:pPr>
        <w:spacing w:after="120" w:line="240" w:lineRule="exact"/>
        <w:ind w:left="283" w:hanging="283"/>
        <w:jc w:val="both"/>
        <w:rPr>
          <w:rFonts w:ascii="FrankRuehl" w:hAnsi="FrankRuehl" w:cs="FrankRuehl"/>
          <w:rtl/>
        </w:rPr>
      </w:pPr>
      <w:bookmarkStart w:id="2" w:name="LawTable"/>
      <w:bookmarkEnd w:id="2"/>
      <w:r w:rsidRPr="006E4279">
        <w:rPr>
          <w:rFonts w:ascii="FrankRuehl" w:hAnsi="FrankRuehl" w:cs="FrankRuehl"/>
          <w:rtl/>
        </w:rPr>
        <w:t xml:space="preserve">חקיקה שאוזכרה: </w:t>
      </w:r>
    </w:p>
    <w:p w14:paraId="4BAB030A" w14:textId="77777777" w:rsidR="006E4279" w:rsidRPr="006E4279" w:rsidRDefault="006E4279" w:rsidP="006E4279">
      <w:pPr>
        <w:spacing w:after="120" w:line="240" w:lineRule="exact"/>
        <w:ind w:left="283" w:hanging="283"/>
        <w:jc w:val="both"/>
        <w:rPr>
          <w:rFonts w:ascii="FrankRuehl" w:hAnsi="FrankRuehl" w:cs="FrankRuehl"/>
          <w:rtl/>
        </w:rPr>
      </w:pPr>
      <w:hyperlink r:id="rId8" w:history="1">
        <w:r w:rsidRPr="006E4279">
          <w:rPr>
            <w:rFonts w:ascii="FrankRuehl" w:hAnsi="FrankRuehl" w:cs="FrankRuehl"/>
            <w:color w:val="0000FF"/>
            <w:u w:val="single"/>
            <w:rtl/>
          </w:rPr>
          <w:t>חוק העונשין, תשל"ז-1977</w:t>
        </w:r>
      </w:hyperlink>
      <w:r w:rsidRPr="006E4279">
        <w:rPr>
          <w:rFonts w:ascii="FrankRuehl" w:hAnsi="FrankRuehl" w:cs="FrankRuehl"/>
          <w:rtl/>
        </w:rPr>
        <w:t xml:space="preserve">: סע'  </w:t>
      </w:r>
      <w:hyperlink r:id="rId9" w:history="1">
        <w:r w:rsidRPr="006E4279">
          <w:rPr>
            <w:rFonts w:ascii="FrankRuehl" w:hAnsi="FrankRuehl" w:cs="FrankRuehl"/>
            <w:color w:val="0000FF"/>
            <w:u w:val="single"/>
            <w:rtl/>
          </w:rPr>
          <w:t>5</w:t>
        </w:r>
      </w:hyperlink>
      <w:r w:rsidRPr="006E4279">
        <w:rPr>
          <w:rFonts w:ascii="FrankRuehl" w:hAnsi="FrankRuehl" w:cs="FrankRuehl"/>
          <w:rtl/>
        </w:rPr>
        <w:t xml:space="preserve">, </w:t>
      </w:r>
      <w:hyperlink r:id="rId10" w:history="1">
        <w:r w:rsidRPr="006E4279">
          <w:rPr>
            <w:rFonts w:ascii="FrankRuehl" w:hAnsi="FrankRuehl" w:cs="FrankRuehl"/>
            <w:color w:val="0000FF"/>
            <w:u w:val="single"/>
            <w:rtl/>
          </w:rPr>
          <w:t>5(א)</w:t>
        </w:r>
      </w:hyperlink>
      <w:r w:rsidRPr="006E4279">
        <w:rPr>
          <w:rFonts w:ascii="FrankRuehl" w:hAnsi="FrankRuehl" w:cs="FrankRuehl"/>
          <w:rtl/>
        </w:rPr>
        <w:t xml:space="preserve">, </w:t>
      </w:r>
      <w:hyperlink r:id="rId11" w:history="1">
        <w:r w:rsidRPr="006E4279">
          <w:rPr>
            <w:rFonts w:ascii="FrankRuehl" w:hAnsi="FrankRuehl" w:cs="FrankRuehl"/>
            <w:color w:val="0000FF"/>
            <w:u w:val="single"/>
            <w:rtl/>
          </w:rPr>
          <w:t>20(א)</w:t>
        </w:r>
      </w:hyperlink>
      <w:r w:rsidRPr="006E4279">
        <w:rPr>
          <w:rFonts w:ascii="FrankRuehl" w:hAnsi="FrankRuehl" w:cs="FrankRuehl"/>
          <w:rtl/>
        </w:rPr>
        <w:t xml:space="preserve">, </w:t>
      </w:r>
      <w:hyperlink r:id="rId12" w:history="1">
        <w:r w:rsidRPr="006E4279">
          <w:rPr>
            <w:rFonts w:ascii="FrankRuehl" w:hAnsi="FrankRuehl" w:cs="FrankRuehl"/>
            <w:color w:val="0000FF"/>
            <w:u w:val="single"/>
            <w:rtl/>
          </w:rPr>
          <w:t>25</w:t>
        </w:r>
      </w:hyperlink>
      <w:r w:rsidRPr="006E4279">
        <w:rPr>
          <w:rFonts w:ascii="FrankRuehl" w:hAnsi="FrankRuehl" w:cs="FrankRuehl"/>
          <w:rtl/>
        </w:rPr>
        <w:t xml:space="preserve">, </w:t>
      </w:r>
      <w:hyperlink r:id="rId13" w:history="1">
        <w:r w:rsidRPr="006E4279">
          <w:rPr>
            <w:rFonts w:ascii="FrankRuehl" w:hAnsi="FrankRuehl" w:cs="FrankRuehl"/>
            <w:color w:val="0000FF"/>
            <w:u w:val="single"/>
            <w:rtl/>
          </w:rPr>
          <w:t>29</w:t>
        </w:r>
      </w:hyperlink>
      <w:r w:rsidRPr="006E4279">
        <w:rPr>
          <w:rFonts w:ascii="FrankRuehl" w:hAnsi="FrankRuehl" w:cs="FrankRuehl"/>
          <w:rtl/>
        </w:rPr>
        <w:t xml:space="preserve">, </w:t>
      </w:r>
      <w:hyperlink r:id="rId14" w:history="1">
        <w:r w:rsidRPr="006E4279">
          <w:rPr>
            <w:rFonts w:ascii="FrankRuehl" w:hAnsi="FrankRuehl" w:cs="FrankRuehl"/>
            <w:color w:val="0000FF"/>
            <w:u w:val="single"/>
            <w:rtl/>
          </w:rPr>
          <w:t>30</w:t>
        </w:r>
      </w:hyperlink>
      <w:r w:rsidRPr="006E4279">
        <w:rPr>
          <w:rFonts w:ascii="FrankRuehl" w:hAnsi="FrankRuehl" w:cs="FrankRuehl"/>
          <w:rtl/>
        </w:rPr>
        <w:t xml:space="preserve">, </w:t>
      </w:r>
      <w:hyperlink r:id="rId15" w:history="1">
        <w:r w:rsidRPr="006E4279">
          <w:rPr>
            <w:rFonts w:ascii="FrankRuehl" w:hAnsi="FrankRuehl" w:cs="FrankRuehl"/>
            <w:color w:val="0000FF"/>
            <w:u w:val="single"/>
            <w:rtl/>
          </w:rPr>
          <w:t>31</w:t>
        </w:r>
      </w:hyperlink>
      <w:r w:rsidRPr="006E4279">
        <w:rPr>
          <w:rFonts w:ascii="FrankRuehl" w:hAnsi="FrankRuehl" w:cs="FrankRuehl"/>
          <w:rtl/>
        </w:rPr>
        <w:t xml:space="preserve">, </w:t>
      </w:r>
      <w:hyperlink r:id="rId16" w:history="1">
        <w:r w:rsidRPr="006E4279">
          <w:rPr>
            <w:rFonts w:ascii="FrankRuehl" w:hAnsi="FrankRuehl" w:cs="FrankRuehl"/>
            <w:color w:val="0000FF"/>
            <w:u w:val="single"/>
            <w:rtl/>
          </w:rPr>
          <w:t>34ד'</w:t>
        </w:r>
      </w:hyperlink>
      <w:r w:rsidRPr="006E4279">
        <w:rPr>
          <w:rFonts w:ascii="FrankRuehl" w:hAnsi="FrankRuehl" w:cs="FrankRuehl"/>
          <w:rtl/>
        </w:rPr>
        <w:t xml:space="preserve">, </w:t>
      </w:r>
      <w:hyperlink r:id="rId17" w:history="1">
        <w:r w:rsidRPr="006E4279">
          <w:rPr>
            <w:rFonts w:ascii="FrankRuehl" w:hAnsi="FrankRuehl" w:cs="FrankRuehl"/>
            <w:color w:val="0000FF"/>
            <w:u w:val="single"/>
            <w:rtl/>
          </w:rPr>
          <w:t>40ז'</w:t>
        </w:r>
      </w:hyperlink>
      <w:r w:rsidRPr="006E4279">
        <w:rPr>
          <w:rFonts w:ascii="FrankRuehl" w:hAnsi="FrankRuehl" w:cs="FrankRuehl"/>
          <w:rtl/>
        </w:rPr>
        <w:t xml:space="preserve">, </w:t>
      </w:r>
      <w:hyperlink r:id="rId18" w:history="1">
        <w:r w:rsidRPr="006E4279">
          <w:rPr>
            <w:rFonts w:ascii="FrankRuehl" w:hAnsi="FrankRuehl" w:cs="FrankRuehl"/>
            <w:color w:val="0000FF"/>
            <w:u w:val="single"/>
            <w:rtl/>
          </w:rPr>
          <w:t>58</w:t>
        </w:r>
      </w:hyperlink>
      <w:r w:rsidRPr="006E4279">
        <w:rPr>
          <w:rFonts w:ascii="FrankRuehl" w:hAnsi="FrankRuehl" w:cs="FrankRuehl"/>
          <w:rtl/>
        </w:rPr>
        <w:t xml:space="preserve">, </w:t>
      </w:r>
      <w:hyperlink r:id="rId19" w:history="1">
        <w:r w:rsidRPr="006E4279">
          <w:rPr>
            <w:rFonts w:ascii="FrankRuehl" w:hAnsi="FrankRuehl" w:cs="FrankRuehl"/>
            <w:color w:val="0000FF"/>
            <w:u w:val="single"/>
            <w:rtl/>
          </w:rPr>
          <w:t>77</w:t>
        </w:r>
      </w:hyperlink>
      <w:r w:rsidRPr="006E4279">
        <w:rPr>
          <w:rFonts w:ascii="FrankRuehl" w:hAnsi="FrankRuehl" w:cs="FrankRuehl"/>
          <w:rtl/>
        </w:rPr>
        <w:t xml:space="preserve">, </w:t>
      </w:r>
      <w:hyperlink r:id="rId20" w:history="1">
        <w:r w:rsidRPr="006E4279">
          <w:rPr>
            <w:rFonts w:ascii="FrankRuehl" w:hAnsi="FrankRuehl" w:cs="FrankRuehl"/>
            <w:color w:val="0000FF"/>
            <w:u w:val="single"/>
            <w:rtl/>
          </w:rPr>
          <w:t>144(א)</w:t>
        </w:r>
      </w:hyperlink>
      <w:r w:rsidRPr="006E4279">
        <w:rPr>
          <w:rFonts w:ascii="FrankRuehl" w:hAnsi="FrankRuehl" w:cs="FrankRuehl"/>
          <w:rtl/>
        </w:rPr>
        <w:t xml:space="preserve">, </w:t>
      </w:r>
      <w:hyperlink r:id="rId21" w:history="1">
        <w:r w:rsidRPr="006E4279">
          <w:rPr>
            <w:rFonts w:ascii="FrankRuehl" w:hAnsi="FrankRuehl" w:cs="FrankRuehl"/>
            <w:color w:val="0000FF"/>
            <w:u w:val="single"/>
            <w:rtl/>
          </w:rPr>
          <w:t>(ב)</w:t>
        </w:r>
      </w:hyperlink>
      <w:r w:rsidRPr="006E4279">
        <w:rPr>
          <w:rFonts w:ascii="FrankRuehl" w:hAnsi="FrankRuehl" w:cs="FrankRuehl"/>
          <w:rtl/>
        </w:rPr>
        <w:t xml:space="preserve">, </w:t>
      </w:r>
      <w:hyperlink r:id="rId22" w:history="1">
        <w:r w:rsidRPr="006E4279">
          <w:rPr>
            <w:rFonts w:ascii="FrankRuehl" w:hAnsi="FrankRuehl" w:cs="FrankRuehl"/>
            <w:color w:val="0000FF"/>
            <w:u w:val="single"/>
            <w:rtl/>
          </w:rPr>
          <w:t>192</w:t>
        </w:r>
      </w:hyperlink>
      <w:r w:rsidRPr="006E4279">
        <w:rPr>
          <w:rFonts w:ascii="FrankRuehl" w:hAnsi="FrankRuehl" w:cs="FrankRuehl"/>
          <w:rtl/>
        </w:rPr>
        <w:t xml:space="preserve">, </w:t>
      </w:r>
      <w:hyperlink r:id="rId23" w:history="1">
        <w:r w:rsidRPr="006E4279">
          <w:rPr>
            <w:rFonts w:ascii="FrankRuehl" w:hAnsi="FrankRuehl" w:cs="FrankRuehl"/>
            <w:color w:val="0000FF"/>
            <w:u w:val="single"/>
            <w:rtl/>
          </w:rPr>
          <w:t>298</w:t>
        </w:r>
      </w:hyperlink>
      <w:r w:rsidRPr="006E4279">
        <w:rPr>
          <w:rFonts w:ascii="FrankRuehl" w:hAnsi="FrankRuehl" w:cs="FrankRuehl"/>
          <w:rtl/>
        </w:rPr>
        <w:t xml:space="preserve">, </w:t>
      </w:r>
      <w:hyperlink r:id="rId24" w:history="1">
        <w:r w:rsidRPr="006E4279">
          <w:rPr>
            <w:rFonts w:ascii="FrankRuehl" w:hAnsi="FrankRuehl" w:cs="FrankRuehl"/>
            <w:color w:val="0000FF"/>
            <w:u w:val="single"/>
            <w:rtl/>
          </w:rPr>
          <w:t>300</w:t>
        </w:r>
      </w:hyperlink>
      <w:r w:rsidRPr="006E4279">
        <w:rPr>
          <w:rFonts w:ascii="FrankRuehl" w:hAnsi="FrankRuehl" w:cs="FrankRuehl"/>
          <w:rtl/>
        </w:rPr>
        <w:t xml:space="preserve">, </w:t>
      </w:r>
      <w:hyperlink r:id="rId25" w:history="1">
        <w:r w:rsidRPr="006E4279">
          <w:rPr>
            <w:rFonts w:ascii="FrankRuehl" w:hAnsi="FrankRuehl" w:cs="FrankRuehl"/>
            <w:color w:val="0000FF"/>
            <w:u w:val="single"/>
            <w:rtl/>
          </w:rPr>
          <w:t>301ג'</w:t>
        </w:r>
      </w:hyperlink>
      <w:r w:rsidRPr="006E4279">
        <w:rPr>
          <w:rFonts w:ascii="FrankRuehl" w:hAnsi="FrankRuehl" w:cs="FrankRuehl"/>
          <w:rtl/>
        </w:rPr>
        <w:t xml:space="preserve">, </w:t>
      </w:r>
      <w:hyperlink r:id="rId26" w:history="1">
        <w:r w:rsidRPr="006E4279">
          <w:rPr>
            <w:rFonts w:ascii="FrankRuehl" w:hAnsi="FrankRuehl" w:cs="FrankRuehl"/>
            <w:color w:val="0000FF"/>
            <w:u w:val="single"/>
            <w:rtl/>
          </w:rPr>
          <w:t>311א'</w:t>
        </w:r>
      </w:hyperlink>
      <w:r w:rsidRPr="006E4279">
        <w:rPr>
          <w:rFonts w:ascii="FrankRuehl" w:hAnsi="FrankRuehl" w:cs="FrankRuehl"/>
          <w:rtl/>
        </w:rPr>
        <w:t xml:space="preserve">, </w:t>
      </w:r>
      <w:hyperlink r:id="rId27" w:history="1">
        <w:r w:rsidRPr="006E4279">
          <w:rPr>
            <w:rFonts w:ascii="FrankRuehl" w:hAnsi="FrankRuehl" w:cs="FrankRuehl"/>
            <w:color w:val="0000FF"/>
            <w:u w:val="single"/>
            <w:rtl/>
          </w:rPr>
          <w:t>329(א)(1)</w:t>
        </w:r>
      </w:hyperlink>
      <w:r w:rsidRPr="006E4279">
        <w:rPr>
          <w:rFonts w:ascii="FrankRuehl" w:hAnsi="FrankRuehl" w:cs="FrankRuehl"/>
          <w:rtl/>
        </w:rPr>
        <w:t xml:space="preserve">, </w:t>
      </w:r>
      <w:hyperlink r:id="rId28" w:history="1">
        <w:r w:rsidRPr="006E4279">
          <w:rPr>
            <w:rFonts w:ascii="FrankRuehl" w:hAnsi="FrankRuehl" w:cs="FrankRuehl"/>
            <w:color w:val="0000FF"/>
            <w:u w:val="single"/>
            <w:rtl/>
          </w:rPr>
          <w:t>(2)</w:t>
        </w:r>
      </w:hyperlink>
      <w:r w:rsidRPr="006E4279">
        <w:rPr>
          <w:rFonts w:ascii="FrankRuehl" w:hAnsi="FrankRuehl" w:cs="FrankRuehl"/>
          <w:rtl/>
        </w:rPr>
        <w:t xml:space="preserve">, </w:t>
      </w:r>
      <w:hyperlink r:id="rId29" w:history="1">
        <w:r w:rsidRPr="006E4279">
          <w:rPr>
            <w:rFonts w:ascii="FrankRuehl" w:hAnsi="FrankRuehl" w:cs="FrankRuehl"/>
            <w:color w:val="0000FF"/>
            <w:u w:val="single"/>
            <w:rtl/>
          </w:rPr>
          <w:t>333</w:t>
        </w:r>
      </w:hyperlink>
      <w:r w:rsidRPr="006E4279">
        <w:rPr>
          <w:rFonts w:ascii="FrankRuehl" w:hAnsi="FrankRuehl" w:cs="FrankRuehl"/>
          <w:rtl/>
        </w:rPr>
        <w:t xml:space="preserve">, </w:t>
      </w:r>
      <w:hyperlink r:id="rId30" w:history="1">
        <w:r w:rsidRPr="006E4279">
          <w:rPr>
            <w:rFonts w:ascii="FrankRuehl" w:hAnsi="FrankRuehl" w:cs="FrankRuehl"/>
            <w:color w:val="0000FF"/>
            <w:u w:val="single"/>
            <w:rtl/>
          </w:rPr>
          <w:t>334</w:t>
        </w:r>
      </w:hyperlink>
      <w:r w:rsidRPr="006E4279">
        <w:rPr>
          <w:rFonts w:ascii="FrankRuehl" w:hAnsi="FrankRuehl" w:cs="FrankRuehl"/>
          <w:rtl/>
        </w:rPr>
        <w:t xml:space="preserve">, </w:t>
      </w:r>
      <w:hyperlink r:id="rId31" w:history="1">
        <w:r w:rsidRPr="006E4279">
          <w:rPr>
            <w:rFonts w:ascii="FrankRuehl" w:hAnsi="FrankRuehl" w:cs="FrankRuehl"/>
            <w:color w:val="0000FF"/>
            <w:u w:val="single"/>
            <w:rtl/>
          </w:rPr>
          <w:t>335</w:t>
        </w:r>
      </w:hyperlink>
      <w:r w:rsidRPr="006E4279">
        <w:rPr>
          <w:rFonts w:ascii="FrankRuehl" w:hAnsi="FrankRuehl" w:cs="FrankRuehl"/>
          <w:rtl/>
        </w:rPr>
        <w:t xml:space="preserve">, </w:t>
      </w:r>
      <w:hyperlink r:id="rId32" w:history="1">
        <w:r w:rsidRPr="006E4279">
          <w:rPr>
            <w:rFonts w:ascii="FrankRuehl" w:hAnsi="FrankRuehl" w:cs="FrankRuehl"/>
            <w:color w:val="0000FF"/>
            <w:u w:val="single"/>
            <w:rtl/>
          </w:rPr>
          <w:t>340א</w:t>
        </w:r>
      </w:hyperlink>
      <w:r w:rsidRPr="006E4279">
        <w:rPr>
          <w:rFonts w:ascii="FrankRuehl" w:hAnsi="FrankRuehl" w:cs="FrankRuehl"/>
          <w:rtl/>
        </w:rPr>
        <w:t xml:space="preserve">, </w:t>
      </w:r>
      <w:hyperlink r:id="rId33" w:history="1">
        <w:r w:rsidRPr="006E4279">
          <w:rPr>
            <w:rFonts w:ascii="FrankRuehl" w:hAnsi="FrankRuehl" w:cs="FrankRuehl"/>
            <w:color w:val="0000FF"/>
            <w:u w:val="single"/>
            <w:rtl/>
          </w:rPr>
          <w:t>380(א)</w:t>
        </w:r>
      </w:hyperlink>
      <w:r w:rsidRPr="006E4279">
        <w:rPr>
          <w:rFonts w:ascii="FrankRuehl" w:hAnsi="FrankRuehl" w:cs="FrankRuehl"/>
          <w:rtl/>
        </w:rPr>
        <w:t xml:space="preserve">, </w:t>
      </w:r>
      <w:hyperlink r:id="rId34" w:history="1">
        <w:r w:rsidRPr="006E4279">
          <w:rPr>
            <w:rFonts w:ascii="FrankRuehl" w:hAnsi="FrankRuehl" w:cs="FrankRuehl"/>
            <w:color w:val="0000FF"/>
            <w:u w:val="single"/>
            <w:rtl/>
          </w:rPr>
          <w:t>382</w:t>
        </w:r>
      </w:hyperlink>
      <w:r w:rsidRPr="006E4279">
        <w:rPr>
          <w:rFonts w:ascii="FrankRuehl" w:hAnsi="FrankRuehl" w:cs="FrankRuehl"/>
          <w:rtl/>
        </w:rPr>
        <w:t xml:space="preserve">, </w:t>
      </w:r>
      <w:hyperlink r:id="rId35" w:history="1">
        <w:r w:rsidRPr="006E4279">
          <w:rPr>
            <w:rFonts w:ascii="FrankRuehl" w:hAnsi="FrankRuehl" w:cs="FrankRuehl"/>
            <w:color w:val="0000FF"/>
            <w:u w:val="single"/>
            <w:rtl/>
          </w:rPr>
          <w:t>40יא'</w:t>
        </w:r>
      </w:hyperlink>
      <w:r w:rsidRPr="006E4279">
        <w:rPr>
          <w:rFonts w:ascii="FrankRuehl" w:hAnsi="FrankRuehl" w:cs="FrankRuehl"/>
          <w:rtl/>
        </w:rPr>
        <w:t xml:space="preserve">, </w:t>
      </w:r>
      <w:hyperlink r:id="rId36" w:history="1">
        <w:r w:rsidRPr="006E4279">
          <w:rPr>
            <w:rFonts w:ascii="FrankRuehl" w:hAnsi="FrankRuehl" w:cs="FrankRuehl"/>
            <w:color w:val="0000FF"/>
            <w:u w:val="single"/>
            <w:rtl/>
          </w:rPr>
          <w:t>40יג'</w:t>
        </w:r>
      </w:hyperlink>
      <w:r w:rsidRPr="006E4279">
        <w:rPr>
          <w:rFonts w:ascii="FrankRuehl" w:hAnsi="FrankRuehl" w:cs="FrankRuehl"/>
          <w:rtl/>
        </w:rPr>
        <w:t xml:space="preserve">, </w:t>
      </w:r>
      <w:hyperlink r:id="rId37" w:history="1">
        <w:r w:rsidRPr="006E4279">
          <w:rPr>
            <w:rFonts w:ascii="FrankRuehl" w:hAnsi="FrankRuehl" w:cs="FrankRuehl"/>
            <w:color w:val="0000FF"/>
            <w:u w:val="single"/>
            <w:rtl/>
          </w:rPr>
          <w:t>40יג'(ג)</w:t>
        </w:r>
      </w:hyperlink>
    </w:p>
    <w:p w14:paraId="7AA071D1" w14:textId="77777777" w:rsidR="006E4279" w:rsidRDefault="006E4279" w:rsidP="006E4279">
      <w:pPr>
        <w:spacing w:after="120" w:line="240" w:lineRule="exact"/>
        <w:ind w:left="283" w:hanging="283"/>
        <w:jc w:val="both"/>
        <w:rPr>
          <w:rFonts w:ascii="FrankRuehl" w:hAnsi="FrankRuehl" w:cs="FrankRuehl" w:hint="cs"/>
          <w:rtl/>
        </w:rPr>
      </w:pPr>
    </w:p>
    <w:p w14:paraId="783B614C" w14:textId="77777777" w:rsidR="006E4279" w:rsidRPr="006E4279" w:rsidRDefault="006E4279" w:rsidP="006E4279">
      <w:pPr>
        <w:spacing w:after="120" w:line="240" w:lineRule="exact"/>
        <w:ind w:left="283" w:hanging="283"/>
        <w:jc w:val="both"/>
        <w:rPr>
          <w:rStyle w:val="Hyperlink"/>
          <w:rFonts w:ascii="FrankRuehl" w:hAnsi="FrankRuehl" w:cs="FrankRuehl"/>
          <w:rtl/>
        </w:rPr>
      </w:pPr>
      <w:r w:rsidRPr="006E4279">
        <w:rPr>
          <w:rFonts w:ascii="FrankRuehl" w:hAnsi="FrankRuehl" w:cs="FrankRuehl"/>
          <w:rtl/>
        </w:rPr>
        <w:t>כתבי עת:</w:t>
      </w:r>
      <w:r w:rsidRPr="006E4279">
        <w:rPr>
          <w:rFonts w:ascii="FrankRuehl" w:hAnsi="FrankRuehl" w:cs="FrankRuehl"/>
          <w:u w:val="single"/>
          <w:rtl/>
        </w:rPr>
        <w:fldChar w:fldCharType="begin"/>
      </w:r>
      <w:r w:rsidRPr="006E4279">
        <w:rPr>
          <w:rFonts w:ascii="FrankRuehl" w:hAnsi="FrankRuehl" w:cs="FrankRuehl"/>
          <w:u w:val="single"/>
          <w:rtl/>
        </w:rPr>
        <w:instrText xml:space="preserve"> </w:instrText>
      </w:r>
      <w:r w:rsidRPr="006E4279">
        <w:rPr>
          <w:rFonts w:ascii="FrankRuehl" w:hAnsi="FrankRuehl" w:cs="FrankRuehl"/>
          <w:u w:val="single"/>
        </w:rPr>
        <w:instrText>HYPERLINK</w:instrText>
      </w:r>
      <w:r w:rsidRPr="006E4279">
        <w:rPr>
          <w:rFonts w:ascii="FrankRuehl" w:hAnsi="FrankRuehl" w:cs="FrankRuehl"/>
          <w:u w:val="single"/>
          <w:rtl/>
        </w:rPr>
        <w:instrText xml:space="preserve"> "</w:instrText>
      </w:r>
      <w:r w:rsidRPr="006E4279">
        <w:rPr>
          <w:rFonts w:ascii="FrankRuehl" w:hAnsi="FrankRuehl" w:cs="FrankRuehl"/>
          <w:u w:val="single"/>
        </w:rPr>
        <w:instrText>http://www.nevo.co.il/safrut/book/28739</w:instrText>
      </w:r>
      <w:r w:rsidRPr="006E4279">
        <w:rPr>
          <w:rFonts w:ascii="FrankRuehl" w:hAnsi="FrankRuehl" w:cs="FrankRuehl"/>
          <w:u w:val="single"/>
          <w:rtl/>
        </w:rPr>
        <w:instrText xml:space="preserve">" </w:instrText>
      </w:r>
      <w:r w:rsidRPr="006E4279">
        <w:rPr>
          <w:rFonts w:ascii="FrankRuehl" w:hAnsi="FrankRuehl" w:cs="FrankRuehl"/>
          <w:u w:val="single"/>
        </w:rPr>
      </w:r>
      <w:r w:rsidRPr="006E4279">
        <w:rPr>
          <w:rFonts w:ascii="FrankRuehl" w:hAnsi="FrankRuehl" w:cs="FrankRuehl"/>
          <w:u w:val="single"/>
          <w:rtl/>
        </w:rPr>
        <w:fldChar w:fldCharType="separate"/>
      </w:r>
    </w:p>
    <w:p w14:paraId="1910A2EA" w14:textId="77777777" w:rsidR="006E4279" w:rsidRPr="006E4279" w:rsidRDefault="006E4279" w:rsidP="006E4279">
      <w:pPr>
        <w:spacing w:after="120" w:line="240" w:lineRule="exact"/>
        <w:ind w:left="283" w:hanging="283"/>
        <w:jc w:val="both"/>
        <w:rPr>
          <w:rFonts w:ascii="FrankRuehl" w:hAnsi="FrankRuehl" w:cs="FrankRuehl" w:hint="cs"/>
          <w:rtl/>
        </w:rPr>
      </w:pPr>
      <w:r w:rsidRPr="006E4279">
        <w:rPr>
          <w:rStyle w:val="Hyperlink"/>
          <w:rFonts w:ascii="FrankRuehl" w:hAnsi="FrankRuehl" w:cs="FrankRuehl"/>
          <w:rtl/>
        </w:rPr>
        <w:t>אוהד גורדון, "רצח באדישות", ספר אדמונד לוי,  (אוהד גורדון עורך, 2017) 391</w:t>
      </w:r>
      <w:r w:rsidRPr="006E4279">
        <w:rPr>
          <w:rFonts w:ascii="FrankRuehl" w:hAnsi="FrankRuehl" w:cs="FrankRuehl"/>
          <w:u w:val="single"/>
          <w:rtl/>
        </w:rPr>
        <w:fldChar w:fldCharType="end"/>
      </w:r>
    </w:p>
    <w:p w14:paraId="2E4699B1" w14:textId="77777777" w:rsidR="006E4279" w:rsidRPr="006E4279" w:rsidRDefault="006E4279" w:rsidP="005948C0">
      <w:pPr>
        <w:spacing w:after="120" w:line="240" w:lineRule="exact"/>
        <w:ind w:left="283" w:hanging="283"/>
        <w:jc w:val="both"/>
        <w:rPr>
          <w:rFonts w:ascii="FrankRuehl" w:hAnsi="FrankRuehl" w:cs="FrankRuehl"/>
          <w:rtl/>
        </w:rPr>
      </w:pPr>
      <w:bookmarkStart w:id="3" w:name="LawTable_End"/>
      <w:bookmarkEnd w:id="3"/>
    </w:p>
    <w:p w14:paraId="6582D4FE" w14:textId="77777777" w:rsidR="006E4279" w:rsidRDefault="006E4279" w:rsidP="006E4279">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lastRenderedPageBreak/>
        <w:t>מיני-רציו:</w:t>
      </w:r>
    </w:p>
    <w:p w14:paraId="67320F3B"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6E4279">
        <w:rPr>
          <w:rFonts w:cs="FrankRuehl" w:hint="cs"/>
          <w:szCs w:val="26"/>
          <w:rtl/>
        </w:rPr>
        <w:t xml:space="preserve">בית המשפט גזר את דינם של הנאשמים, שמרביתם הורשעו בעבירות נשק במסגרת אירוע חמור של ירי לעבר מתחם מגורים, בעקבותיו נהרגה המנוחה ונפצע בנה עת ביקש להושיט לה עזרה. </w:t>
      </w:r>
    </w:p>
    <w:p w14:paraId="067F270C" w14:textId="77777777" w:rsidR="006E4279" w:rsidRDefault="006E4279" w:rsidP="006E4279">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5709BE51" w14:textId="77777777" w:rsidR="006E4279" w:rsidRDefault="006E4279" w:rsidP="006E427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BD703CA"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hint="cs"/>
          <w:szCs w:val="26"/>
          <w:rtl/>
        </w:rPr>
        <w:t xml:space="preserve">בית המשפט נדרש לגזור את דינם של הנאשמים שהורשעו בביצוע העבירות שלהלן: </w:t>
      </w:r>
      <w:r w:rsidRPr="006E4279">
        <w:rPr>
          <w:rFonts w:cs="FrankRuehl"/>
          <w:szCs w:val="26"/>
          <w:rtl/>
        </w:rPr>
        <w:t xml:space="preserve">הנאשם 3 הורשע בהריגת המנוחה, בחבלה בכוונה מחמירה </w:t>
      </w:r>
      <w:r w:rsidRPr="006E4279">
        <w:rPr>
          <w:rFonts w:cs="FrankRuehl" w:hint="cs"/>
          <w:szCs w:val="26"/>
          <w:rtl/>
        </w:rPr>
        <w:t>בבנה של המנוחה</w:t>
      </w:r>
      <w:r w:rsidRPr="006E4279">
        <w:rPr>
          <w:rFonts w:cs="FrankRuehl"/>
          <w:szCs w:val="26"/>
          <w:rtl/>
        </w:rPr>
        <w:t xml:space="preserve"> </w:t>
      </w:r>
      <w:r w:rsidRPr="006E4279">
        <w:rPr>
          <w:rFonts w:cs="FrankRuehl" w:hint="cs"/>
          <w:szCs w:val="26"/>
          <w:rtl/>
        </w:rPr>
        <w:t>והכל תוך כדי שימוש בנשק</w:t>
      </w:r>
      <w:r w:rsidRPr="006E4279">
        <w:rPr>
          <w:rFonts w:cs="FrankRuehl"/>
          <w:szCs w:val="26"/>
          <w:rtl/>
        </w:rPr>
        <w:t>; הנאשמים 7 ו</w:t>
      </w:r>
      <w:r>
        <w:rPr>
          <w:rFonts w:cs="FrankRuehl" w:hint="cs"/>
          <w:szCs w:val="26"/>
          <w:rtl/>
        </w:rPr>
        <w:t>-</w:t>
      </w:r>
      <w:r w:rsidRPr="006E4279">
        <w:rPr>
          <w:rFonts w:cs="FrankRuehl"/>
          <w:szCs w:val="26"/>
          <w:rtl/>
        </w:rPr>
        <w:t xml:space="preserve">8 </w:t>
      </w:r>
      <w:r w:rsidRPr="006E4279">
        <w:rPr>
          <w:rFonts w:cs="FrankRuehl" w:hint="cs"/>
          <w:szCs w:val="26"/>
          <w:rtl/>
        </w:rPr>
        <w:t xml:space="preserve">הורשעו בעבירות נשק שעניין ירי </w:t>
      </w:r>
      <w:r w:rsidRPr="006E4279">
        <w:rPr>
          <w:rFonts w:cs="FrankRuehl"/>
          <w:szCs w:val="26"/>
          <w:rtl/>
        </w:rPr>
        <w:t>לעבר בתי</w:t>
      </w:r>
      <w:r w:rsidRPr="006E4279">
        <w:rPr>
          <w:rFonts w:cs="FrankRuehl" w:hint="cs"/>
          <w:szCs w:val="26"/>
          <w:rtl/>
        </w:rPr>
        <w:t>ם</w:t>
      </w:r>
      <w:r w:rsidRPr="006E4279">
        <w:rPr>
          <w:rFonts w:cs="FrankRuehl"/>
          <w:szCs w:val="26"/>
          <w:rtl/>
        </w:rPr>
        <w:t xml:space="preserve"> בניסיון לפצוע את דרי מתחם</w:t>
      </w:r>
      <w:r w:rsidRPr="006E4279">
        <w:rPr>
          <w:rFonts w:cs="FrankRuehl" w:hint="cs"/>
          <w:szCs w:val="26"/>
          <w:rtl/>
        </w:rPr>
        <w:t xml:space="preserve"> מגורים</w:t>
      </w:r>
      <w:r w:rsidRPr="006E4279">
        <w:rPr>
          <w:rFonts w:cs="FrankRuehl"/>
          <w:szCs w:val="26"/>
          <w:rtl/>
        </w:rPr>
        <w:t xml:space="preserve">. </w:t>
      </w:r>
      <w:r w:rsidRPr="006E4279">
        <w:rPr>
          <w:rFonts w:cs="FrankRuehl"/>
          <w:szCs w:val="26"/>
          <w:rtl/>
          <w:lang w:val="en-GB"/>
        </w:rPr>
        <w:t>הנאשמים 2 ו</w:t>
      </w:r>
      <w:r>
        <w:rPr>
          <w:rFonts w:cs="FrankRuehl" w:hint="cs"/>
          <w:szCs w:val="26"/>
          <w:rtl/>
          <w:lang w:val="en-GB"/>
        </w:rPr>
        <w:t>-</w:t>
      </w:r>
      <w:r w:rsidRPr="006E4279">
        <w:rPr>
          <w:rFonts w:cs="FrankRuehl"/>
          <w:szCs w:val="26"/>
          <w:rtl/>
          <w:lang w:val="en-GB"/>
        </w:rPr>
        <w:t xml:space="preserve">6 </w:t>
      </w:r>
      <w:r w:rsidRPr="006E4279">
        <w:rPr>
          <w:rFonts w:cs="FrankRuehl" w:hint="cs"/>
          <w:szCs w:val="26"/>
          <w:rtl/>
          <w:lang w:val="en-GB"/>
        </w:rPr>
        <w:t>הורשעו בעבירות נשק שעניינן ירי</w:t>
      </w:r>
      <w:r w:rsidRPr="006E4279">
        <w:rPr>
          <w:rFonts w:cs="FrankRuehl"/>
          <w:szCs w:val="26"/>
          <w:rtl/>
          <w:lang w:val="en-GB"/>
        </w:rPr>
        <w:t xml:space="preserve"> באזור מגורים בסמוך למתחם. הנאשמים 4 ו</w:t>
      </w:r>
      <w:r>
        <w:rPr>
          <w:rFonts w:cs="FrankRuehl" w:hint="cs"/>
          <w:szCs w:val="26"/>
          <w:rtl/>
          <w:lang w:val="en-GB"/>
        </w:rPr>
        <w:t>-</w:t>
      </w:r>
      <w:r w:rsidRPr="006E4279">
        <w:rPr>
          <w:rFonts w:cs="FrankRuehl"/>
          <w:szCs w:val="26"/>
          <w:rtl/>
          <w:lang w:val="en-GB"/>
        </w:rPr>
        <w:t xml:space="preserve">9 </w:t>
      </w:r>
      <w:r w:rsidRPr="006E4279">
        <w:rPr>
          <w:rFonts w:cs="FrankRuehl" w:hint="cs"/>
          <w:szCs w:val="26"/>
          <w:rtl/>
          <w:lang w:val="en-GB"/>
        </w:rPr>
        <w:t>הורשעו בעבירות שעניינן סיוע</w:t>
      </w:r>
      <w:r w:rsidRPr="006E4279">
        <w:rPr>
          <w:rFonts w:cs="FrankRuehl"/>
          <w:szCs w:val="26"/>
          <w:rtl/>
          <w:lang w:val="en-GB"/>
        </w:rPr>
        <w:t xml:space="preserve"> להחזקת נשק.</w:t>
      </w:r>
    </w:p>
    <w:p w14:paraId="72B93878" w14:textId="77777777" w:rsidR="006E4279" w:rsidRPr="006E4279" w:rsidRDefault="006E4279" w:rsidP="006E427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6B83680"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hint="cs"/>
          <w:szCs w:val="26"/>
          <w:rtl/>
        </w:rPr>
        <w:t>בית המשפט פסק כלהלן:</w:t>
      </w:r>
    </w:p>
    <w:p w14:paraId="240F9D5A"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szCs w:val="26"/>
          <w:rtl/>
        </w:rPr>
        <w:t>השלב הראשון בגזירת הדין הוא קביעת מתחם העונש ההולם.</w:t>
      </w:r>
      <w:r w:rsidRPr="006E4279">
        <w:rPr>
          <w:rFonts w:cs="FrankRuehl" w:hint="cs"/>
          <w:szCs w:val="26"/>
          <w:rtl/>
        </w:rPr>
        <w:t xml:space="preserve"> </w:t>
      </w:r>
      <w:r w:rsidRPr="006E4279">
        <w:rPr>
          <w:rFonts w:cs="FrankRuehl"/>
          <w:szCs w:val="26"/>
          <w:rtl/>
        </w:rPr>
        <w:t>מדובר במתחם נורמטיבי אובייקטיבי, כאשר לשם כך נלקחים במסגרת השיקולים: (1) הערך החברתי שנפגע מביצוע העבירה ומידת הפגיעה בערך זה; (2) מדיניות הענישה הנהוגה; (3) נסיבות הקשורות בביצוע העבירה. המתחם מתייחס למקרה קונקרטי ולא ניתן לקבוע מראש מתחם על פי העבירה בלבד.</w:t>
      </w:r>
    </w:p>
    <w:p w14:paraId="061438CD"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hint="cs"/>
          <w:szCs w:val="26"/>
          <w:rtl/>
        </w:rPr>
        <w:t>במקרה זה</w:t>
      </w:r>
      <w:r w:rsidRPr="006E4279">
        <w:rPr>
          <w:rFonts w:cs="FrankRuehl"/>
          <w:szCs w:val="26"/>
          <w:rtl/>
        </w:rPr>
        <w:t>, מדובר במקרה חמור, מבחינה כמותית ו"איכותית", משום התעוזה, עזות המצח והמסוכנות הרבה שאפיינה אותו ובאה לידי ביטוי במספר פרמטרים: ראשית, במשכו של האירוע – מדובר באירוע שנמשך דקות רבות, נצח בעיני דרי המתחם; שנית, מספר המשתתפים באירוע וכמות כלי הנשק והתחמושת שבה עשו הנאשמים שימוש; ואחרון אך ראשון בסדר החשיבות – העובדה כי מדובר בבית שהיה מוכר היטב לנאשמים ואכלס בקומת הקרקע את המנוחה ובקומה שמעל - שתי דירות שם נמצאו אותה עת שתי משפחות, ובכלל זה ילדים ומבוגרים. האירוע, כאמור, התרחש קרוב לשעה 22:00 – שעה שכל בר דעת מבין שבני המשפחה נמצאים בביתם.</w:t>
      </w:r>
    </w:p>
    <w:p w14:paraId="50D3BF4D"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szCs w:val="26"/>
          <w:rtl/>
          <w:lang w:val="en-GB"/>
        </w:rPr>
        <w:t xml:space="preserve">כלל הנאשמים, למעט הנאשמים 1 ו 5, הורשעו בעבירות נשק: הנאשמים 2, 3, 6, 7 ו 8 הובילו ונשאו 6 כלי נשק לכל הפחות, בהם 4 אקדחים ושני תתי מקלע מאולתרים וכן תחמושת לכלי הנשק, כאשר כל אחד מהם החזיק הוביל ונשא נשק (אחד) מתוך הנשקים הנ"ל; ואילו הנאשמים 4 ו 9 סייעו לנאשמים לעיל בהחזקת כלי הנשק והתחמושת בעצם הגעתם המשותפת עמם לזירה, בחיזוק ידיהם ואבטחת מעשיהם. </w:t>
      </w:r>
      <w:r w:rsidRPr="006E4279">
        <w:rPr>
          <w:rFonts w:cs="FrankRuehl"/>
          <w:szCs w:val="26"/>
          <w:rtl/>
        </w:rPr>
        <w:t xml:space="preserve">בנוסף, </w:t>
      </w:r>
      <w:r w:rsidRPr="006E4279">
        <w:rPr>
          <w:rFonts w:cs="FrankRuehl"/>
          <w:szCs w:val="26"/>
          <w:rtl/>
          <w:lang w:val="en-GB"/>
        </w:rPr>
        <w:t>נאשמים אלה צרו בצוותא חדא על המתחם, התמקמו במקומות שונים ומשתנים סביב המתחם.</w:t>
      </w:r>
    </w:p>
    <w:p w14:paraId="665EDAF7"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szCs w:val="26"/>
          <w:rtl/>
        </w:rPr>
        <w:t>לעניין מדיניות הענישה בנוגע לכל נאשם ונאשם, יש צורך בחלוקת הנאשמים לקבוצות, בהתאם לחלקם באירוע ומידת האשם של כל אחד. בקבוצה הראשונה, בדרגת החומרה הגבוהה ביותר ניצב הנאשם 3 שהורשע בהריגת המנוחה, בחבלה בכוונה מחמירה בפריד וכן בעבירות נשק; בקבוצה השנייה, נכללים הנאשמים 7 ו</w:t>
      </w:r>
      <w:r>
        <w:rPr>
          <w:rFonts w:cs="FrankRuehl" w:hint="cs"/>
          <w:szCs w:val="26"/>
          <w:rtl/>
        </w:rPr>
        <w:t>-</w:t>
      </w:r>
      <w:r w:rsidRPr="006E4279">
        <w:rPr>
          <w:rFonts w:cs="FrankRuehl"/>
          <w:szCs w:val="26"/>
          <w:rtl/>
        </w:rPr>
        <w:t xml:space="preserve">8 שירו מחוץ למתחם לעבר בתי המתחם בניסיון לפצוע את דרי המתחם. בקבוצה השלישית, נכללים </w:t>
      </w:r>
      <w:r w:rsidRPr="006E4279">
        <w:rPr>
          <w:rFonts w:cs="FrankRuehl"/>
          <w:szCs w:val="26"/>
          <w:rtl/>
          <w:lang w:val="en-GB"/>
        </w:rPr>
        <w:t>הנאשמים 2 ו</w:t>
      </w:r>
      <w:r>
        <w:rPr>
          <w:rFonts w:cs="FrankRuehl" w:hint="cs"/>
          <w:szCs w:val="26"/>
          <w:rtl/>
          <w:lang w:val="en-GB"/>
        </w:rPr>
        <w:t>-</w:t>
      </w:r>
      <w:r w:rsidRPr="006E4279">
        <w:rPr>
          <w:rFonts w:cs="FrankRuehl"/>
          <w:szCs w:val="26"/>
          <w:rtl/>
          <w:lang w:val="en-GB"/>
        </w:rPr>
        <w:t>6 שירו באזור מגורים בסמוך למתחם. בקבוצה הרביעית, נמצאים הנאשמים 4 ו</w:t>
      </w:r>
      <w:r>
        <w:rPr>
          <w:rFonts w:cs="FrankRuehl" w:hint="cs"/>
          <w:szCs w:val="26"/>
          <w:rtl/>
          <w:lang w:val="en-GB"/>
        </w:rPr>
        <w:t>-</w:t>
      </w:r>
      <w:r w:rsidRPr="006E4279">
        <w:rPr>
          <w:rFonts w:cs="FrankRuehl"/>
          <w:szCs w:val="26"/>
          <w:rtl/>
          <w:lang w:val="en-GB"/>
        </w:rPr>
        <w:t xml:space="preserve">9 שסייעו להחזקת נשק. חמישי במדרג החומרה, ולו מבחינת העבירה בה הורשע, מצוי </w:t>
      </w:r>
      <w:r w:rsidRPr="006E4279">
        <w:rPr>
          <w:rFonts w:cs="FrankRuehl"/>
          <w:szCs w:val="26"/>
          <w:rtl/>
          <w:lang w:val="en-GB"/>
        </w:rPr>
        <w:lastRenderedPageBreak/>
        <w:t xml:space="preserve">הנאשם 1 ששידל את יתר הנאשמים </w:t>
      </w:r>
      <w:r w:rsidRPr="006E4279">
        <w:rPr>
          <w:rFonts w:cs="FrankRuehl"/>
          <w:szCs w:val="26"/>
          <w:rtl/>
        </w:rPr>
        <w:t xml:space="preserve">לפציעה בנסיבות מחמירות. </w:t>
      </w:r>
      <w:r w:rsidRPr="006E4279">
        <w:rPr>
          <w:rFonts w:cs="FrankRuehl"/>
          <w:szCs w:val="26"/>
          <w:rtl/>
          <w:lang w:val="en-GB"/>
        </w:rPr>
        <w:t xml:space="preserve">אחרון ושישי במדרג החומרה, נמצא הנאשם 5 שהורשע בעבירת איומים בלבד. </w:t>
      </w:r>
    </w:p>
    <w:p w14:paraId="60032872" w14:textId="77777777" w:rsidR="006E4279" w:rsidRPr="006E4279" w:rsidRDefault="006E4279" w:rsidP="006E4279">
      <w:pPr>
        <w:pBdr>
          <w:top w:val="single" w:sz="4" w:space="1" w:color="auto"/>
          <w:bottom w:val="single" w:sz="4" w:space="1" w:color="auto"/>
        </w:pBdr>
        <w:spacing w:after="120" w:line="320" w:lineRule="exact"/>
        <w:jc w:val="both"/>
        <w:rPr>
          <w:rFonts w:cs="FrankRuehl"/>
          <w:szCs w:val="26"/>
          <w:rtl/>
        </w:rPr>
      </w:pPr>
      <w:r w:rsidRPr="006E4279">
        <w:rPr>
          <w:rFonts w:cs="FrankRuehl"/>
          <w:szCs w:val="26"/>
          <w:rtl/>
        </w:rPr>
        <w:t xml:space="preserve">מדיניות הענישה הכללית הנוהגת בעבירות נשק היא כי יש להשית עונשים ממשיים ומרתיעים וזאת משום החומרה הטמונה בעבירות אלה, משום שיקולי ההלימה וההרתעה וכדי לצמצם את היקף התופעה הרעה של ההחזקה והשימוש בכלי נשק לא חוקיים. </w:t>
      </w:r>
    </w:p>
    <w:p w14:paraId="74337AC6" w14:textId="77777777" w:rsidR="006E4279" w:rsidRPr="006E4279" w:rsidRDefault="006E4279" w:rsidP="005948C0">
      <w:pPr>
        <w:spacing w:after="120" w:line="240" w:lineRule="exact"/>
        <w:ind w:left="283" w:hanging="283"/>
        <w:jc w:val="both"/>
        <w:rPr>
          <w:rFonts w:ascii="FrankRuehl" w:hAnsi="FrankRuehl" w:cs="FrankRuehl"/>
          <w:rtl/>
        </w:rPr>
      </w:pPr>
      <w:bookmarkStart w:id="5" w:name="ABSTRACT_END"/>
      <w:bookmarkEnd w:id="5"/>
    </w:p>
    <w:tbl>
      <w:tblPr>
        <w:bidiVisual/>
        <w:tblW w:w="8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7"/>
      </w:tblGrid>
      <w:tr w:rsidR="004C3216" w14:paraId="0EB49CD9" w14:textId="77777777" w:rsidTr="00B9435F">
        <w:trPr>
          <w:trHeight w:val="355"/>
          <w:jc w:val="center"/>
        </w:trPr>
        <w:tc>
          <w:tcPr>
            <w:tcW w:w="8807" w:type="dxa"/>
            <w:tcBorders>
              <w:top w:val="nil"/>
              <w:left w:val="nil"/>
              <w:bottom w:val="nil"/>
              <w:right w:val="nil"/>
            </w:tcBorders>
          </w:tcPr>
          <w:p w14:paraId="75F9E434" w14:textId="77777777" w:rsidR="004C3216" w:rsidRPr="008B74B3" w:rsidRDefault="008B74B3" w:rsidP="008B74B3">
            <w:pPr>
              <w:jc w:val="center"/>
              <w:rPr>
                <w:rFonts w:ascii="Arial" w:hAnsi="Arial" w:cs="FrankRuehl"/>
                <w:bCs/>
                <w:sz w:val="36"/>
                <w:szCs w:val="36"/>
                <w:u w:val="single"/>
                <w:rtl/>
              </w:rPr>
            </w:pPr>
            <w:bookmarkStart w:id="6" w:name="Links_Kitvei_End"/>
            <w:bookmarkStart w:id="7" w:name="PsakDin" w:colFirst="0" w:colLast="0"/>
            <w:bookmarkEnd w:id="0"/>
            <w:bookmarkEnd w:id="6"/>
            <w:r w:rsidRPr="008B74B3">
              <w:rPr>
                <w:rFonts w:ascii="Arial" w:hAnsi="Arial" w:cs="FrankRuehl"/>
                <w:b/>
                <w:bCs/>
                <w:sz w:val="36"/>
                <w:szCs w:val="36"/>
                <w:u w:val="single"/>
                <w:rtl/>
              </w:rPr>
              <w:t>גזר דין</w:t>
            </w:r>
          </w:p>
        </w:tc>
      </w:tr>
      <w:bookmarkEnd w:id="7"/>
    </w:tbl>
    <w:p w14:paraId="41F1F158" w14:textId="77777777" w:rsidR="004C3216" w:rsidRPr="00B05847" w:rsidRDefault="004C3216">
      <w:pPr>
        <w:rPr>
          <w:rFonts w:ascii="Arial" w:hAnsi="Arial"/>
          <w:rtl/>
        </w:rPr>
      </w:pPr>
    </w:p>
    <w:p w14:paraId="79C4A5DD" w14:textId="77777777" w:rsidR="004C3216" w:rsidRDefault="004C3216" w:rsidP="005811E2">
      <w:pPr>
        <w:spacing w:line="360" w:lineRule="auto"/>
        <w:ind w:left="516" w:right="426"/>
        <w:jc w:val="both"/>
        <w:rPr>
          <w:rFonts w:ascii="David" w:hAnsi="David"/>
          <w:b/>
          <w:bCs/>
          <w:sz w:val="32"/>
          <w:szCs w:val="32"/>
          <w:u w:val="single"/>
        </w:rPr>
      </w:pPr>
      <w:r>
        <w:rPr>
          <w:rFonts w:ascii="David" w:hAnsi="David"/>
          <w:b/>
          <w:bCs/>
          <w:sz w:val="32"/>
          <w:szCs w:val="32"/>
          <w:u w:val="single"/>
          <w:rtl/>
        </w:rPr>
        <w:t>פרק ראשון - מבוא</w:t>
      </w:r>
    </w:p>
    <w:p w14:paraId="081C1AE1"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כפר קרע, שכונת אבו שנדי, 17.7.17, סביבות השעה 21:40. תמאם אבו שנדי, ילידת 1947 (להלן: </w:t>
      </w:r>
      <w:r>
        <w:rPr>
          <w:rFonts w:ascii="Miriam" w:hAnsi="Miriam" w:cs="Miriam"/>
          <w:sz w:val="24"/>
          <w:szCs w:val="24"/>
          <w:rtl/>
        </w:rPr>
        <w:t>המנוחה</w:t>
      </w:r>
      <w:r>
        <w:rPr>
          <w:rFonts w:ascii="Times New Roman" w:hAnsi="Times New Roman" w:cs="David"/>
          <w:sz w:val="24"/>
          <w:szCs w:val="24"/>
          <w:rtl/>
        </w:rPr>
        <w:t xml:space="preserve">), נמצאת בשעה זו בדירה המצויה בקומת הקרקע של בית מגוריה. בקומה שמעל שוהים, בשתי דירות נפרדות, שניים מבניה – פריד ומוסטפא ומשפחותיהם. את בית המשפחה מקיפה חומה (להלן: </w:t>
      </w:r>
      <w:r>
        <w:rPr>
          <w:rFonts w:ascii="Miriam" w:hAnsi="Miriam" w:cs="Miriam"/>
          <w:sz w:val="24"/>
          <w:szCs w:val="24"/>
          <w:rtl/>
        </w:rPr>
        <w:t>המתחם)</w:t>
      </w:r>
      <w:r>
        <w:rPr>
          <w:rFonts w:ascii="Times New Roman" w:hAnsi="Times New Roman" w:cs="David"/>
          <w:sz w:val="24"/>
          <w:szCs w:val="24"/>
          <w:rtl/>
        </w:rPr>
        <w:t xml:space="preserve">. </w:t>
      </w:r>
    </w:p>
    <w:p w14:paraId="393FEC80" w14:textId="77777777" w:rsidR="004C3216" w:rsidRDefault="004C3216" w:rsidP="005811E2">
      <w:pPr>
        <w:pStyle w:val="ListParagraph"/>
        <w:spacing w:after="0" w:line="360" w:lineRule="auto"/>
        <w:ind w:left="516" w:right="426"/>
        <w:jc w:val="both"/>
        <w:rPr>
          <w:rFonts w:ascii="Times New Roman" w:hAnsi="Times New Roman" w:cs="David"/>
          <w:sz w:val="24"/>
          <w:szCs w:val="24"/>
        </w:rPr>
      </w:pPr>
    </w:p>
    <w:p w14:paraId="6460BE45" w14:textId="77777777" w:rsidR="004C3216" w:rsidRDefault="004C3216" w:rsidP="005811E2">
      <w:pPr>
        <w:pStyle w:val="ListParagraph"/>
        <w:spacing w:after="0" w:line="360" w:lineRule="auto"/>
        <w:ind w:left="516" w:right="426"/>
        <w:jc w:val="both"/>
        <w:rPr>
          <w:rFonts w:ascii="Times New Roman" w:hAnsi="Times New Roman" w:cs="David"/>
          <w:sz w:val="24"/>
          <w:szCs w:val="24"/>
        </w:rPr>
      </w:pPr>
      <w:r>
        <w:rPr>
          <w:rFonts w:ascii="Times New Roman" w:hAnsi="Times New Roman" w:cs="David"/>
          <w:sz w:val="24"/>
          <w:szCs w:val="24"/>
          <w:rtl/>
        </w:rPr>
        <w:t xml:space="preserve">למקום מגיעים 9 הנאשמים, בני חמולת אבו שנדי אף הם, המתגוררים באותה שכונה מול בית המנוחה.  </w:t>
      </w:r>
    </w:p>
    <w:p w14:paraId="6E7039C0"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p>
    <w:p w14:paraId="62646F09"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על המתחם נפתחת אש ממספר כיוונים. מי שיורה הם חלק מהנאשמים שהחזיקו </w:t>
      </w:r>
      <w:r>
        <w:rPr>
          <w:rFonts w:ascii="Times New Roman" w:hAnsi="Times New Roman" w:cs="David"/>
          <w:sz w:val="24"/>
          <w:szCs w:val="24"/>
          <w:rtl/>
          <w:lang w:val="en-GB"/>
        </w:rPr>
        <w:t xml:space="preserve">6 כלי נשק לכל הפחות, בהם 4 אקדחים ושני תתי מקלע מאולתרים. המנוחה </w:t>
      </w:r>
      <w:r>
        <w:rPr>
          <w:rFonts w:ascii="Times New Roman" w:hAnsi="Times New Roman" w:cs="David"/>
          <w:sz w:val="24"/>
          <w:szCs w:val="24"/>
          <w:rtl/>
        </w:rPr>
        <w:t xml:space="preserve">יצאה מביתה כדי לבקש מהתוקפים (אחייניה!) לחדול ממעשיהם. אחד הקליעים פגע בגופה והיא מצאה את מותה. בנוסף, בנה של המנוחה – פריד, שבא לסייע לה נפגע מפגיעת קליע ברגלו. </w:t>
      </w:r>
    </w:p>
    <w:p w14:paraId="4204A8E0" w14:textId="77777777" w:rsidR="004C3216" w:rsidRDefault="004C3216" w:rsidP="005811E2">
      <w:pPr>
        <w:pStyle w:val="ListParagraph"/>
        <w:spacing w:after="0" w:line="360" w:lineRule="auto"/>
        <w:ind w:left="516" w:right="426"/>
        <w:jc w:val="both"/>
        <w:rPr>
          <w:rFonts w:ascii="Times New Roman" w:hAnsi="Times New Roman" w:cs="David"/>
          <w:sz w:val="24"/>
          <w:szCs w:val="24"/>
          <w:rtl/>
          <w:lang w:val="en-GB"/>
        </w:rPr>
      </w:pPr>
    </w:p>
    <w:p w14:paraId="47CF75D6"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כשעה לפני האירוע לעיל ושעומד במוקד ענייננו,  התרחש – במקום אחר בכפר קרע ושאינו בסמוך לשכונת אבו שנדי - אירוע אחר במהלכו נורה ברגלו קרוב משפחה של הנאשמים וכן הותקפו שני קרובי משפחה נוספים, אחד מהם הוא הנאשם 9 (להלן: </w:t>
      </w:r>
      <w:r>
        <w:rPr>
          <w:rFonts w:ascii="Miriam" w:hAnsi="Miriam" w:cs="Miriam"/>
          <w:sz w:val="24"/>
          <w:szCs w:val="24"/>
          <w:rtl/>
        </w:rPr>
        <w:t>האירוע המקדים</w:t>
      </w:r>
      <w:r>
        <w:rPr>
          <w:rFonts w:ascii="Times New Roman" w:hAnsi="Times New Roman" w:cs="David"/>
          <w:sz w:val="24"/>
          <w:szCs w:val="24"/>
          <w:rtl/>
        </w:rPr>
        <w:t xml:space="preserve">). </w:t>
      </w:r>
    </w:p>
    <w:p w14:paraId="7CE8721F"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p>
    <w:p w14:paraId="7C6F183A" w14:textId="77777777" w:rsidR="004C3216" w:rsidRDefault="004C3216" w:rsidP="005811E2">
      <w:pPr>
        <w:pStyle w:val="ListParagraph"/>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התוקפים באירוע המקדים היו קרובי משפחה של המנוחה, </w:t>
      </w:r>
      <w:r>
        <w:rPr>
          <w:rFonts w:ascii="Times New Roman" w:hAnsi="Times New Roman" w:cs="David"/>
          <w:sz w:val="24"/>
          <w:szCs w:val="24"/>
          <w:u w:val="single"/>
          <w:rtl/>
        </w:rPr>
        <w:t xml:space="preserve">אך </w:t>
      </w:r>
      <w:r>
        <w:rPr>
          <w:rFonts w:ascii="Times New Roman" w:hAnsi="Times New Roman" w:cs="David"/>
          <w:b/>
          <w:bCs/>
          <w:sz w:val="24"/>
          <w:szCs w:val="24"/>
          <w:u w:val="single"/>
          <w:rtl/>
        </w:rPr>
        <w:t>לא</w:t>
      </w:r>
      <w:r>
        <w:rPr>
          <w:rFonts w:ascii="Times New Roman" w:hAnsi="Times New Roman" w:cs="David"/>
          <w:sz w:val="24"/>
          <w:szCs w:val="24"/>
          <w:u w:val="single"/>
          <w:rtl/>
        </w:rPr>
        <w:t xml:space="preserve"> למנוחה, לבניה, או מי מדרי המתחם היה חלק בכך</w:t>
      </w:r>
      <w:r>
        <w:rPr>
          <w:rFonts w:ascii="Times New Roman" w:hAnsi="Times New Roman" w:cs="David"/>
          <w:sz w:val="24"/>
          <w:szCs w:val="24"/>
          <w:rtl/>
        </w:rPr>
        <w:t xml:space="preserve">. </w:t>
      </w:r>
      <w:r>
        <w:rPr>
          <w:rFonts w:ascii="Times New Roman" w:hAnsi="Times New Roman" w:cs="David"/>
          <w:sz w:val="24"/>
          <w:szCs w:val="24"/>
          <w:u w:val="single"/>
          <w:rtl/>
        </w:rPr>
        <w:t>יתרה מכך, אותם תוקפים (הנאשמים 10 - 12) כלל לא התגוררו בבניין בו התגוררה המנוחה ושלכוונו בוצע הירי</w:t>
      </w:r>
      <w:r>
        <w:rPr>
          <w:rFonts w:ascii="Times New Roman" w:hAnsi="Times New Roman" w:cs="David"/>
          <w:sz w:val="24"/>
          <w:szCs w:val="24"/>
          <w:rtl/>
        </w:rPr>
        <w:t xml:space="preserve">. ברקע הדברים סכסוכים קודמים בין שני פלגי המשפחה, אך גם סכסוכים אלה לא נגעו באופן ישיר לדרי המתחם. </w:t>
      </w:r>
    </w:p>
    <w:p w14:paraId="4D016AC5" w14:textId="77777777" w:rsidR="004C3216" w:rsidRDefault="004C3216" w:rsidP="005811E2">
      <w:pPr>
        <w:spacing w:line="360" w:lineRule="auto"/>
        <w:ind w:left="516" w:right="426"/>
        <w:jc w:val="both"/>
        <w:rPr>
          <w:rtl/>
        </w:rPr>
      </w:pPr>
    </w:p>
    <w:p w14:paraId="4A69F197" w14:textId="77777777" w:rsidR="004C3216" w:rsidRDefault="004C3216" w:rsidP="005811E2">
      <w:pPr>
        <w:spacing w:line="360" w:lineRule="auto"/>
        <w:ind w:left="516" w:right="426"/>
        <w:jc w:val="both"/>
        <w:rPr>
          <w:rtl/>
        </w:rPr>
      </w:pPr>
      <w:r>
        <w:rPr>
          <w:rtl/>
        </w:rPr>
        <w:t xml:space="preserve">יוצא, שבית מגורים במדינת ישראל המאכלס גם ילדים הותקף בשעת ערב ונורו בסביבתו ולעברו עשרות רבות של קליעים מלפחות 6 כלי נשק שונים שחוררו וניקבו את קירותיו, דלתותיו וחלונותיו. </w:t>
      </w:r>
      <w:r>
        <w:rPr>
          <w:u w:val="single"/>
          <w:rtl/>
        </w:rPr>
        <w:t>בנוסף וראש לכל – המנוחה מצאה את מותה כתוצאה מפגיעת אחד הקליעים ובנה, כאמור, נפצע אף הוא</w:t>
      </w:r>
      <w:r>
        <w:rPr>
          <w:rtl/>
        </w:rPr>
        <w:t xml:space="preserve">. </w:t>
      </w:r>
    </w:p>
    <w:p w14:paraId="5D660884" w14:textId="77777777" w:rsidR="004C3216" w:rsidRDefault="004C3216" w:rsidP="005811E2">
      <w:pPr>
        <w:spacing w:line="360" w:lineRule="auto"/>
        <w:ind w:left="516" w:right="426"/>
        <w:jc w:val="both"/>
        <w:rPr>
          <w:rtl/>
        </w:rPr>
      </w:pPr>
    </w:p>
    <w:p w14:paraId="2E61A7EA" w14:textId="77777777" w:rsidR="004C3216" w:rsidRDefault="004C3216" w:rsidP="005811E2">
      <w:pPr>
        <w:spacing w:line="360" w:lineRule="auto"/>
        <w:ind w:left="516" w:right="426"/>
        <w:jc w:val="both"/>
        <w:rPr>
          <w:rtl/>
        </w:rPr>
      </w:pPr>
      <w:r>
        <w:rPr>
          <w:rtl/>
        </w:rPr>
        <w:t xml:space="preserve">המנוחה, </w:t>
      </w:r>
      <w:r>
        <w:rPr>
          <w:rFonts w:ascii="David" w:hAnsi="David"/>
          <w:rtl/>
        </w:rPr>
        <w:t>בת 70, אם ל 8 ילדים וסבתא ל 54 נכדים</w:t>
      </w:r>
      <w:r>
        <w:rPr>
          <w:rtl/>
        </w:rPr>
        <w:t xml:space="preserve"> מצאה את מותה באופן מיותר ואכזרי. כפי שיפורט להלן מות המנוחה והאירוע בכללותו הותיר את משפחתה המורחבת באבדן עמוק והביא למעגלי נזק משמעותיים לבני משפחתה.</w:t>
      </w:r>
    </w:p>
    <w:p w14:paraId="73738E6D" w14:textId="77777777" w:rsidR="004C3216" w:rsidRDefault="004C3216" w:rsidP="005811E2">
      <w:pPr>
        <w:spacing w:line="360" w:lineRule="auto"/>
        <w:ind w:left="516" w:right="426"/>
        <w:jc w:val="both"/>
        <w:rPr>
          <w:b/>
          <w:bCs/>
          <w:u w:val="single"/>
          <w:rtl/>
        </w:rPr>
      </w:pPr>
    </w:p>
    <w:p w14:paraId="332BE44F" w14:textId="77777777" w:rsidR="004C3216" w:rsidRDefault="004C3216" w:rsidP="005811E2">
      <w:pPr>
        <w:spacing w:line="360" w:lineRule="auto"/>
        <w:ind w:left="516" w:right="426"/>
        <w:jc w:val="both"/>
        <w:rPr>
          <w:rFonts w:ascii="David" w:hAnsi="David"/>
          <w:b/>
          <w:bCs/>
          <w:sz w:val="32"/>
          <w:szCs w:val="32"/>
          <w:u w:val="single"/>
          <w:rtl/>
        </w:rPr>
      </w:pPr>
      <w:r>
        <w:rPr>
          <w:rFonts w:ascii="David" w:hAnsi="David"/>
          <w:b/>
          <w:bCs/>
          <w:sz w:val="32"/>
          <w:szCs w:val="32"/>
          <w:u w:val="single"/>
          <w:rtl/>
        </w:rPr>
        <w:t>פרק שני - כללי</w:t>
      </w:r>
    </w:p>
    <w:p w14:paraId="35E27627"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כנגד 9 הנאשמים שבפניי (הנאשמים 1 עד 9) וכנגד 3 נאשמים נוספים (הנאשמים 10 עד 12), הוגשו בחודשים 9/2017 וְ 10/2017 כתבי אישום (2058-09-17, 19167-09-17 ו 15112-10-18), שאוחדו לכתב אישום אחד (להלן: </w:t>
      </w:r>
      <w:r>
        <w:rPr>
          <w:rFonts w:ascii="Miriam" w:hAnsi="Miriam" w:cs="Miriam"/>
          <w:sz w:val="24"/>
          <w:szCs w:val="24"/>
          <w:rtl/>
        </w:rPr>
        <w:t>כתב האישום המאוחד</w:t>
      </w:r>
      <w:r>
        <w:rPr>
          <w:rFonts w:ascii="Times New Roman" w:hAnsi="Times New Roman" w:cs="David"/>
          <w:sz w:val="24"/>
          <w:szCs w:val="24"/>
          <w:rtl/>
        </w:rPr>
        <w:t xml:space="preserve">). כתב האישום המאוחד התייחס לרצף אירועים אלימים שהתרחשו בכפר קרע בחודש יולי 2017. </w:t>
      </w:r>
    </w:p>
    <w:p w14:paraId="4BDB8CA3" w14:textId="77777777" w:rsidR="004C3216" w:rsidRDefault="004C3216" w:rsidP="005811E2">
      <w:pPr>
        <w:pStyle w:val="ListParagraph"/>
        <w:spacing w:after="0" w:line="360" w:lineRule="auto"/>
        <w:ind w:left="516" w:right="426"/>
        <w:jc w:val="both"/>
        <w:rPr>
          <w:rFonts w:ascii="Times New Roman" w:hAnsi="Times New Roman" w:cs="David"/>
          <w:sz w:val="24"/>
          <w:szCs w:val="24"/>
        </w:rPr>
      </w:pPr>
    </w:p>
    <w:p w14:paraId="40AF1438"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Pr>
      </w:pPr>
      <w:r>
        <w:rPr>
          <w:rFonts w:ascii="Times New Roman" w:hAnsi="Times New Roman" w:cs="David"/>
          <w:sz w:val="24"/>
          <w:szCs w:val="24"/>
          <w:rtl/>
        </w:rPr>
        <w:t>ביום 8.4.18 הורשעו הנאשמים 10 עד 12, על פי הודייתם, בעבירות שיוחסו להם בכתב אישום שתוקן בעניינם ושנגע לאירוע המקדים שתואר לעיל. בתאריכים 8.7.18 ו 15.7.18 ניתנו גזרי הדין בנוגע אליהם (</w:t>
      </w:r>
      <w:r w:rsidR="008B74B3" w:rsidRPr="00DF1ED4">
        <w:rPr>
          <w:rFonts w:ascii="Times New Roman" w:hAnsi="Times New Roman" w:cs="David"/>
          <w:sz w:val="24"/>
          <w:szCs w:val="24"/>
          <w:rtl/>
        </w:rPr>
        <w:t>ת.פ. 88</w:t>
      </w:r>
      <w:r w:rsidR="008B74B3" w:rsidRPr="00DF1ED4">
        <w:rPr>
          <w:rFonts w:ascii="Times New Roman" w:hAnsi="Times New Roman" w:cs="David"/>
          <w:sz w:val="24"/>
          <w:szCs w:val="24"/>
          <w:rtl/>
        </w:rPr>
        <w:t>9</w:t>
      </w:r>
      <w:r w:rsidR="008B74B3" w:rsidRPr="00DF1ED4">
        <w:rPr>
          <w:rFonts w:ascii="Times New Roman" w:hAnsi="Times New Roman" w:cs="David"/>
          <w:sz w:val="24"/>
          <w:szCs w:val="24"/>
          <w:rtl/>
        </w:rPr>
        <w:t>8-04-18</w:t>
      </w:r>
      <w:r>
        <w:rPr>
          <w:rFonts w:ascii="Times New Roman" w:hAnsi="Times New Roman" w:cs="David"/>
          <w:sz w:val="24"/>
          <w:szCs w:val="24"/>
          <w:rtl/>
        </w:rPr>
        <w:t xml:space="preserve">). </w:t>
      </w:r>
    </w:p>
    <w:p w14:paraId="17A77B5E" w14:textId="77777777" w:rsidR="004C3216" w:rsidRDefault="004C3216" w:rsidP="005811E2">
      <w:pPr>
        <w:pStyle w:val="ListParagraph"/>
        <w:spacing w:after="0" w:line="360" w:lineRule="auto"/>
        <w:ind w:left="516" w:right="426"/>
        <w:jc w:val="both"/>
        <w:rPr>
          <w:rFonts w:ascii="Times New Roman" w:hAnsi="Times New Roman" w:cs="David"/>
          <w:sz w:val="24"/>
          <w:szCs w:val="24"/>
        </w:rPr>
      </w:pPr>
    </w:p>
    <w:p w14:paraId="0F348285"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Pr>
      </w:pPr>
      <w:r>
        <w:rPr>
          <w:rFonts w:ascii="Times New Roman" w:hAnsi="Times New Roman" w:cs="David"/>
          <w:sz w:val="24"/>
          <w:szCs w:val="24"/>
          <w:rtl/>
        </w:rPr>
        <w:t xml:space="preserve">ביום 25.10.18 הורשעו הנאשמים 1 עד 9, על פי הודייתם, בעבירות שיוחסו להם בכתב אישום שתוקן בעניינם. הודיית הנאשמים 1 עד 9 היתה לאחר עשרות דיוני הוכחות. כתב האישום המקורי ייחס לכל אחד מהנאשמים את הריגת המנוחה ועבירות נוספות. כתב האישום המתוקן מייחס אך לנאשם 3 את הריגת המנוחה וקובע מדרג מעשים ועבירות ביחס לכל נאשם. </w:t>
      </w:r>
    </w:p>
    <w:p w14:paraId="6C7FD2B9" w14:textId="77777777" w:rsidR="004C3216" w:rsidRDefault="004C3216" w:rsidP="005811E2">
      <w:pPr>
        <w:spacing w:line="360" w:lineRule="auto"/>
        <w:ind w:left="516" w:right="426"/>
        <w:jc w:val="both"/>
        <w:rPr>
          <w:rtl/>
        </w:rPr>
      </w:pPr>
    </w:p>
    <w:p w14:paraId="7EC3FC10" w14:textId="77777777" w:rsidR="004C3216" w:rsidRDefault="004C3216" w:rsidP="005811E2">
      <w:pPr>
        <w:spacing w:line="360" w:lineRule="auto"/>
        <w:ind w:left="516" w:right="426"/>
        <w:jc w:val="both"/>
        <w:rPr>
          <w:rFonts w:ascii="David" w:hAnsi="David"/>
          <w:b/>
          <w:bCs/>
          <w:sz w:val="32"/>
          <w:szCs w:val="32"/>
          <w:u w:val="single"/>
          <w:rtl/>
        </w:rPr>
      </w:pPr>
      <w:r>
        <w:rPr>
          <w:rFonts w:ascii="David" w:hAnsi="David"/>
          <w:b/>
          <w:bCs/>
          <w:sz w:val="32"/>
          <w:szCs w:val="32"/>
          <w:u w:val="single"/>
          <w:rtl/>
        </w:rPr>
        <w:t>פרק שלישי - כתב האישום המתוקן בעניינם של הנאשמים 1 עד 9</w:t>
      </w:r>
    </w:p>
    <w:p w14:paraId="3FA9F191"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u w:val="single"/>
          <w:rtl/>
          <w:lang w:val="en-GB"/>
        </w:rPr>
        <w:t>בחלק הכללי של כתב האישום המתוקן</w:t>
      </w:r>
      <w:r>
        <w:rPr>
          <w:rFonts w:ascii="Times New Roman" w:hAnsi="Times New Roman" w:cs="David"/>
          <w:sz w:val="24"/>
          <w:szCs w:val="24"/>
          <w:rtl/>
          <w:lang w:val="en-GB"/>
        </w:rPr>
        <w:t xml:space="preserve"> צוין, כי הנאשם 1 הוא אביהם של הנאשמים 2, 4, 6, ו 7 והוא גם דודם של הנאשמים 3, 5, 8 ו 9. הנאשמים 2, 4, 6 ו 7 הם אחים ובני דודים של הנאשם 5 ושל הנאשמים 3, 8 ו 9 שהם אחים. </w:t>
      </w:r>
    </w:p>
    <w:p w14:paraId="75A515F9" w14:textId="77777777" w:rsidR="004C3216" w:rsidRDefault="004C3216" w:rsidP="005811E2">
      <w:pPr>
        <w:spacing w:line="360" w:lineRule="auto"/>
        <w:ind w:left="516" w:right="426"/>
        <w:jc w:val="both"/>
        <w:rPr>
          <w:rtl/>
          <w:lang w:val="en-GB"/>
        </w:rPr>
      </w:pPr>
    </w:p>
    <w:p w14:paraId="5948EA8A" w14:textId="77777777" w:rsidR="004C3216" w:rsidRDefault="004C3216" w:rsidP="005811E2">
      <w:pPr>
        <w:spacing w:line="360" w:lineRule="auto"/>
        <w:ind w:left="516" w:right="426"/>
        <w:jc w:val="both"/>
        <w:rPr>
          <w:rtl/>
          <w:lang w:val="en-GB"/>
        </w:rPr>
      </w:pPr>
      <w:r>
        <w:rPr>
          <w:rtl/>
          <w:lang w:val="en-GB"/>
        </w:rPr>
        <w:t xml:space="preserve">תואר, כי במועד הרלוונטי התקיים סכסוך בין הנאשם 1 ומשפחתו (הנאשמים 2 - 9), לבין אחיו של הנאשם 1 - תורכי אבו שנדי (להלן: </w:t>
      </w:r>
      <w:r>
        <w:rPr>
          <w:rFonts w:ascii="Miriam" w:hAnsi="Miriam" w:cs="Miriam"/>
          <w:rtl/>
          <w:lang w:val="en-GB"/>
        </w:rPr>
        <w:t>תורכי</w:t>
      </w:r>
      <w:r>
        <w:rPr>
          <w:rtl/>
          <w:lang w:val="en-GB"/>
        </w:rPr>
        <w:t xml:space="preserve">) ומשפחתו. תורכי היה בעלה של המנוחה. הסכסוך היה על רקע ענייני מקרקעין וכספים (להלן: </w:t>
      </w:r>
      <w:r>
        <w:rPr>
          <w:rFonts w:ascii="Miriam" w:hAnsi="Miriam" w:cs="Miriam"/>
          <w:rtl/>
          <w:lang w:val="en-GB"/>
        </w:rPr>
        <w:t>הסכסוך</w:t>
      </w:r>
      <w:r>
        <w:rPr>
          <w:rtl/>
          <w:lang w:val="en-GB"/>
        </w:rPr>
        <w:t xml:space="preserve">). </w:t>
      </w:r>
    </w:p>
    <w:p w14:paraId="5D5A9E5A" w14:textId="77777777" w:rsidR="004C3216" w:rsidRDefault="004C3216" w:rsidP="005811E2">
      <w:pPr>
        <w:spacing w:line="360" w:lineRule="auto"/>
        <w:ind w:left="516" w:right="426"/>
        <w:jc w:val="both"/>
        <w:rPr>
          <w:rtl/>
          <w:lang w:val="en-GB"/>
        </w:rPr>
      </w:pPr>
    </w:p>
    <w:p w14:paraId="7879C3F3" w14:textId="77777777" w:rsidR="004C3216" w:rsidRDefault="004C3216" w:rsidP="005811E2">
      <w:pPr>
        <w:spacing w:line="360" w:lineRule="auto"/>
        <w:ind w:left="516" w:right="426"/>
        <w:jc w:val="both"/>
        <w:rPr>
          <w:rtl/>
          <w:lang w:val="en-GB"/>
        </w:rPr>
      </w:pPr>
      <w:r>
        <w:rPr>
          <w:rtl/>
          <w:lang w:val="en-GB"/>
        </w:rPr>
        <w:t>הנאשמים 10 - 12 הם בני משפחה אחת והם גם קרובי משפחה של המנוחה ושל תורכי (אמו של הנאשם 11 היא אחותו של פריד).</w:t>
      </w:r>
    </w:p>
    <w:p w14:paraId="725F38A3" w14:textId="77777777" w:rsidR="004C3216" w:rsidRDefault="004C3216" w:rsidP="005811E2">
      <w:pPr>
        <w:spacing w:line="360" w:lineRule="auto"/>
        <w:ind w:left="516" w:right="426"/>
        <w:jc w:val="both"/>
        <w:rPr>
          <w:rtl/>
          <w:lang w:val="en-GB"/>
        </w:rPr>
      </w:pPr>
    </w:p>
    <w:p w14:paraId="4A0CACB1" w14:textId="77777777" w:rsidR="004C3216" w:rsidRDefault="004C3216" w:rsidP="005811E2">
      <w:pPr>
        <w:spacing w:line="360" w:lineRule="auto"/>
        <w:ind w:left="516" w:right="426"/>
        <w:jc w:val="both"/>
        <w:rPr>
          <w:rtl/>
          <w:lang w:val="en-GB"/>
        </w:rPr>
      </w:pPr>
      <w:r>
        <w:rPr>
          <w:rtl/>
          <w:lang w:val="en-GB"/>
        </w:rPr>
        <w:t xml:space="preserve">המנוחה התגוררה בקומת הקרקע בבניין דו קומתי בכפר קרע. בקומה מעל המנוחה התגוררו בניה - פריד ומוסטפא עם משפחותיהם בשתי דירות נפרדות. הבניין מוקף חצר התחומה בחומה בגובה של כשני מטרים, שכאמור כונה בגזר הדין </w:t>
      </w:r>
      <w:r>
        <w:rPr>
          <w:u w:val="single"/>
          <w:rtl/>
          <w:lang w:val="en-GB"/>
        </w:rPr>
        <w:t>כמתחם</w:t>
      </w:r>
      <w:r>
        <w:rPr>
          <w:rtl/>
          <w:lang w:val="en-GB"/>
        </w:rPr>
        <w:t xml:space="preserve">. הכניסה למתחם אפשרית דרך שער ברזל בפינה הצפון מזרחית של המתחם ודרך פתח בחומה בפינה הדרום מזרחית במתחם. </w:t>
      </w:r>
    </w:p>
    <w:p w14:paraId="6349D64B" w14:textId="77777777" w:rsidR="004C3216" w:rsidRDefault="004C3216" w:rsidP="005811E2">
      <w:pPr>
        <w:spacing w:line="360" w:lineRule="auto"/>
        <w:ind w:left="516" w:right="426"/>
        <w:jc w:val="both"/>
        <w:rPr>
          <w:rtl/>
          <w:lang w:val="en-GB"/>
        </w:rPr>
      </w:pPr>
    </w:p>
    <w:p w14:paraId="22AEECD7" w14:textId="77777777" w:rsidR="004C3216" w:rsidRDefault="004C3216" w:rsidP="005811E2">
      <w:pPr>
        <w:spacing w:line="360" w:lineRule="auto"/>
        <w:ind w:left="516" w:right="426"/>
        <w:jc w:val="both"/>
        <w:rPr>
          <w:rtl/>
          <w:lang w:val="en-GB"/>
        </w:rPr>
      </w:pPr>
      <w:r>
        <w:rPr>
          <w:rtl/>
          <w:lang w:val="en-GB"/>
        </w:rPr>
        <w:t xml:space="preserve">מזרחית למתחם התגוררו הנאשמים 1 – 9 עם משפחותיהם. </w:t>
      </w:r>
    </w:p>
    <w:p w14:paraId="2BC0B5AB" w14:textId="77777777" w:rsidR="004C3216" w:rsidRDefault="004C3216" w:rsidP="005811E2">
      <w:pPr>
        <w:spacing w:line="360" w:lineRule="auto"/>
        <w:ind w:left="516" w:right="426"/>
        <w:jc w:val="both"/>
        <w:rPr>
          <w:rtl/>
          <w:lang w:val="en-GB"/>
        </w:rPr>
      </w:pPr>
    </w:p>
    <w:p w14:paraId="1B06387D"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lang w:val="en-GB"/>
        </w:rPr>
      </w:pPr>
      <w:r>
        <w:rPr>
          <w:rFonts w:ascii="David" w:hAnsi="David" w:cs="David"/>
          <w:sz w:val="24"/>
          <w:szCs w:val="24"/>
          <w:u w:val="single"/>
          <w:rtl/>
          <w:lang w:val="en-GB"/>
        </w:rPr>
        <w:t>אירוע מיום 14.7.17 (בוצע על ידי נאסים עודה אבו שנדי וכן הנאשמים 3 ו 5)</w:t>
      </w:r>
      <w:r>
        <w:rPr>
          <w:rFonts w:ascii="David" w:hAnsi="David" w:cs="David"/>
          <w:sz w:val="24"/>
          <w:szCs w:val="24"/>
          <w:rtl/>
          <w:lang w:val="en-GB"/>
        </w:rPr>
        <w:t xml:space="preserve"> – </w:t>
      </w:r>
      <w:r>
        <w:rPr>
          <w:rFonts w:ascii="Times New Roman" w:hAnsi="Times New Roman" w:cs="David"/>
          <w:sz w:val="24"/>
          <w:szCs w:val="24"/>
          <w:rtl/>
          <w:lang w:val="en-GB"/>
        </w:rPr>
        <w:t xml:space="preserve">בעקבות הסכסוך, ביום 14.7.2017, התרחש אירוע בעל אופי אלים מצד נאסים עודה אבו שנדי (בנו של נאשם 1; להלן: </w:t>
      </w:r>
      <w:r>
        <w:rPr>
          <w:rFonts w:ascii="Miriam" w:hAnsi="Miriam" w:cs="Miriam"/>
          <w:sz w:val="24"/>
          <w:szCs w:val="24"/>
          <w:rtl/>
          <w:lang w:val="en-GB"/>
        </w:rPr>
        <w:t>נאסים</w:t>
      </w:r>
      <w:r>
        <w:rPr>
          <w:rFonts w:ascii="Times New Roman" w:hAnsi="Times New Roman" w:cs="David"/>
          <w:sz w:val="24"/>
          <w:szCs w:val="24"/>
          <w:rtl/>
          <w:lang w:val="en-GB"/>
        </w:rPr>
        <w:t xml:space="preserve">) ומצד הנאשמים 3 וְ 5, כלפי נכדו של תורכי - רודא אבו שנדי, בעת שהאחרון הגיע לבקר את תורכי. </w:t>
      </w:r>
    </w:p>
    <w:p w14:paraId="58B1E54E" w14:textId="77777777" w:rsidR="004C3216" w:rsidRDefault="004C3216" w:rsidP="005811E2">
      <w:pPr>
        <w:pStyle w:val="ListParagraph"/>
        <w:spacing w:after="0" w:line="360" w:lineRule="auto"/>
        <w:ind w:left="516" w:right="426"/>
        <w:jc w:val="both"/>
        <w:rPr>
          <w:rFonts w:ascii="Times New Roman" w:hAnsi="Times New Roman" w:cs="David"/>
          <w:sz w:val="24"/>
          <w:szCs w:val="24"/>
          <w:lang w:val="en-GB"/>
        </w:rPr>
      </w:pPr>
    </w:p>
    <w:p w14:paraId="3BB6CFA2"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lang w:val="en-GB"/>
        </w:rPr>
      </w:pPr>
      <w:r>
        <w:rPr>
          <w:rFonts w:ascii="David" w:hAnsi="David" w:cs="David"/>
          <w:b/>
          <w:bCs/>
          <w:sz w:val="24"/>
          <w:szCs w:val="24"/>
          <w:u w:val="single"/>
          <w:rtl/>
          <w:lang w:val="en-GB"/>
        </w:rPr>
        <w:t>האירוע המקדים ביום האירוע - 17.7.17 (בוצע על ידי הנאשמים 10 עד 12) – ותוצאות ההליך כנגדם</w:t>
      </w:r>
      <w:r>
        <w:rPr>
          <w:rFonts w:ascii="David" w:hAnsi="David" w:cs="David"/>
          <w:sz w:val="24"/>
          <w:szCs w:val="24"/>
          <w:rtl/>
          <w:lang w:val="en-GB"/>
        </w:rPr>
        <w:t xml:space="preserve"> – </w:t>
      </w:r>
      <w:r>
        <w:rPr>
          <w:rFonts w:ascii="Times New Roman" w:hAnsi="Times New Roman" w:cs="David"/>
          <w:sz w:val="24"/>
          <w:szCs w:val="24"/>
          <w:rtl/>
          <w:lang w:val="en-GB"/>
        </w:rPr>
        <w:t xml:space="preserve">עובר ליום </w:t>
      </w:r>
      <w:r>
        <w:rPr>
          <w:rFonts w:ascii="Times New Roman" w:hAnsi="Times New Roman" w:cs="David"/>
          <w:b/>
          <w:bCs/>
          <w:sz w:val="24"/>
          <w:szCs w:val="24"/>
          <w:rtl/>
          <w:lang w:val="en-GB"/>
        </w:rPr>
        <w:t>17.7.2017</w:t>
      </w:r>
      <w:r>
        <w:rPr>
          <w:rFonts w:ascii="Times New Roman" w:hAnsi="Times New Roman" w:cs="David"/>
          <w:sz w:val="24"/>
          <w:szCs w:val="24"/>
          <w:rtl/>
          <w:lang w:val="en-GB"/>
        </w:rPr>
        <w:t xml:space="preserve"> בשעות הערב, קשרו הנאשמים 10 עד 12 קשר לחסום באמצעות רכבים את דרכו של נאסים, לפגוע ולחבול בו באמצעות ירי לעברו. [אעיר, כי נאסים הוא נכה המתנייד בכיסא גלגלים ורכב הפולקסוואגן שיוזכר להלן מותאם למגבלותיו]. במסגרת הקשר, הצטייד הנאשם 12 באקדח ובתחמושת. סמוך לשעה 21:20, הנאשמים 10 ו 11 נהגו בשני רכבים בכפר קרע בניסיון לאתר את הרכב מסוג פולקסוואגן בו נהג נאסים, לחסום את דרכו ולחבול בו (להלן: </w:t>
      </w:r>
      <w:r>
        <w:rPr>
          <w:rFonts w:ascii="Miriam" w:hAnsi="Miriam" w:cs="Miriam"/>
          <w:sz w:val="24"/>
          <w:szCs w:val="24"/>
          <w:rtl/>
          <w:lang w:val="en-GB"/>
        </w:rPr>
        <w:t>הפולקסוואגן</w:t>
      </w:r>
      <w:r>
        <w:rPr>
          <w:rFonts w:ascii="Times New Roman" w:hAnsi="Times New Roman" w:cs="David"/>
          <w:sz w:val="24"/>
          <w:szCs w:val="24"/>
          <w:rtl/>
          <w:lang w:val="en-GB"/>
        </w:rPr>
        <w:t xml:space="preserve">). הנאשם 11 נהג ברכב מסוג מזדה (להלן: </w:t>
      </w:r>
      <w:r>
        <w:rPr>
          <w:rFonts w:ascii="Miriam" w:hAnsi="Miriam" w:cs="Miriam"/>
          <w:sz w:val="24"/>
          <w:szCs w:val="24"/>
          <w:rtl/>
          <w:lang w:val="en-GB"/>
        </w:rPr>
        <w:t>המזדה</w:t>
      </w:r>
      <w:r>
        <w:rPr>
          <w:rFonts w:ascii="Times New Roman" w:hAnsi="Times New Roman" w:cs="David"/>
          <w:sz w:val="24"/>
          <w:szCs w:val="24"/>
          <w:rtl/>
          <w:lang w:val="en-GB"/>
        </w:rPr>
        <w:t xml:space="preserve">), והנאשם 10 נהג בג'יפ מסוג פג'ארו (להלן: </w:t>
      </w:r>
      <w:r>
        <w:rPr>
          <w:rFonts w:ascii="Miriam" w:hAnsi="Miriam" w:cs="Miriam"/>
          <w:sz w:val="24"/>
          <w:szCs w:val="24"/>
          <w:rtl/>
          <w:lang w:val="en-GB"/>
        </w:rPr>
        <w:t>הג'יפ</w:t>
      </w:r>
      <w:r>
        <w:rPr>
          <w:rFonts w:ascii="Times New Roman" w:hAnsi="Times New Roman" w:cs="David"/>
          <w:sz w:val="24"/>
          <w:szCs w:val="24"/>
          <w:rtl/>
          <w:lang w:val="en-GB"/>
        </w:rPr>
        <w:t xml:space="preserve">) ועמו נסע הנאשם 12. הנאשמים 10 עד 12 עקבו ברכבים, יחד עם אחרים, אחר הפולקסוואגן בו נסעו נאסים ואחיו, נדים בן עודה אבו שנדי (להלן: </w:t>
      </w:r>
      <w:r>
        <w:rPr>
          <w:rFonts w:ascii="Miriam" w:hAnsi="Miriam" w:cs="Miriam"/>
          <w:sz w:val="24"/>
          <w:szCs w:val="24"/>
          <w:rtl/>
          <w:lang w:val="en-GB"/>
        </w:rPr>
        <w:t>נדים</w:t>
      </w:r>
      <w:r>
        <w:rPr>
          <w:rFonts w:ascii="Times New Roman" w:hAnsi="Times New Roman" w:cs="David"/>
          <w:sz w:val="24"/>
          <w:szCs w:val="24"/>
          <w:rtl/>
          <w:lang w:val="en-GB"/>
        </w:rPr>
        <w:t xml:space="preserve">), וכן נימר (הנאשם 9). בשלב מסוים של הנסיעה והמעקב, ניסו הנאשמים 10 ו 12, באמצעות הג'יפ, לחסום את רכב הפולקסוואגן, ללא הצלחה. בהמשך, בכפר קרע, חסם הנאשם 11 באמצעות המזדה את דרכו של הפולקסוואגן. כתוצאה מכך התנגש הפולקסוואגן בקיר ונעצר. בשלב זה, ירד הנאשם 11 מהמזדה והנאשמים 10 ו 12 ירדו מהג'יפ. שלושת הנאשמים (10, 11 ו 12) תקפו את נאסים, נדים ואת נימר בידיהם, באמצעות צינור ברזל וכן ריססו לעברם חומר ממטף כיבוי אש שנטלו מהפולקסוואגן. בנוסף, הנאשם 12 ירה באמצעות האקדח בשתי רגליו של נאסים, תוך שהנאשם 11 צועק לעברו "תירה בו, תירה בו" וכתוצאה מכך נגרמו לנאסים פצעי ירי ברגליו. גם לנדים ונימר (הנאשם 9) נגרמו חבלות כתוצאה מהאלימות שהופעלה כלפיהם כאמור לעיל. </w:t>
      </w:r>
    </w:p>
    <w:p w14:paraId="6F483BB6" w14:textId="77777777" w:rsidR="004C3216" w:rsidRDefault="004C3216" w:rsidP="005811E2">
      <w:pPr>
        <w:pStyle w:val="ListParagraph"/>
        <w:spacing w:after="0" w:line="360" w:lineRule="auto"/>
        <w:ind w:left="516" w:right="426"/>
        <w:jc w:val="both"/>
        <w:rPr>
          <w:rFonts w:ascii="Times New Roman" w:hAnsi="Times New Roman" w:cs="David"/>
          <w:sz w:val="24"/>
          <w:szCs w:val="24"/>
          <w:lang w:val="en-GB"/>
        </w:rPr>
      </w:pPr>
    </w:p>
    <w:p w14:paraId="4127A85B"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Pr>
      </w:pPr>
      <w:r>
        <w:rPr>
          <w:rFonts w:ascii="Times New Roman" w:hAnsi="Times New Roman" w:cs="David"/>
          <w:sz w:val="24"/>
          <w:szCs w:val="24"/>
          <w:rtl/>
          <w:lang w:val="en-GB"/>
        </w:rPr>
        <w:t xml:space="preserve">כאמור, עניינם של הנאשמים 10 עד 12 הסתיים במחצית שנת 2018 לאחר שהודו בכתב אישום מתוקן. </w:t>
      </w:r>
      <w:r>
        <w:rPr>
          <w:rFonts w:ascii="Times New Roman" w:hAnsi="Times New Roman" w:cs="David"/>
          <w:sz w:val="24"/>
          <w:szCs w:val="24"/>
          <w:rtl/>
        </w:rPr>
        <w:t xml:space="preserve">הנאשמים 10 ו 11 הורשעו </w:t>
      </w:r>
      <w:r>
        <w:rPr>
          <w:rFonts w:ascii="Miriam" w:hAnsi="Miriam" w:cs="Miriam"/>
          <w:sz w:val="24"/>
          <w:szCs w:val="24"/>
          <w:rtl/>
        </w:rPr>
        <w:t>בפציעה בנסיבות מחמירות</w:t>
      </w:r>
      <w:r>
        <w:rPr>
          <w:rFonts w:ascii="Times New Roman" w:hAnsi="Times New Roman" w:cs="David"/>
          <w:sz w:val="24"/>
          <w:szCs w:val="24"/>
          <w:rtl/>
        </w:rPr>
        <w:t xml:space="preserve">, לפי </w:t>
      </w:r>
      <w:hyperlink r:id="rId38" w:history="1">
        <w:r w:rsidR="005948C0" w:rsidRPr="005948C0">
          <w:rPr>
            <w:rFonts w:ascii="Times New Roman" w:hAnsi="Times New Roman" w:cs="David"/>
            <w:color w:val="0000FF"/>
            <w:sz w:val="24"/>
            <w:szCs w:val="24"/>
            <w:u w:val="single"/>
            <w:rtl/>
          </w:rPr>
          <w:t>ס' 334</w:t>
        </w:r>
      </w:hyperlink>
      <w:r>
        <w:rPr>
          <w:rFonts w:ascii="Times New Roman" w:hAnsi="Times New Roman" w:cs="David"/>
          <w:sz w:val="24"/>
          <w:szCs w:val="24"/>
          <w:rtl/>
        </w:rPr>
        <w:t xml:space="preserve"> + </w:t>
      </w:r>
      <w:hyperlink r:id="rId39" w:history="1">
        <w:r w:rsidR="005948C0" w:rsidRPr="005948C0">
          <w:rPr>
            <w:rFonts w:ascii="Times New Roman" w:hAnsi="Times New Roman" w:cs="David"/>
            <w:color w:val="0000FF"/>
            <w:sz w:val="24"/>
            <w:szCs w:val="24"/>
            <w:u w:val="single"/>
            <w:rtl/>
          </w:rPr>
          <w:t>335</w:t>
        </w:r>
      </w:hyperlink>
      <w:r>
        <w:rPr>
          <w:rFonts w:ascii="Times New Roman" w:hAnsi="Times New Roman" w:cs="David"/>
          <w:sz w:val="24"/>
          <w:szCs w:val="24"/>
          <w:rtl/>
        </w:rPr>
        <w:t xml:space="preserve"> + </w:t>
      </w:r>
      <w:hyperlink r:id="rId40" w:history="1">
        <w:r w:rsidR="005948C0" w:rsidRPr="005948C0">
          <w:rPr>
            <w:rFonts w:ascii="Times New Roman" w:hAnsi="Times New Roman" w:cs="David"/>
            <w:color w:val="0000FF"/>
            <w:sz w:val="24"/>
            <w:szCs w:val="24"/>
            <w:u w:val="single"/>
            <w:rtl/>
          </w:rPr>
          <w:t>29</w:t>
        </w:r>
      </w:hyperlink>
      <w:r>
        <w:rPr>
          <w:rFonts w:ascii="Times New Roman" w:hAnsi="Times New Roman" w:cs="David"/>
          <w:sz w:val="24"/>
          <w:szCs w:val="24"/>
          <w:rtl/>
        </w:rPr>
        <w:t xml:space="preserve"> לחוק (ביחס לפציעתו של נדים) </w:t>
      </w:r>
      <w:r>
        <w:rPr>
          <w:rFonts w:ascii="Miriam" w:hAnsi="Miriam" w:cs="Miriam"/>
          <w:sz w:val="24"/>
          <w:szCs w:val="24"/>
          <w:rtl/>
        </w:rPr>
        <w:t>ותקיפה הגורמת חבלה ממשית בנסיבות מחמירות,</w:t>
      </w:r>
      <w:r>
        <w:rPr>
          <w:rFonts w:ascii="Times New Roman" w:hAnsi="Times New Roman" w:cs="David"/>
          <w:sz w:val="24"/>
          <w:szCs w:val="24"/>
          <w:rtl/>
        </w:rPr>
        <w:t xml:space="preserve"> לפי </w:t>
      </w:r>
      <w:hyperlink r:id="rId41" w:history="1">
        <w:r w:rsidR="005948C0" w:rsidRPr="005948C0">
          <w:rPr>
            <w:rFonts w:ascii="Times New Roman" w:hAnsi="Times New Roman" w:cs="David"/>
            <w:color w:val="0000FF"/>
            <w:sz w:val="24"/>
            <w:szCs w:val="24"/>
            <w:u w:val="single"/>
            <w:rtl/>
          </w:rPr>
          <w:t>ס' 380(א)</w:t>
        </w:r>
      </w:hyperlink>
      <w:r>
        <w:rPr>
          <w:rFonts w:ascii="Times New Roman" w:hAnsi="Times New Roman" w:cs="David"/>
          <w:sz w:val="24"/>
          <w:szCs w:val="24"/>
          <w:rtl/>
        </w:rPr>
        <w:t xml:space="preserve"> + </w:t>
      </w:r>
      <w:hyperlink r:id="rId42" w:history="1">
        <w:r w:rsidR="005948C0" w:rsidRPr="005948C0">
          <w:rPr>
            <w:rFonts w:ascii="Times New Roman" w:hAnsi="Times New Roman" w:cs="David"/>
            <w:color w:val="0000FF"/>
            <w:sz w:val="24"/>
            <w:szCs w:val="24"/>
            <w:u w:val="single"/>
            <w:rtl/>
          </w:rPr>
          <w:t>382</w:t>
        </w:r>
      </w:hyperlink>
      <w:r>
        <w:rPr>
          <w:rFonts w:ascii="Times New Roman" w:hAnsi="Times New Roman" w:cs="David"/>
          <w:sz w:val="24"/>
          <w:szCs w:val="24"/>
          <w:rtl/>
        </w:rPr>
        <w:t xml:space="preserve"> + </w:t>
      </w:r>
      <w:hyperlink r:id="rId43" w:history="1">
        <w:r w:rsidR="005948C0" w:rsidRPr="005948C0">
          <w:rPr>
            <w:rFonts w:ascii="Times New Roman" w:hAnsi="Times New Roman" w:cs="David"/>
            <w:color w:val="0000FF"/>
            <w:sz w:val="24"/>
            <w:szCs w:val="24"/>
            <w:u w:val="single"/>
            <w:rtl/>
          </w:rPr>
          <w:t>29</w:t>
        </w:r>
      </w:hyperlink>
      <w:r>
        <w:rPr>
          <w:rFonts w:ascii="Times New Roman" w:hAnsi="Times New Roman" w:cs="David"/>
          <w:sz w:val="24"/>
          <w:szCs w:val="24"/>
          <w:rtl/>
        </w:rPr>
        <w:t xml:space="preserve"> לחוק (ביחס לחבלה שנגרמה לנאשם 9). בנוסף, הנאשם 11 הורשע בעבירה של </w:t>
      </w:r>
      <w:r>
        <w:rPr>
          <w:rFonts w:ascii="Miriam" w:hAnsi="Miriam" w:cs="Miriam"/>
          <w:sz w:val="24"/>
          <w:szCs w:val="24"/>
          <w:rtl/>
        </w:rPr>
        <w:t>שידול לגרימת חבלה חמורה בנסיבות מחמירות באמצעות ירי,</w:t>
      </w:r>
      <w:r>
        <w:rPr>
          <w:rFonts w:ascii="Times New Roman" w:hAnsi="Times New Roman" w:cs="David"/>
          <w:sz w:val="24"/>
          <w:szCs w:val="24"/>
          <w:rtl/>
        </w:rPr>
        <w:t xml:space="preserve"> לפי </w:t>
      </w:r>
      <w:hyperlink r:id="rId44" w:history="1">
        <w:r w:rsidR="005948C0" w:rsidRPr="005948C0">
          <w:rPr>
            <w:rFonts w:ascii="Times New Roman" w:hAnsi="Times New Roman" w:cs="David"/>
            <w:color w:val="0000FF"/>
            <w:sz w:val="24"/>
            <w:szCs w:val="24"/>
            <w:u w:val="single"/>
            <w:rtl/>
          </w:rPr>
          <w:t>ס' 30</w:t>
        </w:r>
      </w:hyperlink>
      <w:r>
        <w:rPr>
          <w:rFonts w:ascii="Times New Roman" w:hAnsi="Times New Roman" w:cs="David"/>
          <w:sz w:val="24"/>
          <w:szCs w:val="24"/>
          <w:rtl/>
        </w:rPr>
        <w:t xml:space="preserve"> + </w:t>
      </w:r>
      <w:hyperlink r:id="rId45" w:history="1">
        <w:r w:rsidR="005948C0" w:rsidRPr="005948C0">
          <w:rPr>
            <w:rStyle w:val="Hyperlink"/>
            <w:rFonts w:ascii="Times New Roman" w:hAnsi="Times New Roman" w:cs="David"/>
            <w:sz w:val="24"/>
            <w:szCs w:val="24"/>
            <w:rtl/>
          </w:rPr>
          <w:t>333</w:t>
        </w:r>
      </w:hyperlink>
      <w:r>
        <w:rPr>
          <w:rFonts w:ascii="Times New Roman" w:hAnsi="Times New Roman" w:cs="David"/>
          <w:sz w:val="24"/>
          <w:szCs w:val="24"/>
          <w:rtl/>
        </w:rPr>
        <w:t xml:space="preserve">+ </w:t>
      </w:r>
      <w:hyperlink r:id="rId46" w:history="1">
        <w:r w:rsidR="005948C0" w:rsidRPr="005948C0">
          <w:rPr>
            <w:rFonts w:ascii="Times New Roman" w:hAnsi="Times New Roman" w:cs="David"/>
            <w:color w:val="0000FF"/>
            <w:sz w:val="24"/>
            <w:szCs w:val="24"/>
            <w:u w:val="single"/>
            <w:rtl/>
          </w:rPr>
          <w:t>335</w:t>
        </w:r>
      </w:hyperlink>
      <w:r>
        <w:rPr>
          <w:rFonts w:ascii="Times New Roman" w:hAnsi="Times New Roman" w:cs="David"/>
          <w:sz w:val="24"/>
          <w:szCs w:val="24"/>
          <w:rtl/>
        </w:rPr>
        <w:t xml:space="preserve"> לחוק, וזאת בהקשר לשידול לירי לעבר נאסים. הנאשם 12 הורשע </w:t>
      </w:r>
      <w:r>
        <w:rPr>
          <w:rFonts w:ascii="Miriam" w:hAnsi="Miriam" w:cs="Miriam"/>
          <w:sz w:val="24"/>
          <w:szCs w:val="24"/>
          <w:rtl/>
        </w:rPr>
        <w:t>בהחזקת ונשיאת נשק</w:t>
      </w:r>
      <w:r>
        <w:rPr>
          <w:rFonts w:ascii="Times New Roman" w:hAnsi="Times New Roman" w:cs="David"/>
          <w:sz w:val="24"/>
          <w:szCs w:val="24"/>
          <w:rtl/>
        </w:rPr>
        <w:t xml:space="preserve">, לפי </w:t>
      </w:r>
      <w:hyperlink r:id="rId47" w:history="1">
        <w:r w:rsidR="005948C0" w:rsidRPr="005948C0">
          <w:rPr>
            <w:rFonts w:ascii="Times New Roman" w:hAnsi="Times New Roman" w:cs="David"/>
            <w:color w:val="0000FF"/>
            <w:sz w:val="24"/>
            <w:szCs w:val="24"/>
            <w:u w:val="single"/>
            <w:rtl/>
          </w:rPr>
          <w:t>ס' 144(א)</w:t>
        </w:r>
      </w:hyperlink>
      <w:r>
        <w:rPr>
          <w:rFonts w:ascii="Times New Roman" w:hAnsi="Times New Roman" w:cs="David"/>
          <w:sz w:val="24"/>
          <w:szCs w:val="24"/>
          <w:rtl/>
        </w:rPr>
        <w:t xml:space="preserve"> ו </w:t>
      </w:r>
      <w:hyperlink r:id="rId48" w:history="1">
        <w:r w:rsidR="005948C0" w:rsidRPr="005948C0">
          <w:rPr>
            <w:rFonts w:ascii="Times New Roman" w:hAnsi="Times New Roman" w:cs="David"/>
            <w:color w:val="0000FF"/>
            <w:sz w:val="24"/>
            <w:szCs w:val="24"/>
            <w:u w:val="single"/>
            <w:rtl/>
          </w:rPr>
          <w:t>(ב)</w:t>
        </w:r>
      </w:hyperlink>
      <w:r>
        <w:rPr>
          <w:rFonts w:ascii="Times New Roman" w:hAnsi="Times New Roman" w:cs="David"/>
          <w:sz w:val="24"/>
          <w:szCs w:val="24"/>
          <w:rtl/>
        </w:rPr>
        <w:t xml:space="preserve">, רישא וסיפא לחוק </w:t>
      </w:r>
      <w:r>
        <w:rPr>
          <w:rFonts w:ascii="Miriam" w:hAnsi="Miriam" w:cs="Miriam"/>
          <w:sz w:val="24"/>
          <w:szCs w:val="24"/>
          <w:rtl/>
        </w:rPr>
        <w:t>וחבלה בכוונה מחמירה</w:t>
      </w:r>
      <w:r>
        <w:rPr>
          <w:rFonts w:ascii="Times New Roman" w:hAnsi="Times New Roman" w:cs="David"/>
          <w:sz w:val="24"/>
          <w:szCs w:val="24"/>
          <w:rtl/>
        </w:rPr>
        <w:t xml:space="preserve">, לפי </w:t>
      </w:r>
      <w:hyperlink r:id="rId49" w:history="1">
        <w:r w:rsidR="005948C0" w:rsidRPr="005948C0">
          <w:rPr>
            <w:rFonts w:ascii="Times New Roman" w:hAnsi="Times New Roman" w:cs="David"/>
            <w:color w:val="0000FF"/>
            <w:sz w:val="24"/>
            <w:szCs w:val="24"/>
            <w:u w:val="single"/>
            <w:rtl/>
          </w:rPr>
          <w:t>ס' 329(א)(1)</w:t>
        </w:r>
      </w:hyperlink>
      <w:r>
        <w:rPr>
          <w:rFonts w:ascii="Times New Roman" w:hAnsi="Times New Roman" w:cs="David"/>
          <w:sz w:val="24"/>
          <w:szCs w:val="24"/>
          <w:rtl/>
        </w:rPr>
        <w:t xml:space="preserve"> לחוק. </w:t>
      </w:r>
    </w:p>
    <w:p w14:paraId="297292FC" w14:textId="77777777" w:rsidR="004C3216" w:rsidRDefault="004C3216" w:rsidP="005811E2">
      <w:pPr>
        <w:pStyle w:val="ListParagraph"/>
        <w:spacing w:after="0" w:line="360" w:lineRule="auto"/>
        <w:ind w:left="516" w:right="426"/>
        <w:rPr>
          <w:rFonts w:ascii="Times New Roman" w:hAnsi="Times New Roman" w:cs="David"/>
          <w:sz w:val="24"/>
          <w:szCs w:val="24"/>
        </w:rPr>
      </w:pPr>
    </w:p>
    <w:p w14:paraId="2B7DA4EA"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על הנאשם 10 נגזרו </w:t>
      </w:r>
      <w:r>
        <w:rPr>
          <w:rFonts w:ascii="Times New Roman" w:hAnsi="Times New Roman" w:cs="David"/>
          <w:sz w:val="24"/>
          <w:szCs w:val="24"/>
          <w:u w:val="single"/>
          <w:rtl/>
        </w:rPr>
        <w:t>5 חודשי מאסר לריצוי בעבודות שירות</w:t>
      </w:r>
      <w:r>
        <w:rPr>
          <w:rFonts w:ascii="Times New Roman" w:hAnsi="Times New Roman" w:cs="David"/>
          <w:sz w:val="24"/>
          <w:szCs w:val="24"/>
          <w:rtl/>
        </w:rPr>
        <w:t xml:space="preserve"> ורכיבי ענישה נוספים; </w:t>
      </w:r>
    </w:p>
    <w:p w14:paraId="0E2C76E8" w14:textId="77777777" w:rsidR="004C3216" w:rsidRDefault="004C3216" w:rsidP="005811E2">
      <w:pPr>
        <w:spacing w:line="360" w:lineRule="auto"/>
        <w:ind w:left="516" w:right="426"/>
        <w:jc w:val="both"/>
        <w:rPr>
          <w:rtl/>
        </w:rPr>
      </w:pPr>
      <w:r>
        <w:rPr>
          <w:rtl/>
        </w:rPr>
        <w:t xml:space="preserve">על הנאשם 11 נגזרו </w:t>
      </w:r>
      <w:r>
        <w:rPr>
          <w:u w:val="single"/>
          <w:rtl/>
        </w:rPr>
        <w:t>3 שנות מאסר בפועל</w:t>
      </w:r>
      <w:r>
        <w:rPr>
          <w:rtl/>
        </w:rPr>
        <w:t xml:space="preserve"> ורכיבי ענישה נוספים; </w:t>
      </w:r>
    </w:p>
    <w:p w14:paraId="5ADA6A36" w14:textId="77777777" w:rsidR="004C3216" w:rsidRDefault="004C3216" w:rsidP="005811E2">
      <w:pPr>
        <w:spacing w:line="360" w:lineRule="auto"/>
        <w:ind w:left="516" w:right="426"/>
        <w:jc w:val="both"/>
        <w:rPr>
          <w:rtl/>
        </w:rPr>
      </w:pPr>
      <w:r>
        <w:rPr>
          <w:rtl/>
        </w:rPr>
        <w:t xml:space="preserve">ואילו על הנאשם 12 נגזרו </w:t>
      </w:r>
      <w:r>
        <w:rPr>
          <w:u w:val="single"/>
          <w:rtl/>
        </w:rPr>
        <w:t>5.5 שנות מאסר בפועל</w:t>
      </w:r>
      <w:r>
        <w:rPr>
          <w:rtl/>
        </w:rPr>
        <w:t xml:space="preserve"> ורכיבי ענישה נוספים.</w:t>
      </w:r>
    </w:p>
    <w:p w14:paraId="082981D9" w14:textId="77777777" w:rsidR="004C3216" w:rsidRDefault="004C3216" w:rsidP="005811E2">
      <w:pPr>
        <w:spacing w:line="360" w:lineRule="auto"/>
        <w:ind w:left="516" w:right="426"/>
        <w:jc w:val="both"/>
        <w:rPr>
          <w:rtl/>
          <w:lang w:val="en-GB"/>
        </w:rPr>
      </w:pPr>
      <w:r>
        <w:rPr>
          <w:rtl/>
          <w:lang w:val="en-GB"/>
        </w:rPr>
        <w:t>האירוע לעיל היווה, כאמור, הרקע לאירוע האלים שעליו נסוב גזר הדין.</w:t>
      </w:r>
    </w:p>
    <w:p w14:paraId="3B670859" w14:textId="77777777" w:rsidR="004C3216" w:rsidRDefault="004C3216" w:rsidP="005811E2">
      <w:pPr>
        <w:spacing w:line="360" w:lineRule="auto"/>
        <w:ind w:left="516" w:right="426"/>
        <w:jc w:val="both"/>
        <w:rPr>
          <w:rtl/>
          <w:lang w:val="en-GB"/>
        </w:rPr>
      </w:pPr>
    </w:p>
    <w:p w14:paraId="7AB7FFBE" w14:textId="77777777" w:rsidR="004C3216" w:rsidRDefault="004C3216" w:rsidP="005811E2">
      <w:pPr>
        <w:pStyle w:val="ListParagraph"/>
        <w:numPr>
          <w:ilvl w:val="0"/>
          <w:numId w:val="6"/>
        </w:numPr>
        <w:spacing w:after="0" w:line="360" w:lineRule="auto"/>
        <w:ind w:left="516" w:right="426"/>
        <w:jc w:val="both"/>
        <w:rPr>
          <w:rFonts w:ascii="Times New Roman" w:hAnsi="Times New Roman" w:cs="David"/>
          <w:sz w:val="24"/>
          <w:szCs w:val="24"/>
          <w:rtl/>
          <w:lang w:val="en-GB"/>
        </w:rPr>
      </w:pPr>
      <w:r>
        <w:rPr>
          <w:rFonts w:ascii="David" w:hAnsi="David" w:cs="David"/>
          <w:b/>
          <w:bCs/>
          <w:sz w:val="24"/>
          <w:szCs w:val="24"/>
          <w:u w:val="single"/>
          <w:rtl/>
          <w:lang w:val="en-GB"/>
        </w:rPr>
        <w:t>האירוע המיוחס לנאשמים 1 עד 9</w:t>
      </w:r>
      <w:r>
        <w:rPr>
          <w:rFonts w:ascii="Miriam" w:hAnsi="Miriam" w:cs="Miriam"/>
          <w:sz w:val="24"/>
          <w:szCs w:val="24"/>
          <w:rtl/>
          <w:lang w:val="en-GB"/>
        </w:rPr>
        <w:t xml:space="preserve"> - </w:t>
      </w:r>
      <w:r>
        <w:rPr>
          <w:rFonts w:ascii="Times New Roman" w:hAnsi="Times New Roman" w:cs="David"/>
          <w:sz w:val="24"/>
          <w:szCs w:val="24"/>
          <w:rtl/>
          <w:lang w:val="en-GB"/>
        </w:rPr>
        <w:t xml:space="preserve">המשכו של כתב האישום מתייחס לאירועים שהתרחשו בעקבות המתואר לעיל ומיוחס לנאשמים 1 עד 9. </w:t>
      </w:r>
    </w:p>
    <w:p w14:paraId="7FDB0BD0" w14:textId="77777777" w:rsidR="004C3216" w:rsidRDefault="004C3216" w:rsidP="005811E2">
      <w:pPr>
        <w:spacing w:line="360" w:lineRule="auto"/>
        <w:ind w:left="516" w:right="426"/>
        <w:jc w:val="both"/>
        <w:rPr>
          <w:rtl/>
          <w:lang w:val="en-GB"/>
        </w:rPr>
      </w:pPr>
    </w:p>
    <w:p w14:paraId="11612B11" w14:textId="77777777" w:rsidR="004C3216" w:rsidRDefault="004C3216" w:rsidP="005811E2">
      <w:pPr>
        <w:spacing w:line="360" w:lineRule="auto"/>
        <w:ind w:left="516" w:right="426"/>
        <w:jc w:val="both"/>
        <w:rPr>
          <w:rtl/>
          <w:lang w:val="en-GB"/>
        </w:rPr>
      </w:pPr>
      <w:r>
        <w:rPr>
          <w:rtl/>
          <w:lang w:val="en-GB"/>
        </w:rPr>
        <w:t xml:space="preserve">לאחר שנאסים, נדים ונימר (הנאשם 9) הותקפו כאמור לעיל, הם דיווחו אודות שהתרחש לבני משפחתם. תוך זמן קצר הגיע הנאשם 4 למקום ופינה את השלושה באמצעות רכבו למרכז הרפואי בכפר קרע. </w:t>
      </w:r>
    </w:p>
    <w:p w14:paraId="57BDF26E" w14:textId="77777777" w:rsidR="004C3216" w:rsidRDefault="004C3216" w:rsidP="005811E2">
      <w:pPr>
        <w:spacing w:line="360" w:lineRule="auto"/>
        <w:ind w:left="516" w:right="426"/>
        <w:jc w:val="both"/>
        <w:rPr>
          <w:rtl/>
          <w:lang w:val="en-GB"/>
        </w:rPr>
      </w:pPr>
    </w:p>
    <w:p w14:paraId="2D0A5C33" w14:textId="77777777" w:rsidR="004C3216" w:rsidRDefault="004C3216" w:rsidP="005811E2">
      <w:pPr>
        <w:spacing w:line="360" w:lineRule="auto"/>
        <w:ind w:left="516" w:right="426"/>
        <w:jc w:val="both"/>
        <w:rPr>
          <w:rtl/>
          <w:lang w:val="en-GB"/>
        </w:rPr>
      </w:pPr>
      <w:r>
        <w:rPr>
          <w:rtl/>
          <w:lang w:val="en-GB"/>
        </w:rPr>
        <w:t xml:space="preserve">בסביבות השעה 21:30 הגיעו הנאשמים 1 עד 3 ו 5 עד 9 למרכז הרפואי בכפר קרע יחד עם אחרים. במקום שהו נאסים ונדים יחד עם הנאשם 4. </w:t>
      </w:r>
    </w:p>
    <w:p w14:paraId="017FDC22" w14:textId="77777777" w:rsidR="004C3216" w:rsidRDefault="004C3216" w:rsidP="005811E2">
      <w:pPr>
        <w:spacing w:line="360" w:lineRule="auto"/>
        <w:ind w:left="516" w:right="426"/>
        <w:jc w:val="both"/>
        <w:rPr>
          <w:rtl/>
          <w:lang w:val="en-GB"/>
        </w:rPr>
      </w:pPr>
    </w:p>
    <w:p w14:paraId="212CC265" w14:textId="77777777" w:rsidR="004C3216" w:rsidRDefault="004C3216" w:rsidP="005811E2">
      <w:pPr>
        <w:spacing w:line="360" w:lineRule="auto"/>
        <w:ind w:left="516" w:right="426"/>
        <w:jc w:val="both"/>
        <w:rPr>
          <w:b/>
          <w:bCs/>
          <w:rtl/>
          <w:lang w:val="en-GB"/>
        </w:rPr>
      </w:pPr>
      <w:r>
        <w:rPr>
          <w:rtl/>
          <w:lang w:val="en-GB"/>
        </w:rPr>
        <w:t xml:space="preserve">סמוך לאחר הגעת הנאשמים 1 עד 9 למרכז הרפואי, </w:t>
      </w:r>
      <w:r>
        <w:rPr>
          <w:b/>
          <w:bCs/>
          <w:u w:val="single"/>
          <w:rtl/>
          <w:lang w:val="en-GB"/>
        </w:rPr>
        <w:t>סיכמו הנאשמים 2 עד 9 לנקום בבני משפחת תורכי על הפגיעה בנאסים, נדים והנאשם 9 ולירות באמצעות מספר כלי נשק על המתחם ועל המתגוררים בו ולפגוע בהם</w:t>
      </w:r>
      <w:r>
        <w:rPr>
          <w:b/>
          <w:bCs/>
          <w:rtl/>
          <w:lang w:val="en-GB"/>
        </w:rPr>
        <w:t xml:space="preserve">. </w:t>
      </w:r>
    </w:p>
    <w:p w14:paraId="4D2A5F74" w14:textId="77777777" w:rsidR="004C3216" w:rsidRDefault="004C3216" w:rsidP="005811E2">
      <w:pPr>
        <w:spacing w:line="360" w:lineRule="auto"/>
        <w:ind w:left="516" w:right="426"/>
        <w:jc w:val="both"/>
        <w:rPr>
          <w:rtl/>
          <w:lang w:val="en-GB"/>
        </w:rPr>
      </w:pPr>
    </w:p>
    <w:p w14:paraId="6D9CC469" w14:textId="77777777" w:rsidR="004C3216" w:rsidRDefault="004C3216" w:rsidP="005811E2">
      <w:pPr>
        <w:spacing w:line="360" w:lineRule="auto"/>
        <w:ind w:left="516" w:right="426"/>
        <w:jc w:val="both"/>
        <w:rPr>
          <w:b/>
          <w:bCs/>
          <w:rtl/>
          <w:lang w:val="en-GB"/>
        </w:rPr>
      </w:pPr>
      <w:r>
        <w:rPr>
          <w:b/>
          <w:bCs/>
          <w:rtl/>
          <w:lang w:val="en-GB"/>
        </w:rPr>
        <w:t>במהלך המתואר לעיל, הנאשם 1 דרש, הורה ושידל את הנאשמים 2 עד 9 להגיע לשכונה ולפצוע בצוותא את כולם.</w:t>
      </w:r>
    </w:p>
    <w:p w14:paraId="3227DB71" w14:textId="77777777" w:rsidR="004C3216" w:rsidRDefault="004C3216" w:rsidP="005811E2">
      <w:pPr>
        <w:spacing w:line="360" w:lineRule="auto"/>
        <w:ind w:left="516" w:right="426"/>
        <w:jc w:val="both"/>
        <w:rPr>
          <w:rtl/>
          <w:lang w:val="en-GB"/>
        </w:rPr>
      </w:pPr>
    </w:p>
    <w:p w14:paraId="3E1A5C16" w14:textId="77777777" w:rsidR="004C3216" w:rsidRDefault="004C3216" w:rsidP="005811E2">
      <w:pPr>
        <w:spacing w:line="360" w:lineRule="auto"/>
        <w:ind w:left="516" w:right="426"/>
        <w:jc w:val="both"/>
        <w:rPr>
          <w:b/>
          <w:bCs/>
          <w:rtl/>
          <w:lang w:val="en-GB"/>
        </w:rPr>
      </w:pPr>
      <w:r>
        <w:rPr>
          <w:b/>
          <w:bCs/>
          <w:rtl/>
          <w:lang w:val="en-GB"/>
        </w:rPr>
        <w:t xml:space="preserve">במסגרת הסיכום לעיל, הנאשמים 2, 3, 6, 7 ו 8, וכן אחרים, </w:t>
      </w:r>
      <w:r>
        <w:rPr>
          <w:b/>
          <w:bCs/>
          <w:u w:val="single"/>
          <w:rtl/>
          <w:lang w:val="en-GB"/>
        </w:rPr>
        <w:t>הובילו ונשאו 6 כלי נשק לכל הפחות, בהם 4 אקדחים ושני תתי מקלע מאולתרים וכן תחמושת לכלי הנשק, כאשר כל אחד מהם החזיק הוביל ונשא נשק אחד מתוך הנשקים הנ"ל</w:t>
      </w:r>
      <w:r>
        <w:rPr>
          <w:b/>
          <w:bCs/>
          <w:rtl/>
          <w:lang w:val="en-GB"/>
        </w:rPr>
        <w:t xml:space="preserve">. </w:t>
      </w:r>
      <w:r>
        <w:rPr>
          <w:rFonts w:ascii="David" w:hAnsi="David"/>
          <w:b/>
          <w:bCs/>
          <w:rtl/>
        </w:rPr>
        <w:t>במסגרת הסדר הטיעון הובהר כי המאשימה לא תטען כי מי מהנאשמים לעיל החזיק ביותר מנשק אחד, גם לא קונסטרוקטיבית.</w:t>
      </w:r>
    </w:p>
    <w:p w14:paraId="144B9043" w14:textId="77777777" w:rsidR="004C3216" w:rsidRDefault="004C3216" w:rsidP="005811E2">
      <w:pPr>
        <w:spacing w:line="360" w:lineRule="auto"/>
        <w:ind w:left="516" w:right="426"/>
        <w:jc w:val="both"/>
        <w:rPr>
          <w:rtl/>
          <w:lang w:val="en-GB"/>
        </w:rPr>
      </w:pPr>
    </w:p>
    <w:p w14:paraId="31EA0CC5" w14:textId="77777777" w:rsidR="004C3216" w:rsidRDefault="004C3216" w:rsidP="005811E2">
      <w:pPr>
        <w:spacing w:line="360" w:lineRule="auto"/>
        <w:ind w:left="516" w:right="426"/>
        <w:jc w:val="both"/>
        <w:rPr>
          <w:b/>
          <w:bCs/>
          <w:rtl/>
          <w:lang w:val="en-GB"/>
        </w:rPr>
      </w:pPr>
      <w:r>
        <w:rPr>
          <w:b/>
          <w:bCs/>
          <w:rtl/>
          <w:lang w:val="en-GB"/>
        </w:rPr>
        <w:t xml:space="preserve">הנאשמים 4 ו 9 </w:t>
      </w:r>
      <w:r>
        <w:rPr>
          <w:b/>
          <w:bCs/>
          <w:u w:val="single"/>
          <w:rtl/>
          <w:lang w:val="en-GB"/>
        </w:rPr>
        <w:t>סייעו</w:t>
      </w:r>
      <w:r>
        <w:rPr>
          <w:b/>
          <w:bCs/>
          <w:rtl/>
          <w:lang w:val="en-GB"/>
        </w:rPr>
        <w:t xml:space="preserve"> לשאר הנאשמים בהחזקת כלי הנשק והתחמושת בעצם הגעתם המשותפת עמם לזירה, בחיזוק ידיהם ואבטחת מעשיהם. </w:t>
      </w:r>
    </w:p>
    <w:p w14:paraId="7AF89E68" w14:textId="77777777" w:rsidR="004C3216" w:rsidRDefault="004C3216" w:rsidP="005811E2">
      <w:pPr>
        <w:spacing w:line="360" w:lineRule="auto"/>
        <w:ind w:left="516" w:right="426"/>
        <w:jc w:val="both"/>
        <w:rPr>
          <w:rFonts w:ascii="David" w:hAnsi="David"/>
          <w:rtl/>
        </w:rPr>
      </w:pPr>
    </w:p>
    <w:p w14:paraId="2EE1E881" w14:textId="77777777" w:rsidR="004C3216" w:rsidRDefault="004C3216" w:rsidP="005811E2">
      <w:pPr>
        <w:spacing w:line="360" w:lineRule="auto"/>
        <w:ind w:left="516" w:right="426"/>
        <w:jc w:val="both"/>
        <w:rPr>
          <w:b/>
          <w:bCs/>
          <w:rtl/>
          <w:lang w:val="en-GB"/>
        </w:rPr>
      </w:pPr>
      <w:r>
        <w:rPr>
          <w:b/>
          <w:bCs/>
          <w:rtl/>
          <w:lang w:val="en-GB"/>
        </w:rPr>
        <w:t xml:space="preserve">בסביבות השעה 21:40 הגיעו הנאשמים 1 עד 9 למתחם, בו שהו אותה עת המנוחה, פריד ומוסטפא עם נשותיהם וילדיהם. </w:t>
      </w:r>
      <w:r>
        <w:rPr>
          <w:b/>
          <w:bCs/>
          <w:u w:val="single"/>
          <w:rtl/>
          <w:lang w:val="en-GB"/>
        </w:rPr>
        <w:t>הנאשמים 2 עד 9 צרו בצוותא חדא על המתחם, התמקמו במקומות שונים ומשתנים סביב המתחם. כתב האישום פירט את מעשיו של כל נאשם ואת העבירות בהן הורשע:</w:t>
      </w:r>
    </w:p>
    <w:p w14:paraId="2BA165EC" w14:textId="77777777" w:rsidR="004C3216" w:rsidRDefault="004C3216" w:rsidP="005811E2">
      <w:pPr>
        <w:spacing w:line="360" w:lineRule="auto"/>
        <w:ind w:left="1083" w:right="426"/>
        <w:jc w:val="both"/>
        <w:rPr>
          <w:rtl/>
          <w:lang w:val="en-GB"/>
        </w:rPr>
      </w:pPr>
    </w:p>
    <w:p w14:paraId="69CFC607" w14:textId="77777777" w:rsidR="004C3216" w:rsidRDefault="004C3216" w:rsidP="005811E2">
      <w:pPr>
        <w:spacing w:line="360" w:lineRule="auto"/>
        <w:ind w:left="1083" w:right="426" w:hanging="360"/>
        <w:jc w:val="both"/>
        <w:rPr>
          <w:b/>
          <w:bCs/>
          <w:rtl/>
          <w:lang w:val="en-GB"/>
        </w:rPr>
      </w:pPr>
      <w:r>
        <w:rPr>
          <w:rtl/>
          <w:lang w:val="en-GB"/>
        </w:rPr>
        <w:t>(-)</w:t>
      </w:r>
      <w:r>
        <w:rPr>
          <w:rtl/>
          <w:lang w:val="en-GB"/>
        </w:rPr>
        <w:tab/>
      </w:r>
      <w:r>
        <w:rPr>
          <w:b/>
          <w:bCs/>
          <w:u w:val="single"/>
          <w:rtl/>
          <w:lang w:val="en-GB"/>
        </w:rPr>
        <w:t>הנאשם 3</w:t>
      </w:r>
      <w:r>
        <w:rPr>
          <w:b/>
          <w:bCs/>
          <w:rtl/>
          <w:lang w:val="en-GB"/>
        </w:rPr>
        <w:t xml:space="preserve"> נכנס לתוך חצר המתחם וירה משם באמצעות הנשק שנשא לעבר בתיהם של המנוחה, פריד ומוסטפא, בכוונה לפגוע בדרי המתחם. </w:t>
      </w:r>
    </w:p>
    <w:p w14:paraId="62ECFCB1" w14:textId="77777777" w:rsidR="004C3216" w:rsidRDefault="004C3216" w:rsidP="005811E2">
      <w:pPr>
        <w:spacing w:line="360" w:lineRule="auto"/>
        <w:ind w:left="1083" w:right="426"/>
        <w:jc w:val="both"/>
        <w:rPr>
          <w:b/>
          <w:bCs/>
          <w:lang w:val="en-GB"/>
        </w:rPr>
      </w:pPr>
    </w:p>
    <w:p w14:paraId="38A6FFB2" w14:textId="77777777" w:rsidR="004C3216" w:rsidRDefault="004C3216" w:rsidP="005811E2">
      <w:pPr>
        <w:spacing w:line="360" w:lineRule="auto"/>
        <w:ind w:left="1083" w:right="426"/>
        <w:jc w:val="both"/>
        <w:rPr>
          <w:b/>
          <w:bCs/>
          <w:rtl/>
          <w:lang w:val="en-GB"/>
        </w:rPr>
      </w:pPr>
      <w:r>
        <w:rPr>
          <w:b/>
          <w:bCs/>
          <w:u w:val="single"/>
          <w:rtl/>
          <w:lang w:val="en-GB"/>
        </w:rPr>
        <w:t>במהלך וכתוצאה מהירי שביצע, נפגעה המנוחה מקליע שפגע בחזה מימין, בעת שעמדה בסמוך לדלת הכניסה לדירתה בחצר המתחם. כתוצאה מהירי נגרם מותה של המנוחה</w:t>
      </w:r>
      <w:r>
        <w:rPr>
          <w:b/>
          <w:bCs/>
          <w:rtl/>
          <w:lang w:val="en-GB"/>
        </w:rPr>
        <w:t xml:space="preserve"> מהלם תת נפחי כתוצאה ממעבר קליע דרך אבי העורקים.</w:t>
      </w:r>
    </w:p>
    <w:p w14:paraId="79AC30FE" w14:textId="77777777" w:rsidR="004C3216" w:rsidRDefault="004C3216" w:rsidP="005811E2">
      <w:pPr>
        <w:spacing w:line="360" w:lineRule="auto"/>
        <w:ind w:left="1083" w:right="426"/>
        <w:jc w:val="both"/>
        <w:rPr>
          <w:b/>
          <w:bCs/>
          <w:rtl/>
          <w:lang w:val="en-GB"/>
        </w:rPr>
      </w:pPr>
    </w:p>
    <w:p w14:paraId="5DE07E9A" w14:textId="77777777" w:rsidR="004C3216" w:rsidRDefault="004C3216" w:rsidP="005811E2">
      <w:pPr>
        <w:spacing w:line="360" w:lineRule="auto"/>
        <w:ind w:left="1083" w:right="426"/>
        <w:jc w:val="both"/>
        <w:rPr>
          <w:b/>
          <w:bCs/>
          <w:rtl/>
          <w:lang w:val="en-GB"/>
        </w:rPr>
      </w:pPr>
      <w:r>
        <w:rPr>
          <w:b/>
          <w:bCs/>
          <w:u w:val="single"/>
          <w:rtl/>
          <w:lang w:val="en-GB"/>
        </w:rPr>
        <w:t>בנוסף, נפגע מהירי פריד בירך ימין</w:t>
      </w:r>
      <w:r>
        <w:rPr>
          <w:b/>
          <w:bCs/>
          <w:rtl/>
          <w:lang w:val="en-GB"/>
        </w:rPr>
        <w:t xml:space="preserve"> והוא אושפז בבית החולים למשך 4 ימים.</w:t>
      </w:r>
    </w:p>
    <w:p w14:paraId="0865BD61" w14:textId="77777777" w:rsidR="004C3216" w:rsidRDefault="004C3216" w:rsidP="005811E2">
      <w:pPr>
        <w:spacing w:line="360" w:lineRule="auto"/>
        <w:ind w:left="1083" w:right="426"/>
        <w:jc w:val="both"/>
        <w:rPr>
          <w:b/>
          <w:bCs/>
          <w:rtl/>
          <w:lang w:val="en-GB"/>
        </w:rPr>
      </w:pPr>
    </w:p>
    <w:p w14:paraId="421EE723" w14:textId="77777777" w:rsidR="004C3216" w:rsidRDefault="004C3216" w:rsidP="005811E2">
      <w:pPr>
        <w:spacing w:line="360" w:lineRule="auto"/>
        <w:ind w:left="1083" w:right="426" w:hanging="593"/>
        <w:jc w:val="both"/>
        <w:rPr>
          <w:b/>
          <w:bCs/>
          <w:rtl/>
          <w:lang w:val="en-GB"/>
        </w:rPr>
      </w:pPr>
      <w:r>
        <w:rPr>
          <w:b/>
          <w:bCs/>
          <w:rtl/>
          <w:lang w:val="en-GB"/>
        </w:rPr>
        <w:t>(-)</w:t>
      </w:r>
      <w:r>
        <w:rPr>
          <w:b/>
          <w:bCs/>
          <w:rtl/>
          <w:lang w:val="en-GB"/>
        </w:rPr>
        <w:tab/>
      </w:r>
      <w:r>
        <w:rPr>
          <w:b/>
          <w:bCs/>
          <w:u w:val="single"/>
          <w:rtl/>
          <w:lang w:val="en-GB"/>
        </w:rPr>
        <w:t>הנאשמים 7 ו 8 התמקמו סביב פתחי המתחם וירו משם באמצעות הנשקים שנשאו על בתיהם של המנוחה, פריד ומוסטפא.</w:t>
      </w:r>
      <w:r>
        <w:rPr>
          <w:b/>
          <w:bCs/>
          <w:rtl/>
          <w:lang w:val="en-GB"/>
        </w:rPr>
        <w:t xml:space="preserve"> </w:t>
      </w:r>
    </w:p>
    <w:p w14:paraId="36960CB2" w14:textId="77777777" w:rsidR="004C3216" w:rsidRDefault="004C3216" w:rsidP="005811E2">
      <w:pPr>
        <w:spacing w:line="360" w:lineRule="auto"/>
        <w:ind w:left="1083" w:right="426" w:hanging="593"/>
        <w:jc w:val="both"/>
        <w:rPr>
          <w:b/>
          <w:bCs/>
          <w:u w:val="single"/>
          <w:lang w:val="en-GB"/>
        </w:rPr>
      </w:pPr>
      <w:r>
        <w:rPr>
          <w:b/>
          <w:bCs/>
          <w:rtl/>
          <w:lang w:val="en-GB"/>
        </w:rPr>
        <w:t>(-)</w:t>
      </w:r>
      <w:r>
        <w:rPr>
          <w:b/>
          <w:bCs/>
          <w:rtl/>
          <w:lang w:val="en-GB"/>
        </w:rPr>
        <w:tab/>
      </w:r>
      <w:r>
        <w:rPr>
          <w:b/>
          <w:bCs/>
          <w:u w:val="single"/>
          <w:rtl/>
          <w:lang w:val="en-GB"/>
        </w:rPr>
        <w:t>הנאשמים 2 ו 6 התמקמו סביב המתחם וירו באמצעות הנשקים שנשאו באזור מגורים ללא הסבר.</w:t>
      </w:r>
    </w:p>
    <w:p w14:paraId="3571E07B" w14:textId="77777777" w:rsidR="004C3216" w:rsidRDefault="004C3216" w:rsidP="005811E2">
      <w:pPr>
        <w:pStyle w:val="ListParagraph"/>
        <w:spacing w:after="0" w:line="360" w:lineRule="auto"/>
        <w:ind w:left="1083" w:right="426"/>
        <w:rPr>
          <w:rFonts w:ascii="Times New Roman" w:hAnsi="Times New Roman" w:cs="David"/>
          <w:b/>
          <w:bCs/>
          <w:sz w:val="24"/>
          <w:szCs w:val="24"/>
          <w:lang w:val="en-GB"/>
        </w:rPr>
      </w:pPr>
    </w:p>
    <w:p w14:paraId="6CBDA406" w14:textId="77777777" w:rsidR="004C3216" w:rsidRDefault="004C3216" w:rsidP="005811E2">
      <w:pPr>
        <w:spacing w:line="360" w:lineRule="auto"/>
        <w:ind w:left="1083" w:right="426" w:hanging="593"/>
        <w:jc w:val="both"/>
        <w:rPr>
          <w:b/>
          <w:bCs/>
          <w:rtl/>
          <w:lang w:val="en-GB"/>
        </w:rPr>
      </w:pPr>
      <w:r>
        <w:rPr>
          <w:b/>
          <w:bCs/>
          <w:rtl/>
          <w:lang w:val="en-GB"/>
        </w:rPr>
        <w:t>(-)</w:t>
      </w:r>
      <w:r>
        <w:rPr>
          <w:b/>
          <w:bCs/>
          <w:rtl/>
          <w:lang w:val="en-GB"/>
        </w:rPr>
        <w:tab/>
        <w:t>צוין, כי במהלך האירוע ירו הנאשמים 2, 3, 6, 7 ו 8 באזור המתחם לא פחות מ 97 כדורים.</w:t>
      </w:r>
    </w:p>
    <w:p w14:paraId="424A761C" w14:textId="77777777" w:rsidR="004C3216" w:rsidRDefault="004C3216" w:rsidP="005811E2">
      <w:pPr>
        <w:spacing w:line="360" w:lineRule="auto"/>
        <w:ind w:left="1083" w:right="426"/>
        <w:jc w:val="both"/>
        <w:rPr>
          <w:b/>
          <w:bCs/>
          <w:rtl/>
          <w:lang w:val="en-GB"/>
        </w:rPr>
      </w:pPr>
    </w:p>
    <w:p w14:paraId="3DA1FACC" w14:textId="77777777" w:rsidR="004C3216" w:rsidRDefault="004C3216" w:rsidP="005811E2">
      <w:pPr>
        <w:spacing w:line="360" w:lineRule="auto"/>
        <w:ind w:left="1083" w:right="426" w:hanging="593"/>
        <w:jc w:val="both"/>
        <w:rPr>
          <w:b/>
          <w:bCs/>
          <w:rtl/>
          <w:lang w:val="en-GB"/>
        </w:rPr>
      </w:pPr>
      <w:r>
        <w:rPr>
          <w:b/>
          <w:bCs/>
          <w:rtl/>
          <w:lang w:val="en-GB"/>
        </w:rPr>
        <w:t>(-)</w:t>
      </w:r>
      <w:r>
        <w:rPr>
          <w:b/>
          <w:bCs/>
          <w:rtl/>
          <w:lang w:val="en-GB"/>
        </w:rPr>
        <w:tab/>
      </w:r>
      <w:r>
        <w:rPr>
          <w:b/>
          <w:bCs/>
          <w:u w:val="single"/>
          <w:rtl/>
          <w:lang w:val="en-GB"/>
        </w:rPr>
        <w:t>לגבי הנאשם 5</w:t>
      </w:r>
      <w:r>
        <w:rPr>
          <w:b/>
          <w:bCs/>
          <w:rtl/>
          <w:lang w:val="en-GB"/>
        </w:rPr>
        <w:t xml:space="preserve"> - צוין כי במהלך האירוע והירי הוא פנה בצעקות וגידופים לבני משפחת המנוחה ששהו במתחם </w:t>
      </w:r>
      <w:r>
        <w:rPr>
          <w:b/>
          <w:bCs/>
          <w:u w:val="single"/>
          <w:rtl/>
          <w:lang w:val="en-GB"/>
        </w:rPr>
        <w:t>ואיים</w:t>
      </w:r>
      <w:r>
        <w:rPr>
          <w:b/>
          <w:bCs/>
          <w:rtl/>
          <w:lang w:val="en-GB"/>
        </w:rPr>
        <w:t xml:space="preserve"> עליהם בכוונה להפחידם, כי יחנכו אותם וקרא להם לצאת מהמתחם.</w:t>
      </w:r>
    </w:p>
    <w:p w14:paraId="0A1F29CC" w14:textId="77777777" w:rsidR="004C3216" w:rsidRDefault="004C3216" w:rsidP="005811E2">
      <w:pPr>
        <w:spacing w:line="360" w:lineRule="auto"/>
        <w:ind w:left="516" w:right="426"/>
        <w:jc w:val="both"/>
        <w:rPr>
          <w:rtl/>
          <w:lang w:val="en-GB"/>
        </w:rPr>
      </w:pPr>
    </w:p>
    <w:p w14:paraId="689327BC" w14:textId="77777777" w:rsidR="004C3216" w:rsidRDefault="004C3216" w:rsidP="005811E2">
      <w:pPr>
        <w:pStyle w:val="ListParagraph"/>
        <w:numPr>
          <w:ilvl w:val="0"/>
          <w:numId w:val="6"/>
        </w:numPr>
        <w:spacing w:after="0" w:line="360" w:lineRule="auto"/>
        <w:ind w:left="516" w:right="426"/>
        <w:jc w:val="both"/>
        <w:rPr>
          <w:rFonts w:ascii="Arial" w:hAnsi="Arial" w:cs="David"/>
          <w:sz w:val="24"/>
          <w:szCs w:val="24"/>
          <w:rtl/>
        </w:rPr>
      </w:pPr>
      <w:r>
        <w:rPr>
          <w:rFonts w:ascii="Arial" w:hAnsi="Arial" w:cs="David"/>
          <w:sz w:val="24"/>
          <w:szCs w:val="24"/>
          <w:rtl/>
        </w:rPr>
        <w:t>על יסוד הודיית הנאשמים בעובדות לעיל, הורשע כל אחד מהנאשמים בעבירות הבאות:</w:t>
      </w:r>
    </w:p>
    <w:p w14:paraId="70685313" w14:textId="77777777" w:rsidR="004C3216" w:rsidRDefault="004C3216" w:rsidP="005811E2">
      <w:pPr>
        <w:tabs>
          <w:tab w:val="left" w:pos="2125"/>
        </w:tabs>
        <w:spacing w:line="360" w:lineRule="auto"/>
        <w:ind w:left="516" w:right="426"/>
        <w:jc w:val="both"/>
        <w:rPr>
          <w:rFonts w:ascii="Arial" w:hAnsi="Arial"/>
          <w:rtl/>
        </w:rPr>
      </w:pPr>
    </w:p>
    <w:p w14:paraId="6D4802CD" w14:textId="77777777" w:rsidR="004C3216" w:rsidRDefault="004C3216" w:rsidP="005811E2">
      <w:pPr>
        <w:tabs>
          <w:tab w:val="left" w:pos="2125"/>
        </w:tabs>
        <w:spacing w:line="360" w:lineRule="auto"/>
        <w:ind w:left="516" w:right="426"/>
        <w:jc w:val="both"/>
        <w:rPr>
          <w:rFonts w:ascii="Arial" w:hAnsi="Arial"/>
          <w:u w:val="single"/>
          <w:rtl/>
        </w:rPr>
      </w:pPr>
      <w:r>
        <w:rPr>
          <w:rFonts w:ascii="Arial" w:hAnsi="Arial"/>
          <w:u w:val="single"/>
          <w:rtl/>
        </w:rPr>
        <w:t>הנאשם 1:</w:t>
      </w:r>
    </w:p>
    <w:p w14:paraId="7EA058E5" w14:textId="77777777" w:rsidR="004C3216" w:rsidRDefault="004C3216" w:rsidP="005811E2">
      <w:pPr>
        <w:tabs>
          <w:tab w:val="left" w:pos="2125"/>
        </w:tabs>
        <w:spacing w:line="360" w:lineRule="auto"/>
        <w:ind w:left="516" w:right="426" w:hanging="425"/>
        <w:jc w:val="both"/>
        <w:rPr>
          <w:rFonts w:ascii="Arial" w:hAnsi="Arial"/>
          <w:rtl/>
        </w:rPr>
      </w:pPr>
      <w:r>
        <w:rPr>
          <w:rFonts w:ascii="Miriam" w:hAnsi="Miriam" w:cs="Miriam"/>
          <w:rtl/>
        </w:rPr>
        <w:tab/>
        <w:t>(-) שידול לפציעה בנסיבות מחמירות</w:t>
      </w:r>
      <w:r>
        <w:rPr>
          <w:rFonts w:ascii="Arial" w:hAnsi="Arial"/>
          <w:rtl/>
        </w:rPr>
        <w:t xml:space="preserve">, לפי </w:t>
      </w:r>
      <w:hyperlink r:id="rId50" w:history="1">
        <w:r w:rsidR="005948C0" w:rsidRPr="005948C0">
          <w:rPr>
            <w:rFonts w:ascii="Arial" w:hAnsi="Arial"/>
            <w:color w:val="0000FF"/>
            <w:u w:val="single"/>
            <w:rtl/>
          </w:rPr>
          <w:t>סעיפים 334+335+30</w:t>
        </w:r>
      </w:hyperlink>
      <w:r>
        <w:rPr>
          <w:rFonts w:ascii="Arial" w:hAnsi="Arial"/>
          <w:rtl/>
        </w:rPr>
        <w:t xml:space="preserve"> </w:t>
      </w:r>
      <w:r>
        <w:rPr>
          <w:rFonts w:ascii="Miriam" w:hAnsi="Miriam" w:cs="Miriam"/>
          <w:rtl/>
        </w:rPr>
        <w:t>לחוק</w:t>
      </w:r>
      <w:r>
        <w:rPr>
          <w:rFonts w:ascii="Arial" w:hAnsi="Arial"/>
          <w:rtl/>
        </w:rPr>
        <w:t>.</w:t>
      </w:r>
    </w:p>
    <w:p w14:paraId="687F5515" w14:textId="77777777" w:rsidR="004C3216" w:rsidRDefault="004C3216" w:rsidP="005811E2">
      <w:pPr>
        <w:tabs>
          <w:tab w:val="left" w:pos="2125"/>
        </w:tabs>
        <w:spacing w:line="360" w:lineRule="auto"/>
        <w:ind w:left="516" w:right="426" w:hanging="425"/>
        <w:jc w:val="both"/>
        <w:rPr>
          <w:rFonts w:ascii="Arial" w:hAnsi="Arial"/>
        </w:rPr>
      </w:pPr>
    </w:p>
    <w:p w14:paraId="77EFE543" w14:textId="77777777" w:rsidR="004C3216" w:rsidRDefault="004C3216" w:rsidP="005811E2">
      <w:pPr>
        <w:tabs>
          <w:tab w:val="left" w:pos="2125"/>
        </w:tabs>
        <w:spacing w:line="360" w:lineRule="auto"/>
        <w:ind w:left="516" w:right="426" w:hanging="425"/>
        <w:jc w:val="both"/>
        <w:rPr>
          <w:rFonts w:ascii="Arial" w:hAnsi="Arial"/>
          <w:u w:val="single"/>
          <w:rtl/>
        </w:rPr>
      </w:pPr>
      <w:r>
        <w:rPr>
          <w:rFonts w:ascii="Arial" w:hAnsi="Arial"/>
          <w:rtl/>
        </w:rPr>
        <w:tab/>
      </w:r>
      <w:r>
        <w:rPr>
          <w:rFonts w:ascii="Arial" w:hAnsi="Arial"/>
          <w:u w:val="single"/>
          <w:rtl/>
        </w:rPr>
        <w:t>הנאשם 2:</w:t>
      </w:r>
    </w:p>
    <w:p w14:paraId="493B24FD" w14:textId="77777777" w:rsidR="004C3216" w:rsidRDefault="004C3216" w:rsidP="005811E2">
      <w:pPr>
        <w:tabs>
          <w:tab w:val="left" w:pos="2125"/>
        </w:tabs>
        <w:spacing w:line="360" w:lineRule="auto"/>
        <w:ind w:left="516" w:right="426" w:hanging="425"/>
        <w:jc w:val="both"/>
        <w:rPr>
          <w:rFonts w:ascii="Arial" w:hAnsi="Arial"/>
          <w:rtl/>
        </w:rPr>
      </w:pPr>
      <w:r>
        <w:rPr>
          <w:rFonts w:ascii="Arial" w:hAnsi="Arial"/>
          <w:rtl/>
        </w:rPr>
        <w:tab/>
        <w:t xml:space="preserve">(-) </w:t>
      </w:r>
      <w:r>
        <w:rPr>
          <w:rFonts w:ascii="Miriam" w:hAnsi="Miriam" w:cs="Miriam"/>
          <w:rtl/>
        </w:rPr>
        <w:t>עבירות בנשק (החזקה ונשיאה),</w:t>
      </w:r>
      <w:r>
        <w:rPr>
          <w:rFonts w:ascii="Arial" w:hAnsi="Arial"/>
          <w:rtl/>
        </w:rPr>
        <w:t xml:space="preserve"> לפי </w:t>
      </w:r>
      <w:hyperlink r:id="rId51" w:history="1">
        <w:r w:rsidR="005948C0" w:rsidRPr="005948C0">
          <w:rPr>
            <w:rFonts w:ascii="Arial" w:hAnsi="Arial"/>
            <w:color w:val="0000FF"/>
            <w:u w:val="single"/>
            <w:rtl/>
          </w:rPr>
          <w:t>סעיפים 144(א)</w:t>
        </w:r>
      </w:hyperlink>
      <w:r>
        <w:rPr>
          <w:rFonts w:ascii="Arial" w:hAnsi="Arial"/>
          <w:rtl/>
        </w:rPr>
        <w:t xml:space="preserve"> ו- </w:t>
      </w:r>
      <w:hyperlink r:id="rId52" w:history="1">
        <w:r w:rsidR="005948C0" w:rsidRPr="005948C0">
          <w:rPr>
            <w:rFonts w:ascii="Arial" w:hAnsi="Arial"/>
            <w:color w:val="0000FF"/>
            <w:u w:val="single"/>
            <w:rtl/>
          </w:rPr>
          <w:t>(ב)</w:t>
        </w:r>
      </w:hyperlink>
      <w:r>
        <w:rPr>
          <w:rFonts w:ascii="Arial" w:hAnsi="Arial"/>
          <w:rtl/>
        </w:rPr>
        <w:t xml:space="preserve"> רישא וסיפא + </w:t>
      </w:r>
      <w:hyperlink r:id="rId53" w:history="1">
        <w:r w:rsidR="005948C0" w:rsidRPr="005948C0">
          <w:rPr>
            <w:rFonts w:ascii="Arial" w:hAnsi="Arial"/>
            <w:color w:val="0000FF"/>
            <w:u w:val="single"/>
            <w:rtl/>
          </w:rPr>
          <w:t>סעיף 29</w:t>
        </w:r>
      </w:hyperlink>
      <w:r>
        <w:rPr>
          <w:rFonts w:ascii="Arial" w:hAnsi="Arial"/>
          <w:rtl/>
        </w:rPr>
        <w:t xml:space="preserve"> לחוק. </w:t>
      </w:r>
    </w:p>
    <w:p w14:paraId="7D06DC3E" w14:textId="77777777" w:rsidR="004C3216" w:rsidRDefault="004C3216" w:rsidP="005811E2">
      <w:pPr>
        <w:spacing w:line="360" w:lineRule="auto"/>
        <w:ind w:left="516" w:right="426"/>
        <w:jc w:val="both"/>
        <w:rPr>
          <w:rFonts w:ascii="Arial" w:hAnsi="Arial"/>
          <w:rtl/>
        </w:rPr>
      </w:pPr>
      <w:r>
        <w:rPr>
          <w:rFonts w:ascii="Arial" w:hAnsi="Arial"/>
          <w:rtl/>
        </w:rPr>
        <w:t xml:space="preserve">(-) </w:t>
      </w:r>
      <w:r>
        <w:rPr>
          <w:rFonts w:ascii="Miriam" w:hAnsi="Miriam" w:cs="Miriam"/>
          <w:rtl/>
        </w:rPr>
        <w:t>ירי בשטח בנוי</w:t>
      </w:r>
      <w:r>
        <w:rPr>
          <w:rFonts w:ascii="Arial" w:hAnsi="Arial"/>
          <w:rtl/>
        </w:rPr>
        <w:t xml:space="preserve">, לפי </w:t>
      </w:r>
      <w:hyperlink r:id="rId54" w:history="1">
        <w:r w:rsidR="005948C0" w:rsidRPr="005948C0">
          <w:rPr>
            <w:rFonts w:ascii="Arial" w:hAnsi="Arial"/>
            <w:color w:val="0000FF"/>
            <w:u w:val="single"/>
            <w:rtl/>
          </w:rPr>
          <w:t>סעיף 340א</w:t>
        </w:r>
      </w:hyperlink>
      <w:r>
        <w:rPr>
          <w:rFonts w:ascii="Arial" w:hAnsi="Arial"/>
          <w:rtl/>
        </w:rPr>
        <w:t xml:space="preserve"> + </w:t>
      </w:r>
      <w:hyperlink r:id="rId55" w:history="1">
        <w:r w:rsidR="005948C0" w:rsidRPr="005948C0">
          <w:rPr>
            <w:rFonts w:ascii="Arial" w:hAnsi="Arial"/>
            <w:color w:val="0000FF"/>
            <w:u w:val="single"/>
            <w:rtl/>
          </w:rPr>
          <w:t>29</w:t>
        </w:r>
      </w:hyperlink>
      <w:r>
        <w:rPr>
          <w:rFonts w:ascii="Arial" w:hAnsi="Arial"/>
          <w:rtl/>
        </w:rPr>
        <w:t xml:space="preserve"> לחוק. [בנוסחה טרם תיקון 134 לחוק, שדינה עד שנת מאסר].</w:t>
      </w:r>
    </w:p>
    <w:p w14:paraId="0B3C2AAA" w14:textId="77777777" w:rsidR="004C3216" w:rsidRDefault="004C3216" w:rsidP="005811E2">
      <w:pPr>
        <w:tabs>
          <w:tab w:val="left" w:pos="2125"/>
        </w:tabs>
        <w:spacing w:line="360" w:lineRule="auto"/>
        <w:ind w:left="516" w:right="426" w:firstLine="141"/>
        <w:jc w:val="both"/>
        <w:rPr>
          <w:rFonts w:ascii="Arial" w:hAnsi="Arial"/>
          <w:rtl/>
        </w:rPr>
      </w:pPr>
    </w:p>
    <w:p w14:paraId="1E3D8437" w14:textId="77777777" w:rsidR="004C3216" w:rsidRDefault="004C3216" w:rsidP="005811E2">
      <w:pPr>
        <w:tabs>
          <w:tab w:val="left" w:pos="2125"/>
        </w:tabs>
        <w:spacing w:line="360" w:lineRule="auto"/>
        <w:ind w:left="516" w:right="426"/>
        <w:jc w:val="both"/>
        <w:rPr>
          <w:rFonts w:ascii="Arial" w:hAnsi="Arial"/>
          <w:u w:val="single"/>
          <w:rtl/>
        </w:rPr>
      </w:pPr>
      <w:r>
        <w:rPr>
          <w:rFonts w:ascii="Arial" w:hAnsi="Arial"/>
          <w:u w:val="single"/>
          <w:rtl/>
        </w:rPr>
        <w:t>הנאשם 3:</w:t>
      </w:r>
    </w:p>
    <w:p w14:paraId="3905FE42" w14:textId="77777777" w:rsidR="004C3216" w:rsidRDefault="004C3216" w:rsidP="005811E2">
      <w:pPr>
        <w:tabs>
          <w:tab w:val="left" w:pos="2125"/>
        </w:tabs>
        <w:spacing w:line="360" w:lineRule="auto"/>
        <w:ind w:left="516" w:right="426"/>
        <w:jc w:val="both"/>
        <w:rPr>
          <w:rFonts w:ascii="David" w:hAnsi="David"/>
          <w:rtl/>
        </w:rPr>
      </w:pPr>
      <w:r>
        <w:rPr>
          <w:rFonts w:ascii="David" w:hAnsi="David"/>
          <w:rtl/>
        </w:rPr>
        <w:t xml:space="preserve">(-) </w:t>
      </w:r>
      <w:r>
        <w:rPr>
          <w:rFonts w:ascii="Miriam" w:hAnsi="Miriam" w:cs="Miriam"/>
          <w:rtl/>
        </w:rPr>
        <w:t>הריגה</w:t>
      </w:r>
      <w:r>
        <w:rPr>
          <w:rFonts w:ascii="David" w:hAnsi="David"/>
          <w:rtl/>
        </w:rPr>
        <w:t xml:space="preserve">, לפי </w:t>
      </w:r>
      <w:hyperlink r:id="rId56" w:history="1">
        <w:r w:rsidR="005948C0" w:rsidRPr="005948C0">
          <w:rPr>
            <w:rFonts w:ascii="David" w:hAnsi="David"/>
            <w:color w:val="0000FF"/>
            <w:u w:val="single"/>
            <w:rtl/>
          </w:rPr>
          <w:t>סעיף 298</w:t>
        </w:r>
      </w:hyperlink>
      <w:r>
        <w:rPr>
          <w:rFonts w:ascii="David" w:hAnsi="David"/>
          <w:rtl/>
        </w:rPr>
        <w:t xml:space="preserve"> לחוק (בנוסחו טרם תיקון 137 לחוק).</w:t>
      </w:r>
    </w:p>
    <w:p w14:paraId="35F8005F"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חבלה בכוונה מחמירה</w:t>
      </w:r>
      <w:r>
        <w:rPr>
          <w:rFonts w:ascii="David" w:hAnsi="David"/>
          <w:rtl/>
        </w:rPr>
        <w:t xml:space="preserve">, לפי </w:t>
      </w:r>
      <w:hyperlink r:id="rId57" w:history="1">
        <w:r w:rsidR="005948C0" w:rsidRPr="005948C0">
          <w:rPr>
            <w:rFonts w:ascii="David" w:hAnsi="David"/>
            <w:color w:val="0000FF"/>
            <w:u w:val="single"/>
            <w:rtl/>
          </w:rPr>
          <w:t>סעיף 329(א)(1)</w:t>
        </w:r>
      </w:hyperlink>
      <w:r>
        <w:rPr>
          <w:rFonts w:ascii="David" w:hAnsi="David"/>
          <w:rtl/>
        </w:rPr>
        <w:t xml:space="preserve"> ו- </w:t>
      </w:r>
      <w:hyperlink r:id="rId58" w:history="1">
        <w:r w:rsidR="005948C0" w:rsidRPr="005948C0">
          <w:rPr>
            <w:rFonts w:ascii="David" w:hAnsi="David"/>
            <w:color w:val="0000FF"/>
            <w:u w:val="single"/>
            <w:rtl/>
          </w:rPr>
          <w:t>(2)</w:t>
        </w:r>
      </w:hyperlink>
      <w:r>
        <w:rPr>
          <w:rFonts w:ascii="David" w:hAnsi="David"/>
          <w:rtl/>
        </w:rPr>
        <w:t xml:space="preserve"> לחוק. </w:t>
      </w:r>
    </w:p>
    <w:p w14:paraId="0633008D" w14:textId="77777777" w:rsidR="004C3216" w:rsidRDefault="004C3216" w:rsidP="005811E2">
      <w:pPr>
        <w:tabs>
          <w:tab w:val="left" w:pos="2125"/>
        </w:tabs>
        <w:spacing w:line="360" w:lineRule="auto"/>
        <w:ind w:left="516" w:right="426" w:hanging="720"/>
        <w:jc w:val="both"/>
        <w:rPr>
          <w:rFonts w:ascii="Arial" w:hAnsi="Arial"/>
          <w:rtl/>
        </w:rPr>
      </w:pPr>
      <w:r>
        <w:rPr>
          <w:rFonts w:ascii="David" w:hAnsi="David"/>
          <w:rtl/>
        </w:rPr>
        <w:tab/>
        <w:t xml:space="preserve">(-) </w:t>
      </w:r>
      <w:r>
        <w:rPr>
          <w:rFonts w:ascii="Miriam" w:hAnsi="Miriam" w:cs="Miriam"/>
          <w:rtl/>
        </w:rPr>
        <w:t>עבירות בנשק (החזקה ונשיאה),</w:t>
      </w:r>
      <w:r>
        <w:rPr>
          <w:rFonts w:ascii="David" w:hAnsi="David"/>
          <w:rtl/>
        </w:rPr>
        <w:t xml:space="preserve"> </w:t>
      </w:r>
      <w:r>
        <w:rPr>
          <w:rFonts w:ascii="Arial" w:hAnsi="Arial"/>
          <w:rtl/>
        </w:rPr>
        <w:t xml:space="preserve">לפי </w:t>
      </w:r>
      <w:hyperlink r:id="rId59" w:history="1">
        <w:r w:rsidR="005948C0" w:rsidRPr="005948C0">
          <w:rPr>
            <w:rFonts w:ascii="Arial" w:hAnsi="Arial"/>
            <w:color w:val="0000FF"/>
            <w:u w:val="single"/>
            <w:rtl/>
          </w:rPr>
          <w:t>סעיפים 144(א)</w:t>
        </w:r>
      </w:hyperlink>
      <w:r>
        <w:rPr>
          <w:rFonts w:ascii="Arial" w:hAnsi="Arial"/>
          <w:rtl/>
        </w:rPr>
        <w:t xml:space="preserve"> ו- </w:t>
      </w:r>
      <w:hyperlink r:id="rId60" w:history="1">
        <w:r w:rsidR="005948C0" w:rsidRPr="005948C0">
          <w:rPr>
            <w:rFonts w:ascii="Arial" w:hAnsi="Arial"/>
            <w:color w:val="0000FF"/>
            <w:u w:val="single"/>
            <w:rtl/>
          </w:rPr>
          <w:t>(ב)</w:t>
        </w:r>
      </w:hyperlink>
      <w:r>
        <w:rPr>
          <w:rFonts w:ascii="Arial" w:hAnsi="Arial"/>
          <w:rtl/>
        </w:rPr>
        <w:t xml:space="preserve"> רישא וסיפא + </w:t>
      </w:r>
      <w:hyperlink r:id="rId61" w:history="1">
        <w:r w:rsidR="005948C0" w:rsidRPr="005948C0">
          <w:rPr>
            <w:rFonts w:ascii="Arial" w:hAnsi="Arial"/>
            <w:color w:val="0000FF"/>
            <w:u w:val="single"/>
            <w:rtl/>
          </w:rPr>
          <w:t>סעיף 29</w:t>
        </w:r>
      </w:hyperlink>
      <w:r>
        <w:rPr>
          <w:rFonts w:ascii="Arial" w:hAnsi="Arial"/>
          <w:rtl/>
        </w:rPr>
        <w:t xml:space="preserve"> לחוק. </w:t>
      </w:r>
    </w:p>
    <w:p w14:paraId="6DA8D200" w14:textId="77777777" w:rsidR="004C3216" w:rsidRDefault="004C3216" w:rsidP="005811E2">
      <w:pPr>
        <w:tabs>
          <w:tab w:val="left" w:pos="2125"/>
        </w:tabs>
        <w:spacing w:line="360" w:lineRule="auto"/>
        <w:ind w:left="516" w:right="426" w:hanging="720"/>
        <w:jc w:val="both"/>
        <w:rPr>
          <w:rFonts w:ascii="David" w:hAnsi="David"/>
          <w:rtl/>
        </w:rPr>
      </w:pPr>
    </w:p>
    <w:p w14:paraId="008D2D5C"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4:</w:t>
      </w:r>
    </w:p>
    <w:p w14:paraId="4311D081"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סיוע לעבירות בנשק (החזקה),</w:t>
      </w:r>
      <w:r>
        <w:rPr>
          <w:rFonts w:ascii="David" w:hAnsi="David"/>
          <w:rtl/>
        </w:rPr>
        <w:t xml:space="preserve"> לפי </w:t>
      </w:r>
      <w:hyperlink r:id="rId62" w:history="1">
        <w:r w:rsidR="005948C0" w:rsidRPr="005948C0">
          <w:rPr>
            <w:rFonts w:ascii="David" w:hAnsi="David"/>
            <w:color w:val="0000FF"/>
            <w:u w:val="single"/>
            <w:rtl/>
          </w:rPr>
          <w:t>סעיף 144(א)</w:t>
        </w:r>
      </w:hyperlink>
      <w:r>
        <w:rPr>
          <w:rFonts w:ascii="David" w:hAnsi="David"/>
          <w:rtl/>
        </w:rPr>
        <w:t xml:space="preserve"> רישא + סיפא + </w:t>
      </w:r>
      <w:hyperlink r:id="rId63" w:history="1">
        <w:r w:rsidR="005948C0" w:rsidRPr="005948C0">
          <w:rPr>
            <w:rFonts w:ascii="David" w:hAnsi="David"/>
            <w:color w:val="0000FF"/>
            <w:u w:val="single"/>
            <w:rtl/>
          </w:rPr>
          <w:t>31</w:t>
        </w:r>
      </w:hyperlink>
      <w:r>
        <w:rPr>
          <w:rFonts w:ascii="David" w:hAnsi="David"/>
          <w:rtl/>
        </w:rPr>
        <w:t xml:space="preserve"> לחוק. </w:t>
      </w:r>
    </w:p>
    <w:p w14:paraId="1D78B38B" w14:textId="77777777" w:rsidR="004C3216" w:rsidRDefault="004C3216" w:rsidP="005811E2">
      <w:pPr>
        <w:tabs>
          <w:tab w:val="left" w:pos="2125"/>
        </w:tabs>
        <w:spacing w:line="360" w:lineRule="auto"/>
        <w:ind w:left="516" w:right="426" w:hanging="720"/>
        <w:jc w:val="both"/>
        <w:rPr>
          <w:rFonts w:ascii="David" w:hAnsi="David"/>
          <w:rtl/>
        </w:rPr>
      </w:pPr>
    </w:p>
    <w:p w14:paraId="3A8C8FCC"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5:</w:t>
      </w:r>
    </w:p>
    <w:p w14:paraId="3D7556B5"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איומים</w:t>
      </w:r>
      <w:r>
        <w:rPr>
          <w:rFonts w:ascii="David" w:hAnsi="David"/>
          <w:rtl/>
        </w:rPr>
        <w:t xml:space="preserve">, לפי </w:t>
      </w:r>
      <w:hyperlink r:id="rId64" w:history="1">
        <w:r w:rsidR="005948C0" w:rsidRPr="005948C0">
          <w:rPr>
            <w:rFonts w:ascii="David" w:hAnsi="David"/>
            <w:color w:val="0000FF"/>
            <w:u w:val="single"/>
            <w:rtl/>
          </w:rPr>
          <w:t>סעיף 192</w:t>
        </w:r>
      </w:hyperlink>
      <w:r>
        <w:rPr>
          <w:rFonts w:ascii="David" w:hAnsi="David"/>
          <w:rtl/>
        </w:rPr>
        <w:t xml:space="preserve"> לחוק. </w:t>
      </w:r>
    </w:p>
    <w:p w14:paraId="598C302C"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r>
    </w:p>
    <w:p w14:paraId="722100B1"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6:</w:t>
      </w:r>
    </w:p>
    <w:p w14:paraId="7724780A" w14:textId="77777777" w:rsidR="004C3216" w:rsidRDefault="004C3216" w:rsidP="005811E2">
      <w:pPr>
        <w:spacing w:line="360" w:lineRule="auto"/>
        <w:ind w:left="516" w:right="426"/>
        <w:jc w:val="both"/>
        <w:rPr>
          <w:rFonts w:ascii="Arial" w:hAnsi="Arial"/>
          <w:rtl/>
        </w:rPr>
      </w:pPr>
      <w:r>
        <w:rPr>
          <w:rFonts w:ascii="David" w:hAnsi="David"/>
          <w:rtl/>
        </w:rPr>
        <w:t xml:space="preserve">(-) </w:t>
      </w:r>
      <w:r>
        <w:rPr>
          <w:rFonts w:ascii="Miriam" w:hAnsi="Miriam" w:cs="Miriam"/>
          <w:rtl/>
        </w:rPr>
        <w:t>עבירות בנשק (החזקה ונשיאה),</w:t>
      </w:r>
      <w:r>
        <w:rPr>
          <w:rFonts w:ascii="David" w:hAnsi="David"/>
          <w:rtl/>
        </w:rPr>
        <w:t xml:space="preserve"> </w:t>
      </w:r>
      <w:r>
        <w:rPr>
          <w:rFonts w:ascii="Arial" w:hAnsi="Arial"/>
          <w:rtl/>
        </w:rPr>
        <w:t xml:space="preserve">לפי </w:t>
      </w:r>
      <w:hyperlink r:id="rId65" w:history="1">
        <w:r w:rsidR="005948C0" w:rsidRPr="005948C0">
          <w:rPr>
            <w:rFonts w:ascii="Arial" w:hAnsi="Arial"/>
            <w:color w:val="0000FF"/>
            <w:u w:val="single"/>
            <w:rtl/>
          </w:rPr>
          <w:t>סעיפים 144(א)</w:t>
        </w:r>
      </w:hyperlink>
      <w:r>
        <w:rPr>
          <w:rFonts w:ascii="Arial" w:hAnsi="Arial"/>
          <w:rtl/>
        </w:rPr>
        <w:t xml:space="preserve"> ו- </w:t>
      </w:r>
      <w:hyperlink r:id="rId66" w:history="1">
        <w:r w:rsidR="005948C0" w:rsidRPr="005948C0">
          <w:rPr>
            <w:rFonts w:ascii="Arial" w:hAnsi="Arial"/>
            <w:color w:val="0000FF"/>
            <w:u w:val="single"/>
            <w:rtl/>
          </w:rPr>
          <w:t>(ב)</w:t>
        </w:r>
      </w:hyperlink>
      <w:r>
        <w:rPr>
          <w:rFonts w:ascii="Arial" w:hAnsi="Arial"/>
          <w:rtl/>
        </w:rPr>
        <w:t xml:space="preserve"> רישא וסיפא + סעיף </w:t>
      </w:r>
      <w:hyperlink r:id="rId67" w:history="1">
        <w:r w:rsidR="005948C0" w:rsidRPr="005948C0">
          <w:rPr>
            <w:rFonts w:ascii="Arial" w:hAnsi="Arial"/>
            <w:color w:val="0000FF"/>
            <w:u w:val="single"/>
            <w:rtl/>
          </w:rPr>
          <w:t>29</w:t>
        </w:r>
      </w:hyperlink>
      <w:r>
        <w:rPr>
          <w:rFonts w:ascii="Arial" w:hAnsi="Arial"/>
          <w:rtl/>
        </w:rPr>
        <w:t xml:space="preserve"> לחוק. </w:t>
      </w:r>
    </w:p>
    <w:p w14:paraId="4D1E0DA5" w14:textId="77777777" w:rsidR="004C3216" w:rsidRDefault="004C3216" w:rsidP="005811E2">
      <w:pPr>
        <w:spacing w:line="360" w:lineRule="auto"/>
        <w:ind w:left="516" w:right="426"/>
        <w:jc w:val="both"/>
        <w:rPr>
          <w:rFonts w:ascii="Arial" w:hAnsi="Arial"/>
          <w:rtl/>
        </w:rPr>
      </w:pPr>
      <w:r>
        <w:rPr>
          <w:rFonts w:ascii="David" w:hAnsi="David"/>
          <w:rtl/>
        </w:rPr>
        <w:t xml:space="preserve">(-) </w:t>
      </w:r>
      <w:r>
        <w:rPr>
          <w:rFonts w:ascii="Miriam" w:hAnsi="Miriam" w:cs="Miriam"/>
          <w:rtl/>
        </w:rPr>
        <w:t>ירי בשטח בנוי</w:t>
      </w:r>
      <w:r>
        <w:rPr>
          <w:rFonts w:ascii="Arial" w:hAnsi="Arial"/>
          <w:rtl/>
        </w:rPr>
        <w:t xml:space="preserve">, לפי </w:t>
      </w:r>
      <w:hyperlink r:id="rId68" w:history="1">
        <w:r w:rsidR="005948C0" w:rsidRPr="005948C0">
          <w:rPr>
            <w:rFonts w:ascii="Arial" w:hAnsi="Arial"/>
            <w:color w:val="0000FF"/>
            <w:u w:val="single"/>
            <w:rtl/>
          </w:rPr>
          <w:t>סעיף 340א</w:t>
        </w:r>
      </w:hyperlink>
      <w:r>
        <w:rPr>
          <w:rFonts w:ascii="Arial" w:hAnsi="Arial"/>
          <w:rtl/>
        </w:rPr>
        <w:t xml:space="preserve"> + </w:t>
      </w:r>
      <w:hyperlink r:id="rId69" w:history="1">
        <w:r w:rsidR="005948C0" w:rsidRPr="005948C0">
          <w:rPr>
            <w:rFonts w:ascii="Arial" w:hAnsi="Arial"/>
            <w:color w:val="0000FF"/>
            <w:u w:val="single"/>
            <w:rtl/>
          </w:rPr>
          <w:t>29</w:t>
        </w:r>
      </w:hyperlink>
      <w:r>
        <w:rPr>
          <w:rFonts w:ascii="Arial" w:hAnsi="Arial"/>
          <w:rtl/>
        </w:rPr>
        <w:t xml:space="preserve"> לחוק.</w:t>
      </w:r>
    </w:p>
    <w:p w14:paraId="14FE5015" w14:textId="77777777" w:rsidR="004C3216" w:rsidRDefault="004C3216" w:rsidP="005811E2">
      <w:pPr>
        <w:tabs>
          <w:tab w:val="left" w:pos="2125"/>
        </w:tabs>
        <w:spacing w:line="360" w:lineRule="auto"/>
        <w:ind w:left="516" w:right="426" w:hanging="720"/>
        <w:jc w:val="both"/>
        <w:rPr>
          <w:rFonts w:ascii="David" w:hAnsi="David"/>
          <w:rtl/>
        </w:rPr>
      </w:pPr>
    </w:p>
    <w:p w14:paraId="7B52E0A2"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7:</w:t>
      </w:r>
    </w:p>
    <w:p w14:paraId="3580B118" w14:textId="77777777" w:rsidR="004C3216" w:rsidRDefault="004C3216" w:rsidP="005811E2">
      <w:pPr>
        <w:spacing w:line="360" w:lineRule="auto"/>
        <w:ind w:left="516" w:right="426"/>
        <w:jc w:val="both"/>
        <w:rPr>
          <w:rFonts w:ascii="Arial" w:hAnsi="Arial"/>
          <w:rtl/>
        </w:rPr>
      </w:pPr>
      <w:r>
        <w:rPr>
          <w:rFonts w:ascii="David" w:hAnsi="David"/>
          <w:rtl/>
        </w:rPr>
        <w:t xml:space="preserve">(-) </w:t>
      </w:r>
      <w:r>
        <w:rPr>
          <w:rFonts w:ascii="Miriam" w:hAnsi="Miriam" w:cs="Miriam"/>
          <w:rtl/>
        </w:rPr>
        <w:t>עבירות בנשק (החזקה ונשיאה),</w:t>
      </w:r>
      <w:r>
        <w:rPr>
          <w:rFonts w:ascii="David" w:hAnsi="David"/>
          <w:rtl/>
        </w:rPr>
        <w:t xml:space="preserve"> </w:t>
      </w:r>
      <w:r>
        <w:rPr>
          <w:rFonts w:ascii="Arial" w:hAnsi="Arial"/>
          <w:rtl/>
        </w:rPr>
        <w:t xml:space="preserve">לפי </w:t>
      </w:r>
      <w:hyperlink r:id="rId70" w:history="1">
        <w:r w:rsidR="005948C0" w:rsidRPr="005948C0">
          <w:rPr>
            <w:rFonts w:ascii="Arial" w:hAnsi="Arial"/>
            <w:color w:val="0000FF"/>
            <w:u w:val="single"/>
            <w:rtl/>
          </w:rPr>
          <w:t>סעיפים 144(א)</w:t>
        </w:r>
      </w:hyperlink>
      <w:r>
        <w:rPr>
          <w:rFonts w:ascii="Arial" w:hAnsi="Arial"/>
          <w:rtl/>
        </w:rPr>
        <w:t xml:space="preserve"> ו- </w:t>
      </w:r>
      <w:hyperlink r:id="rId71" w:history="1">
        <w:r w:rsidR="005948C0" w:rsidRPr="005948C0">
          <w:rPr>
            <w:rFonts w:ascii="Arial" w:hAnsi="Arial"/>
            <w:color w:val="0000FF"/>
            <w:u w:val="single"/>
            <w:rtl/>
          </w:rPr>
          <w:t>(ב)</w:t>
        </w:r>
      </w:hyperlink>
      <w:r>
        <w:rPr>
          <w:rFonts w:ascii="Arial" w:hAnsi="Arial"/>
          <w:rtl/>
        </w:rPr>
        <w:t xml:space="preserve"> רישא וסיפא + </w:t>
      </w:r>
      <w:hyperlink r:id="rId72" w:history="1">
        <w:r w:rsidR="005948C0" w:rsidRPr="005948C0">
          <w:rPr>
            <w:rFonts w:ascii="Arial" w:hAnsi="Arial"/>
            <w:color w:val="0000FF"/>
            <w:u w:val="single"/>
            <w:rtl/>
          </w:rPr>
          <w:t>סעיף 29</w:t>
        </w:r>
      </w:hyperlink>
      <w:r>
        <w:rPr>
          <w:rFonts w:ascii="Arial" w:hAnsi="Arial"/>
          <w:rtl/>
        </w:rPr>
        <w:t xml:space="preserve"> לחוק. </w:t>
      </w:r>
    </w:p>
    <w:p w14:paraId="2516C481"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ניסיון לגרום פציעה בנסיבות מחמירות</w:t>
      </w:r>
      <w:r>
        <w:rPr>
          <w:rFonts w:ascii="David" w:hAnsi="David"/>
          <w:rtl/>
        </w:rPr>
        <w:t xml:space="preserve">, לפי </w:t>
      </w:r>
      <w:hyperlink r:id="rId73" w:history="1">
        <w:r w:rsidR="005948C0" w:rsidRPr="005948C0">
          <w:rPr>
            <w:rFonts w:ascii="David" w:hAnsi="David"/>
            <w:color w:val="0000FF"/>
            <w:u w:val="single"/>
            <w:rtl/>
          </w:rPr>
          <w:t>סעיף 334</w:t>
        </w:r>
      </w:hyperlink>
      <w:r>
        <w:rPr>
          <w:rFonts w:ascii="David" w:hAnsi="David"/>
          <w:rtl/>
        </w:rPr>
        <w:t xml:space="preserve"> + </w:t>
      </w:r>
      <w:hyperlink r:id="rId74" w:history="1">
        <w:r w:rsidR="005948C0" w:rsidRPr="005948C0">
          <w:rPr>
            <w:rFonts w:ascii="David" w:hAnsi="David"/>
            <w:color w:val="0000FF"/>
            <w:u w:val="single"/>
            <w:rtl/>
          </w:rPr>
          <w:t>335</w:t>
        </w:r>
      </w:hyperlink>
      <w:r>
        <w:rPr>
          <w:rFonts w:ascii="David" w:hAnsi="David"/>
          <w:rtl/>
        </w:rPr>
        <w:t xml:space="preserve"> + </w:t>
      </w:r>
      <w:hyperlink r:id="rId75" w:history="1">
        <w:r w:rsidR="005948C0" w:rsidRPr="005948C0">
          <w:rPr>
            <w:rFonts w:ascii="David" w:hAnsi="David"/>
            <w:color w:val="0000FF"/>
            <w:u w:val="single"/>
            <w:rtl/>
          </w:rPr>
          <w:t>25</w:t>
        </w:r>
      </w:hyperlink>
      <w:r>
        <w:rPr>
          <w:rFonts w:ascii="David" w:hAnsi="David"/>
          <w:rtl/>
        </w:rPr>
        <w:t xml:space="preserve"> + </w:t>
      </w:r>
      <w:hyperlink r:id="rId76" w:history="1">
        <w:r w:rsidR="005948C0" w:rsidRPr="005948C0">
          <w:rPr>
            <w:rFonts w:ascii="David" w:hAnsi="David"/>
            <w:color w:val="0000FF"/>
            <w:u w:val="single"/>
            <w:rtl/>
          </w:rPr>
          <w:t>29</w:t>
        </w:r>
      </w:hyperlink>
      <w:r>
        <w:rPr>
          <w:rFonts w:ascii="David" w:hAnsi="David"/>
          <w:rtl/>
        </w:rPr>
        <w:t xml:space="preserve"> לחוק.</w:t>
      </w:r>
    </w:p>
    <w:p w14:paraId="757D5A15" w14:textId="77777777" w:rsidR="004C3216" w:rsidRDefault="004C3216" w:rsidP="005811E2">
      <w:pPr>
        <w:tabs>
          <w:tab w:val="left" w:pos="2125"/>
        </w:tabs>
        <w:spacing w:line="360" w:lineRule="auto"/>
        <w:ind w:left="516" w:right="426" w:hanging="720"/>
        <w:jc w:val="both"/>
        <w:rPr>
          <w:rFonts w:ascii="David" w:hAnsi="David"/>
          <w:rtl/>
        </w:rPr>
      </w:pPr>
    </w:p>
    <w:p w14:paraId="64F5D3EF"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8:</w:t>
      </w:r>
    </w:p>
    <w:p w14:paraId="45D05EDA" w14:textId="77777777" w:rsidR="004C3216" w:rsidRDefault="004C3216" w:rsidP="005811E2">
      <w:pPr>
        <w:spacing w:line="360" w:lineRule="auto"/>
        <w:ind w:left="516" w:right="426"/>
        <w:jc w:val="both"/>
        <w:rPr>
          <w:rFonts w:ascii="Arial" w:hAnsi="Arial"/>
          <w:rtl/>
        </w:rPr>
      </w:pPr>
      <w:r>
        <w:rPr>
          <w:rFonts w:ascii="David" w:hAnsi="David"/>
          <w:rtl/>
        </w:rPr>
        <w:t xml:space="preserve">(-) </w:t>
      </w:r>
      <w:r>
        <w:rPr>
          <w:rFonts w:ascii="Miriam" w:hAnsi="Miriam" w:cs="Miriam"/>
          <w:rtl/>
        </w:rPr>
        <w:t>עבירות בנשק (החזקה ונשיאה),</w:t>
      </w:r>
      <w:r>
        <w:rPr>
          <w:rFonts w:ascii="David" w:hAnsi="David"/>
          <w:rtl/>
        </w:rPr>
        <w:t xml:space="preserve"> </w:t>
      </w:r>
      <w:r>
        <w:rPr>
          <w:rFonts w:ascii="Arial" w:hAnsi="Arial"/>
          <w:rtl/>
        </w:rPr>
        <w:t xml:space="preserve">לפי </w:t>
      </w:r>
      <w:hyperlink r:id="rId77" w:history="1">
        <w:r w:rsidR="005948C0" w:rsidRPr="005948C0">
          <w:rPr>
            <w:rFonts w:ascii="Arial" w:hAnsi="Arial"/>
            <w:color w:val="0000FF"/>
            <w:u w:val="single"/>
            <w:rtl/>
          </w:rPr>
          <w:t>סעיפים 144(א)</w:t>
        </w:r>
      </w:hyperlink>
      <w:r>
        <w:rPr>
          <w:rFonts w:ascii="Arial" w:hAnsi="Arial"/>
          <w:rtl/>
        </w:rPr>
        <w:t xml:space="preserve"> ו- </w:t>
      </w:r>
      <w:hyperlink r:id="rId78" w:history="1">
        <w:r w:rsidR="005948C0" w:rsidRPr="005948C0">
          <w:rPr>
            <w:rFonts w:ascii="Arial" w:hAnsi="Arial"/>
            <w:color w:val="0000FF"/>
            <w:u w:val="single"/>
            <w:rtl/>
          </w:rPr>
          <w:t>(ב)</w:t>
        </w:r>
      </w:hyperlink>
      <w:r>
        <w:rPr>
          <w:rFonts w:ascii="Arial" w:hAnsi="Arial"/>
          <w:rtl/>
        </w:rPr>
        <w:t xml:space="preserve"> רישא וסיפא + </w:t>
      </w:r>
      <w:hyperlink r:id="rId79" w:history="1">
        <w:r w:rsidR="005948C0" w:rsidRPr="005948C0">
          <w:rPr>
            <w:rFonts w:ascii="Arial" w:hAnsi="Arial"/>
            <w:color w:val="0000FF"/>
            <w:u w:val="single"/>
            <w:rtl/>
          </w:rPr>
          <w:t>סעיף 29</w:t>
        </w:r>
      </w:hyperlink>
      <w:r>
        <w:rPr>
          <w:rFonts w:ascii="Arial" w:hAnsi="Arial"/>
          <w:rtl/>
        </w:rPr>
        <w:t xml:space="preserve"> לחוק. </w:t>
      </w:r>
    </w:p>
    <w:p w14:paraId="65D3A1AB"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ניסיון לגרום פציעה בנסיבות מחמירות,</w:t>
      </w:r>
      <w:r>
        <w:rPr>
          <w:rFonts w:ascii="David" w:hAnsi="David"/>
          <w:rtl/>
        </w:rPr>
        <w:t xml:space="preserve"> לפי </w:t>
      </w:r>
      <w:hyperlink r:id="rId80" w:history="1">
        <w:r w:rsidR="005948C0" w:rsidRPr="005948C0">
          <w:rPr>
            <w:rFonts w:ascii="David" w:hAnsi="David"/>
            <w:color w:val="0000FF"/>
            <w:u w:val="single"/>
            <w:rtl/>
          </w:rPr>
          <w:t>סעיף 334</w:t>
        </w:r>
      </w:hyperlink>
      <w:r>
        <w:rPr>
          <w:rFonts w:ascii="David" w:hAnsi="David"/>
          <w:rtl/>
        </w:rPr>
        <w:t xml:space="preserve"> + </w:t>
      </w:r>
      <w:hyperlink r:id="rId81" w:history="1">
        <w:r w:rsidR="005948C0" w:rsidRPr="005948C0">
          <w:rPr>
            <w:rFonts w:ascii="David" w:hAnsi="David"/>
            <w:color w:val="0000FF"/>
            <w:u w:val="single"/>
            <w:rtl/>
          </w:rPr>
          <w:t>335</w:t>
        </w:r>
      </w:hyperlink>
      <w:r>
        <w:rPr>
          <w:rFonts w:ascii="David" w:hAnsi="David"/>
          <w:rtl/>
        </w:rPr>
        <w:t xml:space="preserve"> + </w:t>
      </w:r>
      <w:hyperlink r:id="rId82" w:history="1">
        <w:r w:rsidR="005948C0" w:rsidRPr="005948C0">
          <w:rPr>
            <w:rFonts w:ascii="David" w:hAnsi="David"/>
            <w:color w:val="0000FF"/>
            <w:u w:val="single"/>
            <w:rtl/>
          </w:rPr>
          <w:t>25</w:t>
        </w:r>
      </w:hyperlink>
      <w:r>
        <w:rPr>
          <w:rFonts w:ascii="David" w:hAnsi="David"/>
          <w:rtl/>
        </w:rPr>
        <w:t xml:space="preserve"> + </w:t>
      </w:r>
      <w:hyperlink r:id="rId83" w:history="1">
        <w:r w:rsidR="005948C0" w:rsidRPr="005948C0">
          <w:rPr>
            <w:rFonts w:ascii="David" w:hAnsi="David"/>
            <w:color w:val="0000FF"/>
            <w:u w:val="single"/>
            <w:rtl/>
          </w:rPr>
          <w:t>29</w:t>
        </w:r>
      </w:hyperlink>
      <w:r>
        <w:rPr>
          <w:rFonts w:ascii="David" w:hAnsi="David"/>
          <w:rtl/>
        </w:rPr>
        <w:t xml:space="preserve"> לחוק.</w:t>
      </w:r>
    </w:p>
    <w:p w14:paraId="02EDFA1C" w14:textId="77777777" w:rsidR="004C3216" w:rsidRDefault="004C3216" w:rsidP="005811E2">
      <w:pPr>
        <w:tabs>
          <w:tab w:val="left" w:pos="2125"/>
        </w:tabs>
        <w:spacing w:line="360" w:lineRule="auto"/>
        <w:ind w:left="516" w:right="426" w:hanging="720"/>
        <w:jc w:val="both"/>
        <w:rPr>
          <w:rFonts w:ascii="David" w:hAnsi="David"/>
          <w:rtl/>
        </w:rPr>
      </w:pPr>
    </w:p>
    <w:p w14:paraId="7EA0C79B" w14:textId="77777777" w:rsidR="004C3216" w:rsidRDefault="004C3216" w:rsidP="005811E2">
      <w:pPr>
        <w:tabs>
          <w:tab w:val="left" w:pos="2125"/>
        </w:tabs>
        <w:spacing w:line="360" w:lineRule="auto"/>
        <w:ind w:left="516" w:right="426" w:hanging="720"/>
        <w:jc w:val="both"/>
        <w:rPr>
          <w:rFonts w:ascii="David" w:hAnsi="David"/>
          <w:u w:val="single"/>
          <w:rtl/>
        </w:rPr>
      </w:pPr>
      <w:r>
        <w:rPr>
          <w:rFonts w:ascii="David" w:hAnsi="David"/>
          <w:rtl/>
        </w:rPr>
        <w:tab/>
      </w:r>
      <w:r>
        <w:rPr>
          <w:rFonts w:ascii="David" w:hAnsi="David"/>
          <w:u w:val="single"/>
          <w:rtl/>
        </w:rPr>
        <w:t>הנאשם 9:</w:t>
      </w:r>
    </w:p>
    <w:p w14:paraId="7916716E" w14:textId="77777777" w:rsidR="004C3216" w:rsidRDefault="004C3216" w:rsidP="005811E2">
      <w:pPr>
        <w:tabs>
          <w:tab w:val="left" w:pos="2125"/>
        </w:tabs>
        <w:spacing w:line="360" w:lineRule="auto"/>
        <w:ind w:left="516" w:right="426" w:hanging="720"/>
        <w:jc w:val="both"/>
        <w:rPr>
          <w:rFonts w:ascii="David" w:hAnsi="David"/>
          <w:rtl/>
        </w:rPr>
      </w:pPr>
      <w:r>
        <w:rPr>
          <w:rFonts w:ascii="David" w:hAnsi="David"/>
          <w:rtl/>
        </w:rPr>
        <w:tab/>
        <w:t xml:space="preserve">(-) </w:t>
      </w:r>
      <w:r>
        <w:rPr>
          <w:rFonts w:ascii="Miriam" w:hAnsi="Miriam" w:cs="Miriam"/>
          <w:rtl/>
        </w:rPr>
        <w:t>סיוע לעבירות בנשק (החזקה),</w:t>
      </w:r>
      <w:r>
        <w:rPr>
          <w:rFonts w:ascii="David" w:hAnsi="David"/>
          <w:rtl/>
        </w:rPr>
        <w:t xml:space="preserve"> לפי </w:t>
      </w:r>
      <w:hyperlink r:id="rId84" w:history="1">
        <w:r w:rsidR="005948C0" w:rsidRPr="005948C0">
          <w:rPr>
            <w:rFonts w:ascii="David" w:hAnsi="David"/>
            <w:color w:val="0000FF"/>
            <w:u w:val="single"/>
            <w:rtl/>
          </w:rPr>
          <w:t>סעיף 144(א)</w:t>
        </w:r>
      </w:hyperlink>
      <w:r>
        <w:rPr>
          <w:rFonts w:ascii="David" w:hAnsi="David"/>
          <w:rtl/>
        </w:rPr>
        <w:t xml:space="preserve"> רישא + סיפא + </w:t>
      </w:r>
      <w:hyperlink r:id="rId85" w:history="1">
        <w:r w:rsidR="005948C0" w:rsidRPr="005948C0">
          <w:rPr>
            <w:rFonts w:ascii="David" w:hAnsi="David"/>
            <w:color w:val="0000FF"/>
            <w:u w:val="single"/>
            <w:rtl/>
          </w:rPr>
          <w:t>31</w:t>
        </w:r>
      </w:hyperlink>
      <w:r>
        <w:rPr>
          <w:rFonts w:ascii="David" w:hAnsi="David"/>
          <w:rtl/>
        </w:rPr>
        <w:t xml:space="preserve"> לחוק. </w:t>
      </w:r>
    </w:p>
    <w:p w14:paraId="6D0A7DEC" w14:textId="77777777" w:rsidR="004C3216" w:rsidRDefault="004C3216" w:rsidP="005811E2">
      <w:pPr>
        <w:tabs>
          <w:tab w:val="left" w:pos="2125"/>
        </w:tabs>
        <w:spacing w:line="360" w:lineRule="auto"/>
        <w:ind w:left="516" w:right="426" w:hanging="720"/>
        <w:jc w:val="both"/>
        <w:rPr>
          <w:rFonts w:ascii="David" w:hAnsi="David"/>
          <w:rtl/>
        </w:rPr>
      </w:pPr>
    </w:p>
    <w:p w14:paraId="468DB567" w14:textId="77777777" w:rsidR="004C3216" w:rsidRDefault="004C3216" w:rsidP="005811E2">
      <w:pPr>
        <w:spacing w:line="360" w:lineRule="auto"/>
        <w:ind w:left="516" w:right="426"/>
        <w:jc w:val="both"/>
        <w:rPr>
          <w:rFonts w:ascii="David" w:hAnsi="David"/>
          <w:b/>
          <w:bCs/>
          <w:sz w:val="32"/>
          <w:szCs w:val="32"/>
          <w:u w:val="single"/>
          <w:rtl/>
        </w:rPr>
      </w:pPr>
      <w:r>
        <w:rPr>
          <w:rFonts w:ascii="David" w:hAnsi="David"/>
          <w:b/>
          <w:bCs/>
          <w:sz w:val="32"/>
          <w:szCs w:val="32"/>
          <w:u w:val="single"/>
          <w:rtl/>
        </w:rPr>
        <w:t>פרק רביעי - הסדר הטיעון</w:t>
      </w:r>
    </w:p>
    <w:p w14:paraId="45751532" w14:textId="77777777" w:rsidR="004C3216" w:rsidRDefault="004C3216" w:rsidP="005811E2">
      <w:pPr>
        <w:pStyle w:val="ListParagraph"/>
        <w:numPr>
          <w:ilvl w:val="0"/>
          <w:numId w:val="6"/>
        </w:numPr>
        <w:spacing w:after="0" w:line="360" w:lineRule="auto"/>
        <w:ind w:left="516" w:right="426"/>
        <w:jc w:val="both"/>
        <w:rPr>
          <w:rFonts w:ascii="David" w:hAnsi="David" w:cs="David"/>
          <w:sz w:val="24"/>
          <w:szCs w:val="24"/>
          <w:rtl/>
        </w:rPr>
      </w:pPr>
      <w:r>
        <w:rPr>
          <w:rFonts w:ascii="David" w:hAnsi="David" w:cs="David"/>
          <w:sz w:val="24"/>
          <w:szCs w:val="24"/>
          <w:rtl/>
        </w:rPr>
        <w:t xml:space="preserve">כאמור לעיל, הנאשמים הודו במיוחס להם בכתב האישום המתוקן במסגרת הסדר טיעון שהוצג ביום 25.10.18. ההסדר לא כלל הסכמות לעונש, בחריגים שלהלן: </w:t>
      </w:r>
    </w:p>
    <w:p w14:paraId="37BB04C5" w14:textId="77777777" w:rsidR="004C3216" w:rsidRDefault="004C3216" w:rsidP="005811E2">
      <w:pPr>
        <w:pStyle w:val="ListParagraph"/>
        <w:spacing w:after="0" w:line="360" w:lineRule="auto"/>
        <w:ind w:left="516" w:right="426"/>
        <w:jc w:val="both"/>
        <w:rPr>
          <w:rFonts w:ascii="David" w:hAnsi="David" w:cs="David"/>
          <w:sz w:val="24"/>
          <w:szCs w:val="24"/>
        </w:rPr>
      </w:pPr>
    </w:p>
    <w:p w14:paraId="1CB2B8BC" w14:textId="77777777" w:rsidR="004C3216" w:rsidRDefault="00DF1ED4" w:rsidP="00DF1ED4">
      <w:pPr>
        <w:pStyle w:val="ListParagraph"/>
        <w:numPr>
          <w:ilvl w:val="0"/>
          <w:numId w:val="6"/>
        </w:numPr>
        <w:tabs>
          <w:tab w:val="left" w:pos="465"/>
        </w:tabs>
        <w:spacing w:after="0" w:line="360" w:lineRule="auto"/>
        <w:ind w:left="516" w:right="426"/>
        <w:jc w:val="both"/>
        <w:rPr>
          <w:rFonts w:ascii="David" w:hAnsi="David" w:cs="David"/>
          <w:sz w:val="24"/>
          <w:szCs w:val="24"/>
        </w:rPr>
      </w:pPr>
      <w:r>
        <w:rPr>
          <w:rFonts w:ascii="David" w:hAnsi="David" w:cs="David" w:hint="cs"/>
          <w:sz w:val="24"/>
          <w:szCs w:val="24"/>
          <w:u w:val="single"/>
          <w:rtl/>
        </w:rPr>
        <w:t xml:space="preserve"> </w:t>
      </w:r>
      <w:r w:rsidR="004C3216">
        <w:rPr>
          <w:rFonts w:ascii="David" w:hAnsi="David" w:cs="David"/>
          <w:sz w:val="24"/>
          <w:szCs w:val="24"/>
          <w:u w:val="single"/>
          <w:rtl/>
        </w:rPr>
        <w:t>בעניינו של הנאשם 1</w:t>
      </w:r>
      <w:r w:rsidR="004C3216">
        <w:rPr>
          <w:rFonts w:ascii="David" w:hAnsi="David" w:cs="David"/>
          <w:sz w:val="24"/>
          <w:szCs w:val="24"/>
          <w:rtl/>
        </w:rPr>
        <w:t xml:space="preserve"> הודיעה המאשימה כי תטען למתחם שבין 6 חודשי מאסר, שאפשר וירוצו בעבודות שירות, ועד 24 חודשים. הוצהר מטעמה, כי בעבר, בסוף חודש מרץ 2018 (כ 7 חודשים טרם הצגת ההסדר), הוצע במסגרת מו"מ בין הצדדים עונש של 6 חודשי מאסר כעונש "סגור". הובהר, כי הסכמה זו אינה עומדת יותר על הפרק שעה שהמו"מ לא הבשיל ובפרט שמאז המשיך ההליך להתנהל והתקיימו דיונים רבים נוספים במסגרתם נשמעו עדי תביעה כולל בני משפחת המנוחה. בשקלול הדברים המאשימה סברה כי העונש לעיל – 6 חודשי מאסר - צריך להיות מגולם כרף התחתון של המתחם לו היא טוענת כיום. יובהר, כי המתחם לעיל לא הוצג כפרי הסכמה בין הצדדים.</w:t>
      </w:r>
    </w:p>
    <w:p w14:paraId="0F65BC7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4CFD1074" w14:textId="77777777" w:rsidR="004C3216" w:rsidRDefault="00DF1ED4" w:rsidP="00DF1ED4">
      <w:pPr>
        <w:pStyle w:val="ListParagraph"/>
        <w:numPr>
          <w:ilvl w:val="0"/>
          <w:numId w:val="6"/>
        </w:numPr>
        <w:tabs>
          <w:tab w:val="left" w:pos="465"/>
        </w:tabs>
        <w:spacing w:after="0" w:line="360" w:lineRule="auto"/>
        <w:ind w:left="516" w:right="426"/>
        <w:jc w:val="both"/>
        <w:rPr>
          <w:rFonts w:ascii="David" w:hAnsi="David" w:cs="David"/>
          <w:sz w:val="24"/>
          <w:szCs w:val="24"/>
        </w:rPr>
      </w:pPr>
      <w:r>
        <w:rPr>
          <w:rFonts w:ascii="David" w:hAnsi="David" w:cs="David" w:hint="cs"/>
          <w:sz w:val="24"/>
          <w:szCs w:val="24"/>
          <w:u w:val="single"/>
          <w:rtl/>
        </w:rPr>
        <w:t xml:space="preserve"> </w:t>
      </w:r>
      <w:r w:rsidR="004C3216">
        <w:rPr>
          <w:rFonts w:ascii="David" w:hAnsi="David" w:cs="David"/>
          <w:sz w:val="24"/>
          <w:szCs w:val="24"/>
          <w:u w:val="single"/>
          <w:rtl/>
        </w:rPr>
        <w:t>בעניינו של הנאשם 8</w:t>
      </w:r>
      <w:r w:rsidR="004C3216">
        <w:rPr>
          <w:rFonts w:ascii="David" w:hAnsi="David" w:cs="David"/>
          <w:sz w:val="24"/>
          <w:szCs w:val="24"/>
          <w:rtl/>
        </w:rPr>
        <w:t xml:space="preserve">, שלחובתו עומד מאסר על תנאי בר הפעלה, מסרה המאשימה כי במסגרת הסכמות ההסדר היא תטען להפעלתו באופן שחציו יהיה חופף וחציו במצטבר; בעוד שהנאשם יטען לחפיפה מלאה. צוין, כי בחודש מרץ 2018 במסגרת המו"מ שהוזכר לעיל ההסכמה היתה לחפיפה מלאה. אי הבשלת ההסדר אותה עת והמשכו של ההליך הובילו לשינוי ההסכמות. </w:t>
      </w:r>
    </w:p>
    <w:p w14:paraId="236D1473" w14:textId="77777777" w:rsidR="004C3216" w:rsidRDefault="004C3216" w:rsidP="005811E2">
      <w:pPr>
        <w:pStyle w:val="ListParagraph"/>
        <w:spacing w:after="0" w:line="360" w:lineRule="auto"/>
        <w:ind w:left="516" w:right="426"/>
        <w:rPr>
          <w:rFonts w:ascii="David" w:hAnsi="David" w:cs="David"/>
          <w:sz w:val="24"/>
          <w:szCs w:val="24"/>
        </w:rPr>
      </w:pPr>
    </w:p>
    <w:p w14:paraId="2AB63F3E"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חמישי - תסקירי נפגעי העבירה</w:t>
      </w:r>
    </w:p>
    <w:p w14:paraId="2CA50198"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rtl/>
        </w:rPr>
        <w:t xml:space="preserve">בעניין משפחת המנוחה הוגשו 3 תסקירים: </w:t>
      </w:r>
      <w:r>
        <w:rPr>
          <w:rFonts w:ascii="David" w:hAnsi="David" w:cs="David"/>
          <w:sz w:val="24"/>
          <w:szCs w:val="24"/>
          <w:u w:val="single"/>
          <w:rtl/>
        </w:rPr>
        <w:t>הראשון</w:t>
      </w:r>
      <w:r>
        <w:rPr>
          <w:rFonts w:ascii="David" w:hAnsi="David" w:cs="David"/>
          <w:sz w:val="24"/>
          <w:szCs w:val="24"/>
          <w:rtl/>
        </w:rPr>
        <w:t xml:space="preserve">, מיום 28.2.19 שהתייחס לבני משפחת פריד שנכחו בביתם - מעל דירת המנוחה, בעת האירוע, חוו את הירי לעבר ביתם וחלקם אף נחשף למראה המנוחה ברגעיה האחרונים לאחר שנורתה; </w:t>
      </w:r>
      <w:r>
        <w:rPr>
          <w:rFonts w:ascii="David" w:hAnsi="David" w:cs="David"/>
          <w:sz w:val="24"/>
          <w:szCs w:val="24"/>
          <w:u w:val="single"/>
          <w:rtl/>
        </w:rPr>
        <w:t>השני</w:t>
      </w:r>
      <w:r>
        <w:rPr>
          <w:rFonts w:ascii="David" w:hAnsi="David" w:cs="David"/>
          <w:sz w:val="24"/>
          <w:szCs w:val="24"/>
          <w:rtl/>
        </w:rPr>
        <w:t>, מיום 1.4.19, התמקד בפריד; ו</w:t>
      </w:r>
      <w:r>
        <w:rPr>
          <w:rFonts w:ascii="David" w:hAnsi="David" w:cs="David"/>
          <w:sz w:val="24"/>
          <w:szCs w:val="24"/>
          <w:u w:val="single"/>
          <w:rtl/>
        </w:rPr>
        <w:t>השלישי</w:t>
      </w:r>
      <w:r>
        <w:rPr>
          <w:rFonts w:ascii="David" w:hAnsi="David" w:cs="David"/>
          <w:sz w:val="24"/>
          <w:szCs w:val="24"/>
          <w:rtl/>
        </w:rPr>
        <w:t xml:space="preserve">, מיום 4.4.19, העלה קווים לדמות המנוחה והתייחס להשלכות מותה על משפחתה באופן כללי. </w:t>
      </w:r>
    </w:p>
    <w:p w14:paraId="513AF66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5E0C2450"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rtl/>
        </w:rPr>
        <w:t xml:space="preserve">כעולה מפניית שירות המבחן מיום 31.3.19, הנפגעים העלו חשש שחשיפת פרטים מהתסקירים תביא לפגיעה בפרטיותם, לניצול המידע על ידי הנאשמים ולפגיעה אפשרית במעמדם במקום מגוריהם. לכן יובאו עיקרי הדברים בלבד. </w:t>
      </w:r>
    </w:p>
    <w:p w14:paraId="12D9E8CE" w14:textId="77777777" w:rsidR="004C3216" w:rsidRDefault="004C3216" w:rsidP="00632576">
      <w:pPr>
        <w:pStyle w:val="ListParagraph"/>
        <w:tabs>
          <w:tab w:val="left" w:pos="2125"/>
        </w:tabs>
        <w:spacing w:after="0" w:line="360" w:lineRule="auto"/>
        <w:ind w:left="516" w:right="426"/>
        <w:jc w:val="both"/>
        <w:rPr>
          <w:rFonts w:ascii="David" w:hAnsi="David" w:cs="David"/>
          <w:sz w:val="24"/>
          <w:szCs w:val="24"/>
        </w:rPr>
      </w:pPr>
    </w:p>
    <w:p w14:paraId="4CC4F536"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rtl/>
        </w:rPr>
        <w:t xml:space="preserve">לגבי המנוחה, צוין כי היא נולדה בדרום הארץ, נישאה בגיל צעיר ולאחר מכן עזרה בטיפול באחיו הצעירים של בעלה - ביניהם הנאשם 1. המנוחה אף סייעה בטיפול וגידול חלק מיתר הנאשמים שהיו אחייניה. בשלב מסוים התגרשה המנוחה מבעלה (תורכי) שהיה נשוי במקביל לאישה נוספת והתגורר בקרבת מקום. המנוחה, שהיתה אם ל 8 ילדים וסבתא ל 54 נכדים, תוארה כדמות מרכזית במשפחתה, אם וסבתא פעילה, מסורה ומלאת נתינה, מעורבת באופן יומיומי בחיי ילדיה ונכדיה וביתה שימש כמקום "עליה לרגל". בנוסף, תואר כי בני משפחתה חיים כיום בצל הטראומה שחוו - כאשר נחשפו לירי מאסיבי ובלתי מובחן מצד הנאשמים. ממשפחה חמה אוהבת ומלוכדת הפכה למשפחה אבלה, חרדה ומרוחקת. תוארה "טראומת הבגידה" - הירי לעבר בית המשפחה והריגת המנוחה הפר באופן קיצוני ובלתי צפוי קודים חברתיים בהם האמינו בני המשפחה. תואר, כי חרף סכסוך מתמשך בין פלגי המשפחה הם סברו כי ניתן לפתור את המחלוקות באופן מכבד והפגיעה במנוחה הפרה אמון זה. לשיטת בני המשפחה, הנאשמים פגעו במנוחה באופן מכוון, תוך ניצול ההיכרות עמה ומתוך שאיפה לפגוע במקום הרגיש ביותר במשפחה במטרה להחלישם. </w:t>
      </w:r>
    </w:p>
    <w:p w14:paraId="3AFFF24F" w14:textId="77777777" w:rsidR="004C3216" w:rsidRDefault="004C3216" w:rsidP="005811E2">
      <w:pPr>
        <w:pStyle w:val="ListParagraph"/>
        <w:spacing w:after="0" w:line="360" w:lineRule="auto"/>
        <w:ind w:left="516" w:right="426"/>
        <w:rPr>
          <w:rFonts w:ascii="David" w:hAnsi="David" w:cs="David"/>
          <w:sz w:val="24"/>
          <w:szCs w:val="24"/>
        </w:rPr>
      </w:pPr>
    </w:p>
    <w:p w14:paraId="07FF8470"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rtl/>
        </w:rPr>
        <w:t xml:space="preserve">שירות המבחן תיאר כי נפגעו אצל בני משפחת המנוחה תחושות החיוניות, השמחה והלכידות הרגשית שאפיינה את ההווי המשפחתי. עוד תוארה חרדה המלווה אותם בחיי היום יום, הפחד שמא אירוע דומה יחזור, החשש לילדים והשינוי באורחות חייהם. מדובר בחששות המערערים את תחושת השליטה והביטחון הבסיסי. </w:t>
      </w:r>
    </w:p>
    <w:p w14:paraId="708877F4" w14:textId="77777777" w:rsidR="004C3216" w:rsidRDefault="004C3216" w:rsidP="005811E2">
      <w:pPr>
        <w:pStyle w:val="ListParagraph"/>
        <w:spacing w:after="0" w:line="360" w:lineRule="auto"/>
        <w:ind w:left="516" w:right="426"/>
        <w:rPr>
          <w:rFonts w:ascii="David" w:hAnsi="David" w:cs="David"/>
          <w:sz w:val="24"/>
          <w:szCs w:val="24"/>
        </w:rPr>
      </w:pPr>
    </w:p>
    <w:p w14:paraId="3E6EBF7B"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rtl/>
        </w:rPr>
        <w:t xml:space="preserve">שירות המבחן התייחס להשפעת האירוע על בני משפחת פריד, ששהו כאמור בביתם כאשר נורו (גם) לעברו קליעים רבים. מדובר במשפחה הכוללת את בני הזוג (פריד ורעייתו) וכן 7 ילדים בגילאים 4 – 18. תוארו רגעי הפחד והחרדה בעת האירוע, תואר כי חלקם נחשפו לרגעיה האחרונים של המנוחה לאחר שנורתה. האירוע השפיע על כל אחד מבני המשפחה ועל התא המשפחתי. תוארו קשיים רגשיים רבים, במישור הפרט ובמישור המשפחתי על רקע אבדן אם, חמות וסבתא בנסיבות טראגיות ופתאומיות. תוארו תחושות הלם, טלטלה רגשית וקריסת העולם הבטוח והמוכר. בנוסף, תוארו תחושות פחד שמא אירוע כזה יחזור על עצמו, בשים לב שהוא התרחש בביתם, שהיה אמור להיות המקום הבטוח ביותר עבורם. </w:t>
      </w:r>
    </w:p>
    <w:p w14:paraId="39B4A4A1" w14:textId="77777777" w:rsidR="004C3216" w:rsidRDefault="004C3216" w:rsidP="005811E2">
      <w:pPr>
        <w:pStyle w:val="ListParagraph"/>
        <w:spacing w:after="0" w:line="360" w:lineRule="auto"/>
        <w:ind w:left="516" w:right="426"/>
        <w:rPr>
          <w:rFonts w:ascii="David" w:hAnsi="David" w:cs="David"/>
          <w:sz w:val="24"/>
          <w:szCs w:val="24"/>
        </w:rPr>
      </w:pPr>
    </w:p>
    <w:p w14:paraId="621C913F"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rtl/>
        </w:rPr>
        <w:t xml:space="preserve">שירות המבחן שוחח עם ארבעה מבניה של המנוחה. מטבע הדברים השפעת האירוע על כל אחד מהם היתה שונה. עם זאת עולה תמונה משותפת של פוסט טראומה, קשיים בתפקוד היומיומי, התעסוקתי הרגשי והמשפחתי. תסקיר נפרד יוחד לפריד והתייחס הן למכאוביו הפיזיים (פריד עדיין סובל מכאבים ברגלו) והאחרים. בנוסף, נסקרה השפעת האירוע על בנותיו של פריד. </w:t>
      </w:r>
    </w:p>
    <w:p w14:paraId="7CFD1924" w14:textId="77777777" w:rsidR="004C3216" w:rsidRPr="00632576" w:rsidRDefault="004C3216" w:rsidP="00632576">
      <w:pPr>
        <w:pStyle w:val="ListParagraph"/>
        <w:rPr>
          <w:rFonts w:ascii="David" w:hAnsi="David" w:cs="David"/>
          <w:sz w:val="24"/>
          <w:szCs w:val="24"/>
          <w:rtl/>
        </w:rPr>
      </w:pPr>
    </w:p>
    <w:p w14:paraId="14BA7291"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rtl/>
        </w:rPr>
        <w:t xml:space="preserve">לסיכום, צוין כי משפחת המנוחה מתמודדת עם השלכות האסון הכבד שפקד אותם כתוצאה מאובדן דמות מרכזית וחיונית במרקם המשפחתי. מישורי חיים שונים נפגעו והם שילמו ומשלמים מחירים רגשיים, נפשיים, משפחתיים, בינאישיים ותפקודיים ניכרים. </w:t>
      </w:r>
    </w:p>
    <w:p w14:paraId="4FC9DB26" w14:textId="77777777" w:rsidR="004C3216" w:rsidRDefault="004C3216" w:rsidP="005811E2">
      <w:pPr>
        <w:pStyle w:val="ListParagraph"/>
        <w:spacing w:after="0" w:line="360" w:lineRule="auto"/>
        <w:ind w:left="516" w:right="426"/>
        <w:rPr>
          <w:rFonts w:ascii="David" w:hAnsi="David" w:cs="David"/>
          <w:sz w:val="24"/>
          <w:szCs w:val="24"/>
        </w:rPr>
      </w:pPr>
    </w:p>
    <w:p w14:paraId="0DE91CAC"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שישי - תסקירים אודות כלל הנאשמים, למעט הנאשם 8</w:t>
      </w:r>
    </w:p>
    <w:p w14:paraId="42FD9A1F"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u w:val="single"/>
          <w:rtl/>
        </w:rPr>
        <w:t>הנאשם 1</w:t>
      </w:r>
      <w:r>
        <w:rPr>
          <w:rFonts w:ascii="David" w:hAnsi="David" w:cs="David"/>
          <w:sz w:val="24"/>
          <w:szCs w:val="24"/>
          <w:rtl/>
        </w:rPr>
        <w:t xml:space="preserve"> (עודה אבו שנדי) – בן 58 מתגורר (מאז שוחרר בתנאים מגבילים) בכפר סולם, לשם עבר עם משפחתו בעקבות האירוע, אב ל 12 ילדים משתי נשים. תיאר כי במקור משפחתו הינה מהיישוב הבדואי "תל שבע" שבנגב ולפני כ 40 שנים עברה משפחתו לכפר קרע. סיים 10 שנות לימוד, עבד עד למעצרו באופן לא סדיר בתחום הבניין ובחודשים האחרונים מתקיים מהבטחת הכנסה ומתמיכת ילדיו. שירות המבחן הפנה לעברו הפלילי, כפי שיפורט להלן. הנאשם מסר אודות הסכסוך בין בניו לבין אחיו (תורכי), וציין כי מקור הסכסוך אינו כספי אלא לדבריו קנאה כלפיו מצד האחרון. לגבי האירוע עצמו, מסר כי בעקבות פציעת בנו נאסים והגעתו למרכז הרפואי, הוא נמלא רגשות כעס והדבר הוביל אותו לפעול באופן אימפולסיבי וללא שיקול דעת. הנאשם הביע צער על מות המנוחה, שנתפסה בעיניו כדמות אימהית וביטא תחושת אמפתיה כלפיה. יחד עם זאת צוין כי הנאשם הציג עצמו כאדם שאינו אלים וכקורבן של האירוע משום המחירים ששילם בעקבות ההליך (מעצרו, המעבר לכפר סולם וכו'). שירות המבחן הפנה לפער בין תפיסתו העצמית של הנאשם לבין המאפיין אותו כעולה מהרשעותיו והתנהגותו באירוע הנוכחי. עוד הפנה שירות המבחן לכך כי גם באירועים קודמים (אלימות כנגד בת זוגו) שלל נזקקות טיפולית. שירות המבחן ציין כי ניכרים בנאשם קודים תרבותיים שמרניים ונוקשים בהם גדל, נטייה לשליטה וקושי בוויסות רגשי במצבי כעס או פגיעה בכבודו. לצד הזכות הפנה שירות המבחן להודאתו, לצער שהביע על התנהגותו, להבנה לנזק שגרם, לאמפתיה למות המנוחה וכן העובדה שלא היתה הסלמה לאחר האירוע. בשים לב לכלל הנתונים לעיל, העריך שירות המבחן כי קיים סיכון בינוני–גבוה להישנות עבירות דומות בעתיד. שירות המבחן לא בא בהמלצה טיפולית וסבר כי יש להשית ענישה הרתעתית משמעותית שתחדד עבור הנאשם את הגבולות בין המותר והאסור. </w:t>
      </w:r>
    </w:p>
    <w:p w14:paraId="160E747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43971E4C"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u w:val="single"/>
          <w:rtl/>
        </w:rPr>
        <w:t>הנאשם 2</w:t>
      </w:r>
      <w:r>
        <w:rPr>
          <w:rFonts w:ascii="David" w:hAnsi="David" w:cs="David"/>
          <w:sz w:val="24"/>
          <w:szCs w:val="24"/>
          <w:rtl/>
        </w:rPr>
        <w:t xml:space="preserve"> (טארק אבו שנדי) – בן 31, נשוי ואב ל 4 ילדים בגילאים 1 - 10. כיום מתגורר בכפר אכסאל בבית משפחת רעייתו. סיים 11 שנות לימוד ולאחר מכן עבד באופן סדיר בבנייה, נעדר עבר פלילי. הנאשם נטל אחריות על מעשיו אך התקשה להרחיב אודות המניעים והדינמיקה שהובילה לאירוע. מסר ששמע שאחיו נורה ונפטר וכשהגיע למרכז הרפואי הבין ש"רק" נפצע. תיאר כי היה מוצף רגשית ולכן הצטרף לאחיו ולזירת האירוע. הנאשם לא מסר פרטים כיצד הגיע לרשותו הנשק והוסיף כי היתה זו הפעם ראשונה שאחז בנשק ולכן ירה באוויר. הנאשם מסר כי הוא מתחרט על כך שלא הפעיל שיקול דעת, אך שירות המבחן התרשם שהוא אינו מתחרט או מבין את חומרת התנהגותו והפנה לכך כי השיב באופן מצומצם והסתיר נתונים שונים. שירות המבחן העריך כי הנאשם מאופיין בדפוסי אישיות תלותיים בבני משפחתו, מתקשה לעמוד בלחץ משפחתי והדבר משפיע על יכולתו בהפעלת שיקול דעת נפרד. הנאשם הביע נכונות לקחת חלק בהליך טיפולי, אך עלה כי הדבר אינו נובע מהבנה לצורך בכך וקשיי הנפרדות שלו ממשפחתו יקשו עליו בהליך כזה. בשים לב לכלל הנתונים לעיל, תוך שהודגש כי הלויאליות למשפחתו הינה גורם סיכון משמעותי המגביר את הפוטנציאל להתנהגות עוברת חוק בעתיד, לא הובאה המלצה טיפולית.</w:t>
      </w:r>
    </w:p>
    <w:p w14:paraId="1772295F" w14:textId="77777777" w:rsidR="004C3216" w:rsidRDefault="004C3216" w:rsidP="005811E2">
      <w:pPr>
        <w:pStyle w:val="ListParagraph"/>
        <w:spacing w:after="0" w:line="360" w:lineRule="auto"/>
        <w:ind w:left="516" w:right="426"/>
        <w:rPr>
          <w:rFonts w:ascii="David" w:hAnsi="David" w:cs="David"/>
          <w:sz w:val="24"/>
          <w:szCs w:val="24"/>
        </w:rPr>
      </w:pPr>
    </w:p>
    <w:p w14:paraId="11A9DA3C"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u w:val="single"/>
          <w:rtl/>
        </w:rPr>
        <w:t>הנאשם 3</w:t>
      </w:r>
      <w:r>
        <w:rPr>
          <w:rFonts w:ascii="David" w:hAnsi="David" w:cs="David"/>
          <w:sz w:val="24"/>
          <w:szCs w:val="24"/>
          <w:rtl/>
        </w:rPr>
        <w:t xml:space="preserve"> (תמים אבו שנדי) – בן 22, רווק,  אביו התגרש מאמו והוא גדל בכפר קרע כאשר דודו – הנאשם 1, היווה דמות דומיננטית בגדילתו. הנאשם מסר כי הנאשם 1 אף נקט כלפיו באלימות לא פעם. הנאשם סיים 8 שנות לימוד ולאחר מכן עבד כרועה צאן ובבניין. לחובתו 2 הרשעות, כפי שיפורט להלן. הנאשם קיבל אחריות על מעשיו ותיאר כי הנאשם 1 חייב את כולם להצטרף למשימה ולא היתה אפשרות ריאלית לסרב לכך. [יודגש, כי דברי הנאשם אודות דודו (הנאשם 1) מובאים רק כדי להבהיר את גרסתו בהקשר לקבלת אחריות ולא בהכרח לנכונותם]. עוד מסר, כי הנאשם 1 מסר לו את הנשק והנחה אותו לירות לעבר בית המנוחה. הנאשם הוסיף כי המנוחה היתה יקרה לליבו והביע אמפתיה כלפיה. עוד מסר כי אינו יודע אם הקליע שהרג את המנוחה יצא מנשקו וכי קיבל על עצמו את האחריות לכך משום שהנאשם 1 ביקש אותו לעשות כן ומשום שהוא הצעיר מבין הנאשמים. [במהלך הדיון מיום 10.7.19 הבהיר הנאשם באמצעות בא כוחו, כי הוא עומד על הודייתו בכל עובדות כתב האישום. בנוסף, במסגרת דבריו טרם גזר הדין מסר הנאשם כך: "אני מבהיר שהודיתי כי אני לוקח אחריות על מה שעשיתי"]. שירות המבחן התרשם מהנאשם כמי שגדל בסביבה הדוגלת בתפיסות חברתיות שמרניות ומעודדת כוחניות כדרך להשגת סטטוס ומשמעת, ללא דמות אב כאשר דודו (הנאשם 1) שימש לו כדמות נוקשה. הנאשם הטיל חלק מהאשמה על דודו וצוין בהקשר זה כי הוא מתקשה ליצור זהות אישית נבדלת ועצמאית. לצד זאת, הודגשה האמפתיה שהציג כלפי המנוחה וכן צוין לחיוב תפקודו בכלא בהיותו עציר תומך. שירות המבחן העריך כי נשקפת מהנאשם מסוכנות גבוהה, בשים לב לאימפולסיביות שאפיינה אותו ולאי יכולתו לעמוד בלחצים משפחתיים. על רקע כלל הנתונים לעיל, הומלץ על בחינת האפשרות לשלבו במסגרת טיפולית במהלך ריצוי עונשו בשב"ס. </w:t>
      </w:r>
    </w:p>
    <w:p w14:paraId="3C25F68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176F84DE"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u w:val="single"/>
          <w:rtl/>
        </w:rPr>
        <w:t>הנאשם 4</w:t>
      </w:r>
      <w:r>
        <w:rPr>
          <w:rFonts w:ascii="David" w:hAnsi="David" w:cs="David"/>
          <w:sz w:val="24"/>
          <w:szCs w:val="24"/>
          <w:rtl/>
        </w:rPr>
        <w:t xml:space="preserve"> (סאמי אבו שנדי) – בן 34, נעדר עבר פלילי, סיים 9 שנות לימוד, נשוי ואב ל 5 ילדים. עד למעצרו עבד בבנייה ולאחר שחרורו בתנאים התגורר בנגב ולאחר מכן בבית הורי אשתו בעילוט. הנאשם קיבל אחריות על מעשיו ומסר כי לאחר ששמע כי אחיו נפצע הוא סייע בהעברתו לבית החולים ומששב לביתו – שנמצא כאמור מול בית המנוחה, היה האירוע לקראת סיום. הנאשם מסר כי לא נגע בנשק אך אישר כי עוד קודם לכן סיכם עם יתר המעורבים להגיע למקום יחד כדי להבין "מדוע ירו בנאסים", הגם ששלל כוונת פגיעה. הנאשם מסר כי הוא אדם שומר חוק והביע צער על מות המנוחה. שירות המבחן התרשם מהנאשם כמי שהתמיד לאורך חייו במסגרות השונות וכאדם שקול ושומר חוק, שלקח אחריות על מעשיו והביע אמפתיה למשפחת המנוחה. לצד זאת הפנה שירות המבחן לכך כי בעת האירוע פעל מתוך נאמנות למשפחתו, נתון שיש בו כדי להצביע על מסוכנות מסוימת. הנאשם לא הביע רצון או נכונות להליך טיפולי. בשים לב לנתוניו לעיל, לחלקו בביצוע העבירה כמו גם ההתרשמות שהוא נהג לפני ולאחר האירוע באופן שקול ויציב סבר שירות המבחן כי יש לאפשר לו להמשיך ולשמור על אורח חיים תפקודי ומשכך הומלץ על של"צ, מע"ת ופיצוי בלבד. </w:t>
      </w:r>
    </w:p>
    <w:p w14:paraId="2C48FABD" w14:textId="77777777" w:rsidR="004C3216" w:rsidRDefault="004C3216" w:rsidP="005811E2">
      <w:pPr>
        <w:pStyle w:val="ListParagraph"/>
        <w:spacing w:after="0" w:line="360" w:lineRule="auto"/>
        <w:ind w:left="516" w:right="426"/>
        <w:rPr>
          <w:rFonts w:ascii="David" w:hAnsi="David" w:cs="David"/>
          <w:sz w:val="24"/>
          <w:szCs w:val="24"/>
        </w:rPr>
      </w:pPr>
    </w:p>
    <w:p w14:paraId="06C7E015"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u w:val="single"/>
          <w:rtl/>
        </w:rPr>
        <w:t>הנאשם 5</w:t>
      </w:r>
      <w:r>
        <w:rPr>
          <w:rFonts w:ascii="David" w:hAnsi="David" w:cs="David"/>
          <w:sz w:val="24"/>
          <w:szCs w:val="24"/>
          <w:rtl/>
        </w:rPr>
        <w:t xml:space="preserve"> (אמיר אבו שנדי) – בן 21, נעדר עבר פלילי, רווק, סיים 12 שנות לימוד עם בגרות חלקית, עבד ועובד בתחום הבנייה וטען כי עובר למעצרו נרשם ללימודי הנדסאות בניין. תיאר את משפחתו כנורמטיבית, אביו עובד אף הוא בתחום הבניה ואחיו הצעיר משרת בצבא. הנאשם נטל אחריות על מעשיו ומסר כי האירוע מבחינתו החל כאשר שמע שבן דודו נאסים נפטר ורק מאוחר יותר הבין שרק נפצע. הנאשם תיאר כי הגיע לזירת האירוע ובמהלך חלקו שהה בתוך ביתו שנמצא בסמוך לבית המנוחה. הנאשם הביע צער על מות המנוחה וכן על מעשיו, הגם שנטה להפחית מחומרתם. עוד ציין, כי אינו נוהג להתנהג באופן אלים ושלל התנהגות כזו באופן כללי. שירות המבחן התרשם מהנאשם כצעיר מופנם בעל שאיפות ללמוד ולהתקדם בתחום המקצועי, שגדל במשפחה נורמטיבית השוללת פתרון סכסוכים בדרכים אלימות. צוין, כי הוא נטל חלק באירוע משום קשייו לווסת את כעסיו לאחר הפגיעה בבן דודו. בשים לב לכלל הנתונים לעיל ולכך שההליך המשפטי היווה עבורו גורם מרתיע, העריך שירות המבחן כי מסוכנותו נמוכה. משום נכונות הנאשם להשתלב בהליך טיפולי, ההמלצה היתה לצו מבחן לתקופה של שנה, לצד של"צ. </w:t>
      </w:r>
    </w:p>
    <w:p w14:paraId="3CEC3AAE" w14:textId="77777777" w:rsidR="004C3216" w:rsidRDefault="004C3216" w:rsidP="00DF1ED4">
      <w:pPr>
        <w:pStyle w:val="ListParagraph"/>
        <w:tabs>
          <w:tab w:val="left" w:pos="585"/>
        </w:tabs>
        <w:spacing w:after="0" w:line="360" w:lineRule="auto"/>
        <w:ind w:left="516" w:right="426"/>
        <w:rPr>
          <w:rFonts w:ascii="David" w:hAnsi="David" w:cs="David"/>
          <w:sz w:val="24"/>
          <w:szCs w:val="24"/>
        </w:rPr>
      </w:pPr>
    </w:p>
    <w:p w14:paraId="4D93EFC4"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u w:val="single"/>
          <w:rtl/>
        </w:rPr>
        <w:t>הנאשם 6</w:t>
      </w:r>
      <w:r>
        <w:rPr>
          <w:rFonts w:ascii="David" w:hAnsi="David" w:cs="David"/>
          <w:sz w:val="24"/>
          <w:szCs w:val="24"/>
          <w:rtl/>
        </w:rPr>
        <w:t xml:space="preserve"> (חמודה אבו שנדי) – בן 33, נעדר עבר פלילי, נשוי ואב לתאומים בני 8, סיים 11 שנות לימוד, עבד עד למעצרו בבניין. מתגורר כיום בתנאים מגבילים בכפר עילוט. הנאשם נטל אחריות על מעשיו אך התקשה להרחיב אודות מעשיו באירוע - לא הסביר מהיכן קיבל את הנשק (מסר כי מצא אותו ברחוב) והתקשה לגלות אמפתיה למות המנוחה. שירות המבחן ציין כי רב הנסתר על הגלוי בכל הנוגע לנאשם זה, דבר שהקשה על הערכת הסיכון בנוגע אליו. עוד צוין, כי הנאשם לא גילה נזקקות טיפולית ולכן הומלץ על הטלת ענישה הרתעתית מוחשית כמאסר בפועל לצורך חידוד חומרת מעשיו וגבולות החוק. </w:t>
      </w:r>
    </w:p>
    <w:p w14:paraId="3F6201C7" w14:textId="77777777" w:rsidR="004C3216" w:rsidRDefault="004C3216" w:rsidP="005811E2">
      <w:pPr>
        <w:pStyle w:val="ListParagraph"/>
        <w:spacing w:after="0" w:line="360" w:lineRule="auto"/>
        <w:ind w:left="516" w:right="426"/>
        <w:rPr>
          <w:rFonts w:ascii="David" w:hAnsi="David" w:cs="David"/>
          <w:sz w:val="24"/>
          <w:szCs w:val="24"/>
        </w:rPr>
      </w:pPr>
    </w:p>
    <w:p w14:paraId="2DEB0563"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tl/>
        </w:rPr>
      </w:pPr>
      <w:r>
        <w:rPr>
          <w:rFonts w:ascii="David" w:hAnsi="David" w:cs="David"/>
          <w:sz w:val="24"/>
          <w:szCs w:val="24"/>
          <w:u w:val="single"/>
          <w:rtl/>
        </w:rPr>
        <w:t xml:space="preserve">הנאשם 7 </w:t>
      </w:r>
      <w:r>
        <w:rPr>
          <w:rFonts w:ascii="David" w:hAnsi="David" w:cs="David"/>
          <w:sz w:val="24"/>
          <w:szCs w:val="24"/>
          <w:rtl/>
        </w:rPr>
        <w:t xml:space="preserve">(ממדוח אבו שנדי) – בן 25, נשוי ואב לשני ילדים, סיים 9 שנות לימוד, נעדר עבר פלילי, עובר למעצרו עבד בבניין וכנהג הסעות. הנאשם קיבל אחריות על מעשיו, מסר כי עובר לאירוע שררה מתיחות מסוימת בין גורמים שונים במשפחה המורחבת אך לא כזו שהיתה אמורה להוביל לסכסוך מהותי. ביום האירוע ולאחר ששמע על פציעת אחיו, הוא הגיע למרפאה אליה הובא האח, שם הוחלט על נקמה בצד הפוגע באמצעות שימוש בנשק. הנאשם מסר כי התלבט כיצד לפעול ובסופו של דבר פעל על פי המתואר בכתב האישום המתוקן במסגרת מילוי ציפיות משפחתיות תרבותיות. הנאשם הוסיף כי הנשק מהווה גורם הגנתי עבור המשפחה לצד העדר אמון במערכת אכיפת החוק. הנאשם הביע חרטה על מעשיו ותיאר את המחירים ששילם וישלם בגין מעשיו. הגם שהנאשם התייחס לפגיעה שנגרמה, שירות המבחן לא התרשם מאמפתיה רגשית עמוקה בנדון וצוין בהקשר זה כי הוא נמנע משיח מעמיק אודות מעשיו ואודות הדינמיקה המשפחתית שהביאה לאירוע. הנאשם מסר כי הוא מעוניין בהליך טיפולי, אך לצד זאת ציין כי למד את הלקח ממעשיו והתקשה לזהות צרכים רגשיים והתנהגותיים לשם שילובו בהליך שכזה. שירות המבחן הפנה לכך כי הנאשם גדל במסגרת משפחתית נוקשה ושמרנית שנתנה לגיטימציה להפעלת אלימות במצבים בהם נפגעה התדמית הגברית והדגישה את תחושת השייכות וההשתייכות המשפחתית. בשים לב לכלל הנתונים, שרק תמציתם הובא לעיל, ומשום התרשמות שירות המבחן כי הנאשם אינו בשל להליך טיפולי, לא הובאה המלצה כזו אלא הומלץ על ענישה מוחשית ומציבת גבולות. </w:t>
      </w:r>
    </w:p>
    <w:p w14:paraId="2C3A757E"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59BA2409" w14:textId="77777777" w:rsidR="004C3216" w:rsidRDefault="004C3216" w:rsidP="00DF1ED4">
      <w:pPr>
        <w:pStyle w:val="ListParagraph"/>
        <w:numPr>
          <w:ilvl w:val="0"/>
          <w:numId w:val="6"/>
        </w:numPr>
        <w:tabs>
          <w:tab w:val="left" w:pos="585"/>
        </w:tabs>
        <w:spacing w:after="0" w:line="360" w:lineRule="auto"/>
        <w:ind w:left="516" w:right="426"/>
        <w:jc w:val="both"/>
        <w:rPr>
          <w:rFonts w:ascii="David" w:hAnsi="David" w:cs="David"/>
          <w:sz w:val="24"/>
          <w:szCs w:val="24"/>
        </w:rPr>
      </w:pPr>
      <w:r>
        <w:rPr>
          <w:rFonts w:ascii="David" w:hAnsi="David" w:cs="David"/>
          <w:sz w:val="24"/>
          <w:szCs w:val="24"/>
          <w:u w:val="single"/>
          <w:rtl/>
        </w:rPr>
        <w:t>הנאשם 9</w:t>
      </w:r>
      <w:r>
        <w:rPr>
          <w:rFonts w:ascii="David" w:hAnsi="David" w:cs="David"/>
          <w:sz w:val="24"/>
          <w:szCs w:val="24"/>
          <w:rtl/>
        </w:rPr>
        <w:t xml:space="preserve"> (נימר אבו שנדי) – בן 23, נשוי ואב לשני ילדים. אחיו הוא הנאשם 3 (כמו גם הנאשם 8 - לגביו לא הוכן תסקיר) ותנאי גדילתם דומים. הנאשם סיים 9 שנות לימוד ולאחר מכן עבד בחקלאות ובניין. הנאשם שוחרר לבית קרובי משפחתו בנגב ומסר כי בכוונתו להישאר שם בתום ההליך. שירות המבחן התייחס לעברו הפלילי (הרשעה בגניבה בגינה ביצע של"צ). הנאשם מסר כי האירוע מבחינתו החל כאשר נסע עם בני דודו - נאסים ונדים ברכב הפולקסוואגן שתואר לעיל, אז הותקפו על ידי הנאשמים 10 עד 12 - נאסים נורה ברגליו והוא עצמו נחבל. הנאשם המשיך ותיאר שנסע עם נאסים לבית החולים וכאשר חזר לכפר נודע לו שדודתו נהרגה. [על רקע גרסה זו ממנה עולה על פני הדברים כי הנאשם טען שכלל לא נכח בזירה בעת האירוע, הבהיר בא כוחו של הנאשם, במסגרת הדיון מיום 10.7.19, כי הנאשם מקבל אחריות מלאה בגין המיוחס לו בכתב האישום המתוקן והוסיף כי הנאשם מסר לקצינת המבחן שלא נכח במיקום </w:t>
      </w:r>
      <w:r>
        <w:rPr>
          <w:rFonts w:ascii="David" w:hAnsi="David" w:cs="David"/>
          <w:sz w:val="24"/>
          <w:szCs w:val="24"/>
          <w:u w:val="single"/>
          <w:rtl/>
        </w:rPr>
        <w:t>הספציפי</w:t>
      </w:r>
      <w:r>
        <w:rPr>
          <w:rFonts w:ascii="David" w:hAnsi="David" w:cs="David"/>
          <w:sz w:val="24"/>
          <w:szCs w:val="24"/>
          <w:rtl/>
        </w:rPr>
        <w:t xml:space="preserve"> בו קופדו חיי המנוחה]. משום התרשמות שירות המבחן כי הנאשם לא משתף פעולה באופן מהותי, הומלץ על ענישה מוחשית שתחדד את המחירים להתנהלותו ותהווה גורם מציב גבול.</w:t>
      </w:r>
    </w:p>
    <w:p w14:paraId="55054F20" w14:textId="77777777" w:rsidR="004C3216" w:rsidRDefault="004C3216" w:rsidP="005811E2">
      <w:pPr>
        <w:pStyle w:val="ListParagraph"/>
        <w:spacing w:after="0" w:line="360" w:lineRule="auto"/>
        <w:ind w:left="516" w:right="426"/>
        <w:rPr>
          <w:rFonts w:ascii="David" w:hAnsi="David" w:cs="David"/>
          <w:sz w:val="24"/>
          <w:szCs w:val="24"/>
        </w:rPr>
      </w:pPr>
    </w:p>
    <w:p w14:paraId="47B96101"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שביעי - ראיות המאשימה לעונש</w:t>
      </w:r>
    </w:p>
    <w:p w14:paraId="2DCB5029"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לחובת </w:t>
      </w:r>
      <w:r>
        <w:rPr>
          <w:rFonts w:ascii="David" w:hAnsi="David" w:cs="David"/>
          <w:sz w:val="24"/>
          <w:szCs w:val="24"/>
          <w:u w:val="single"/>
          <w:rtl/>
        </w:rPr>
        <w:t>נאשם 1</w:t>
      </w:r>
      <w:r>
        <w:rPr>
          <w:rFonts w:ascii="David" w:hAnsi="David" w:cs="David"/>
          <w:sz w:val="24"/>
          <w:szCs w:val="24"/>
          <w:rtl/>
        </w:rPr>
        <w:t xml:space="preserve"> – 5 הרשעות (98' עבירות אלימות, נדון למע"ת; 05' עבירות אלימות, נדון למע"ת; 04' עבירות תכנון ובניה, הוטל קנס; 08' עבירות מע"מ, נדון למע"ת; 09' תקיפת בת זוג, נדון למאסר בעבודות שירות); </w:t>
      </w:r>
    </w:p>
    <w:p w14:paraId="6BCF04D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7FF9A509"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לחובת </w:t>
      </w:r>
      <w:r>
        <w:rPr>
          <w:rFonts w:ascii="David" w:hAnsi="David" w:cs="David"/>
          <w:sz w:val="24"/>
          <w:szCs w:val="24"/>
          <w:u w:val="single"/>
          <w:rtl/>
        </w:rPr>
        <w:t>נאשם 3</w:t>
      </w:r>
      <w:r>
        <w:rPr>
          <w:rFonts w:ascii="David" w:hAnsi="David" w:cs="David"/>
          <w:sz w:val="24"/>
          <w:szCs w:val="24"/>
          <w:rtl/>
        </w:rPr>
        <w:t xml:space="preserve"> – 2 הרשעות (10' מבית משפט לנוער בגין עבירות אלימות, נדון למע"ת; 15' בגין הפרת הוראה חוקית, נדון למע"ת);</w:t>
      </w:r>
    </w:p>
    <w:p w14:paraId="273D5111" w14:textId="77777777" w:rsidR="004C3216" w:rsidRDefault="004C3216" w:rsidP="005811E2">
      <w:pPr>
        <w:pStyle w:val="ListParagraph"/>
        <w:spacing w:after="0" w:line="360" w:lineRule="auto"/>
        <w:ind w:left="516" w:right="426"/>
        <w:rPr>
          <w:rFonts w:ascii="David" w:hAnsi="David" w:cs="David"/>
          <w:sz w:val="24"/>
          <w:szCs w:val="24"/>
        </w:rPr>
      </w:pPr>
    </w:p>
    <w:p w14:paraId="765BCA52"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 לחובת </w:t>
      </w:r>
      <w:r>
        <w:rPr>
          <w:rFonts w:ascii="David" w:hAnsi="David" w:cs="David"/>
          <w:sz w:val="24"/>
          <w:szCs w:val="24"/>
          <w:u w:val="single"/>
          <w:rtl/>
        </w:rPr>
        <w:t>נאשם 8</w:t>
      </w:r>
      <w:r>
        <w:rPr>
          <w:rFonts w:ascii="David" w:hAnsi="David" w:cs="David"/>
          <w:sz w:val="24"/>
          <w:szCs w:val="24"/>
          <w:rtl/>
        </w:rPr>
        <w:t xml:space="preserve"> – 2 הרשעות (13' עבירות אלימות, נדון למאסר בע"ש; </w:t>
      </w:r>
      <w:r>
        <w:rPr>
          <w:rFonts w:ascii="David" w:hAnsi="David" w:cs="David"/>
          <w:sz w:val="24"/>
          <w:szCs w:val="24"/>
          <w:u w:val="single"/>
          <w:rtl/>
        </w:rPr>
        <w:t>15' עבירות נשק, נדון ל 28 חודשי מאסר וכן למע"ת לתקופה של 15 חודשים, בר הפעלה בענייננו)</w:t>
      </w:r>
      <w:r>
        <w:rPr>
          <w:rFonts w:ascii="David" w:hAnsi="David" w:cs="David"/>
          <w:sz w:val="24"/>
          <w:szCs w:val="24"/>
          <w:rtl/>
        </w:rPr>
        <w:t>. גזר הדין האחרון לעיל הוגש ועיון בו מעלה כי באותו הליך (</w:t>
      </w:r>
      <w:hyperlink r:id="rId86" w:history="1">
        <w:r w:rsidR="008B74B3" w:rsidRPr="008B74B3">
          <w:rPr>
            <w:rFonts w:ascii="David" w:hAnsi="David" w:cs="David"/>
            <w:color w:val="0000FF"/>
            <w:sz w:val="24"/>
            <w:szCs w:val="24"/>
            <w:u w:val="single"/>
            <w:rtl/>
          </w:rPr>
          <w:t>ת.פ. (מחוזי חיפה) 36381-0</w:t>
        </w:r>
        <w:r w:rsidR="008B74B3" w:rsidRPr="008B74B3">
          <w:rPr>
            <w:rFonts w:ascii="David" w:hAnsi="David" w:cs="David"/>
            <w:color w:val="0000FF"/>
            <w:sz w:val="24"/>
            <w:szCs w:val="24"/>
            <w:u w:val="single"/>
            <w:rtl/>
          </w:rPr>
          <w:t>5</w:t>
        </w:r>
        <w:r w:rsidR="008B74B3" w:rsidRPr="008B74B3">
          <w:rPr>
            <w:rFonts w:ascii="David" w:hAnsi="David" w:cs="David"/>
            <w:color w:val="0000FF"/>
            <w:sz w:val="24"/>
            <w:szCs w:val="24"/>
            <w:u w:val="single"/>
            <w:rtl/>
          </w:rPr>
          <w:t>-15</w:t>
        </w:r>
      </w:hyperlink>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הורשע הנאשם בסחר בנשק בכך שמכר (עם אחר) תת מקלע לסוכן משטרתי.</w:t>
      </w:r>
    </w:p>
    <w:p w14:paraId="3A6DA121" w14:textId="77777777" w:rsidR="004C3216" w:rsidRDefault="004C3216" w:rsidP="005811E2">
      <w:pPr>
        <w:pStyle w:val="ListParagraph"/>
        <w:spacing w:after="0" w:line="360" w:lineRule="auto"/>
        <w:ind w:left="516" w:right="426"/>
        <w:rPr>
          <w:rFonts w:ascii="David" w:hAnsi="David" w:cs="David"/>
          <w:sz w:val="24"/>
          <w:szCs w:val="24"/>
        </w:rPr>
      </w:pPr>
    </w:p>
    <w:p w14:paraId="1ACB33DA"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לחובת </w:t>
      </w:r>
      <w:r>
        <w:rPr>
          <w:rFonts w:ascii="David" w:hAnsi="David" w:cs="David"/>
          <w:sz w:val="24"/>
          <w:szCs w:val="24"/>
          <w:u w:val="single"/>
          <w:rtl/>
        </w:rPr>
        <w:t>נאשם 9</w:t>
      </w:r>
      <w:r>
        <w:rPr>
          <w:rFonts w:ascii="David" w:hAnsi="David" w:cs="David"/>
          <w:sz w:val="24"/>
          <w:szCs w:val="24"/>
          <w:rtl/>
        </w:rPr>
        <w:t xml:space="preserve"> – הרשעה אחת בגין עבירת רכוש משנת 2013 ונקבע צו של"צ. </w:t>
      </w:r>
    </w:p>
    <w:p w14:paraId="0090E2E7" w14:textId="77777777" w:rsidR="004C3216" w:rsidRDefault="004C3216" w:rsidP="005811E2">
      <w:pPr>
        <w:pStyle w:val="ListParagraph"/>
        <w:spacing w:after="0" w:line="360" w:lineRule="auto"/>
        <w:ind w:left="516" w:right="426"/>
        <w:rPr>
          <w:rFonts w:ascii="David" w:hAnsi="David" w:cs="David"/>
          <w:sz w:val="24"/>
          <w:szCs w:val="24"/>
        </w:rPr>
      </w:pPr>
    </w:p>
    <w:p w14:paraId="515D6DF1"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ליתר הנאשמים אין עבר פלילי. </w:t>
      </w:r>
    </w:p>
    <w:p w14:paraId="084F8EF9" w14:textId="77777777" w:rsidR="004C3216" w:rsidRDefault="004C3216" w:rsidP="005811E2">
      <w:pPr>
        <w:pStyle w:val="ListParagraph"/>
        <w:rPr>
          <w:rFonts w:ascii="David" w:hAnsi="David" w:cs="David"/>
          <w:sz w:val="24"/>
          <w:szCs w:val="24"/>
        </w:rPr>
      </w:pPr>
    </w:p>
    <w:p w14:paraId="6F2C8BEB"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שמיני - ראיות הנאשמים לעונש</w:t>
      </w:r>
    </w:p>
    <w:p w14:paraId="1B00AFAF"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מטעם הנאשמים 3, 8 ו 9 שהינם אחים, הוגש מכתבה של עו"ס המשפחה במחלקה לשירותים חברתיים בערערה שבנגב. צוין, כי משפחת הנאשמים לעיל מוכרת למחלקת הרווחה ביישוב ואמם היא אם חד הורית המגדלת את 7 ילדיה ללא עזרה כספית או אחרת. המשפחה עברה להתגורר בערערה שבנגב בחודש יולי 2017 בעקבות האירוע מושא הליך זה ותנאי מחייתם קשים. לנוכח ההיכרות עם המשפחה והמצוקות הכלכליות והנוספות אליהן נקלעה, הומלץ על סיוע והתחשבות ככל שניתן. </w:t>
      </w:r>
    </w:p>
    <w:p w14:paraId="0460830D"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5903F3A"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Pr>
      </w:pPr>
      <w:r>
        <w:rPr>
          <w:rFonts w:ascii="David" w:hAnsi="David" w:cs="David"/>
          <w:b/>
          <w:bCs/>
          <w:sz w:val="32"/>
          <w:szCs w:val="32"/>
          <w:u w:val="single"/>
          <w:rtl/>
        </w:rPr>
        <w:t>פרק תשיעי - טיעוני המאשימה לעונש</w:t>
      </w:r>
    </w:p>
    <w:p w14:paraId="09D63BB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u w:val="single"/>
          <w:rtl/>
        </w:rPr>
        <w:t>בחלק הכללי</w:t>
      </w:r>
      <w:r>
        <w:rPr>
          <w:rFonts w:ascii="David" w:hAnsi="David" w:cs="David"/>
          <w:sz w:val="24"/>
          <w:szCs w:val="24"/>
          <w:rtl/>
        </w:rPr>
        <w:t xml:space="preserve"> של טיעוניה הדגישה המאשימה את חומרת מעשי הנאשמים, כל אחד לפי חלקו, ובמיוחד את התוצאה הקטלנית של האירוע ואת הפגיעה הקשה במשפחת המנוחה, כפי שבאה לידי ביטוי בתסקירי קורבנות העבירה. </w:t>
      </w:r>
    </w:p>
    <w:p w14:paraId="7ABD6BF6"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u w:val="single"/>
        </w:rPr>
      </w:pPr>
    </w:p>
    <w:p w14:paraId="4FE3BB1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המאשימה הפנתה לערכים החברתיים המוגנים שנפגעו במקרה דנן, והם שלום הציבור ובטחונו, ההגנה על חיי אדם וקדושת החיים, כמו גם הפגיעה בגופו, נפשו ובכבודו של הפרט. </w:t>
      </w:r>
    </w:p>
    <w:p w14:paraId="6E8C815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1F4BFF9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נטען, כי מדובר באחד מהאירועים החמורים והמורכבים שבאו לפתחו של ביהמ"ש בעת האחרונה. מעבר לתוצאה הקטלנית, ניכרה במעשי הנאשמים אכזריות מיוחדת, מסוכנות גבוהה, נגישות וזמינות רבה לכלי נשק ותחמושת ובעיקר בוז גדול למערכת אכיפת החוק במדינת ישראל. הדרך בה נקטה משפחה שלמה, 9 נאשמים, לגמול למשפחה יריבה על מעשיה מהווה עליית מדרגה משמעותית מבחינת התעוזה והחומרה. </w:t>
      </w:r>
    </w:p>
    <w:p w14:paraId="41982070"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4213C76"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המאשימה הדגישה את תחושת ה"אין בטחון" מצד אזרחים שומרי חוק, שכל רצונם לחיות במקום מגוריהם בשקט ובשלווה בלי שמאן דהוא ירה לעברם ומבלי שכדור תועה ירסק את שגרת חייהם ויפגע בהם, בבני משפחתם או ברכושם. מדובר בדרישה מינימאלית שחובה על ביהמ"ש לקיימה וזאת על ידי מלחמה עיקשת וחסרת פשרות כנגד עבריינות בכלל ועברייני נשק ואלימות בפרט. </w:t>
      </w:r>
    </w:p>
    <w:p w14:paraId="0A19313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380F2BB"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המאשימה הפנתה לפסיקה מגוונת בעבירות אלימות שונות בהן נעשה שימוש בנשק קר וחם ובכולן יצאה קריאה לענישה של ממש לגבי מי שנוקטים באלימות כנגד אחרים. </w:t>
      </w:r>
    </w:p>
    <w:p w14:paraId="04EC9FD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4BBCB0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נטען, כי אחד האמצעים לשירוש התופעה הנפסדת של שימוש באלימות בכלל וכלי נשק בפרט, הוא באמצעות הטלת עונשי מאסר ממושכים. בהקשר האחרון צוינו העונשים המרביים של העבירות בהן הורשעו הנאשמים ושאמורים להיות, לשיטת המאשימה, נקודת המוצא ממנה ייגזרו מתחמי העונש ההולם והעונשים הקונקרטיים לגבי כל נאשם. </w:t>
      </w:r>
    </w:p>
    <w:p w14:paraId="3368849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4BB26AE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הודגש, כי הפיכת המרחב הציבורי לשדה קרב והעובדה שחיי עוברי אורח הפכו במקרים רבים להפקר, מחייבת, כאמור, ענישה של ממש, מטעמי גמול כמו גם מטעמי הרתעה כללית ואישית. </w:t>
      </w:r>
    </w:p>
    <w:p w14:paraId="16BC94B6" w14:textId="77777777" w:rsidR="004C3216" w:rsidRDefault="004C3216" w:rsidP="005811E2">
      <w:pPr>
        <w:pStyle w:val="ListParagraph"/>
        <w:spacing w:after="0" w:line="360" w:lineRule="auto"/>
        <w:ind w:left="516" w:right="426"/>
        <w:rPr>
          <w:rFonts w:ascii="David" w:hAnsi="David" w:cs="David"/>
          <w:sz w:val="24"/>
          <w:szCs w:val="24"/>
        </w:rPr>
      </w:pPr>
    </w:p>
    <w:p w14:paraId="5BA1CDB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u w:val="single"/>
          <w:rtl/>
        </w:rPr>
        <w:t>באשר לנסיבות הקשורות בביצוע העבירות</w:t>
      </w:r>
      <w:r>
        <w:rPr>
          <w:rFonts w:ascii="David" w:hAnsi="David" w:cs="David"/>
          <w:sz w:val="24"/>
          <w:szCs w:val="24"/>
          <w:rtl/>
        </w:rPr>
        <w:t xml:space="preserve">, הפנתה המאשימה למספר מרכיבי חומרה, לשיטתה, שיש להעניק להם את  משקלם הראוי: התכנון המוקדם; החבירה יחדיו; ההצטיידות במספר רב של כלי נשק; ההגעה לזירת האירוע כשפני הנאשמים חשופות – נתון המצביע לשיטת המאשימה על תעוזה והיעדר מורא מהחוק; הכמות האדירה של התחמושת שנורתה; הירי לעבר בני משפחתם וכן הידיעה כי בבית שלעברו ירו התגוררו ילדים ונשים – כל אלה יש בהם להעיד, כך נטען, הן על חומרת האירוע כמו גם על אופיים ומסוכנותם של הנאשמים.  עוד הודגש האופן בו "ביצרו" הנאשמים את המתחם – נתון שיש בו להעיד על רצונם העז לפגוע ולחבול בקורבנות ובאופן ששלל מהאחרונים אפשרות לצאת מהמתחם ולהימלט ממנו. </w:t>
      </w:r>
    </w:p>
    <w:p w14:paraId="695D461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3A568FB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u w:val="single"/>
          <w:rtl/>
        </w:rPr>
        <w:t>בנוסף, עמדה המאשימה על חלקו היחסי של כל נאשם בביצוע העבירה</w:t>
      </w:r>
      <w:r>
        <w:rPr>
          <w:rFonts w:ascii="David" w:hAnsi="David" w:cs="David"/>
          <w:sz w:val="24"/>
          <w:szCs w:val="24"/>
          <w:rtl/>
        </w:rPr>
        <w:t xml:space="preserve"> – נטען, כי חלקו של הנאשם 1 אינו פחות מחלקם של יתר הנאשמים, שכן כלל המעשים בוצעו על פי דרישתו ושידולו. עוד הפנתה המאשימה לכך כי הנאשמים 2, 3, 6, 7 ו 8 הם אלו שנשאו והובילו את הנשקים והתחמושת במטרה לקדם את אשר סוכם, בעוד הנאשמים 4 ו 9 סייעו להם לעשות כן. לא זו אף זו, הנאשמים 4 ו 9 אף אבטחו את המקום כדי לוודא ששאר הנאשמים יבצעו את המעשים עד תום. המאשימה תיארה כיצד הנאשמים 2 עד 9 התמקמו מסביב למתחם ובמקביל נכנס הנאשם 3 למתחם וירה לעבר בית המנוחה, כשבמקביל הנאשמים 7 ו 8 החלו לירות לעבר המתחם בעוד הנאשמים 2 ו 6 התמקמו סביבו ואף הם ירו בשטח בנוי. בנוסף, הפנתה המאשימה לפניותיו של הנאשם 5 למתלוננים שצעק לעבר בני משפחת תורכי שהם (הנאשמים) יחנכו אותם וקרא להם לצאת מביתם. </w:t>
      </w:r>
    </w:p>
    <w:p w14:paraId="25D40B2A" w14:textId="77777777" w:rsidR="004C3216" w:rsidRDefault="004C3216" w:rsidP="005811E2">
      <w:pPr>
        <w:pStyle w:val="ListParagraph"/>
        <w:spacing w:after="0" w:line="360" w:lineRule="auto"/>
        <w:ind w:left="516" w:right="426"/>
        <w:rPr>
          <w:rFonts w:ascii="David" w:hAnsi="David" w:cs="David"/>
          <w:sz w:val="24"/>
          <w:szCs w:val="24"/>
        </w:rPr>
      </w:pPr>
    </w:p>
    <w:p w14:paraId="52BD2020"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 </w:t>
      </w:r>
      <w:r>
        <w:rPr>
          <w:rFonts w:ascii="David" w:hAnsi="David" w:cs="David"/>
          <w:sz w:val="24"/>
          <w:szCs w:val="24"/>
          <w:u w:val="single"/>
          <w:rtl/>
        </w:rPr>
        <w:t>הנזק שנגרם מביצוע העבירות הינו הקשה מכל</w:t>
      </w:r>
      <w:r>
        <w:rPr>
          <w:rFonts w:ascii="David" w:hAnsi="David" w:cs="David"/>
          <w:sz w:val="24"/>
          <w:szCs w:val="24"/>
          <w:rtl/>
        </w:rPr>
        <w:t xml:space="preserve">. כאמור, אמם וסבתם של נפגעי העבירה מצאה את מותה בפתח ביתה, על לא עוול בכפה מבלי שהיתה חלק מהסכסוך ומבלי שידעה עליו. בנוסף, פריד נפצע באופן ממשי כפי שבא לידי ביטוי בכתב האישום המתוקן ובמסגרת עדותו במהלך שמיעת הראיות. בין תוצאות האירוע הקשה ניתן למנות לא רק את מות המנוחה ואת פציעתו של פריד כי אם גם את מעגלי הנזק הנרחבים שנגרמו לכל בני משפחת המנוחה, כפי שבאו לידי ביטוי בתסקירי קורבנות העבירה. </w:t>
      </w:r>
    </w:p>
    <w:p w14:paraId="3C864B9C" w14:textId="77777777" w:rsidR="004C3216" w:rsidRDefault="004C3216" w:rsidP="005811E2">
      <w:pPr>
        <w:pStyle w:val="ListParagraph"/>
        <w:spacing w:after="0" w:line="360" w:lineRule="auto"/>
        <w:ind w:left="516" w:right="426"/>
        <w:rPr>
          <w:rFonts w:ascii="David" w:hAnsi="David" w:cs="David"/>
          <w:sz w:val="24"/>
          <w:szCs w:val="24"/>
        </w:rPr>
      </w:pPr>
    </w:p>
    <w:p w14:paraId="070F6D4D"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u w:val="single"/>
          <w:rtl/>
        </w:rPr>
        <w:t>הסיבה שהביאה את הנאשמים לביצוע מעשיהם</w:t>
      </w:r>
      <w:r>
        <w:rPr>
          <w:rFonts w:ascii="David" w:hAnsi="David" w:cs="David"/>
          <w:sz w:val="24"/>
          <w:szCs w:val="24"/>
          <w:rtl/>
        </w:rPr>
        <w:t xml:space="preserve">, היא רצונם לנקום בבני משפחת הנפגעים עקב החבלות שנגרמו לנאסים, נאדים ולנאשם 9. הודגש כי לנפגעים לא היה כל חלק באירוע המקדים וכל "חטאם" הוא שהם משתייכים לבני משפחת הנאשמים 10 עד 12. לגבי הנאשמים, הודגש כי אין להם דין ואין להם דיין, כפי שבא לידי ביטוי בכך שנטלו נשקים לידיהם ועשו בהם שימוש במטרה אחת בלבד והיא נקמה. הנאשמים, בגירים כולם, היו יכולים להימנע מהמעשה. במקום זאת, לא רק שבחרו באופן מודע לבצע את מזימתם, אלא שחילקו ביניהם את התפקידים להוצאת תכניתם לפועל כאשר חלקם יורים לעבר הבית וחלקם מאבטחים את האחרים. </w:t>
      </w:r>
    </w:p>
    <w:p w14:paraId="75E0DD57" w14:textId="77777777" w:rsidR="004C3216" w:rsidRDefault="004C3216" w:rsidP="005811E2">
      <w:pPr>
        <w:pStyle w:val="ListParagraph"/>
        <w:spacing w:after="0" w:line="360" w:lineRule="auto"/>
        <w:ind w:left="516" w:right="426"/>
        <w:rPr>
          <w:rFonts w:ascii="David" w:hAnsi="David" w:cs="David"/>
          <w:sz w:val="24"/>
          <w:szCs w:val="24"/>
        </w:rPr>
      </w:pPr>
    </w:p>
    <w:p w14:paraId="4E983F8D"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המאשימה הפנתה, כאמור, לפסיקה מגוונת הן בנוגע למדיניות הענישה הכללית בנוגע לעבירות נשק ואלימות והן בהקשר למדיניות הענישה הנוהגת במקרים דומים ואף קלים יותר, ולו לשיטתה. </w:t>
      </w:r>
    </w:p>
    <w:p w14:paraId="41CAE242" w14:textId="77777777" w:rsidR="004C3216" w:rsidRDefault="004C3216" w:rsidP="005811E2">
      <w:pPr>
        <w:pStyle w:val="ListParagraph"/>
        <w:spacing w:after="0" w:line="360" w:lineRule="auto"/>
        <w:ind w:left="516" w:right="426"/>
        <w:rPr>
          <w:rFonts w:ascii="David" w:hAnsi="David" w:cs="David"/>
          <w:sz w:val="24"/>
          <w:szCs w:val="24"/>
        </w:rPr>
      </w:pPr>
    </w:p>
    <w:p w14:paraId="1F56D63F"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לאור האמור לעיל, עתרה המאשימה לקביעת </w:t>
      </w:r>
      <w:r>
        <w:rPr>
          <w:rFonts w:ascii="David" w:hAnsi="David" w:cs="David"/>
          <w:sz w:val="24"/>
          <w:szCs w:val="24"/>
          <w:u w:val="single"/>
          <w:rtl/>
        </w:rPr>
        <w:t>מתחמי הענישה</w:t>
      </w:r>
      <w:r>
        <w:rPr>
          <w:rFonts w:ascii="David" w:hAnsi="David" w:cs="David"/>
          <w:sz w:val="24"/>
          <w:szCs w:val="24"/>
          <w:rtl/>
        </w:rPr>
        <w:t xml:space="preserve"> הבאים: </w:t>
      </w:r>
    </w:p>
    <w:p w14:paraId="6165E150" w14:textId="77777777" w:rsidR="004C3216" w:rsidRDefault="004C3216" w:rsidP="005811E2">
      <w:pPr>
        <w:spacing w:line="360" w:lineRule="auto"/>
        <w:ind w:left="516" w:right="426"/>
        <w:jc w:val="both"/>
        <w:rPr>
          <w:rFonts w:ascii="David" w:hAnsi="David"/>
          <w:rtl/>
        </w:rPr>
      </w:pPr>
    </w:p>
    <w:p w14:paraId="1C819D45" w14:textId="77777777" w:rsidR="004C3216" w:rsidRDefault="004C3216" w:rsidP="005811E2">
      <w:pPr>
        <w:spacing w:line="360" w:lineRule="auto"/>
        <w:ind w:left="516" w:right="426"/>
        <w:jc w:val="both"/>
        <w:rPr>
          <w:rFonts w:ascii="David" w:hAnsi="David"/>
          <w:rtl/>
        </w:rPr>
      </w:pPr>
      <w:r>
        <w:rPr>
          <w:rFonts w:ascii="David" w:hAnsi="David"/>
          <w:rtl/>
        </w:rPr>
        <w:t xml:space="preserve">(-) לגבי הנאשם  1 נטען למתחם שבין 6 ל 24 חודשי מאסר. </w:t>
      </w:r>
    </w:p>
    <w:p w14:paraId="337B266D" w14:textId="77777777" w:rsidR="004C3216" w:rsidRDefault="004C3216" w:rsidP="005811E2">
      <w:pPr>
        <w:spacing w:line="360" w:lineRule="auto"/>
        <w:ind w:left="516" w:right="426"/>
        <w:jc w:val="both"/>
        <w:rPr>
          <w:rFonts w:ascii="David" w:hAnsi="David"/>
          <w:rtl/>
        </w:rPr>
      </w:pPr>
      <w:r>
        <w:rPr>
          <w:rFonts w:ascii="David" w:hAnsi="David"/>
          <w:rtl/>
        </w:rPr>
        <w:t>(-) לגבי הנאשם 2 נטען למתחם שבין 4 ל 5 שנות מאסר;</w:t>
      </w:r>
    </w:p>
    <w:p w14:paraId="167DEC95" w14:textId="77777777" w:rsidR="004C3216" w:rsidRDefault="004C3216" w:rsidP="005811E2">
      <w:pPr>
        <w:spacing w:line="360" w:lineRule="auto"/>
        <w:ind w:left="516" w:right="426"/>
        <w:jc w:val="both"/>
        <w:rPr>
          <w:rFonts w:ascii="David" w:hAnsi="David"/>
          <w:rtl/>
        </w:rPr>
      </w:pPr>
      <w:r>
        <w:rPr>
          <w:rFonts w:ascii="David" w:hAnsi="David"/>
          <w:rtl/>
        </w:rPr>
        <w:t xml:space="preserve">(-) לגבי הנאשם 3 נטען למתחם שבין 17 ל 20 שנות מאסר לגבי הריגת המנוחה; ומתחם </w:t>
      </w:r>
    </w:p>
    <w:p w14:paraId="77E9C074" w14:textId="77777777" w:rsidR="004C3216" w:rsidRDefault="004C3216" w:rsidP="005811E2">
      <w:pPr>
        <w:spacing w:line="360" w:lineRule="auto"/>
        <w:ind w:left="516" w:right="426"/>
        <w:jc w:val="both"/>
        <w:rPr>
          <w:rFonts w:ascii="David" w:hAnsi="David"/>
          <w:rtl/>
        </w:rPr>
      </w:pPr>
      <w:r>
        <w:rPr>
          <w:rFonts w:ascii="David" w:hAnsi="David"/>
          <w:rtl/>
        </w:rPr>
        <w:t xml:space="preserve">      נפרד שבין 7 ל 10 שנות מאסר לגבי הירי והחבלה בפריד. </w:t>
      </w:r>
    </w:p>
    <w:p w14:paraId="5D892869" w14:textId="77777777" w:rsidR="004C3216" w:rsidRDefault="004C3216" w:rsidP="005811E2">
      <w:pPr>
        <w:spacing w:line="360" w:lineRule="auto"/>
        <w:ind w:left="516" w:right="426"/>
        <w:jc w:val="both"/>
        <w:rPr>
          <w:rFonts w:ascii="David" w:hAnsi="David"/>
          <w:rtl/>
        </w:rPr>
      </w:pPr>
      <w:r>
        <w:rPr>
          <w:rFonts w:ascii="David" w:hAnsi="David"/>
          <w:rtl/>
        </w:rPr>
        <w:t>(-) לגבי הנאשם 4 נטען למתחם שבין 2 ל 3 שנות מאסר;</w:t>
      </w:r>
    </w:p>
    <w:p w14:paraId="71E0312A" w14:textId="77777777" w:rsidR="004C3216" w:rsidRDefault="004C3216" w:rsidP="005811E2">
      <w:pPr>
        <w:spacing w:line="360" w:lineRule="auto"/>
        <w:ind w:left="516" w:right="426"/>
        <w:jc w:val="both"/>
        <w:rPr>
          <w:rFonts w:ascii="David" w:hAnsi="David"/>
          <w:rtl/>
        </w:rPr>
      </w:pPr>
      <w:r>
        <w:rPr>
          <w:rFonts w:ascii="David" w:hAnsi="David"/>
          <w:rtl/>
        </w:rPr>
        <w:t>(-) לגבי הנאשם 5 נטען למתחם שבין 4 ל 8 חודשי מאסר שיכול וירוצו בעבודות שירות;</w:t>
      </w:r>
    </w:p>
    <w:p w14:paraId="40CAFD1D" w14:textId="77777777" w:rsidR="004C3216" w:rsidRDefault="004C3216" w:rsidP="005811E2">
      <w:pPr>
        <w:spacing w:line="360" w:lineRule="auto"/>
        <w:ind w:left="516" w:right="426"/>
        <w:jc w:val="both"/>
        <w:rPr>
          <w:rFonts w:ascii="David" w:hAnsi="David"/>
          <w:rtl/>
        </w:rPr>
      </w:pPr>
      <w:r>
        <w:rPr>
          <w:rFonts w:ascii="David" w:hAnsi="David"/>
          <w:rtl/>
        </w:rPr>
        <w:t>(-) לגבי הנאשם 6 נטען למתחם שבין 4 ל 5 שנות מאסר;</w:t>
      </w:r>
    </w:p>
    <w:p w14:paraId="465D07E5" w14:textId="77777777" w:rsidR="004C3216" w:rsidRDefault="004C3216" w:rsidP="005811E2">
      <w:pPr>
        <w:spacing w:line="360" w:lineRule="auto"/>
        <w:ind w:left="516" w:right="426"/>
        <w:jc w:val="both"/>
        <w:rPr>
          <w:rFonts w:ascii="David" w:hAnsi="David"/>
          <w:rtl/>
        </w:rPr>
      </w:pPr>
      <w:r>
        <w:rPr>
          <w:rFonts w:ascii="David" w:hAnsi="David"/>
          <w:rtl/>
        </w:rPr>
        <w:t>(-) לגבי הנאשם 7 נטען למתחם שבין 5 ל 7 שנות מאסר;</w:t>
      </w:r>
    </w:p>
    <w:p w14:paraId="7A04A52B" w14:textId="77777777" w:rsidR="004C3216" w:rsidRDefault="004C3216" w:rsidP="005811E2">
      <w:pPr>
        <w:spacing w:line="360" w:lineRule="auto"/>
        <w:ind w:left="516" w:right="426"/>
        <w:jc w:val="both"/>
        <w:rPr>
          <w:rFonts w:ascii="David" w:hAnsi="David"/>
          <w:rtl/>
        </w:rPr>
      </w:pPr>
      <w:r>
        <w:rPr>
          <w:rFonts w:ascii="David" w:hAnsi="David"/>
          <w:rtl/>
        </w:rPr>
        <w:t>(-) לגבי הנאשם 8 נטען למתחם שבין 5 ל 7 שנות מאסר;</w:t>
      </w:r>
    </w:p>
    <w:p w14:paraId="1F415FAE" w14:textId="77777777" w:rsidR="004C3216" w:rsidRDefault="004C3216" w:rsidP="005811E2">
      <w:pPr>
        <w:spacing w:line="360" w:lineRule="auto"/>
        <w:ind w:left="516" w:right="426"/>
        <w:jc w:val="both"/>
        <w:rPr>
          <w:rFonts w:ascii="David" w:hAnsi="David"/>
          <w:rtl/>
        </w:rPr>
      </w:pPr>
      <w:r>
        <w:rPr>
          <w:rFonts w:ascii="David" w:hAnsi="David"/>
          <w:rtl/>
        </w:rPr>
        <w:t>(-) לגבי הנאשם 9 נטען למתחם שבין 2 ל 3 שנות מאסר.</w:t>
      </w:r>
    </w:p>
    <w:p w14:paraId="2A004FD5" w14:textId="77777777" w:rsidR="004C3216" w:rsidRDefault="004C3216" w:rsidP="005811E2">
      <w:pPr>
        <w:spacing w:line="360" w:lineRule="auto"/>
        <w:ind w:left="516" w:right="426"/>
        <w:jc w:val="both"/>
        <w:rPr>
          <w:rFonts w:ascii="David" w:hAnsi="David"/>
          <w:rtl/>
        </w:rPr>
      </w:pPr>
    </w:p>
    <w:p w14:paraId="69036C01"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[אעיר כבר בשלב זה, כי על פני הדברים משרעות חלק מהמתחמים להם עתרה המאשימה  צרות ביותר ואינן תואמות את העומד בבסיס תיקון 113 לחוק (וזאת ללא שאתייחס למתחמים לגופם, נושא שיידון בהרחבה בפרק הדיון והמסקנות). </w:t>
      </w:r>
    </w:p>
    <w:p w14:paraId="4353431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C41DCA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משרעת של שנה אחת בלבד (בין 2 ל 3 שנות מאסר; או בין 4 ל 5 שנות מאסר) אינה יכולה להכיל ולשקף את מגוון הנסיבות והשיקולים שיהיו רלוונטיים במסגרת "נסיבות שאינן קשורות בביצוע העבירה" (</w:t>
      </w:r>
      <w:hyperlink r:id="rId87" w:history="1">
        <w:r w:rsidR="005948C0" w:rsidRPr="005948C0">
          <w:rPr>
            <w:rFonts w:ascii="David" w:hAnsi="David" w:cs="David"/>
            <w:color w:val="0000FF"/>
            <w:sz w:val="24"/>
            <w:szCs w:val="24"/>
            <w:u w:val="single"/>
            <w:rtl/>
          </w:rPr>
          <w:t>ס' 40יא'</w:t>
        </w:r>
      </w:hyperlink>
      <w:r>
        <w:rPr>
          <w:rFonts w:ascii="David" w:hAnsi="David" w:cs="David"/>
          <w:sz w:val="24"/>
          <w:szCs w:val="24"/>
          <w:rtl/>
        </w:rPr>
        <w:t xml:space="preserve"> לחוק). </w:t>
      </w:r>
    </w:p>
    <w:p w14:paraId="35BB43A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6C1EDB5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כך, לצורך הדוגמה, אין זה סביר שנאשם צעיר, נעדר עבר פלילי, שהודה בפתח משפטו, ידון ל 4 שנות מאסר; בעוד שנאשם מבוגר, שלחובתו עבר פלילי מכביד, ניהל את משפטו עד תום ומסוכנותו גבוהה, ידון "רק" ל 5 שנות מאסר].</w:t>
      </w:r>
    </w:p>
    <w:p w14:paraId="76D1A6F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3FF566D"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u w:val="single"/>
          <w:rtl/>
        </w:rPr>
        <w:t>נסיבות שאינן קשורות לביצוע העבירה</w:t>
      </w:r>
      <w:r>
        <w:rPr>
          <w:rFonts w:ascii="David" w:hAnsi="David" w:cs="David"/>
          <w:sz w:val="24"/>
          <w:szCs w:val="24"/>
          <w:rtl/>
        </w:rPr>
        <w:t xml:space="preserve"> - בהקשר זה הפנתה המאשימה לכך כי הנאשמים קיבלו אחריות על מעשיהם רק לאחר שמיעת ממושכת של הראיות ולאחר שחלק מעדי התביעה המהותיים העידו. </w:t>
      </w:r>
    </w:p>
    <w:p w14:paraId="55A387C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u w:val="single"/>
        </w:rPr>
      </w:pPr>
    </w:p>
    <w:p w14:paraId="7D9E05D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עוד נטען, כי כלי הנשק בהם נעשו שימוש באירוע לא נמצאו ולא הוסגרו לידי המשטרה. משכך, נשקים אלה עלולים לשמש את הנאשמים, או אחרים, בכל עת לביצוע פעילות פלילית נוספת. </w:t>
      </w:r>
    </w:p>
    <w:p w14:paraId="3252C353"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2C1C263D"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לגבי הנאשמים 1, 3 ו 8 הפנתה המאשימה לעברם הפלילי ובמיוחד ניתן דגש לעברו הפלילי של הנאשם 8, אשר הורשע בעבר בעבירת נשק ולא רק זאת אלא שבמועד האירוע היה כנגדו מאסר על תנאי תקף, שכפי שהובהר ממעשיו, לא הרתיעו. </w:t>
      </w:r>
    </w:p>
    <w:p w14:paraId="4EF3B8E4" w14:textId="77777777" w:rsidR="004C3216" w:rsidRDefault="004C3216" w:rsidP="005811E2">
      <w:pPr>
        <w:pStyle w:val="ListParagraph"/>
        <w:spacing w:after="0" w:line="360" w:lineRule="auto"/>
        <w:ind w:left="516" w:right="426"/>
        <w:rPr>
          <w:rFonts w:ascii="David" w:hAnsi="David" w:cs="David"/>
          <w:sz w:val="24"/>
          <w:szCs w:val="24"/>
        </w:rPr>
      </w:pPr>
    </w:p>
    <w:p w14:paraId="7708EEA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המאשימה התייחסה לתסקירים שהכין שירות המבחן בנוגע לנאשמים, בהפנותה לנתונים שלשיטתה יש בהם חשיבות. </w:t>
      </w:r>
    </w:p>
    <w:p w14:paraId="2CB83EC2" w14:textId="77777777" w:rsidR="004C3216" w:rsidRDefault="004C3216" w:rsidP="005811E2">
      <w:pPr>
        <w:pStyle w:val="ListParagraph"/>
        <w:spacing w:after="0" w:line="360" w:lineRule="auto"/>
        <w:ind w:left="516" w:right="426"/>
        <w:rPr>
          <w:rFonts w:ascii="David" w:hAnsi="David" w:cs="David"/>
          <w:sz w:val="24"/>
          <w:szCs w:val="24"/>
          <w:rtl/>
        </w:rPr>
      </w:pPr>
    </w:p>
    <w:p w14:paraId="334C540C"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בשים לב למתחמי העונש להם טענה המאשימה, לכלל נסיבות האירוע ומדיניות הענישה שהוצגה, עתרה המאשימה לקביעת עונשיהם של הנאשמים כדלקמן:</w:t>
      </w:r>
    </w:p>
    <w:p w14:paraId="12411359" w14:textId="77777777" w:rsidR="004C3216" w:rsidRDefault="004C3216" w:rsidP="005811E2">
      <w:pPr>
        <w:pStyle w:val="ListParagraph"/>
        <w:spacing w:after="0" w:line="360" w:lineRule="auto"/>
        <w:ind w:left="516" w:right="426"/>
        <w:rPr>
          <w:rFonts w:ascii="David" w:hAnsi="David" w:cs="David"/>
          <w:sz w:val="24"/>
          <w:szCs w:val="24"/>
        </w:rPr>
      </w:pPr>
    </w:p>
    <w:p w14:paraId="658FFFA4"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ביחס לנאשם 1 – לא הובאה עמדה עונשית. אעיר, כי המאשימה טענה כי המתחם לו טענה הינו פרי הסדר טיעון (נתון שאינו נכון עובדתית); ולא הביעה עמדה היכן לשיטתה צריך להיות ממוקם עונשו. </w:t>
      </w:r>
    </w:p>
    <w:p w14:paraId="604F2D43" w14:textId="77777777" w:rsidR="004C3216" w:rsidRDefault="004C3216" w:rsidP="005811E2">
      <w:pPr>
        <w:spacing w:line="360" w:lineRule="auto"/>
        <w:ind w:left="800" w:right="426" w:hanging="284"/>
        <w:jc w:val="both"/>
        <w:rPr>
          <w:rFonts w:ascii="David" w:hAnsi="David"/>
          <w:rtl/>
        </w:rPr>
      </w:pPr>
      <w:r>
        <w:rPr>
          <w:rFonts w:ascii="David" w:hAnsi="David"/>
          <w:rtl/>
        </w:rPr>
        <w:t>(-) לגבי הנאשם 2 – נטען כי יש לקבוע את עונשו באמצע המתחם (בין 4 ל 5 שנות מאסר);</w:t>
      </w:r>
    </w:p>
    <w:p w14:paraId="588858C0"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לגבי הנאשם 3 – כאמור, המאשימה טענה שיש לקבוע שני מתחמים: בין 17 ל 20  שנים בנוגע להריגת המנוחה; ובין 7 ל 10 שנים בנוגע לירי והחבלה בפריד. לגבי קביעת העונש, טענה המאשימה כי יש לגזור את עונשו של הנאשם במצטבר זה לזה. בה בעת, טענה המאשימה כי כלל מעשיו של הנאשם מהווים אירוע אחד. המאשימה לא נתנה הסבר כיצד הדבר מתיישב זה עם זה ועם הוראות </w:t>
      </w:r>
      <w:hyperlink r:id="rId88" w:history="1">
        <w:r w:rsidR="005948C0" w:rsidRPr="005948C0">
          <w:rPr>
            <w:rFonts w:ascii="David" w:hAnsi="David"/>
            <w:color w:val="0000FF"/>
            <w:u w:val="single"/>
            <w:rtl/>
          </w:rPr>
          <w:t>ס' 40יג'</w:t>
        </w:r>
      </w:hyperlink>
      <w:r>
        <w:rPr>
          <w:rFonts w:ascii="David" w:hAnsi="David"/>
          <w:rtl/>
        </w:rPr>
        <w:t xml:space="preserve"> לחוק. </w:t>
      </w:r>
    </w:p>
    <w:p w14:paraId="01C1AFCC" w14:textId="77777777" w:rsidR="004C3216" w:rsidRDefault="004C3216" w:rsidP="005811E2">
      <w:pPr>
        <w:spacing w:line="360" w:lineRule="auto"/>
        <w:ind w:left="800" w:right="426" w:hanging="284"/>
        <w:jc w:val="both"/>
        <w:rPr>
          <w:rFonts w:ascii="David" w:hAnsi="David"/>
          <w:rtl/>
        </w:rPr>
      </w:pPr>
      <w:r>
        <w:rPr>
          <w:rFonts w:ascii="David" w:hAnsi="David"/>
          <w:rtl/>
        </w:rPr>
        <w:t>(-) לגבי הנאשם 4 - נטען כי יש לקבוע את עונשו באמצע המתחם (בין 2 ל 3 שנים);</w:t>
      </w:r>
    </w:p>
    <w:p w14:paraId="7E81C3C0"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לגבי הנאשם 5 – כאמור, המאשימה טענה למתחם שבין מספר חודשי מאסר ועד 8 חודשי מאסר שיכול וירוצו בעבודות שירות. יחד עם זאת, המאשימה לא ציינה היכן לשיטתה צריך להיות ממוקם עונשו; </w:t>
      </w:r>
    </w:p>
    <w:p w14:paraId="533FA81E" w14:textId="77777777" w:rsidR="004C3216" w:rsidRDefault="004C3216" w:rsidP="005811E2">
      <w:pPr>
        <w:spacing w:line="360" w:lineRule="auto"/>
        <w:ind w:left="800" w:right="426" w:hanging="284"/>
        <w:jc w:val="both"/>
        <w:rPr>
          <w:rFonts w:ascii="David" w:hAnsi="David"/>
          <w:rtl/>
        </w:rPr>
      </w:pPr>
      <w:r>
        <w:rPr>
          <w:rFonts w:ascii="David" w:hAnsi="David"/>
          <w:rtl/>
        </w:rPr>
        <w:t>(-) לגבי הנאשם 6 – נטען שיש לקבוע את עונשו באמצע המתחם (בין 4 ל 5 שנים);</w:t>
      </w:r>
    </w:p>
    <w:p w14:paraId="4C21721F" w14:textId="77777777" w:rsidR="004C3216" w:rsidRDefault="004C3216" w:rsidP="005811E2">
      <w:pPr>
        <w:spacing w:line="360" w:lineRule="auto"/>
        <w:ind w:left="800" w:right="426" w:hanging="284"/>
        <w:jc w:val="both"/>
        <w:rPr>
          <w:rFonts w:ascii="David" w:hAnsi="David"/>
          <w:rtl/>
        </w:rPr>
      </w:pPr>
      <w:r>
        <w:rPr>
          <w:rFonts w:ascii="David" w:hAnsi="David"/>
          <w:rtl/>
        </w:rPr>
        <w:t>(-) לגבי הנאשם 7 - נטען שיש לקבוע את עונשו באמצע המתחם (בין 5 ל 7 שנים);</w:t>
      </w:r>
    </w:p>
    <w:p w14:paraId="3A23E654"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לגבי הנאשם 8 – נטען שיש לקבוע את עונשו ברף העליון של המתחם (בין 5 ל 7 שנים), בשים לב לעברו הפלילי ונסיבותיו האישיות; וכן עתרה להפעיל, בהתאם להסדר הטיעון החלקי כפי שהוצג לעיל, את המאסר על תנאי (15 חודשים) כאשר חציו יהיה במצטבר וחציו יהיה בחופף לעונש שייקבע. </w:t>
      </w:r>
    </w:p>
    <w:p w14:paraId="0E4800E8" w14:textId="77777777" w:rsidR="004C3216" w:rsidRDefault="004C3216" w:rsidP="005811E2">
      <w:pPr>
        <w:spacing w:line="360" w:lineRule="auto"/>
        <w:ind w:left="800" w:right="426" w:hanging="284"/>
        <w:jc w:val="both"/>
        <w:rPr>
          <w:rFonts w:ascii="David" w:hAnsi="David"/>
          <w:rtl/>
        </w:rPr>
      </w:pPr>
      <w:r>
        <w:rPr>
          <w:rFonts w:ascii="David" w:hAnsi="David"/>
          <w:rtl/>
        </w:rPr>
        <w:t xml:space="preserve">(-) לגבי הנאשם 9 - נטען שיש לקבוע את עונשו באמצע המתחם (בין 2 ל 3 שנים). </w:t>
      </w:r>
    </w:p>
    <w:p w14:paraId="7B577654" w14:textId="77777777" w:rsidR="004C3216" w:rsidRDefault="004C3216" w:rsidP="005811E2">
      <w:pPr>
        <w:spacing w:line="360" w:lineRule="auto"/>
        <w:ind w:left="516" w:right="426"/>
        <w:jc w:val="both"/>
        <w:rPr>
          <w:rFonts w:ascii="David" w:hAnsi="David"/>
          <w:rtl/>
        </w:rPr>
      </w:pPr>
    </w:p>
    <w:p w14:paraId="6563819B" w14:textId="77777777" w:rsidR="004C3216" w:rsidRDefault="004C3216" w:rsidP="005811E2">
      <w:pPr>
        <w:spacing w:line="360" w:lineRule="auto"/>
        <w:ind w:left="516" w:right="426"/>
        <w:jc w:val="both"/>
        <w:rPr>
          <w:rFonts w:ascii="David" w:hAnsi="David"/>
          <w:rtl/>
        </w:rPr>
      </w:pPr>
      <w:r>
        <w:rPr>
          <w:rFonts w:ascii="David" w:hAnsi="David"/>
          <w:rtl/>
        </w:rPr>
        <w:t xml:space="preserve">לגבי כלל הנאשמים עתרה המאשימה למאסר על תנאי, קנס וכן להורות על תקרת הפיצוי האפשרי לטובת משפחת המנוחה. </w:t>
      </w:r>
    </w:p>
    <w:p w14:paraId="356FF259" w14:textId="77777777" w:rsidR="004C3216" w:rsidRDefault="004C3216" w:rsidP="005811E2">
      <w:pPr>
        <w:spacing w:line="360" w:lineRule="auto"/>
        <w:ind w:left="516" w:right="426"/>
        <w:jc w:val="both"/>
        <w:rPr>
          <w:rFonts w:ascii="David" w:hAnsi="David"/>
          <w:rtl/>
        </w:rPr>
      </w:pPr>
    </w:p>
    <w:p w14:paraId="22B10E69"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 xml:space="preserve">פרק עשירי - טיעוני ההגנה לעונש </w:t>
      </w:r>
    </w:p>
    <w:p w14:paraId="7D828FF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באופן כללי, טענו באי כוח הנאשמים שחרף תוצאתו הטראגית של האירוע, אין מדובר במעשים שתוכננו מראש אלא בתגובה ספונטאנית לאירוע האלים שביצעו הנאשמים 10 עד 12. </w:t>
      </w:r>
    </w:p>
    <w:p w14:paraId="14D9A49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7C8BEE9F"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הדבר גם עולה מנסיבות ביצוע העבירות שמצביעות על כך שהנאשמים פעלו ללא שיקול דעת או תחכום, כפי שבא לידי ביטוי, לדוגמה, בכך שהגיעו לזירה ובצעו את מעשיהם כשפניהם חשופות. </w:t>
      </w:r>
    </w:p>
    <w:p w14:paraId="1F4E4BB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19BA779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כל אחד מהנאשמים הפנה – והדברים נכונים לכלל הנאשמים למעט הנאשם 3 - לחלקו באירוע וטען כי אין להגיע למצב בו יושפע עונשו ממות המנוחה, שכן מעשה ההמתה לא מיוחס לו. </w:t>
      </w:r>
    </w:p>
    <w:p w14:paraId="218A3E0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4F7AADDE"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עוד נטען בהקשר זה, למשל, כי העבירה המיוחסת לנאשם 1 מצויה (לכשעצמה) בסמכות העניינית של בית המשפט השלום; </w:t>
      </w:r>
    </w:p>
    <w:p w14:paraId="306D0C3E"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627B844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לגבי הנאשמים 4 ו 9 הפנה בא כוחם לכך שהסיוע שנתנו היה ערטילאי ולא היה קונקרטי;</w:t>
      </w:r>
    </w:p>
    <w:p w14:paraId="378DBABC"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5341813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ב"כ הנאשמים 7 ו 8 הפנה גם הוא לכך כי עבירת האלימות בה הורשעו הינה קלה באופן יחסי ומצויה גם היא בסמכות העניינית של בית המשפט השלום וכך גם עבירת הירי שיוחסה לנאשמים 2 ו 6. </w:t>
      </w:r>
    </w:p>
    <w:p w14:paraId="1306AFF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029944D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עוד נטען (והדברים נכונים גם לנאשם 3) כי דווקא העובדה שהאירוע התרחש בשעת לילה ולא היה איש בחוץ אמורה להיזקף לזכותם כנסיבה לקולה, שכן בעת הירי הם לא הבחינו באיש מחוץ לבית המתלוננים. </w:t>
      </w:r>
    </w:p>
    <w:p w14:paraId="4CF1AE3D" w14:textId="77777777" w:rsidR="004C3216" w:rsidRDefault="004C3216" w:rsidP="005811E2">
      <w:pPr>
        <w:pStyle w:val="ListParagraph"/>
        <w:spacing w:after="0" w:line="360" w:lineRule="auto"/>
        <w:ind w:left="516" w:right="426"/>
        <w:rPr>
          <w:rFonts w:ascii="David" w:hAnsi="David" w:cs="David"/>
          <w:sz w:val="24"/>
          <w:szCs w:val="24"/>
        </w:rPr>
      </w:pPr>
    </w:p>
    <w:p w14:paraId="6EB6295C"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כלל הנאשמים ביקשו ליתן משקל משמעותי להודייתם בכתב האישום המתוקן. בהקשר זה נטענו הטענות הבאות: </w:t>
      </w:r>
    </w:p>
    <w:p w14:paraId="5D5D9F0A" w14:textId="77777777" w:rsidR="004C3216" w:rsidRDefault="004C3216" w:rsidP="005811E2">
      <w:pPr>
        <w:pStyle w:val="ListParagraph"/>
        <w:spacing w:after="0" w:line="360" w:lineRule="auto"/>
        <w:ind w:left="516" w:right="426"/>
        <w:rPr>
          <w:rFonts w:ascii="David" w:hAnsi="David" w:cs="David"/>
          <w:sz w:val="24"/>
          <w:szCs w:val="24"/>
        </w:rPr>
      </w:pPr>
    </w:p>
    <w:p w14:paraId="6BAB1CC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ראשית וראש לכל, הודייתם מגלמת בחובה קבלת אחריות כנה ואמיתית למיוחס להם, איש איש על פי חלקו. אין מדובר בקבלת אחריות של מה בכך אלא הודיה של ממש שיש ליתן לה משקל של ממש גם בגזירת הדין; </w:t>
      </w:r>
    </w:p>
    <w:p w14:paraId="1E7B9F1D" w14:textId="77777777" w:rsidR="004C3216" w:rsidRDefault="004C3216" w:rsidP="005811E2">
      <w:pPr>
        <w:pStyle w:val="ListParagraph"/>
        <w:spacing w:after="0" w:line="360" w:lineRule="auto"/>
        <w:ind w:left="516" w:right="426"/>
        <w:rPr>
          <w:rFonts w:ascii="David" w:hAnsi="David" w:cs="David"/>
          <w:sz w:val="24"/>
          <w:szCs w:val="24"/>
        </w:rPr>
      </w:pPr>
    </w:p>
    <w:p w14:paraId="0793E498"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שנית ובהמשך לאמור לעיל, הנאשמים היו יכולים לקבל אחריות על מעשיהם רק לאחר שתוקן כתב האישום. כאמור, כתב האישום המקורי ייחס לכל אחד מהם עבירת הריגה, בעוד כתב האישום המתוקן קבע מדרג אחריות שכל אחד מהנאשמים, כאמור, מקבל אותה. </w:t>
      </w:r>
    </w:p>
    <w:p w14:paraId="4FB55284" w14:textId="77777777" w:rsidR="004C3216" w:rsidRDefault="004C3216" w:rsidP="005811E2">
      <w:pPr>
        <w:pStyle w:val="ListParagraph"/>
        <w:rPr>
          <w:rFonts w:ascii="David" w:hAnsi="David" w:cs="David"/>
          <w:sz w:val="24"/>
          <w:szCs w:val="24"/>
        </w:rPr>
      </w:pPr>
    </w:p>
    <w:p w14:paraId="7A2B6DBD" w14:textId="77777777" w:rsidR="004C3216" w:rsidRDefault="004C3216" w:rsidP="00BA78C7">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משכך, חרף ניהול ההליך פרק זמן ממושך יחסית על פני עשרות דיוני הוכחות לא ניתן לזקוף את ניהול ההליך לחובת הנאשמים. </w:t>
      </w:r>
    </w:p>
    <w:p w14:paraId="6F1DD90E" w14:textId="77777777" w:rsidR="004C3216" w:rsidRDefault="004C3216" w:rsidP="005811E2">
      <w:pPr>
        <w:pStyle w:val="ListParagraph"/>
        <w:spacing w:after="0" w:line="360" w:lineRule="auto"/>
        <w:ind w:left="516" w:right="426"/>
        <w:rPr>
          <w:rFonts w:ascii="David" w:hAnsi="David" w:cs="David"/>
          <w:sz w:val="24"/>
          <w:szCs w:val="24"/>
        </w:rPr>
      </w:pPr>
    </w:p>
    <w:p w14:paraId="671CCF6A"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שלישית, הודיית הנאשמים חסכה זמן שיפוטי ניכר וכן ייתרה את שמיעת יתר עדי התביעה וכמובן גם את פרשת ההגנה. מדובר בהליך שלו היה נמשך עד תום היה מחייב שמיעת עדים רבים ביותר ויש להניח כי היה נמשך פרק זמן ניכר ביותר. </w:t>
      </w:r>
    </w:p>
    <w:p w14:paraId="574E13E9" w14:textId="77777777" w:rsidR="004C3216" w:rsidRDefault="004C3216" w:rsidP="005811E2">
      <w:pPr>
        <w:pStyle w:val="ListParagraph"/>
        <w:spacing w:after="0" w:line="360" w:lineRule="auto"/>
        <w:ind w:left="516" w:right="426"/>
        <w:rPr>
          <w:rFonts w:ascii="David" w:hAnsi="David" w:cs="David"/>
          <w:sz w:val="24"/>
          <w:szCs w:val="24"/>
        </w:rPr>
      </w:pPr>
    </w:p>
    <w:p w14:paraId="695EBBE4"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כלל הנאשמים הפנו לנסיבות האישיות והמשפחתיות של כל אחד מהם ושל משפחתם, שיש בהן להצדיק הקלה בעונש. </w:t>
      </w:r>
    </w:p>
    <w:p w14:paraId="725B0965" w14:textId="77777777" w:rsidR="004C3216" w:rsidRDefault="004C3216" w:rsidP="005811E2">
      <w:pPr>
        <w:pStyle w:val="ListParagraph"/>
        <w:rPr>
          <w:rFonts w:ascii="David" w:hAnsi="David" w:cs="David"/>
          <w:sz w:val="24"/>
          <w:szCs w:val="24"/>
        </w:rPr>
      </w:pPr>
    </w:p>
    <w:p w14:paraId="2984534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עוד הפנו לתקופות המעצר מאחורי סורג ובריח וכן לתקופות בהן שהו במעצר באיזוק, להרחקתם מכפר קרע, לקשיים המשפחתיים כתוצאה מהאירוע, לנזקים הכלכליים  וליתר הקשיים שנלוו להליך. </w:t>
      </w:r>
    </w:p>
    <w:p w14:paraId="547C116D" w14:textId="77777777" w:rsidR="004C3216" w:rsidRDefault="004C3216" w:rsidP="00DF1ED4">
      <w:pPr>
        <w:pStyle w:val="ListParagraph"/>
        <w:tabs>
          <w:tab w:val="left" w:pos="585"/>
        </w:tabs>
        <w:spacing w:after="0" w:line="360" w:lineRule="auto"/>
        <w:ind w:left="516" w:right="426"/>
        <w:rPr>
          <w:rFonts w:ascii="David" w:hAnsi="David" w:cs="David"/>
          <w:sz w:val="24"/>
          <w:szCs w:val="24"/>
        </w:rPr>
      </w:pPr>
    </w:p>
    <w:p w14:paraId="36B570BE"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אפנה להלן לנקודות נוספות שהועלו על ידי כל אחד מהנאשמים באופן קונקרטי. </w:t>
      </w:r>
    </w:p>
    <w:p w14:paraId="69B3034F" w14:textId="77777777" w:rsidR="004C3216" w:rsidRDefault="004C3216" w:rsidP="005811E2">
      <w:pPr>
        <w:pStyle w:val="ListParagraph"/>
        <w:spacing w:after="0" w:line="360" w:lineRule="auto"/>
        <w:ind w:left="516" w:right="426"/>
        <w:rPr>
          <w:rFonts w:ascii="David" w:hAnsi="David" w:cs="David"/>
          <w:sz w:val="24"/>
          <w:szCs w:val="24"/>
        </w:rPr>
      </w:pPr>
    </w:p>
    <w:p w14:paraId="1392E92F"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1 - ב"כ הנאשם 1 הפנה לכך כי בחודש מרץ 2018 הגיעו הצדדים להסכמות (שלא הבשילו באותו מועד להסדר טיעון) ולפיו יעתרו הצדדים במשותף ל 6 חודשי מאסר שירוצו בעבודות שירות. נטען (וגם המאשימה אישרה זאת כפי שצוין לעיל) כי רק משום אי הסכמת חלק מיתר הנאשמים להסכמות לא הוצג ההסדר הכולל. </w:t>
      </w:r>
    </w:p>
    <w:p w14:paraId="060870BE" w14:textId="77777777" w:rsidR="004C3216" w:rsidRDefault="004C3216" w:rsidP="005811E2">
      <w:pPr>
        <w:pStyle w:val="ListParagraph"/>
        <w:rPr>
          <w:rFonts w:ascii="David" w:hAnsi="David" w:cs="David"/>
          <w:sz w:val="24"/>
          <w:szCs w:val="24"/>
        </w:rPr>
      </w:pPr>
    </w:p>
    <w:p w14:paraId="0CD9D323"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זאת ועוד, ב"כ הנאשם הפנה לכך כי גם ללא ההסדר טענה המאשימה למתחם שבין 6 חודשי מאסר לריצוי בעבודות שירות ועד 24 חודשים. </w:t>
      </w:r>
    </w:p>
    <w:p w14:paraId="1B859C5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6FCB790A"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לכן, נטען שיש לגזור על נאשם זה את הרף התחתון לעיל, וזאת מהטעמים הבאים שכל אחד בנפרד והצטברותם יחד, מובילים כאמור למסקנה לעיל: גילו של הנאשם (בן 58 שנים); מצבו המשפחתי (אב ל 12 ילדים); נטילת האחריות על מעשיו – לא רק בפן הפורמאלי אלא גם מבחינה מהותית – כפי שעלה בתסקיר, הנאשם גילה צער על מעשיו ועל התוצאה הטראגית, ביטא תחושות אמפתיה לנפגעים וחווה את ההליך כמשמעותי עבורו; עברו הפלילי אינו מכביד, הוא מעולם לא ריצה מאסר מאחורי סורג ובריח והרשעתו האחרונה היא משנת 2010. </w:t>
      </w:r>
    </w:p>
    <w:p w14:paraId="6BEF60C1" w14:textId="77777777" w:rsidR="004C3216" w:rsidRDefault="004C3216" w:rsidP="005811E2">
      <w:pPr>
        <w:pStyle w:val="ListParagraph"/>
        <w:spacing w:after="0" w:line="360" w:lineRule="auto"/>
        <w:ind w:left="516" w:right="426"/>
        <w:rPr>
          <w:rFonts w:ascii="David" w:hAnsi="David" w:cs="David"/>
          <w:sz w:val="24"/>
          <w:szCs w:val="24"/>
        </w:rPr>
      </w:pPr>
    </w:p>
    <w:p w14:paraId="595FAA2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לגבי הנאשם 2 – ב"כ הנאשם 2 הפנה למצבו המשפחתי של הנאשם (נשוי ואב ל 2 ילדים מהם אחד נכה בשיעור של 60%); נעדר עבר פלילי; היה עצור מאחורי סורג ובריח כ 3 חודשים וכ 11 חודשים באיזוק אלק'. נטען, כי תסקיר שירות המבחן בעניינו לוקה בחסר שכן נשקלו שיקולים לא רלוונטיים ובהם סירובו להשיב מהיכן השיג את הנשק בו עשה שימוש.</w:t>
      </w:r>
    </w:p>
    <w:p w14:paraId="460F4C25" w14:textId="77777777" w:rsidR="004C3216" w:rsidRDefault="004C3216" w:rsidP="005811E2">
      <w:pPr>
        <w:pStyle w:val="ListParagraph"/>
        <w:spacing w:after="0" w:line="360" w:lineRule="auto"/>
        <w:ind w:left="516" w:right="426"/>
        <w:rPr>
          <w:rFonts w:ascii="David" w:hAnsi="David" w:cs="David"/>
          <w:sz w:val="24"/>
          <w:szCs w:val="24"/>
        </w:rPr>
      </w:pPr>
    </w:p>
    <w:p w14:paraId="53E9073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 לגבי הנאשם 3 – נאשם זה, כאמור, קיבל את האחריות למות המנוחה. </w:t>
      </w:r>
    </w:p>
    <w:p w14:paraId="2DC60E9D" w14:textId="77777777" w:rsidR="004C3216" w:rsidRDefault="004C3216" w:rsidP="005811E2">
      <w:pPr>
        <w:pStyle w:val="ListParagraph"/>
        <w:rPr>
          <w:rFonts w:ascii="David" w:hAnsi="David" w:cs="David"/>
          <w:sz w:val="24"/>
          <w:szCs w:val="24"/>
        </w:rPr>
      </w:pPr>
    </w:p>
    <w:p w14:paraId="222B63C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הודגש, כי קבלת האחריות המשפטית והעובדה כי הוא זה שיישא בעונש הממושך ביותר מבין כלל הנאשמים, הוא רק פן אחד של הודייתו; שכן – וזה הדבר החשוב – הוא זה שהמשפחה המורחבת, ובכלל זאת משפחת המנוחה, תראה בו האחראי למותה. מדובר אם כן ב"אות קין" שיהיה טבוע בו גם לאחר שיסיים לרצות את עונשו והוא ישא אותו עד סוף חייו. נטען כי יש ליתן משקל משמעותי להודיה זו. </w:t>
      </w:r>
    </w:p>
    <w:p w14:paraId="759F4206"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בנוסף, הפנה בא כוח הנאשם לכך כי מדובר ב"עציר תומך" נתון שיש בו להעיד על אופיו הטוב ועל מוכנותו לעזור לאחרים. </w:t>
      </w:r>
    </w:p>
    <w:p w14:paraId="79B4C8A0"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2781AA6C"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ב"כ הנאשם טען כנגד עתירת המאשימה להצטברות עונשים והפנה לכך כי מדובר באירוע אחד, ולכן יש מקום למתחם אחד בלבד. בנוסף, טען בא כוח הנאשם לעניין תיקון 137 לחוק, סוגיה שתידון בנפרד להלן. </w:t>
      </w:r>
    </w:p>
    <w:p w14:paraId="3473B44C"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55D890E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לגבי הנאשם 4 – ב"כ הנאשם 4 הפנה לחלקו השולי יחסית של נאשם זה, שכן הלה הורשע בסיוע להחזקת נשק מעצם נוכחותו במקום הגם שלא החזיק בפועל בנשק. בהקשר האחרון הפנה ב"כ הנאשם לס' 17 לחלק העובדות שם צוין כי הנאשמים 4 ו 9 סייעו לשאר בהגעתם המשותפת לזירה, בחיזוק ידיהם ואבטחת העבירות שבוצעו. העבירה בה הורשע מצויה בסמכותו העניינית של בית המשפט השלום. </w:t>
      </w:r>
    </w:p>
    <w:p w14:paraId="703B470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2D20CD5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לגבי הנסיבות שאינן קשורות בביצוע העבירות צוינו מצבו המשפחתי (נשוי ואב ל 5 ילדים); העובדה כי הוא נעדר עבר פלילי; הנתונים החיוביים שצוינו בתסקיר (מתנהל ככלל באופן שקול, גילה אמפתיה לנפגעי העבירה) והמלצותיו (של"צ); העובדה שהיה עצור 4 חודשים מאחורי סורג ובריח וכ 11 חודשים באיזוק אלק'. </w:t>
      </w:r>
    </w:p>
    <w:p w14:paraId="5E71FE09" w14:textId="77777777" w:rsidR="004C3216" w:rsidRDefault="004C3216" w:rsidP="005811E2">
      <w:pPr>
        <w:pStyle w:val="ListParagraph"/>
        <w:spacing w:after="0" w:line="360" w:lineRule="auto"/>
        <w:ind w:left="516" w:right="426"/>
        <w:rPr>
          <w:rFonts w:ascii="David" w:hAnsi="David" w:cs="David"/>
          <w:sz w:val="24"/>
          <w:szCs w:val="24"/>
        </w:rPr>
      </w:pPr>
    </w:p>
    <w:p w14:paraId="562B7609"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5 - הפנה בא כוחו לעובדה כי הוא אדם צעיר, נעדר עבר פלילי, שאלמלא הסתבכותו בתיק זה סביר להניח שהיה על ספסל הלימודים, כפי שתכנן לעשות. </w:t>
      </w:r>
    </w:p>
    <w:p w14:paraId="5C5C1E2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54FD5A5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ב"כ הנאשם הפנה למעצרו של הנאשם, שנתן בו אותותיו ולכך כי האירוע אינו מאפיין אותו כלל וכלל. </w:t>
      </w:r>
    </w:p>
    <w:p w14:paraId="167FA0D6" w14:textId="77777777" w:rsidR="004C3216" w:rsidRDefault="004C3216" w:rsidP="005811E2">
      <w:pPr>
        <w:pStyle w:val="ListParagraph"/>
        <w:spacing w:after="0" w:line="360" w:lineRule="auto"/>
        <w:ind w:left="516" w:right="426"/>
        <w:rPr>
          <w:rFonts w:ascii="David" w:hAnsi="David" w:cs="David"/>
          <w:sz w:val="24"/>
          <w:szCs w:val="24"/>
        </w:rPr>
      </w:pPr>
    </w:p>
    <w:p w14:paraId="3949F46E"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6 - הפנה בא כוחו לכך כי הוא נעדר עבר פלילי, וליתר השיקולים הכלליים שתקפים גם לגבי נאשם זה. </w:t>
      </w:r>
    </w:p>
    <w:p w14:paraId="6532ECC3" w14:textId="77777777" w:rsidR="004C3216" w:rsidRDefault="004C3216" w:rsidP="005811E2">
      <w:pPr>
        <w:pStyle w:val="ListParagraph"/>
        <w:spacing w:after="0" w:line="360" w:lineRule="auto"/>
        <w:ind w:left="516" w:right="426"/>
        <w:rPr>
          <w:rFonts w:ascii="David" w:hAnsi="David" w:cs="David"/>
          <w:sz w:val="24"/>
          <w:szCs w:val="24"/>
        </w:rPr>
      </w:pPr>
    </w:p>
    <w:p w14:paraId="6DB1D5A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7 – הלה אמנם הורשע, מלבד עבירות הנשק, בעבירות אלימות אך צוין בהקשר האחרון כי מדובר בעבירה קלה יחסית - עבירת האלימות (ניסיון פציעה) המצויה בסמכותו העניינית של בית המשפט השלום. </w:t>
      </w:r>
    </w:p>
    <w:p w14:paraId="5A5E0EDB" w14:textId="77777777" w:rsidR="004C3216" w:rsidRDefault="004C3216" w:rsidP="005811E2">
      <w:pPr>
        <w:pStyle w:val="ListParagraph"/>
        <w:rPr>
          <w:rFonts w:ascii="David" w:hAnsi="David" w:cs="David"/>
          <w:sz w:val="24"/>
          <w:szCs w:val="24"/>
        </w:rPr>
      </w:pPr>
    </w:p>
    <w:p w14:paraId="656CC16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לגבי הנסיבות שאינן נוגעות לביצוע העבירה הפנה בא כוחו למצבו המשפחתי (נשוי + 2); לתקופה בת 4 חודשים בה שהה במעצר מאחורי סורג ובריח ותקופה בת כ 11 חודשים בה שהה במעצר באיזוק אלק'; לכך שהודה ונטל אחריות בפני שירות המבחן, כאשר צוין בהקשר האחרון כי רק משום סירובו לפרט לגבי השגת הנשק – שאלה שנטען לגביה שלא היה מקום להעלותה, לא הובאה לגביו המלצה טיפולית. </w:t>
      </w:r>
    </w:p>
    <w:p w14:paraId="184437B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0C1AB3F7"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לגבי הנאשם 8 - נטען שחרף מעשיו לא היה מקום מצד המאשימה לטעון למתחם כה גבוה. עוד נטען, כי את המאסר על תנאי יש להפעיל בחפיפה מלאה בהתאם להסכמה שהושגה עם המאשימה מספר חודשים טרם הצגת ההסדר והגם שאינה בתוקף. </w:t>
      </w:r>
    </w:p>
    <w:p w14:paraId="7776B297" w14:textId="77777777" w:rsidR="004C3216" w:rsidRPr="00C21539"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1FAE3CF9"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לגבי הנאשם 9 – בא כוחו הרחיב אודות חלקו השולי יחסית, לשיטתו, ובכך דבריו תאמו את טיעוני בא כוח הנאשם 4. </w:t>
      </w:r>
    </w:p>
    <w:p w14:paraId="7A65E882" w14:textId="77777777" w:rsidR="004C3216" w:rsidRDefault="004C3216" w:rsidP="005811E2">
      <w:pPr>
        <w:pStyle w:val="ListParagraph"/>
        <w:rPr>
          <w:rFonts w:ascii="David" w:hAnsi="David" w:cs="David"/>
          <w:sz w:val="24"/>
          <w:szCs w:val="24"/>
        </w:rPr>
      </w:pPr>
    </w:p>
    <w:p w14:paraId="3295AB1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הודגש, לגבי נאשם זה כי הוא היחיד מבין הנאשמים שנכח באירוע המקדים והיה בין אלה שהותקפו בפועל על ידי הנאשמים 10 עד 12 ואף נחבל במהלך האירוע. </w:t>
      </w:r>
    </w:p>
    <w:p w14:paraId="32D0EED1" w14:textId="77777777" w:rsidR="004C3216" w:rsidRDefault="004C3216" w:rsidP="005811E2">
      <w:pPr>
        <w:pStyle w:val="ListParagraph"/>
        <w:spacing w:after="0" w:line="360" w:lineRule="auto"/>
        <w:ind w:left="516" w:right="426"/>
        <w:rPr>
          <w:rFonts w:ascii="David" w:hAnsi="David" w:cs="David"/>
          <w:sz w:val="24"/>
          <w:szCs w:val="24"/>
        </w:rPr>
      </w:pPr>
    </w:p>
    <w:p w14:paraId="14668585"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אחד עשר - דברי הנאשמים בטרם גזר הדין</w:t>
      </w:r>
    </w:p>
    <w:p w14:paraId="3C1CFEA2"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הנאשם 1 מסר כי הוא מכיר בטעותו והפנה לנזקים הכלכליים הכבדים שהוא ומשפחתו ספגו. לטענתו, המתחם בו התגורר שכלל 10 דירות הוצת ומצבו הרפואי הורע. לכן, ביקש את התחשבות בית המשפט לעונש.</w:t>
      </w:r>
    </w:p>
    <w:p w14:paraId="3F6152FC" w14:textId="77777777" w:rsidR="004C3216" w:rsidRPr="00C21539" w:rsidRDefault="004C3216" w:rsidP="005811E2">
      <w:pPr>
        <w:pStyle w:val="ListParagraph"/>
        <w:tabs>
          <w:tab w:val="left" w:pos="2125"/>
        </w:tabs>
        <w:spacing w:after="0" w:line="360" w:lineRule="auto"/>
        <w:ind w:left="516" w:right="426"/>
        <w:jc w:val="both"/>
        <w:rPr>
          <w:rFonts w:ascii="David" w:hAnsi="David" w:cs="David"/>
          <w:sz w:val="24"/>
          <w:szCs w:val="24"/>
        </w:rPr>
      </w:pPr>
    </w:p>
    <w:p w14:paraId="13B967FD"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הנאשם 2 מסר כי הוא מצטער על מעשיו וכן תיאר את מצבו המשפחתי והכלכלי (נשוי ואב לארבעה ילדים ומתגורר בשכירות אצל משפחת רעייתו). לכן, ביקש את עזרת בית המשפט.</w:t>
      </w:r>
    </w:p>
    <w:p w14:paraId="4AD7119A" w14:textId="77777777" w:rsidR="004C3216" w:rsidRPr="00C21539" w:rsidRDefault="004C3216" w:rsidP="005811E2">
      <w:pPr>
        <w:pStyle w:val="ListParagraph"/>
        <w:spacing w:after="0" w:line="360" w:lineRule="auto"/>
        <w:ind w:left="516" w:right="426"/>
        <w:rPr>
          <w:rFonts w:ascii="David" w:hAnsi="David" w:cs="David"/>
          <w:sz w:val="24"/>
          <w:szCs w:val="24"/>
        </w:rPr>
      </w:pPr>
    </w:p>
    <w:p w14:paraId="37CB1FBB"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הנאשם 3 מסר כי הוא מצטער על מעשיו. עוד מסר כי הוא הודה כדי לחסוך מזמנו של בית המשפט והוסיף כך: "</w:t>
      </w:r>
      <w:r>
        <w:rPr>
          <w:rFonts w:ascii="David" w:hAnsi="David" w:cs="David"/>
          <w:b/>
          <w:bCs/>
          <w:sz w:val="24"/>
          <w:szCs w:val="24"/>
          <w:rtl/>
        </w:rPr>
        <w:t>אני מבהיר שהודיתי כי אני לוקח אחריות על מה שעשיתי</w:t>
      </w:r>
      <w:r>
        <w:rPr>
          <w:rFonts w:ascii="David" w:hAnsi="David" w:cs="David"/>
          <w:sz w:val="24"/>
          <w:szCs w:val="24"/>
          <w:rtl/>
        </w:rPr>
        <w:t xml:space="preserve">". </w:t>
      </w:r>
    </w:p>
    <w:p w14:paraId="068D1A29" w14:textId="77777777" w:rsidR="004C3216" w:rsidRDefault="004C3216" w:rsidP="005811E2">
      <w:pPr>
        <w:pStyle w:val="ListParagraph"/>
        <w:spacing w:after="0" w:line="360" w:lineRule="auto"/>
        <w:ind w:left="516" w:right="426"/>
        <w:rPr>
          <w:rFonts w:ascii="David" w:hAnsi="David" w:cs="David"/>
          <w:sz w:val="24"/>
          <w:szCs w:val="24"/>
        </w:rPr>
      </w:pPr>
    </w:p>
    <w:p w14:paraId="6E314679"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4 ביקש סליחה על חלקו באירוע ותיאר כי היה נתון בלחץ רב לאחר שנודע לו על האירוע המקדים. כמו כן מסר שהוא היחידי שמפרנס בימים אלה את המשפחה המורחבת. עוד מסר אודות קשיי המשפחה לנוכח הרחקתם מכפר קרע ואודות קשיי המעצר, הן בבית המעצר והן באיזוק האלק'. </w:t>
      </w:r>
    </w:p>
    <w:p w14:paraId="736976E8" w14:textId="77777777" w:rsidR="004C3216" w:rsidRDefault="004C3216" w:rsidP="005811E2">
      <w:pPr>
        <w:pStyle w:val="ListParagraph"/>
        <w:spacing w:after="0" w:line="360" w:lineRule="auto"/>
        <w:ind w:left="516" w:right="426"/>
        <w:rPr>
          <w:rFonts w:ascii="David" w:hAnsi="David" w:cs="David"/>
          <w:sz w:val="24"/>
          <w:szCs w:val="24"/>
        </w:rPr>
      </w:pPr>
    </w:p>
    <w:p w14:paraId="3003924D"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הנאשם 5 הביע חרטה על מעשיו.</w:t>
      </w:r>
    </w:p>
    <w:p w14:paraId="14105CBB" w14:textId="77777777" w:rsidR="004C3216" w:rsidRDefault="004C3216" w:rsidP="005811E2">
      <w:pPr>
        <w:pStyle w:val="ListParagraph"/>
        <w:spacing w:after="0" w:line="360" w:lineRule="auto"/>
        <w:ind w:left="516" w:right="426"/>
        <w:rPr>
          <w:rFonts w:ascii="David" w:hAnsi="David" w:cs="David"/>
          <w:sz w:val="24"/>
          <w:szCs w:val="24"/>
        </w:rPr>
      </w:pPr>
    </w:p>
    <w:p w14:paraId="52C233B8"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6 הביע צער על מעשיו ומסר כי הוא אב לילד הסובל מנכות ולכן ביקש את עזרת בית המשפט. </w:t>
      </w:r>
    </w:p>
    <w:p w14:paraId="7F47061D" w14:textId="77777777" w:rsidR="004C3216" w:rsidRDefault="004C3216" w:rsidP="005811E2">
      <w:pPr>
        <w:pStyle w:val="ListParagraph"/>
        <w:spacing w:after="0" w:line="360" w:lineRule="auto"/>
        <w:ind w:left="516" w:right="426"/>
        <w:rPr>
          <w:rFonts w:ascii="David" w:hAnsi="David" w:cs="David"/>
          <w:sz w:val="24"/>
          <w:szCs w:val="24"/>
        </w:rPr>
      </w:pPr>
    </w:p>
    <w:p w14:paraId="62C2726E"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7 מסר כי הוא אב לשתי בנות, מתגורר בשכירות ומצוי בקשיים כלכליים. באם יישלח למאסר תקלע משפחתו למצוקה כלכלית. </w:t>
      </w:r>
    </w:p>
    <w:p w14:paraId="58ACD561" w14:textId="77777777" w:rsidR="004C3216" w:rsidRDefault="004C3216" w:rsidP="005811E2">
      <w:pPr>
        <w:pStyle w:val="ListParagraph"/>
        <w:spacing w:after="0" w:line="360" w:lineRule="auto"/>
        <w:ind w:left="516" w:right="426"/>
        <w:rPr>
          <w:rFonts w:ascii="David" w:hAnsi="David" w:cs="David"/>
          <w:sz w:val="24"/>
          <w:szCs w:val="24"/>
        </w:rPr>
      </w:pPr>
    </w:p>
    <w:p w14:paraId="7982C7E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8 הביע חרטה על מעשיו. בנוסף, מסר כי מצבו הכלכלי והנפשי "על הפנים", כהגדרתו. </w:t>
      </w:r>
    </w:p>
    <w:p w14:paraId="293B9E58" w14:textId="77777777" w:rsidR="004C3216" w:rsidRDefault="004C3216" w:rsidP="005811E2">
      <w:pPr>
        <w:pStyle w:val="ListParagraph"/>
        <w:spacing w:after="0" w:line="360" w:lineRule="auto"/>
        <w:ind w:left="516" w:right="426"/>
        <w:rPr>
          <w:rFonts w:ascii="David" w:hAnsi="David" w:cs="David"/>
          <w:sz w:val="24"/>
          <w:szCs w:val="24"/>
        </w:rPr>
      </w:pPr>
    </w:p>
    <w:p w14:paraId="6F365D1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9 מסר כי הוא אב ל 2 ילדים ומפרנס את אחיו שהינו אב ל 3 ילדים. הנאשם הזכיר כי הוא ואחיו (הנאשמים 3 ו 8) גדלו רק עם אמם והיא מתקשה לסייע להם.  </w:t>
      </w:r>
    </w:p>
    <w:p w14:paraId="139D8A35" w14:textId="77777777" w:rsidR="004C3216" w:rsidRDefault="004C3216" w:rsidP="005811E2">
      <w:pPr>
        <w:pStyle w:val="ListParagraph"/>
        <w:spacing w:after="0" w:line="360" w:lineRule="auto"/>
        <w:ind w:left="516" w:right="426"/>
        <w:rPr>
          <w:rFonts w:ascii="David" w:hAnsi="David" w:cs="David"/>
          <w:sz w:val="24"/>
          <w:szCs w:val="24"/>
        </w:rPr>
      </w:pPr>
    </w:p>
    <w:p w14:paraId="1DCBC0BD" w14:textId="77777777" w:rsidR="004C3216" w:rsidRDefault="004C3216" w:rsidP="005811E2">
      <w:pPr>
        <w:pStyle w:val="ListParagraph"/>
        <w:tabs>
          <w:tab w:val="left" w:pos="2125"/>
        </w:tabs>
        <w:spacing w:after="0" w:line="360" w:lineRule="auto"/>
        <w:ind w:left="516" w:right="426"/>
        <w:jc w:val="both"/>
        <w:rPr>
          <w:rFonts w:ascii="David" w:hAnsi="David" w:cs="David"/>
          <w:b/>
          <w:bCs/>
          <w:sz w:val="32"/>
          <w:szCs w:val="32"/>
          <w:u w:val="single"/>
          <w:rtl/>
        </w:rPr>
      </w:pPr>
      <w:r>
        <w:rPr>
          <w:rFonts w:ascii="David" w:hAnsi="David" w:cs="David"/>
          <w:b/>
          <w:bCs/>
          <w:sz w:val="32"/>
          <w:szCs w:val="32"/>
          <w:u w:val="single"/>
          <w:rtl/>
        </w:rPr>
        <w:t>פרק שנים עשר - דיון ומסקנות</w:t>
      </w:r>
    </w:p>
    <w:p w14:paraId="2CADCFF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230F8D72" w14:textId="77777777" w:rsidR="004C3216" w:rsidRDefault="004C3216" w:rsidP="005811E2">
      <w:pPr>
        <w:pStyle w:val="ListParagraph"/>
        <w:tabs>
          <w:tab w:val="left" w:pos="2125"/>
        </w:tabs>
        <w:spacing w:after="0" w:line="360" w:lineRule="auto"/>
        <w:ind w:left="516" w:right="426"/>
        <w:jc w:val="both"/>
        <w:rPr>
          <w:rFonts w:ascii="David" w:hAnsi="David" w:cs="David"/>
          <w:b/>
          <w:bCs/>
          <w:sz w:val="28"/>
          <w:szCs w:val="28"/>
          <w:u w:val="single"/>
          <w:rtl/>
        </w:rPr>
      </w:pPr>
      <w:r>
        <w:rPr>
          <w:rFonts w:ascii="David" w:hAnsi="David" w:cs="David"/>
          <w:b/>
          <w:bCs/>
          <w:sz w:val="28"/>
          <w:szCs w:val="28"/>
          <w:u w:val="single"/>
          <w:rtl/>
        </w:rPr>
        <w:t>תיקון 137 ל</w:t>
      </w:r>
      <w:hyperlink r:id="rId89" w:history="1">
        <w:r w:rsidR="008B74B3" w:rsidRPr="008B74B3">
          <w:rPr>
            <w:rFonts w:ascii="David" w:hAnsi="David" w:cs="David"/>
            <w:b/>
            <w:bCs/>
            <w:color w:val="0000FF"/>
            <w:sz w:val="28"/>
            <w:szCs w:val="28"/>
            <w:u w:val="single"/>
            <w:rtl/>
          </w:rPr>
          <w:t>חוק העונשין</w:t>
        </w:r>
      </w:hyperlink>
      <w:r>
        <w:rPr>
          <w:rFonts w:ascii="David" w:hAnsi="David" w:cs="David"/>
          <w:b/>
          <w:bCs/>
          <w:sz w:val="28"/>
          <w:szCs w:val="28"/>
          <w:u w:val="single"/>
          <w:rtl/>
        </w:rPr>
        <w:t xml:space="preserve"> והשפעתו (?) על הנאשם 3</w:t>
      </w:r>
    </w:p>
    <w:p w14:paraId="26B22508"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ביום 1.1.19 התקבל בכנסת תיקון 137 ל</w:t>
      </w:r>
      <w:hyperlink r:id="rId90" w:history="1">
        <w:r w:rsidR="008B74B3" w:rsidRPr="008B74B3">
          <w:rPr>
            <w:rFonts w:ascii="David" w:hAnsi="David" w:cs="David"/>
            <w:color w:val="0000FF"/>
            <w:sz w:val="24"/>
            <w:szCs w:val="24"/>
            <w:u w:val="single"/>
            <w:rtl/>
          </w:rPr>
          <w:t>חוק העונשין</w:t>
        </w:r>
      </w:hyperlink>
      <w:r>
        <w:rPr>
          <w:rFonts w:ascii="David" w:hAnsi="David" w:cs="David"/>
          <w:sz w:val="24"/>
          <w:szCs w:val="24"/>
          <w:rtl/>
        </w:rPr>
        <w:t xml:space="preserve"> בנוגע לרפורמה בעבירות המתה (ס"ח 2779, ד' בשבט התשע"ט, 10.1.19). התיקון נכנס לתוקף ביום 10.7.19. על פי ס' 25(א) לתיקון (תחילה, תחולה והוראות מעבר) התיקון יחול על עבירות שבוצעו מיום התחילה ואילך. עם זאת, ס' 25(ב) לתיקון קובע כי על עבירה שבוצעה לפני יום התחילה וטרם ניתן לגביה פסק דין חלוט יחולו הוראות </w:t>
      </w:r>
      <w:hyperlink r:id="rId91" w:history="1">
        <w:r w:rsidR="005948C0" w:rsidRPr="005948C0">
          <w:rPr>
            <w:rFonts w:ascii="David" w:hAnsi="David" w:cs="David"/>
            <w:color w:val="0000FF"/>
            <w:sz w:val="24"/>
            <w:szCs w:val="24"/>
            <w:u w:val="single"/>
            <w:rtl/>
          </w:rPr>
          <w:t>ס' 5(א)</w:t>
        </w:r>
      </w:hyperlink>
      <w:r>
        <w:rPr>
          <w:rFonts w:ascii="David" w:hAnsi="David" w:cs="David"/>
          <w:sz w:val="24"/>
          <w:szCs w:val="24"/>
          <w:rtl/>
        </w:rPr>
        <w:t xml:space="preserve"> ל</w:t>
      </w:r>
      <w:hyperlink r:id="rId92" w:history="1">
        <w:r w:rsidR="008B74B3" w:rsidRPr="008B74B3">
          <w:rPr>
            <w:rFonts w:ascii="David" w:hAnsi="David" w:cs="David"/>
            <w:color w:val="0000FF"/>
            <w:sz w:val="24"/>
            <w:szCs w:val="24"/>
            <w:u w:val="single"/>
            <w:rtl/>
          </w:rPr>
          <w:t>חוק העונשין</w:t>
        </w:r>
      </w:hyperlink>
      <w:r>
        <w:rPr>
          <w:rFonts w:ascii="David" w:hAnsi="David" w:cs="David"/>
          <w:sz w:val="24"/>
          <w:szCs w:val="24"/>
          <w:rtl/>
        </w:rPr>
        <w:t xml:space="preserve">. </w:t>
      </w:r>
    </w:p>
    <w:p w14:paraId="1B437CD9" w14:textId="77777777" w:rsidR="004C3216" w:rsidRDefault="004C3216" w:rsidP="00DF1ED4">
      <w:pPr>
        <w:pStyle w:val="ListParagraph"/>
        <w:tabs>
          <w:tab w:val="left" w:pos="585"/>
        </w:tabs>
        <w:spacing w:after="0" w:line="360" w:lineRule="auto"/>
        <w:ind w:left="516" w:right="426"/>
        <w:rPr>
          <w:rFonts w:ascii="David" w:hAnsi="David" w:cs="David"/>
          <w:sz w:val="24"/>
          <w:szCs w:val="24"/>
        </w:rPr>
      </w:pPr>
    </w:p>
    <w:p w14:paraId="07195B9D" w14:textId="77777777" w:rsidR="004C3216" w:rsidRDefault="005948C0"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hyperlink r:id="rId93" w:history="1">
        <w:r w:rsidRPr="005948C0">
          <w:rPr>
            <w:rFonts w:ascii="David" w:hAnsi="David" w:cs="David"/>
            <w:color w:val="0000FF"/>
            <w:sz w:val="24"/>
            <w:szCs w:val="24"/>
            <w:u w:val="single"/>
            <w:rtl/>
          </w:rPr>
          <w:t>ס' 5(א)</w:t>
        </w:r>
      </w:hyperlink>
      <w:r w:rsidR="004C3216">
        <w:rPr>
          <w:rFonts w:ascii="David" w:hAnsi="David" w:cs="David"/>
          <w:sz w:val="24"/>
          <w:szCs w:val="24"/>
          <w:rtl/>
        </w:rPr>
        <w:t xml:space="preserve"> ל</w:t>
      </w:r>
      <w:hyperlink r:id="rId94" w:history="1">
        <w:r w:rsidR="008B74B3" w:rsidRPr="008B74B3">
          <w:rPr>
            <w:rFonts w:ascii="David" w:hAnsi="David" w:cs="David"/>
            <w:color w:val="0000FF"/>
            <w:sz w:val="24"/>
            <w:szCs w:val="24"/>
            <w:u w:val="single"/>
            <w:rtl/>
          </w:rPr>
          <w:t>חוק העונשין</w:t>
        </w:r>
      </w:hyperlink>
      <w:r w:rsidR="004C3216">
        <w:rPr>
          <w:rFonts w:ascii="David" w:hAnsi="David" w:cs="David"/>
          <w:sz w:val="24"/>
          <w:szCs w:val="24"/>
          <w:rtl/>
        </w:rPr>
        <w:t xml:space="preserve"> ("</w:t>
      </w:r>
      <w:r w:rsidR="004C3216">
        <w:rPr>
          <w:rFonts w:ascii="Miriam" w:hAnsi="Miriam" w:cs="Miriam"/>
          <w:sz w:val="24"/>
          <w:szCs w:val="24"/>
          <w:rtl/>
        </w:rPr>
        <w:t>שינוי חקיקה לאחר עשיית העבירה</w:t>
      </w:r>
      <w:r w:rsidR="004C3216">
        <w:rPr>
          <w:rFonts w:ascii="David" w:hAnsi="David" w:cs="David"/>
          <w:sz w:val="24"/>
          <w:szCs w:val="24"/>
          <w:rtl/>
        </w:rPr>
        <w:t xml:space="preserve">") קובע כי: </w:t>
      </w:r>
    </w:p>
    <w:p w14:paraId="72DC5426" w14:textId="77777777" w:rsidR="004C3216" w:rsidRDefault="004C3216" w:rsidP="005811E2">
      <w:pPr>
        <w:pStyle w:val="ListParagraph"/>
        <w:rPr>
          <w:rFonts w:ascii="David" w:hAnsi="David" w:cs="David"/>
          <w:sz w:val="24"/>
          <w:szCs w:val="24"/>
        </w:rPr>
      </w:pPr>
    </w:p>
    <w:p w14:paraId="099525E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נעברה עבירה ובטרם ניתן פסק דין חלוט לגביה, חל שינוי בנוגע להגדרתה או לאחריות לה, או בנוגע לעונש שנקבע לה, יחול על העניין החיקוק המקל עם העושה (..).</w:t>
      </w:r>
      <w:r>
        <w:rPr>
          <w:rFonts w:ascii="David" w:hAnsi="David" w:cs="David"/>
          <w:sz w:val="24"/>
          <w:szCs w:val="24"/>
          <w:rtl/>
        </w:rPr>
        <w:t>"</w:t>
      </w:r>
    </w:p>
    <w:p w14:paraId="39DBB834" w14:textId="77777777" w:rsidR="004C3216" w:rsidRDefault="004C3216" w:rsidP="005811E2">
      <w:pPr>
        <w:spacing w:line="360" w:lineRule="auto"/>
        <w:ind w:left="516" w:right="426"/>
        <w:jc w:val="both"/>
        <w:rPr>
          <w:rFonts w:ascii="David" w:hAnsi="David"/>
          <w:rtl/>
        </w:rPr>
      </w:pPr>
    </w:p>
    <w:p w14:paraId="3D367FF4" w14:textId="77777777" w:rsidR="004C3216" w:rsidRDefault="004C3216" w:rsidP="005811E2">
      <w:pPr>
        <w:spacing w:line="360" w:lineRule="auto"/>
        <w:ind w:left="516" w:right="426"/>
        <w:jc w:val="both"/>
        <w:rPr>
          <w:rFonts w:ascii="David" w:hAnsi="David"/>
          <w:rtl/>
        </w:rPr>
      </w:pPr>
      <w:r>
        <w:rPr>
          <w:rFonts w:ascii="David" w:hAnsi="David"/>
          <w:rtl/>
        </w:rPr>
        <w:t>נאמר בהקשר זה כי:</w:t>
      </w:r>
    </w:p>
    <w:p w14:paraId="6ED77E0B" w14:textId="77777777" w:rsidR="004C3216" w:rsidRDefault="004C3216" w:rsidP="005811E2">
      <w:pPr>
        <w:spacing w:line="360" w:lineRule="auto"/>
        <w:ind w:left="516" w:right="426"/>
        <w:jc w:val="both"/>
        <w:rPr>
          <w:rFonts w:ascii="David" w:hAnsi="David"/>
          <w:rtl/>
        </w:rPr>
      </w:pPr>
      <w:r>
        <w:rPr>
          <w:rFonts w:ascii="David" w:hAnsi="David"/>
          <w:rtl/>
        </w:rPr>
        <w:t xml:space="preserve"> </w:t>
      </w:r>
    </w:p>
    <w:p w14:paraId="5C0B53FF" w14:textId="77777777" w:rsidR="004C3216" w:rsidRDefault="004C3216" w:rsidP="005811E2">
      <w:pPr>
        <w:spacing w:line="360" w:lineRule="auto"/>
        <w:ind w:left="516" w:right="426"/>
        <w:jc w:val="both"/>
        <w:rPr>
          <w:rFonts w:ascii="David" w:hAnsi="David"/>
          <w:rtl/>
        </w:rPr>
      </w:pPr>
      <w:r>
        <w:rPr>
          <w:rFonts w:ascii="David" w:hAnsi="David"/>
          <w:rtl/>
        </w:rPr>
        <w:t>"</w:t>
      </w:r>
      <w:r>
        <w:rPr>
          <w:rFonts w:ascii="David" w:hAnsi="David"/>
          <w:b/>
          <w:bCs/>
          <w:rtl/>
        </w:rPr>
        <w:t>הקלה בתנאי האחריות הפלילית של נורמה פלילית מהותית, לרבות עניין הענישה, יש בה כדי ליתן ביטוי להכרתה של החברה, כי למעשה מלכתחילה לא היה מקום לקבוע את הדין המחמיר שהופקע, ואין בכך כדי לשקף בהכרח רצון להיטיב או להרע עם מבצעי עבירות</w:t>
      </w:r>
      <w:r>
        <w:rPr>
          <w:rFonts w:ascii="David" w:hAnsi="David"/>
          <w:rtl/>
        </w:rPr>
        <w:t xml:space="preserve">". גבריאל הלוי, </w:t>
      </w:r>
      <w:r>
        <w:rPr>
          <w:rFonts w:ascii="Miriam" w:hAnsi="Miriam" w:cs="Miriam"/>
          <w:rtl/>
        </w:rPr>
        <w:t>תורת הדיון הפלילי</w:t>
      </w:r>
      <w:r>
        <w:rPr>
          <w:rFonts w:ascii="David" w:hAnsi="David"/>
          <w:rtl/>
        </w:rPr>
        <w:t xml:space="preserve">, חלק א' עמ' 283. </w:t>
      </w:r>
    </w:p>
    <w:p w14:paraId="39A23BF9" w14:textId="77777777" w:rsidR="004C3216" w:rsidRDefault="004C3216" w:rsidP="005811E2">
      <w:pPr>
        <w:spacing w:line="360" w:lineRule="auto"/>
        <w:ind w:left="516" w:right="426"/>
        <w:jc w:val="both"/>
        <w:rPr>
          <w:rFonts w:ascii="David" w:hAnsi="David"/>
          <w:rtl/>
        </w:rPr>
      </w:pPr>
    </w:p>
    <w:p w14:paraId="1FE38D3C"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3, יוזכר, הורשע על פי הודייתו בעבירת הריגה. הכרעת הדין ניתנה ביום 25.10.18, </w:t>
      </w:r>
      <w:r>
        <w:rPr>
          <w:rFonts w:ascii="David" w:hAnsi="David" w:cs="David"/>
          <w:sz w:val="24"/>
          <w:szCs w:val="24"/>
          <w:u w:val="single"/>
          <w:rtl/>
        </w:rPr>
        <w:t>טרם</w:t>
      </w:r>
      <w:r w:rsidRPr="00C21539">
        <w:rPr>
          <w:rFonts w:ascii="David" w:hAnsi="David" w:cs="David"/>
          <w:sz w:val="24"/>
          <w:szCs w:val="24"/>
          <w:rtl/>
        </w:rPr>
        <w:t xml:space="preserve"> </w:t>
      </w:r>
      <w:r>
        <w:rPr>
          <w:rFonts w:ascii="David" w:hAnsi="David" w:cs="David"/>
          <w:sz w:val="24"/>
          <w:szCs w:val="24"/>
          <w:rtl/>
        </w:rPr>
        <w:t xml:space="preserve">קבלת התיקון. גזר הדין, מאידך, ניתן </w:t>
      </w:r>
      <w:r>
        <w:rPr>
          <w:rFonts w:ascii="David" w:hAnsi="David" w:cs="David"/>
          <w:sz w:val="24"/>
          <w:szCs w:val="24"/>
          <w:u w:val="single"/>
          <w:rtl/>
        </w:rPr>
        <w:t>לאחר</w:t>
      </w:r>
      <w:r>
        <w:rPr>
          <w:rFonts w:ascii="David" w:hAnsi="David" w:cs="David"/>
          <w:sz w:val="24"/>
          <w:szCs w:val="24"/>
          <w:rtl/>
        </w:rPr>
        <w:t xml:space="preserve"> כניסת התיקון לתוקף.</w:t>
      </w:r>
    </w:p>
    <w:p w14:paraId="77ADFF1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9206D26"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במסגרת התיקון בוטלה עבירת ההריגה שהיתה קבועה </w:t>
      </w:r>
      <w:hyperlink r:id="rId95" w:history="1">
        <w:r w:rsidR="005948C0" w:rsidRPr="005948C0">
          <w:rPr>
            <w:rFonts w:ascii="David" w:hAnsi="David" w:cs="David"/>
            <w:color w:val="0000FF"/>
            <w:sz w:val="24"/>
            <w:szCs w:val="24"/>
            <w:u w:val="single"/>
            <w:rtl/>
          </w:rPr>
          <w:t>בס' 298</w:t>
        </w:r>
      </w:hyperlink>
      <w:r>
        <w:rPr>
          <w:rFonts w:ascii="David" w:hAnsi="David" w:cs="David"/>
          <w:sz w:val="24"/>
          <w:szCs w:val="24"/>
          <w:rtl/>
        </w:rPr>
        <w:t xml:space="preserve"> לחוק (ר' ס' 2 לתיקון), ובמקומה נקבעו שתי עבירות הרלוונטיות לענייננו: </w:t>
      </w:r>
    </w:p>
    <w:p w14:paraId="1C082971" w14:textId="77777777" w:rsidR="004C3216" w:rsidRDefault="004C3216" w:rsidP="005811E2">
      <w:pPr>
        <w:pStyle w:val="ListParagraph"/>
        <w:spacing w:after="0" w:line="360" w:lineRule="auto"/>
        <w:ind w:left="516" w:right="426"/>
        <w:rPr>
          <w:rFonts w:ascii="David" w:hAnsi="David" w:cs="David"/>
          <w:sz w:val="24"/>
          <w:szCs w:val="24"/>
        </w:rPr>
      </w:pPr>
    </w:p>
    <w:p w14:paraId="002A9757" w14:textId="77777777" w:rsidR="004C3216" w:rsidRDefault="004C3216" w:rsidP="005811E2">
      <w:pPr>
        <w:spacing w:line="360" w:lineRule="auto"/>
        <w:ind w:left="516" w:right="426"/>
        <w:jc w:val="both"/>
        <w:rPr>
          <w:rFonts w:ascii="David" w:hAnsi="David"/>
          <w:rtl/>
        </w:rPr>
      </w:pPr>
      <w:r>
        <w:rPr>
          <w:rFonts w:ascii="David" w:hAnsi="David"/>
          <w:rtl/>
        </w:rPr>
        <w:t xml:space="preserve">(-)  הראשונה, </w:t>
      </w:r>
      <w:r>
        <w:rPr>
          <w:rFonts w:ascii="David" w:hAnsi="David"/>
          <w:b/>
          <w:bCs/>
          <w:rtl/>
        </w:rPr>
        <w:t>רצח בכוונה או באדישות</w:t>
      </w:r>
      <w:r>
        <w:rPr>
          <w:rFonts w:ascii="David" w:hAnsi="David"/>
          <w:rtl/>
        </w:rPr>
        <w:t xml:space="preserve">, לפי </w:t>
      </w:r>
      <w:hyperlink r:id="rId96" w:history="1">
        <w:r w:rsidR="005948C0" w:rsidRPr="005948C0">
          <w:rPr>
            <w:rFonts w:ascii="David" w:hAnsi="David"/>
            <w:color w:val="0000FF"/>
            <w:u w:val="single"/>
            <w:rtl/>
          </w:rPr>
          <w:t>ס' 300</w:t>
        </w:r>
      </w:hyperlink>
      <w:r>
        <w:rPr>
          <w:rFonts w:ascii="David" w:hAnsi="David"/>
          <w:rtl/>
        </w:rPr>
        <w:t xml:space="preserve"> לחוק, שדינה (עד) מאסר עולם (ור' בנדון האמור </w:t>
      </w:r>
      <w:hyperlink r:id="rId97" w:history="1">
        <w:r w:rsidR="005948C0" w:rsidRPr="005948C0">
          <w:rPr>
            <w:rFonts w:ascii="David" w:hAnsi="David"/>
            <w:color w:val="0000FF"/>
            <w:u w:val="single"/>
            <w:rtl/>
          </w:rPr>
          <w:t>בס' 311א'</w:t>
        </w:r>
      </w:hyperlink>
      <w:r>
        <w:rPr>
          <w:rFonts w:ascii="David" w:hAnsi="David"/>
          <w:rtl/>
        </w:rPr>
        <w:t xml:space="preserve"> לחוק); </w:t>
      </w:r>
    </w:p>
    <w:p w14:paraId="7CFC9C6C" w14:textId="77777777" w:rsidR="004C3216" w:rsidRDefault="004C3216" w:rsidP="005811E2">
      <w:pPr>
        <w:spacing w:line="360" w:lineRule="auto"/>
        <w:ind w:left="516" w:right="426"/>
        <w:jc w:val="both"/>
        <w:rPr>
          <w:rFonts w:ascii="David" w:hAnsi="David"/>
          <w:rtl/>
        </w:rPr>
      </w:pPr>
    </w:p>
    <w:p w14:paraId="0209E7CE" w14:textId="77777777" w:rsidR="004C3216" w:rsidRDefault="004C3216" w:rsidP="005811E2">
      <w:pPr>
        <w:spacing w:line="360" w:lineRule="auto"/>
        <w:ind w:left="516" w:right="426"/>
        <w:jc w:val="both"/>
        <w:rPr>
          <w:rFonts w:ascii="David" w:hAnsi="David"/>
          <w:rtl/>
        </w:rPr>
      </w:pPr>
      <w:r>
        <w:rPr>
          <w:rFonts w:ascii="David" w:hAnsi="David"/>
          <w:rtl/>
        </w:rPr>
        <w:t xml:space="preserve">(-)  השניה, </w:t>
      </w:r>
      <w:r>
        <w:rPr>
          <w:rFonts w:ascii="David" w:hAnsi="David"/>
          <w:b/>
          <w:bCs/>
          <w:rtl/>
        </w:rPr>
        <w:t>המתה בקלות דעת</w:t>
      </w:r>
      <w:r>
        <w:rPr>
          <w:rFonts w:ascii="David" w:hAnsi="David"/>
          <w:rtl/>
        </w:rPr>
        <w:t xml:space="preserve">, לפי </w:t>
      </w:r>
      <w:hyperlink r:id="rId98" w:history="1">
        <w:r w:rsidR="005948C0" w:rsidRPr="005948C0">
          <w:rPr>
            <w:rFonts w:ascii="David" w:hAnsi="David"/>
            <w:color w:val="0000FF"/>
            <w:u w:val="single"/>
            <w:rtl/>
          </w:rPr>
          <w:t>ס' 301ג'</w:t>
        </w:r>
      </w:hyperlink>
      <w:r>
        <w:rPr>
          <w:rFonts w:ascii="David" w:hAnsi="David"/>
          <w:rtl/>
        </w:rPr>
        <w:t xml:space="preserve">, שדינה עד 12 שנות מאסר. </w:t>
      </w:r>
    </w:p>
    <w:p w14:paraId="510E8268" w14:textId="77777777" w:rsidR="004C3216" w:rsidRDefault="004C3216" w:rsidP="005811E2">
      <w:pPr>
        <w:spacing w:line="360" w:lineRule="auto"/>
        <w:ind w:left="516" w:right="426"/>
        <w:jc w:val="both"/>
        <w:rPr>
          <w:rFonts w:ascii="David" w:hAnsi="David"/>
          <w:rtl/>
        </w:rPr>
      </w:pPr>
    </w:p>
    <w:p w14:paraId="34ADAEF2"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טען (ר' טיעונו הכתוב לעונש, טיעונו בע"פ מיום 8.7.19 וכן השלמת טיעון בכתב מיום 21.7.19) כי לנוכח התיקון, העבירה שבה יש להרשיעו חלף הרשעתו בעבירת ההריגה לפי </w:t>
      </w:r>
      <w:hyperlink r:id="rId99" w:history="1">
        <w:r w:rsidR="005948C0" w:rsidRPr="005948C0">
          <w:rPr>
            <w:rFonts w:ascii="David" w:hAnsi="David" w:cs="David"/>
            <w:color w:val="0000FF"/>
            <w:sz w:val="24"/>
            <w:szCs w:val="24"/>
            <w:u w:val="single"/>
            <w:rtl/>
          </w:rPr>
          <w:t>ס' 298</w:t>
        </w:r>
      </w:hyperlink>
      <w:r>
        <w:rPr>
          <w:rFonts w:ascii="David" w:hAnsi="David" w:cs="David"/>
          <w:sz w:val="24"/>
          <w:szCs w:val="24"/>
          <w:rtl/>
        </w:rPr>
        <w:t xml:space="preserve"> שכאמור בוטלה, היא המתה בקלות דעת לפי </w:t>
      </w:r>
      <w:hyperlink r:id="rId100" w:history="1">
        <w:r w:rsidR="005948C0" w:rsidRPr="005948C0">
          <w:rPr>
            <w:rFonts w:ascii="David" w:hAnsi="David" w:cs="David"/>
            <w:color w:val="0000FF"/>
            <w:sz w:val="24"/>
            <w:szCs w:val="24"/>
            <w:u w:val="single"/>
            <w:rtl/>
          </w:rPr>
          <w:t>ס' 301ג'</w:t>
        </w:r>
      </w:hyperlink>
      <w:r>
        <w:rPr>
          <w:rFonts w:ascii="David" w:hAnsi="David" w:cs="David"/>
          <w:sz w:val="24"/>
          <w:szCs w:val="24"/>
          <w:rtl/>
        </w:rPr>
        <w:t xml:space="preserve"> לחוק, שהעונש המרבי בגינה הוא 12 שנות מאסר. </w:t>
      </w:r>
    </w:p>
    <w:p w14:paraId="061D384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2A03F440"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r>
        <w:rPr>
          <w:rFonts w:ascii="David" w:hAnsi="David" w:cs="David"/>
          <w:sz w:val="24"/>
          <w:szCs w:val="24"/>
          <w:rtl/>
        </w:rPr>
        <w:t xml:space="preserve">נטען, כי עבירת ההריגה בה הורשע לפי </w:t>
      </w:r>
      <w:hyperlink r:id="rId101" w:history="1">
        <w:r w:rsidR="005948C0" w:rsidRPr="005948C0">
          <w:rPr>
            <w:rFonts w:ascii="David" w:hAnsi="David" w:cs="David"/>
            <w:color w:val="0000FF"/>
            <w:sz w:val="24"/>
            <w:szCs w:val="24"/>
            <w:u w:val="single"/>
            <w:rtl/>
          </w:rPr>
          <w:t>ס' 298</w:t>
        </w:r>
      </w:hyperlink>
      <w:r>
        <w:rPr>
          <w:rFonts w:ascii="David" w:hAnsi="David" w:cs="David"/>
          <w:sz w:val="24"/>
          <w:szCs w:val="24"/>
          <w:rtl/>
        </w:rPr>
        <w:t xml:space="preserve"> לחוק, חלה הן על מקרים בהם ההריגה בוצעה כאשר היסוד הנפשי שהתקיים בנאשם היה קלות דעת; והן כאשר היסוד הנפשי שהתקיים בנאשם היה אדישות. מכיוון שכתב האישום המתוקן בו הודה הנאשם 3 לא נקב באופן מפורש ביסוד הנפשי בו הורשע, אזי בהתאם </w:t>
      </w:r>
      <w:hyperlink r:id="rId102" w:history="1">
        <w:r w:rsidR="005948C0" w:rsidRPr="005948C0">
          <w:rPr>
            <w:rFonts w:ascii="David" w:hAnsi="David" w:cs="David"/>
            <w:color w:val="0000FF"/>
            <w:sz w:val="24"/>
            <w:szCs w:val="24"/>
            <w:u w:val="single"/>
            <w:rtl/>
          </w:rPr>
          <w:t>לס' 5</w:t>
        </w:r>
      </w:hyperlink>
      <w:r>
        <w:rPr>
          <w:rFonts w:ascii="David" w:hAnsi="David" w:cs="David"/>
          <w:sz w:val="24"/>
          <w:szCs w:val="24"/>
          <w:rtl/>
        </w:rPr>
        <w:t xml:space="preserve"> לחוק ובהתאם לעקרון החוקיות על נגזרותיו (פרשנות לטובת הנאשם, ספק סביר וכו'), יש להרשיעו, חלף עבירת ההריגה – בהמתה בקלות דעת, לפי </w:t>
      </w:r>
      <w:hyperlink r:id="rId103" w:history="1">
        <w:r w:rsidR="005948C0" w:rsidRPr="005948C0">
          <w:rPr>
            <w:rFonts w:ascii="David" w:hAnsi="David" w:cs="David"/>
            <w:color w:val="0000FF"/>
            <w:sz w:val="24"/>
            <w:szCs w:val="24"/>
            <w:u w:val="single"/>
            <w:rtl/>
          </w:rPr>
          <w:t>ס' 301ג'.</w:t>
        </w:r>
      </w:hyperlink>
      <w:r>
        <w:rPr>
          <w:rFonts w:ascii="David" w:hAnsi="David" w:cs="David"/>
          <w:sz w:val="24"/>
          <w:szCs w:val="24"/>
          <w:rtl/>
        </w:rPr>
        <w:t xml:space="preserve"> </w:t>
      </w:r>
    </w:p>
    <w:p w14:paraId="74BDFE8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37DAABF5"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מנגד, טענה המאשימה – ואקדים ואציין כי דעתי כדעתה – כי מעובדות כתב האישום המתוקן בהן הודה הנאשם, עולה באופן ברור כי בעת שירה לעבר המנוחה התקיים בו יסוד נפשי של אדישות, ולא של קלות דעת. לכן, נטען כי לא חל בענייננו דין מקל ולכן יש להותיר את ההרשעה בהריגה על כנה. </w:t>
      </w:r>
    </w:p>
    <w:p w14:paraId="5B0395E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339B2FE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כאמור, דעתי כדעת המאשימה ובהקשר זה אעיר שחרף טענתו שובת הלב של הנאשם כי יש להחיל עליו את הדין המקל (</w:t>
      </w:r>
      <w:hyperlink r:id="rId104" w:history="1">
        <w:r w:rsidR="005948C0" w:rsidRPr="005948C0">
          <w:rPr>
            <w:rFonts w:ascii="David" w:hAnsi="David" w:cs="David"/>
            <w:color w:val="0000FF"/>
            <w:sz w:val="24"/>
            <w:szCs w:val="24"/>
            <w:u w:val="single"/>
            <w:rtl/>
          </w:rPr>
          <w:t>ס' 5(א)</w:t>
        </w:r>
      </w:hyperlink>
      <w:r>
        <w:rPr>
          <w:rFonts w:ascii="David" w:hAnsi="David" w:cs="David"/>
          <w:sz w:val="24"/>
          <w:szCs w:val="24"/>
          <w:rtl/>
        </w:rPr>
        <w:t xml:space="preserve"> לחוק), השאלה הנכונה לטעמי בנדון היא </w:t>
      </w:r>
      <w:r>
        <w:rPr>
          <w:rFonts w:ascii="David" w:hAnsi="David" w:cs="David"/>
          <w:sz w:val="24"/>
          <w:szCs w:val="24"/>
          <w:u w:val="single"/>
          <w:rtl/>
        </w:rPr>
        <w:t>מהי העבירה אשר תואמת את העובדות בהן הודה</w:t>
      </w:r>
      <w:r>
        <w:rPr>
          <w:rFonts w:ascii="David" w:hAnsi="David" w:cs="David"/>
          <w:sz w:val="24"/>
          <w:szCs w:val="24"/>
          <w:rtl/>
        </w:rPr>
        <w:t xml:space="preserve">. </w:t>
      </w:r>
    </w:p>
    <w:p w14:paraId="6388F74C" w14:textId="77777777" w:rsidR="004C3216" w:rsidRDefault="004C3216" w:rsidP="005811E2">
      <w:pPr>
        <w:pStyle w:val="ListParagraph"/>
        <w:spacing w:after="0" w:line="360" w:lineRule="auto"/>
        <w:ind w:left="516" w:right="426"/>
        <w:rPr>
          <w:rFonts w:ascii="David" w:hAnsi="David" w:cs="David"/>
          <w:sz w:val="24"/>
          <w:szCs w:val="24"/>
        </w:rPr>
      </w:pPr>
    </w:p>
    <w:p w14:paraId="188404AA"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לשם כך אביא את עובדות 18 ו 19 לכתב האישום המתוקן ככתבן וכלשונן ללא השמטות אך תוך שהודגשו חלקים רלוונטיים. בסעיפים שקדמו בסדר הכרונולוגי לסעיפים 18 ו 19 תואר כי הנאשמים 2 עד 9 סיכמו לנקום בבני משפחת תורכי ולירות באמצעות מספר כלי נשק על המתחם (להלן: </w:t>
      </w:r>
      <w:r>
        <w:rPr>
          <w:rFonts w:ascii="Miriam" w:hAnsi="Miriam" w:cs="Miriam"/>
          <w:sz w:val="24"/>
          <w:szCs w:val="24"/>
          <w:rtl/>
        </w:rPr>
        <w:t>הסיכום</w:t>
      </w:r>
      <w:r>
        <w:rPr>
          <w:rFonts w:ascii="David" w:hAnsi="David" w:cs="David"/>
          <w:sz w:val="24"/>
          <w:szCs w:val="24"/>
          <w:rtl/>
        </w:rPr>
        <w:t>). עוד תואר כי במסגרת הסיכום החזיקו הנאשמים 2 – 3 ו 6 – 8 וכן אחרים ב- 6 כלי נשק לכל הפחות ובהם 4 אקדחים, שני תתי מקלע מאולתרים ותחמושת.</w:t>
      </w:r>
    </w:p>
    <w:p w14:paraId="1BB3B05F" w14:textId="77777777" w:rsidR="004C3216" w:rsidRDefault="004C3216" w:rsidP="005811E2">
      <w:pPr>
        <w:pStyle w:val="ListParagraph"/>
        <w:spacing w:after="0" w:line="360" w:lineRule="auto"/>
        <w:ind w:left="516" w:right="426"/>
        <w:rPr>
          <w:rFonts w:ascii="David" w:hAnsi="David" w:cs="David"/>
          <w:sz w:val="24"/>
          <w:szCs w:val="24"/>
        </w:rPr>
      </w:pPr>
    </w:p>
    <w:p w14:paraId="5781F258"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 וכעת לנוסחם המדויק של </w:t>
      </w:r>
      <w:r w:rsidR="005948C0" w:rsidRPr="005948C0">
        <w:rPr>
          <w:rFonts w:ascii="David" w:hAnsi="David" w:cs="David"/>
          <w:sz w:val="24"/>
          <w:szCs w:val="24"/>
          <w:rtl/>
        </w:rPr>
        <w:t>סעיפים 18</w:t>
      </w:r>
      <w:r>
        <w:rPr>
          <w:rFonts w:ascii="David" w:hAnsi="David" w:cs="David"/>
          <w:sz w:val="24"/>
          <w:szCs w:val="24"/>
          <w:rtl/>
        </w:rPr>
        <w:t xml:space="preserve"> ו 19 לחלק העובדות של כתב האישום המתוקן: </w:t>
      </w:r>
    </w:p>
    <w:p w14:paraId="2F3AFEE6" w14:textId="77777777" w:rsidR="004C3216" w:rsidRDefault="004C3216" w:rsidP="005811E2">
      <w:pPr>
        <w:spacing w:line="360" w:lineRule="auto"/>
        <w:ind w:left="516" w:right="426"/>
        <w:jc w:val="both"/>
        <w:rPr>
          <w:rFonts w:ascii="David" w:hAnsi="David"/>
          <w:rtl/>
        </w:rPr>
      </w:pPr>
    </w:p>
    <w:p w14:paraId="05518ABC" w14:textId="77777777" w:rsidR="004C3216" w:rsidRDefault="004C3216" w:rsidP="005811E2">
      <w:pPr>
        <w:spacing w:line="360" w:lineRule="auto"/>
        <w:ind w:left="516" w:right="426"/>
        <w:jc w:val="both"/>
        <w:rPr>
          <w:rFonts w:ascii="David" w:hAnsi="David"/>
          <w:b/>
          <w:bCs/>
          <w:rtl/>
        </w:rPr>
      </w:pPr>
      <w:r>
        <w:rPr>
          <w:rFonts w:ascii="David" w:hAnsi="David"/>
          <w:b/>
          <w:bCs/>
          <w:rtl/>
        </w:rPr>
        <w:t xml:space="preserve">"18. במסגרת הסיכום, בסביבות השעה 21:40, הגיעו הנאשמים 1-9 למתחם, בו שהו באותה העת המנוחה, פריד ומוסטפא עם נשותיהם וילדיהם. הנאשמים 2-9 צרו בצוותא חדא על המתחם, התמקמו במקומות שונים ומשתנים סביב המתחם. </w:t>
      </w:r>
      <w:r>
        <w:rPr>
          <w:rFonts w:ascii="David" w:hAnsi="David"/>
          <w:b/>
          <w:bCs/>
          <w:u w:val="single"/>
          <w:rtl/>
        </w:rPr>
        <w:t>הנאשם 3 נכנס לתוך חצר המתחם וירה משם באמצעות הנשק שנשא על בתי המנוחה, פריד ומוסטפא, בכוונה לפגוע בדרי המתחם, לחבול בהם חבלה חמורה ולהטיל בהם מום</w:t>
      </w:r>
      <w:r>
        <w:rPr>
          <w:rFonts w:ascii="David" w:hAnsi="David"/>
          <w:b/>
          <w:bCs/>
          <w:rtl/>
        </w:rPr>
        <w:t>. נאשמים 7+8, התמקמו סביב פתחי המתחם וירו משם, בצוותא חדא, באמצעות הנשקים שנשאו, על בתי המנוחה, פריד ומוסטפא כמפורט בסעיף זה לעיל, ובכך ניסו לפצוע את דרי המתחם. נאשמים 2 ו 6 התמקמו סביב המתחם וירו באמצעות הנשקים שנשאו באזור מגורים ללא הסבר.</w:t>
      </w:r>
    </w:p>
    <w:p w14:paraId="24440539" w14:textId="77777777" w:rsidR="004C3216" w:rsidRDefault="004C3216" w:rsidP="005811E2">
      <w:pPr>
        <w:spacing w:line="360" w:lineRule="auto"/>
        <w:ind w:left="516" w:right="426"/>
        <w:jc w:val="both"/>
        <w:rPr>
          <w:rFonts w:ascii="David" w:hAnsi="David"/>
          <w:b/>
          <w:bCs/>
          <w:rtl/>
        </w:rPr>
      </w:pPr>
    </w:p>
    <w:p w14:paraId="608914A7" w14:textId="77777777" w:rsidR="004C3216" w:rsidRDefault="004C3216" w:rsidP="005811E2">
      <w:pPr>
        <w:spacing w:line="360" w:lineRule="auto"/>
        <w:ind w:left="516" w:right="426"/>
        <w:jc w:val="both"/>
        <w:rPr>
          <w:rFonts w:ascii="David" w:hAnsi="David"/>
          <w:b/>
          <w:bCs/>
          <w:rtl/>
        </w:rPr>
      </w:pPr>
      <w:r>
        <w:rPr>
          <w:rFonts w:ascii="David" w:hAnsi="David"/>
          <w:b/>
          <w:bCs/>
          <w:rtl/>
        </w:rPr>
        <w:t>במהלך האירוע המתואר לעיל, ירו הנאשמים 2,3,6,7,8 באזור המתחם לא פחות מתשעים ושבעה כדורים, כמפורט לעיל.</w:t>
      </w:r>
    </w:p>
    <w:p w14:paraId="05EA264F" w14:textId="77777777" w:rsidR="004C3216" w:rsidRDefault="004C3216" w:rsidP="005811E2">
      <w:pPr>
        <w:spacing w:line="360" w:lineRule="auto"/>
        <w:ind w:left="516" w:right="426"/>
        <w:jc w:val="both"/>
        <w:rPr>
          <w:rFonts w:ascii="David" w:hAnsi="David"/>
          <w:b/>
          <w:bCs/>
          <w:rtl/>
        </w:rPr>
      </w:pPr>
    </w:p>
    <w:p w14:paraId="02CC5DCC" w14:textId="77777777" w:rsidR="004C3216" w:rsidRDefault="004C3216" w:rsidP="005811E2">
      <w:pPr>
        <w:spacing w:line="360" w:lineRule="auto"/>
        <w:ind w:left="516" w:right="426"/>
        <w:jc w:val="both"/>
        <w:rPr>
          <w:rFonts w:ascii="David" w:hAnsi="David"/>
          <w:b/>
          <w:bCs/>
          <w:rtl/>
        </w:rPr>
      </w:pPr>
      <w:r>
        <w:rPr>
          <w:rFonts w:ascii="David" w:hAnsi="David"/>
          <w:b/>
          <w:bCs/>
          <w:rtl/>
        </w:rPr>
        <w:t>במהלך האירוע והירי, הנאשם 5 פנה בגידופים לבני משפחת המנוחה השוהים בתוך המתחם, ואיים עליהם בכוונה להפחידם כי הם יחנכו אותם וקרא להם לצאת מהמתחם.</w:t>
      </w:r>
    </w:p>
    <w:p w14:paraId="75371E51" w14:textId="77777777" w:rsidR="004C3216" w:rsidRDefault="004C3216" w:rsidP="005811E2">
      <w:pPr>
        <w:spacing w:line="360" w:lineRule="auto"/>
        <w:ind w:left="516" w:right="426"/>
        <w:jc w:val="both"/>
        <w:rPr>
          <w:rFonts w:ascii="David" w:hAnsi="David"/>
          <w:b/>
          <w:bCs/>
          <w:rtl/>
        </w:rPr>
      </w:pPr>
    </w:p>
    <w:p w14:paraId="5E930702" w14:textId="77777777" w:rsidR="004C3216" w:rsidRDefault="004C3216" w:rsidP="005811E2">
      <w:pPr>
        <w:spacing w:line="360" w:lineRule="auto"/>
        <w:ind w:left="516" w:right="426"/>
        <w:jc w:val="both"/>
        <w:rPr>
          <w:rFonts w:ascii="David" w:hAnsi="David"/>
          <w:b/>
          <w:bCs/>
          <w:rtl/>
        </w:rPr>
      </w:pPr>
      <w:r>
        <w:rPr>
          <w:rFonts w:ascii="David" w:hAnsi="David"/>
          <w:b/>
          <w:bCs/>
          <w:rtl/>
        </w:rPr>
        <w:t xml:space="preserve">19. </w:t>
      </w:r>
      <w:r>
        <w:rPr>
          <w:rFonts w:ascii="David" w:hAnsi="David"/>
          <w:b/>
          <w:bCs/>
          <w:u w:val="single"/>
          <w:rtl/>
        </w:rPr>
        <w:t>במהלך הירי שביצע הנאשם 3 כמתואר לעיל, נפגעה המנוחה מקליע שפגע בחזה מימין, בעת שעמדה בסמוך לדלת הכניסה לדירתה בחצר המתחם</w:t>
      </w:r>
      <w:r>
        <w:rPr>
          <w:rFonts w:ascii="David" w:hAnsi="David"/>
          <w:b/>
          <w:bCs/>
          <w:rtl/>
        </w:rPr>
        <w:t>, ונפגע פריד מקליע שפגע בירך ימין בעת ששהה בחצר המתחם".</w:t>
      </w:r>
    </w:p>
    <w:p w14:paraId="4980B2C4" w14:textId="77777777" w:rsidR="004C3216" w:rsidRDefault="004C3216" w:rsidP="005811E2">
      <w:pPr>
        <w:spacing w:line="360" w:lineRule="auto"/>
        <w:ind w:left="516" w:right="426"/>
        <w:jc w:val="both"/>
        <w:rPr>
          <w:rFonts w:ascii="David" w:hAnsi="David"/>
          <w:rtl/>
        </w:rPr>
      </w:pPr>
    </w:p>
    <w:p w14:paraId="6956D747"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בטרם אמשיך, אפנה להגדרתה של קלות דעת – הנוגעת </w:t>
      </w:r>
      <w:hyperlink r:id="rId105" w:history="1">
        <w:r w:rsidR="005948C0" w:rsidRPr="005948C0">
          <w:rPr>
            <w:rFonts w:ascii="David" w:hAnsi="David" w:cs="David"/>
            <w:color w:val="0000FF"/>
            <w:sz w:val="24"/>
            <w:szCs w:val="24"/>
            <w:u w:val="single"/>
            <w:rtl/>
          </w:rPr>
          <w:t>לס' 301ג</w:t>
        </w:r>
      </w:hyperlink>
      <w:r>
        <w:rPr>
          <w:rFonts w:ascii="David" w:hAnsi="David" w:cs="David"/>
          <w:sz w:val="24"/>
          <w:szCs w:val="24"/>
          <w:rtl/>
        </w:rPr>
        <w:t xml:space="preserve"> (המתה בקלות דעת), בו אוחז הנאשם 3; וכן להגדרת אדישות – הנוגעת </w:t>
      </w:r>
      <w:hyperlink r:id="rId106" w:history="1">
        <w:r w:rsidR="005948C0" w:rsidRPr="005948C0">
          <w:rPr>
            <w:rFonts w:ascii="David" w:hAnsi="David" w:cs="David"/>
            <w:color w:val="0000FF"/>
            <w:sz w:val="24"/>
            <w:szCs w:val="24"/>
            <w:u w:val="single"/>
            <w:rtl/>
          </w:rPr>
          <w:t>לס' 300</w:t>
        </w:r>
      </w:hyperlink>
      <w:r>
        <w:rPr>
          <w:rFonts w:ascii="David" w:hAnsi="David" w:cs="David"/>
          <w:sz w:val="24"/>
          <w:szCs w:val="24"/>
          <w:rtl/>
        </w:rPr>
        <w:t xml:space="preserve"> של רצח באדישות, בו אוחזת המאשימה.</w:t>
      </w:r>
    </w:p>
    <w:p w14:paraId="438DA2F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2BB1FEAE"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עבירת ההמתה בקלות דעת ועבירת הרצח באדישות הינן עבירות מסוג תוצאה. משכך, צריך שתתקיים בנאשם מחשבה פלילית [קרי, מודעות ל - טיב המעשה, לקיום הנסיבות הרלוונטיות, ולאפשרות הגרימה לתוצאות המעשה]; ובאשר לתוצאה (קרי, מות הקורבן), צריך שהנאשם יהיה פזיז, אם ברמה "קלה" של קלות דעת (בנטילת סיכון בלתי סביר לאפשרות גרימת התוצאות האמורות, מתוך תקווה להצליח למנען) ואז יהיה מקום להרשיעו בהמתה בקלות דעת; או ברמה החמורה יותר של אדישות (בשוויון נפש לאפשרות התוצאות האמורות) ואז יהיה מקום להרשיעו ברצח באדישות (ור' בנדון </w:t>
      </w:r>
      <w:hyperlink r:id="rId107" w:history="1">
        <w:r w:rsidR="005948C0" w:rsidRPr="005948C0">
          <w:rPr>
            <w:rFonts w:ascii="David" w:hAnsi="David" w:cs="David"/>
            <w:color w:val="0000FF"/>
            <w:sz w:val="24"/>
            <w:szCs w:val="24"/>
            <w:u w:val="single"/>
            <w:rtl/>
          </w:rPr>
          <w:t>ס' 20(א)</w:t>
        </w:r>
      </w:hyperlink>
      <w:r>
        <w:rPr>
          <w:rFonts w:ascii="David" w:hAnsi="David" w:cs="David"/>
          <w:sz w:val="24"/>
          <w:szCs w:val="24"/>
          <w:rtl/>
        </w:rPr>
        <w:t xml:space="preserve"> לחוק). </w:t>
      </w:r>
    </w:p>
    <w:p w14:paraId="668412FB" w14:textId="77777777" w:rsidR="004C3216" w:rsidRDefault="004C3216" w:rsidP="005811E2">
      <w:pPr>
        <w:pStyle w:val="ListParagraph"/>
        <w:spacing w:after="0" w:line="360" w:lineRule="auto"/>
        <w:ind w:left="516" w:right="426"/>
        <w:rPr>
          <w:rFonts w:ascii="David" w:hAnsi="David" w:cs="David"/>
          <w:sz w:val="24"/>
          <w:szCs w:val="24"/>
        </w:rPr>
      </w:pPr>
    </w:p>
    <w:p w14:paraId="73D902BE"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במאמרו "</w:t>
      </w:r>
      <w:hyperlink r:id="rId108" w:history="1">
        <w:r w:rsidR="00DF1ED4" w:rsidRPr="00DF1ED4">
          <w:rPr>
            <w:rFonts w:ascii="David" w:hAnsi="David" w:cs="David"/>
            <w:color w:val="0000FF"/>
            <w:sz w:val="24"/>
            <w:szCs w:val="24"/>
            <w:u w:val="single"/>
            <w:rtl/>
          </w:rPr>
          <w:t xml:space="preserve">רצח באדישות", </w:t>
        </w:r>
      </w:hyperlink>
      <w:r>
        <w:rPr>
          <w:rFonts w:ascii="David" w:hAnsi="David" w:cs="David"/>
          <w:sz w:val="24"/>
          <w:szCs w:val="24"/>
          <w:rtl/>
        </w:rPr>
        <w:t xml:space="preserve"> הרחיב אוהד גורדון אודות ה"אדישות" לעיל (</w:t>
      </w:r>
      <w:r>
        <w:rPr>
          <w:rFonts w:ascii="Miriam" w:hAnsi="Miriam" w:cs="Miriam"/>
          <w:sz w:val="24"/>
          <w:szCs w:val="24"/>
          <w:rtl/>
        </w:rPr>
        <w:t>רצח באדישות</w:t>
      </w:r>
      <w:r>
        <w:rPr>
          <w:rFonts w:ascii="David" w:hAnsi="David" w:cs="David"/>
          <w:sz w:val="24"/>
          <w:szCs w:val="24"/>
          <w:rtl/>
        </w:rPr>
        <w:t xml:space="preserve">, ד"ר אוהד גורדון, ספר אדמונד לוי, עמ' 391; להלן: </w:t>
      </w:r>
      <w:r>
        <w:rPr>
          <w:rFonts w:ascii="Miriam" w:hAnsi="Miriam" w:cs="Miriam"/>
          <w:sz w:val="24"/>
          <w:szCs w:val="24"/>
          <w:rtl/>
        </w:rPr>
        <w:t>המאמר</w:t>
      </w:r>
      <w:r>
        <w:rPr>
          <w:rFonts w:ascii="David" w:hAnsi="David" w:cs="David"/>
          <w:sz w:val="24"/>
          <w:szCs w:val="24"/>
          <w:rtl/>
        </w:rPr>
        <w:t xml:space="preserve">). </w:t>
      </w:r>
    </w:p>
    <w:p w14:paraId="674B31E0" w14:textId="77777777" w:rsidR="004C3216" w:rsidRDefault="004C3216" w:rsidP="005811E2">
      <w:pPr>
        <w:pStyle w:val="ListParagraph"/>
        <w:rPr>
          <w:rFonts w:ascii="David" w:hAnsi="David" w:cs="David"/>
          <w:sz w:val="24"/>
          <w:szCs w:val="24"/>
        </w:rPr>
      </w:pPr>
    </w:p>
    <w:p w14:paraId="4AC54C2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המחבר הפנה לכך כי הגדרת הפזיזות </w:t>
      </w:r>
      <w:hyperlink r:id="rId109" w:history="1">
        <w:r w:rsidR="005948C0" w:rsidRPr="005948C0">
          <w:rPr>
            <w:rFonts w:ascii="David" w:hAnsi="David" w:cs="David"/>
            <w:color w:val="0000FF"/>
            <w:sz w:val="24"/>
            <w:szCs w:val="24"/>
            <w:u w:val="single"/>
            <w:rtl/>
          </w:rPr>
          <w:t>שבס' 20(א)</w:t>
        </w:r>
      </w:hyperlink>
      <w:r>
        <w:rPr>
          <w:rFonts w:ascii="David" w:hAnsi="David" w:cs="David"/>
          <w:sz w:val="24"/>
          <w:szCs w:val="24"/>
          <w:rtl/>
        </w:rPr>
        <w:t xml:space="preserve"> תמציתית ואינה כוללת כלים מספקים לאבחנה בין מקרים שיפלו לגדר קלות דעת, מחד, או אדישות, מנגד. לכך מצטרף הקושי הבסיסי לפענח צפונות נפש האדם וכוונותיו. </w:t>
      </w:r>
    </w:p>
    <w:p w14:paraId="0E070541" w14:textId="77777777" w:rsidR="004C3216" w:rsidRDefault="004C3216" w:rsidP="005811E2">
      <w:pPr>
        <w:spacing w:line="360" w:lineRule="auto"/>
        <w:ind w:left="516" w:right="426"/>
        <w:jc w:val="both"/>
        <w:rPr>
          <w:rFonts w:ascii="David" w:hAnsi="David"/>
          <w:rtl/>
        </w:rPr>
      </w:pPr>
    </w:p>
    <w:p w14:paraId="3E6151F9" w14:textId="77777777" w:rsidR="004C3216" w:rsidRDefault="004C3216" w:rsidP="005811E2">
      <w:pPr>
        <w:spacing w:line="360" w:lineRule="auto"/>
        <w:ind w:left="516" w:right="426"/>
        <w:jc w:val="both"/>
        <w:rPr>
          <w:rFonts w:ascii="David" w:hAnsi="David"/>
          <w:rtl/>
        </w:rPr>
      </w:pPr>
      <w:r>
        <w:rPr>
          <w:rFonts w:ascii="David" w:hAnsi="David"/>
          <w:rtl/>
        </w:rPr>
        <w:t>ולעניין האדישות, על פי המחבר:</w:t>
      </w:r>
    </w:p>
    <w:p w14:paraId="3692A29C" w14:textId="77777777" w:rsidR="004C3216" w:rsidRDefault="004C3216" w:rsidP="005811E2">
      <w:pPr>
        <w:spacing w:line="360" w:lineRule="auto"/>
        <w:ind w:left="516" w:right="426"/>
        <w:jc w:val="both"/>
        <w:rPr>
          <w:rFonts w:ascii="David" w:hAnsi="David"/>
          <w:rtl/>
        </w:rPr>
      </w:pPr>
    </w:p>
    <w:p w14:paraId="32751CC1" w14:textId="77777777" w:rsidR="004C3216" w:rsidRDefault="004C3216" w:rsidP="005811E2">
      <w:pPr>
        <w:spacing w:line="360" w:lineRule="auto"/>
        <w:ind w:left="516" w:right="426"/>
        <w:jc w:val="both"/>
        <w:rPr>
          <w:rFonts w:ascii="David" w:hAnsi="David"/>
          <w:b/>
          <w:bCs/>
          <w:rtl/>
        </w:rPr>
      </w:pPr>
      <w:r>
        <w:rPr>
          <w:rFonts w:ascii="David" w:hAnsi="David"/>
          <w:b/>
          <w:bCs/>
          <w:rtl/>
        </w:rPr>
        <w:t>"אשמתו הכבדה-יחסית של הממית באדישות היא תוצר של בחינה ערכית מנקודת מבט חיצונית של יחסו החפצי לערך המוגן, הוא ערך חיי האדם. השאלה אינה אם הוא סבור שיחסו הולם, אלא מהי עמדתו של המשפט באשר למידת הסטייה הערכית מן הנורמה.</w:t>
      </w:r>
    </w:p>
    <w:p w14:paraId="51DCE909" w14:textId="77777777" w:rsidR="004C3216" w:rsidRDefault="004C3216" w:rsidP="005811E2">
      <w:pPr>
        <w:spacing w:line="360" w:lineRule="auto"/>
        <w:ind w:left="516" w:right="426"/>
        <w:jc w:val="both"/>
        <w:rPr>
          <w:rFonts w:ascii="David" w:hAnsi="David"/>
          <w:b/>
          <w:bCs/>
          <w:rtl/>
        </w:rPr>
      </w:pPr>
    </w:p>
    <w:p w14:paraId="22E4DEB4" w14:textId="77777777" w:rsidR="004C3216" w:rsidRDefault="004C3216" w:rsidP="005811E2">
      <w:pPr>
        <w:spacing w:line="360" w:lineRule="auto"/>
        <w:ind w:left="516" w:right="426"/>
        <w:jc w:val="both"/>
        <w:rPr>
          <w:rFonts w:ascii="David" w:hAnsi="David"/>
          <w:b/>
          <w:bCs/>
          <w:rtl/>
        </w:rPr>
      </w:pPr>
      <w:r>
        <w:rPr>
          <w:rFonts w:ascii="David" w:hAnsi="David"/>
          <w:b/>
          <w:bCs/>
          <w:rtl/>
        </w:rPr>
        <w:t>בחינת היחס החפצי של אדישות עוסקת במקום שנתן מבצע ההמתה לאפשרות שמעשיו יגרמו לקטל במכלול השיקולים שהובילוהו להחלטה לפעול. זאת, להבדיל משאלה תאורטית על העדפותיו בדבר גרימת המוות במנותק מכלל שיקוליו ומן הביצוע. אם המשקל שייחס לאפשרות הנדונה הוא זניח, חיי הזולת לא עניינו אותו די הצורך, ומניעיו שלו תפסו את הבכורה בהחלטה לבצע, מדובר באדישות.</w:t>
      </w:r>
    </w:p>
    <w:p w14:paraId="41407077" w14:textId="77777777" w:rsidR="004C3216" w:rsidRDefault="004C3216" w:rsidP="005811E2">
      <w:pPr>
        <w:spacing w:line="360" w:lineRule="auto"/>
        <w:ind w:left="516" w:right="426"/>
        <w:jc w:val="both"/>
        <w:rPr>
          <w:rFonts w:ascii="David" w:hAnsi="David"/>
          <w:b/>
          <w:bCs/>
          <w:rtl/>
        </w:rPr>
      </w:pPr>
    </w:p>
    <w:p w14:paraId="60274D3C" w14:textId="77777777" w:rsidR="004C3216" w:rsidRDefault="004C3216" w:rsidP="005811E2">
      <w:pPr>
        <w:spacing w:line="360" w:lineRule="auto"/>
        <w:ind w:left="516" w:right="426"/>
        <w:jc w:val="both"/>
        <w:rPr>
          <w:rFonts w:ascii="David" w:hAnsi="David"/>
          <w:b/>
          <w:bCs/>
          <w:rtl/>
        </w:rPr>
      </w:pPr>
      <w:r>
        <w:rPr>
          <w:rFonts w:ascii="David" w:hAnsi="David"/>
          <w:b/>
          <w:bCs/>
          <w:rtl/>
        </w:rPr>
        <w:t>ניתן להסיק הלך רוח זה של האדיש ממישורים אחרים של התנהלותו. ככלל, נטילה מודעת של סיכון לגרימת מוות, שבנסיבות העניין הוא בעל עצמה ניכרת ואשר חורג במידה ניכרת מגדרי הסיכון הסביר, היא התנהלות המעידה על משקל זניח אשר ניתן בידי המבצע לאפשרות כי יפגע בחיי אדם. התנהלות שכזו תתיישב עם מסקנה של אדישות."</w:t>
      </w:r>
    </w:p>
    <w:p w14:paraId="5ECAE5FD" w14:textId="77777777" w:rsidR="004C3216" w:rsidRDefault="004C3216" w:rsidP="005811E2">
      <w:pPr>
        <w:spacing w:line="360" w:lineRule="auto"/>
        <w:ind w:left="516" w:right="426"/>
        <w:jc w:val="both"/>
        <w:rPr>
          <w:rFonts w:ascii="David" w:hAnsi="David"/>
          <w:rtl/>
        </w:rPr>
      </w:pPr>
      <w:r>
        <w:rPr>
          <w:rFonts w:ascii="David" w:hAnsi="David"/>
          <w:rtl/>
        </w:rPr>
        <w:t>(עמ' 421 למאמר).</w:t>
      </w:r>
    </w:p>
    <w:p w14:paraId="28E60A08" w14:textId="77777777" w:rsidR="004C3216" w:rsidRDefault="004C3216" w:rsidP="005811E2">
      <w:pPr>
        <w:spacing w:line="360" w:lineRule="auto"/>
        <w:ind w:left="516" w:right="426"/>
        <w:jc w:val="both"/>
        <w:rPr>
          <w:rFonts w:ascii="David" w:hAnsi="David"/>
          <w:rtl/>
        </w:rPr>
      </w:pPr>
    </w:p>
    <w:p w14:paraId="1C1B96B2"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עמדת המחבר, יובהר, מקובלת עלי. </w:t>
      </w:r>
    </w:p>
    <w:p w14:paraId="6970F09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2CC9FCF0"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Pr>
      </w:pPr>
      <w:r>
        <w:rPr>
          <w:rFonts w:ascii="David" w:hAnsi="David" w:cs="David"/>
          <w:sz w:val="24"/>
          <w:szCs w:val="24"/>
          <w:rtl/>
        </w:rPr>
        <w:t>נחזור לעניין הנדון.</w:t>
      </w:r>
    </w:p>
    <w:p w14:paraId="5BF94C3E" w14:textId="77777777" w:rsidR="004C3216" w:rsidRDefault="004C3216" w:rsidP="005811E2">
      <w:pPr>
        <w:pStyle w:val="ListParagraph"/>
        <w:spacing w:after="0" w:line="360" w:lineRule="auto"/>
        <w:ind w:left="516" w:right="426"/>
        <w:rPr>
          <w:rFonts w:ascii="David" w:hAnsi="David" w:cs="David"/>
          <w:sz w:val="24"/>
          <w:szCs w:val="24"/>
        </w:rPr>
      </w:pPr>
    </w:p>
    <w:p w14:paraId="05EEC430"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הנאשם 3 סיכם עם מרבית הנאשמים האחרים לירות באמצעות מספר כלי נשק על המתחם ולשם כך הצטייד בנשק. </w:t>
      </w:r>
    </w:p>
    <w:p w14:paraId="33E91ADD" w14:textId="77777777" w:rsidR="004C3216" w:rsidRDefault="004C3216" w:rsidP="005811E2">
      <w:pPr>
        <w:pStyle w:val="ListParagraph"/>
        <w:spacing w:after="0" w:line="360" w:lineRule="auto"/>
        <w:ind w:left="516" w:right="426"/>
        <w:rPr>
          <w:rFonts w:ascii="David" w:hAnsi="David" w:cs="David"/>
          <w:sz w:val="24"/>
          <w:szCs w:val="24"/>
        </w:rPr>
      </w:pPr>
    </w:p>
    <w:p w14:paraId="10B85752"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לאחר שהחבורה התמקמה סביב המתחם, נכנס הנאשם 3 לתוך חצר המתחם וירה משם באמצעות הנשק לעבר הבתים "</w:t>
      </w:r>
      <w:r>
        <w:rPr>
          <w:rFonts w:ascii="David" w:hAnsi="David" w:cs="David"/>
          <w:sz w:val="24"/>
          <w:szCs w:val="24"/>
          <w:u w:val="single"/>
          <w:rtl/>
        </w:rPr>
        <w:t>בכוונה לפגוע בדרי המתחם, לחבול בהם חבלה חמורה ולהטיל בהם מום</w:t>
      </w:r>
      <w:r>
        <w:rPr>
          <w:rFonts w:ascii="David" w:hAnsi="David" w:cs="David"/>
          <w:sz w:val="24"/>
          <w:szCs w:val="24"/>
          <w:rtl/>
        </w:rPr>
        <w:t xml:space="preserve">". כתוצאה מהירי שביצע, נפגעה המנוחה ומצאה את מותה. </w:t>
      </w:r>
    </w:p>
    <w:p w14:paraId="0AFA9FC3" w14:textId="77777777" w:rsidR="004C3216" w:rsidRDefault="004C3216" w:rsidP="005811E2">
      <w:pPr>
        <w:spacing w:line="360" w:lineRule="auto"/>
        <w:ind w:left="516" w:right="426"/>
        <w:jc w:val="both"/>
        <w:rPr>
          <w:rFonts w:ascii="David" w:hAnsi="David"/>
          <w:rtl/>
        </w:rPr>
      </w:pPr>
    </w:p>
    <w:p w14:paraId="4BCFAD71" w14:textId="77777777" w:rsidR="004C3216" w:rsidRDefault="004C3216" w:rsidP="005811E2">
      <w:pPr>
        <w:spacing w:line="360" w:lineRule="auto"/>
        <w:ind w:left="516" w:right="426"/>
        <w:jc w:val="both"/>
        <w:rPr>
          <w:rFonts w:ascii="David" w:hAnsi="David"/>
          <w:rtl/>
        </w:rPr>
      </w:pPr>
      <w:r>
        <w:rPr>
          <w:rFonts w:ascii="David" w:hAnsi="David"/>
          <w:rtl/>
        </w:rPr>
        <w:t xml:space="preserve">מדובר, לטעמי, במקרה מובהק המקיים את דרישת האדישות. אין מדובר "רק" בירי בסביבות המתחם ואף לא בירי לעבר מבנה מגורים (אף כי גם זה יכול בנסיבות מסוימות לקיים את דרישת האדישות). </w:t>
      </w:r>
    </w:p>
    <w:p w14:paraId="793DAB54" w14:textId="77777777" w:rsidR="004C3216" w:rsidRDefault="004C3216" w:rsidP="005811E2">
      <w:pPr>
        <w:spacing w:line="360" w:lineRule="auto"/>
        <w:ind w:left="516" w:right="426"/>
        <w:jc w:val="both"/>
        <w:rPr>
          <w:rFonts w:ascii="David" w:hAnsi="David"/>
          <w:rtl/>
        </w:rPr>
      </w:pPr>
    </w:p>
    <w:p w14:paraId="4DE2A934" w14:textId="77777777" w:rsidR="004C3216" w:rsidRDefault="004C3216" w:rsidP="005811E2">
      <w:pPr>
        <w:spacing w:line="360" w:lineRule="auto"/>
        <w:ind w:left="516" w:right="426"/>
        <w:jc w:val="both"/>
        <w:rPr>
          <w:rFonts w:ascii="David" w:hAnsi="David"/>
          <w:rtl/>
        </w:rPr>
      </w:pPr>
      <w:r>
        <w:rPr>
          <w:rFonts w:ascii="David" w:hAnsi="David"/>
          <w:rtl/>
        </w:rPr>
        <w:t>מדובר במי שהודה שירה – בהיותו בתוך חצר המתחם "</w:t>
      </w:r>
      <w:r>
        <w:rPr>
          <w:rFonts w:ascii="David" w:hAnsi="David"/>
          <w:u w:val="single"/>
          <w:rtl/>
        </w:rPr>
        <w:t>בכוונה לפגוע בדרי המתחם</w:t>
      </w:r>
      <w:r>
        <w:rPr>
          <w:rFonts w:ascii="David" w:hAnsi="David"/>
          <w:rtl/>
        </w:rPr>
        <w:t xml:space="preserve">". ירי לעבר מאן דהוא מתוך כוונה לפגוע בו, שבסופו נגרם מוות, מקיים יסוד נפשי של אדישות ואינו מקיים יסוד נפשי של קלות דעת. </w:t>
      </w:r>
    </w:p>
    <w:p w14:paraId="0B821B1E" w14:textId="77777777" w:rsidR="004C3216" w:rsidRDefault="004C3216" w:rsidP="005811E2">
      <w:pPr>
        <w:spacing w:line="360" w:lineRule="auto"/>
        <w:ind w:left="516" w:right="426"/>
        <w:jc w:val="both"/>
        <w:rPr>
          <w:rFonts w:ascii="David" w:hAnsi="David"/>
          <w:rtl/>
        </w:rPr>
      </w:pPr>
    </w:p>
    <w:p w14:paraId="1956FE9B"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אפנה בנדון למקרה שנדון ב</w:t>
      </w:r>
      <w:hyperlink r:id="rId110" w:history="1">
        <w:r w:rsidR="008B74B3" w:rsidRPr="008B74B3">
          <w:rPr>
            <w:rFonts w:ascii="David" w:hAnsi="David" w:cs="David"/>
            <w:color w:val="0000FF"/>
            <w:sz w:val="24"/>
            <w:szCs w:val="24"/>
            <w:u w:val="single"/>
            <w:rtl/>
          </w:rPr>
          <w:t>ע"פ 7744/14</w:t>
        </w:r>
      </w:hyperlink>
      <w:r>
        <w:rPr>
          <w:rFonts w:ascii="David" w:hAnsi="David" w:cs="David"/>
          <w:sz w:val="24"/>
          <w:szCs w:val="24"/>
          <w:rtl/>
        </w:rPr>
        <w:t xml:space="preserve"> </w:t>
      </w:r>
      <w:r>
        <w:rPr>
          <w:rFonts w:ascii="Miriam" w:hAnsi="Miriam" w:cs="Miriam"/>
          <w:sz w:val="24"/>
          <w:szCs w:val="24"/>
          <w:rtl/>
        </w:rPr>
        <w:t>הייב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(10.12.15). באותו מקרה הגיע המשיב ועוד שניים לביתו של מי שחשדו בו שהשליך יום קודם רימון לעבר בית המשיב. השלושה היו מצוידים בשני רובי </w:t>
      </w:r>
      <w:r>
        <w:rPr>
          <w:rFonts w:ascii="David" w:hAnsi="David" w:cs="David"/>
          <w:sz w:val="24"/>
          <w:szCs w:val="24"/>
        </w:rPr>
        <w:t>m-16</w:t>
      </w:r>
      <w:r>
        <w:rPr>
          <w:rFonts w:ascii="David" w:hAnsi="David" w:cs="David"/>
          <w:sz w:val="24"/>
          <w:szCs w:val="24"/>
          <w:rtl/>
        </w:rPr>
        <w:t xml:space="preserve"> ותחמושת וכשהגיעו לבית אותו "חשוד" ירו לעבר הבית לפחות 105 קליעים שאחד מהם פגע בחזהו של המנוח שעמד בחצר ביתו. </w:t>
      </w:r>
    </w:p>
    <w:p w14:paraId="39723655"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D9B334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במסגרת ערעור המדינה על קולת העונש קבע בית המשפט העליון את הדברים הבאים: </w:t>
      </w:r>
    </w:p>
    <w:p w14:paraId="760BAAF8" w14:textId="77777777" w:rsidR="004C3216" w:rsidRDefault="004C3216" w:rsidP="005811E2">
      <w:pPr>
        <w:spacing w:line="360" w:lineRule="auto"/>
        <w:ind w:left="516" w:right="426"/>
        <w:jc w:val="both"/>
        <w:rPr>
          <w:rFonts w:ascii="David" w:hAnsi="David"/>
          <w:rtl/>
        </w:rPr>
      </w:pPr>
    </w:p>
    <w:p w14:paraId="38AAED7F" w14:textId="77777777" w:rsidR="004C3216" w:rsidRDefault="004C3216" w:rsidP="00C21539">
      <w:pPr>
        <w:spacing w:line="360" w:lineRule="auto"/>
        <w:ind w:left="516" w:right="426"/>
        <w:jc w:val="both"/>
        <w:rPr>
          <w:rFonts w:ascii="David" w:hAnsi="David"/>
          <w:b/>
          <w:bCs/>
          <w:rtl/>
        </w:rPr>
      </w:pPr>
      <w:r>
        <w:rPr>
          <w:rFonts w:ascii="David" w:hAnsi="David"/>
          <w:b/>
          <w:bCs/>
          <w:rtl/>
        </w:rPr>
        <w:t xml:space="preserve">"ריסוס של למעלה ממאה יריות אינו יכול שלא להכיל את צפיית האפשרות של פגיעה בחיי אדם, והוא מעמיד את מבחני עבירת ההריגה </w:t>
      </w:r>
      <w:r>
        <w:rPr>
          <w:rFonts w:ascii="David" w:hAnsi="David"/>
          <w:b/>
          <w:bCs/>
          <w:u w:val="single"/>
          <w:rtl/>
        </w:rPr>
        <w:t>ברף גבוה</w:t>
      </w:r>
      <w:r>
        <w:rPr>
          <w:rFonts w:ascii="David" w:hAnsi="David"/>
          <w:b/>
          <w:bCs/>
          <w:rtl/>
        </w:rPr>
        <w:t xml:space="preserve">... גם אם אין אפשרות לקבוע שהמשיב כיון את הירי לעבר המנוח או שהבחין בו, </w:t>
      </w:r>
      <w:r>
        <w:rPr>
          <w:rFonts w:ascii="David" w:hAnsi="David"/>
          <w:b/>
          <w:bCs/>
          <w:u w:val="single"/>
          <w:rtl/>
        </w:rPr>
        <w:t>עצם הירי המסיבי טומן בחובו את הנורה האדומה והפעמון המצלצל הזועקים כי חיי אדם מועמדים בסכנה</w:t>
      </w:r>
      <w:r>
        <w:rPr>
          <w:rFonts w:ascii="David" w:hAnsi="David"/>
          <w:b/>
          <w:bCs/>
          <w:rtl/>
        </w:rPr>
        <w:t xml:space="preserve">". </w:t>
      </w:r>
      <w:r>
        <w:rPr>
          <w:rFonts w:ascii="David" w:hAnsi="David"/>
          <w:rtl/>
        </w:rPr>
        <w:t>(ההדגשות לא במקור – י.ל.)</w:t>
      </w:r>
    </w:p>
    <w:p w14:paraId="1065EF4A" w14:textId="77777777" w:rsidR="004C3216" w:rsidRDefault="004C3216" w:rsidP="005811E2">
      <w:pPr>
        <w:spacing w:line="360" w:lineRule="auto"/>
        <w:ind w:left="516" w:right="426"/>
        <w:jc w:val="both"/>
        <w:rPr>
          <w:rFonts w:ascii="David" w:hAnsi="David"/>
          <w:rtl/>
        </w:rPr>
      </w:pPr>
    </w:p>
    <w:p w14:paraId="3199AEAB"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זאת ועוד, ניתן להגיע לאותה תוצאה על דרך השלילה; היינו, בחינה האם מעשי הנאשם מקימים יסוד נפשי של קלות דעת. </w:t>
      </w:r>
    </w:p>
    <w:p w14:paraId="6FCEA638"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5CB92D9" w14:textId="77777777" w:rsidR="004C3216" w:rsidRDefault="005948C0" w:rsidP="005811E2">
      <w:pPr>
        <w:pStyle w:val="ListParagraph"/>
        <w:tabs>
          <w:tab w:val="left" w:pos="2125"/>
        </w:tabs>
        <w:spacing w:after="0" w:line="360" w:lineRule="auto"/>
        <w:ind w:left="516" w:right="426"/>
        <w:jc w:val="both"/>
        <w:rPr>
          <w:rFonts w:ascii="David" w:hAnsi="David" w:cs="David"/>
          <w:sz w:val="24"/>
          <w:szCs w:val="24"/>
        </w:rPr>
      </w:pPr>
      <w:hyperlink r:id="rId111" w:history="1">
        <w:r w:rsidRPr="005948C0">
          <w:rPr>
            <w:rFonts w:ascii="David" w:hAnsi="David" w:cs="David"/>
            <w:color w:val="0000FF"/>
            <w:sz w:val="24"/>
            <w:szCs w:val="24"/>
            <w:u w:val="single"/>
            <w:rtl/>
          </w:rPr>
          <w:t>ס' 20(א)</w:t>
        </w:r>
      </w:hyperlink>
      <w:r w:rsidR="004C3216">
        <w:rPr>
          <w:rFonts w:ascii="David" w:hAnsi="David" w:cs="David"/>
          <w:sz w:val="24"/>
          <w:szCs w:val="24"/>
          <w:rtl/>
        </w:rPr>
        <w:t xml:space="preserve"> לחוק מגדיר קלות דעת כ </w:t>
      </w:r>
      <w:r w:rsidR="004C3216">
        <w:rPr>
          <w:rFonts w:ascii="David" w:hAnsi="David" w:cs="David"/>
          <w:b/>
          <w:bCs/>
          <w:sz w:val="24"/>
          <w:szCs w:val="24"/>
          <w:rtl/>
        </w:rPr>
        <w:t>"נטילת סיכון בלתי סביר לאפשרות גרימת התוצאות האמורות, מתוך תקווה להצליח למנען".</w:t>
      </w:r>
      <w:r w:rsidR="004C3216">
        <w:rPr>
          <w:rFonts w:ascii="David" w:hAnsi="David" w:cs="David"/>
          <w:sz w:val="24"/>
          <w:szCs w:val="24"/>
          <w:rtl/>
        </w:rPr>
        <w:t xml:space="preserve"> </w:t>
      </w:r>
    </w:p>
    <w:p w14:paraId="4DCD8D3C" w14:textId="77777777" w:rsidR="004C3216" w:rsidRDefault="004C3216" w:rsidP="005811E2">
      <w:pPr>
        <w:spacing w:line="360" w:lineRule="auto"/>
        <w:ind w:left="516" w:right="426"/>
        <w:jc w:val="both"/>
        <w:rPr>
          <w:rFonts w:ascii="David" w:hAnsi="David"/>
          <w:rtl/>
        </w:rPr>
      </w:pPr>
    </w:p>
    <w:p w14:paraId="61B0210B" w14:textId="77777777" w:rsidR="004C3216" w:rsidRDefault="004C3216" w:rsidP="005811E2">
      <w:pPr>
        <w:spacing w:line="360" w:lineRule="auto"/>
        <w:ind w:left="516" w:right="426"/>
        <w:jc w:val="both"/>
        <w:rPr>
          <w:rFonts w:ascii="David" w:hAnsi="David"/>
          <w:rtl/>
        </w:rPr>
      </w:pPr>
      <w:r>
        <w:rPr>
          <w:rFonts w:ascii="David" w:hAnsi="David"/>
          <w:rtl/>
        </w:rPr>
        <w:t>נקבע בהקשר זה כי:</w:t>
      </w:r>
    </w:p>
    <w:p w14:paraId="3CF09291" w14:textId="77777777" w:rsidR="004C3216" w:rsidRDefault="004C3216" w:rsidP="005811E2">
      <w:pPr>
        <w:spacing w:line="360" w:lineRule="auto"/>
        <w:ind w:left="516" w:right="426"/>
        <w:jc w:val="both"/>
        <w:rPr>
          <w:rFonts w:ascii="David" w:hAnsi="David"/>
          <w:rtl/>
        </w:rPr>
      </w:pPr>
    </w:p>
    <w:p w14:paraId="743389E8" w14:textId="77777777" w:rsidR="004C3216" w:rsidRDefault="004C3216" w:rsidP="005811E2">
      <w:pPr>
        <w:spacing w:line="360" w:lineRule="auto"/>
        <w:ind w:left="516" w:right="426"/>
        <w:jc w:val="both"/>
        <w:rPr>
          <w:rFonts w:ascii="David" w:hAnsi="David"/>
          <w:rtl/>
        </w:rPr>
      </w:pPr>
      <w:r>
        <w:rPr>
          <w:rFonts w:ascii="David" w:hAnsi="David"/>
          <w:b/>
          <w:bCs/>
          <w:rtl/>
        </w:rPr>
        <w:t xml:space="preserve">"קלות דעת משמעה שהאדם אינו רוצה שהתוצאה תתממש, ואף פועל כדי למנוע את התממשותה, מתוך תקווה, </w:t>
      </w:r>
      <w:r>
        <w:rPr>
          <w:rFonts w:ascii="David" w:hAnsi="David"/>
          <w:b/>
          <w:bCs/>
          <w:u w:val="single"/>
          <w:rtl/>
        </w:rPr>
        <w:t>שיש לה יסוד אובייקטיבי</w:t>
      </w:r>
      <w:r>
        <w:rPr>
          <w:rFonts w:ascii="David" w:hAnsi="David"/>
          <w:b/>
          <w:bCs/>
          <w:rtl/>
        </w:rPr>
        <w:t>, למנוע את התוצאה" (</w:t>
      </w:r>
      <w:hyperlink r:id="rId112" w:history="1">
        <w:r w:rsidR="008B74B3" w:rsidRPr="008B74B3">
          <w:rPr>
            <w:rFonts w:ascii="David" w:hAnsi="David"/>
            <w:color w:val="0000FF"/>
            <w:u w:val="single"/>
            <w:rtl/>
          </w:rPr>
          <w:t>ע"פ 3328/14</w:t>
        </w:r>
      </w:hyperlink>
      <w:r>
        <w:rPr>
          <w:rFonts w:ascii="David" w:hAnsi="David"/>
          <w:rtl/>
        </w:rPr>
        <w:t xml:space="preserve"> </w:t>
      </w:r>
      <w:r>
        <w:rPr>
          <w:rFonts w:ascii="Miriam" w:hAnsi="Miriam" w:cs="Miriam"/>
          <w:rtl/>
        </w:rPr>
        <w:t>אבו חאמד נ' מדינת ישראל</w:t>
      </w:r>
      <w:r>
        <w:rPr>
          <w:rFonts w:ascii="David" w:hAnsi="David"/>
          <w:rtl/>
        </w:rPr>
        <w:t xml:space="preserve">, </w:t>
      </w:r>
      <w:r w:rsidR="00DF1ED4" w:rsidRPr="00DF1ED4">
        <w:rPr>
          <w:sz w:val="22"/>
          <w:rtl/>
        </w:rPr>
        <w:t xml:space="preserve">[פורסם בנבו] </w:t>
      </w:r>
      <w:r>
        <w:rPr>
          <w:rFonts w:ascii="David" w:hAnsi="David"/>
          <w:rtl/>
        </w:rPr>
        <w:t xml:space="preserve">פסקה 20 (7.12.17), ההדגשה לא במקור – י.ל; וכן ר' </w:t>
      </w:r>
      <w:hyperlink r:id="rId113" w:history="1">
        <w:r w:rsidR="00DF1ED4" w:rsidRPr="00DF1ED4">
          <w:rPr>
            <w:rFonts w:ascii="David" w:hAnsi="David"/>
            <w:color w:val="0000FF"/>
            <w:u w:val="single"/>
            <w:rtl/>
          </w:rPr>
          <w:t>3510/16</w:t>
        </w:r>
      </w:hyperlink>
      <w:r>
        <w:rPr>
          <w:rFonts w:ascii="David" w:hAnsi="David"/>
          <w:rtl/>
        </w:rPr>
        <w:t xml:space="preserve"> </w:t>
      </w:r>
      <w:r>
        <w:rPr>
          <w:rFonts w:ascii="Miriam" w:hAnsi="Miriam" w:cs="Miriam"/>
          <w:rtl/>
        </w:rPr>
        <w:t xml:space="preserve">אבו דקה נ' מדינת ישראל </w:t>
      </w:r>
      <w:r w:rsidR="00DF1ED4" w:rsidRPr="00DF1ED4">
        <w:rPr>
          <w:sz w:val="22"/>
          <w:rtl/>
        </w:rPr>
        <w:t xml:space="preserve">[פורסם בנבו] </w:t>
      </w:r>
      <w:r>
        <w:rPr>
          <w:rFonts w:ascii="David" w:hAnsi="David"/>
          <w:rtl/>
        </w:rPr>
        <w:t xml:space="preserve">(17.7.19) שהוזכר לעיל). </w:t>
      </w:r>
    </w:p>
    <w:p w14:paraId="783E8330" w14:textId="77777777" w:rsidR="004C3216" w:rsidRDefault="004C3216" w:rsidP="005811E2">
      <w:pPr>
        <w:spacing w:line="360" w:lineRule="auto"/>
        <w:ind w:left="516" w:right="426"/>
        <w:jc w:val="both"/>
        <w:rPr>
          <w:rFonts w:ascii="David" w:hAnsi="David"/>
          <w:rtl/>
        </w:rPr>
      </w:pPr>
    </w:p>
    <w:p w14:paraId="113BB6A9" w14:textId="77777777" w:rsidR="004C3216" w:rsidRDefault="004C3216" w:rsidP="00DF1ED4">
      <w:pPr>
        <w:pStyle w:val="ListParagraph"/>
        <w:numPr>
          <w:ilvl w:val="0"/>
          <w:numId w:val="6"/>
        </w:numPr>
        <w:tabs>
          <w:tab w:val="left" w:pos="46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בענייננו, ירה הנאשם 3 לעבר בתי המתחם </w:t>
      </w:r>
      <w:r>
        <w:rPr>
          <w:rFonts w:ascii="David" w:hAnsi="David" w:cs="David"/>
          <w:sz w:val="24"/>
          <w:szCs w:val="24"/>
          <w:u w:val="single"/>
          <w:rtl/>
        </w:rPr>
        <w:t>בכוונה לפגוע בדרי המתחם</w:t>
      </w:r>
      <w:r>
        <w:rPr>
          <w:rFonts w:ascii="David" w:hAnsi="David" w:cs="David"/>
          <w:sz w:val="24"/>
          <w:szCs w:val="24"/>
          <w:rtl/>
        </w:rPr>
        <w:t>. אדם שעושה כן לא יכול להישמע בטענה שפעל למנוע את התממשות תוצאות מעשיו, ובוודאי שלא תתקבל טענתו כי היה יסוד אובייקטיבי לתקוותו למנוע את אותה תוצאה.</w:t>
      </w:r>
    </w:p>
    <w:p w14:paraId="3ADB2C5D"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0541C3C1" w14:textId="77777777" w:rsidR="004C3216" w:rsidRDefault="004C3216" w:rsidP="00DF1ED4">
      <w:pPr>
        <w:pStyle w:val="ListParagraph"/>
        <w:numPr>
          <w:ilvl w:val="0"/>
          <w:numId w:val="6"/>
        </w:numPr>
        <w:tabs>
          <w:tab w:val="left" w:pos="46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בטרם סיום התייחסותי לסוגיה זו אעיר, כי באותו אופן – של בחינת מעשי הנאשם בפועל כדי לקבוע האם חל דין מקל - נהגו בתי המשפט גם במקרים אחרים (ר' בנדון </w:t>
      </w:r>
      <w:hyperlink r:id="rId114" w:history="1">
        <w:r w:rsidR="008B74B3" w:rsidRPr="008B74B3">
          <w:rPr>
            <w:rFonts w:ascii="David" w:hAnsi="David" w:cs="David"/>
            <w:color w:val="0000FF"/>
            <w:sz w:val="24"/>
            <w:szCs w:val="24"/>
            <w:u w:val="single"/>
            <w:rtl/>
          </w:rPr>
          <w:t>ע"פ 3510/16</w:t>
        </w:r>
      </w:hyperlink>
      <w:r>
        <w:rPr>
          <w:rFonts w:ascii="David" w:hAnsi="David" w:cs="David"/>
          <w:sz w:val="24"/>
          <w:szCs w:val="24"/>
          <w:rtl/>
        </w:rPr>
        <w:t xml:space="preserve"> </w:t>
      </w:r>
      <w:r>
        <w:rPr>
          <w:rFonts w:ascii="Miriam" w:hAnsi="Miriam" w:cs="Miriam"/>
          <w:sz w:val="24"/>
          <w:szCs w:val="24"/>
          <w:rtl/>
        </w:rPr>
        <w:t xml:space="preserve">אבו דקה נ' מדינת ישראל </w:t>
      </w:r>
      <w:r w:rsidR="00DF1ED4" w:rsidRPr="00DF1ED4">
        <w:rPr>
          <w:rFonts w:ascii="Times New Roman" w:hAnsi="Times New Roman" w:cs="David"/>
          <w:szCs w:val="24"/>
          <w:rtl/>
        </w:rPr>
        <w:t xml:space="preserve">[פורסם בנבו] </w:t>
      </w:r>
      <w:r>
        <w:rPr>
          <w:rFonts w:ascii="David" w:hAnsi="David" w:cs="David"/>
          <w:sz w:val="24"/>
          <w:szCs w:val="24"/>
          <w:rtl/>
        </w:rPr>
        <w:t xml:space="preserve">(17.7.19) להלן: </w:t>
      </w:r>
      <w:r>
        <w:rPr>
          <w:rFonts w:ascii="Miriam" w:hAnsi="Miriam" w:cs="Miriam"/>
          <w:sz w:val="24"/>
          <w:szCs w:val="24"/>
          <w:rtl/>
        </w:rPr>
        <w:t>עניין אבו דקה</w:t>
      </w:r>
      <w:r>
        <w:rPr>
          <w:rFonts w:ascii="David" w:hAnsi="David" w:cs="David"/>
          <w:sz w:val="24"/>
          <w:szCs w:val="24"/>
          <w:rtl/>
        </w:rPr>
        <w:t>; ו</w:t>
      </w:r>
      <w:hyperlink r:id="rId115" w:history="1">
        <w:r w:rsidR="008B74B3" w:rsidRPr="008B74B3">
          <w:rPr>
            <w:rFonts w:ascii="David" w:hAnsi="David" w:cs="David"/>
            <w:color w:val="0000FF"/>
            <w:sz w:val="24"/>
            <w:szCs w:val="24"/>
            <w:u w:val="single"/>
            <w:rtl/>
          </w:rPr>
          <w:t>ת.פ. (מחוזי מרכז) 24262-06-18</w:t>
        </w:r>
      </w:hyperlink>
      <w:r>
        <w:rPr>
          <w:rFonts w:ascii="David" w:hAnsi="David" w:cs="David"/>
          <w:sz w:val="24"/>
          <w:szCs w:val="24"/>
          <w:rtl/>
        </w:rPr>
        <w:t xml:space="preserve"> </w:t>
      </w:r>
      <w:r>
        <w:rPr>
          <w:rFonts w:ascii="Miriam" w:hAnsi="Miriam" w:cs="Miriam"/>
          <w:sz w:val="24"/>
          <w:szCs w:val="24"/>
          <w:rtl/>
        </w:rPr>
        <w:t>מדינת ישראל נ' סקיבנקו</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(14.7.19) להלן: </w:t>
      </w:r>
      <w:r>
        <w:rPr>
          <w:rFonts w:ascii="Miriam" w:hAnsi="Miriam" w:cs="Miriam"/>
          <w:sz w:val="24"/>
          <w:szCs w:val="24"/>
          <w:rtl/>
        </w:rPr>
        <w:t>עניין סקיבנקו</w:t>
      </w:r>
      <w:r>
        <w:rPr>
          <w:rFonts w:ascii="David" w:hAnsi="David" w:cs="David"/>
          <w:sz w:val="24"/>
          <w:szCs w:val="24"/>
          <w:rtl/>
        </w:rPr>
        <w:t xml:space="preserve">). </w:t>
      </w:r>
    </w:p>
    <w:p w14:paraId="46FF8008" w14:textId="77777777" w:rsidR="004C3216" w:rsidRDefault="004C3216" w:rsidP="005811E2">
      <w:pPr>
        <w:pStyle w:val="ListParagraph"/>
        <w:spacing w:after="0" w:line="360" w:lineRule="auto"/>
        <w:ind w:left="516" w:right="426"/>
        <w:rPr>
          <w:rFonts w:ascii="David" w:hAnsi="David" w:cs="David"/>
          <w:sz w:val="24"/>
          <w:szCs w:val="24"/>
        </w:rPr>
      </w:pPr>
    </w:p>
    <w:p w14:paraId="52DF803B"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בעניין אבו דקה הורשע המערער לאחר שמיעת ראיות ברצח תוך ביצוע עבירה אחרת ועבירות נלוות נוספות בהקשר לפריצה לבית במהלכה נדקר אחד מיושבי הבית; ובעניין סקיבנקו הורשעה הנאשמת, סייעת בגן ילדים, בהריגת תינוקת בכך שנשכבה מעליה וחנקה אותה למוות. </w:t>
      </w:r>
    </w:p>
    <w:p w14:paraId="634742A7"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p>
    <w:p w14:paraId="3FD4FE19"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בשני המקרים הועלו (בראשון במסגרת הערעור ובשני טרם גזר הדין) טענות כי יש להחיל דין מקל בהתאם </w:t>
      </w:r>
      <w:hyperlink r:id="rId116" w:history="1">
        <w:r w:rsidR="005948C0" w:rsidRPr="005948C0">
          <w:rPr>
            <w:rFonts w:ascii="David" w:hAnsi="David" w:cs="David"/>
            <w:color w:val="0000FF"/>
            <w:sz w:val="24"/>
            <w:szCs w:val="24"/>
            <w:u w:val="single"/>
            <w:rtl/>
          </w:rPr>
          <w:t>לס' 5(א)</w:t>
        </w:r>
      </w:hyperlink>
      <w:r>
        <w:rPr>
          <w:rFonts w:ascii="David" w:hAnsi="David" w:cs="David"/>
          <w:sz w:val="24"/>
          <w:szCs w:val="24"/>
          <w:rtl/>
        </w:rPr>
        <w:t xml:space="preserve"> לחוק, ובשניהם נבחנה הטענה ביחס לעובדות המקרה (במקרה הראשון בהתאם לקביעות בית המשפט ובשני בהתאם לעובדות כתב האישום המתוקן). כך, כאמור, עשיתי גם במקרה דנן. </w:t>
      </w:r>
    </w:p>
    <w:p w14:paraId="6924E177" w14:textId="77777777" w:rsidR="004C3216" w:rsidRDefault="004C3216" w:rsidP="005811E2">
      <w:pPr>
        <w:spacing w:line="360" w:lineRule="auto"/>
        <w:ind w:left="516" w:right="426"/>
        <w:jc w:val="both"/>
        <w:rPr>
          <w:rFonts w:ascii="David" w:hAnsi="David"/>
        </w:rPr>
      </w:pPr>
    </w:p>
    <w:p w14:paraId="46EA9102" w14:textId="77777777" w:rsidR="004C3216" w:rsidRDefault="004C3216" w:rsidP="00DF1ED4">
      <w:pPr>
        <w:pStyle w:val="ListParagraph"/>
        <w:numPr>
          <w:ilvl w:val="0"/>
          <w:numId w:val="6"/>
        </w:numPr>
        <w:tabs>
          <w:tab w:val="left" w:pos="465"/>
        </w:tabs>
        <w:spacing w:after="0" w:line="360" w:lineRule="auto"/>
        <w:ind w:left="516" w:right="426" w:hanging="375"/>
        <w:jc w:val="both"/>
        <w:rPr>
          <w:rFonts w:ascii="David" w:hAnsi="David" w:cs="David"/>
          <w:sz w:val="24"/>
          <w:szCs w:val="24"/>
          <w:rtl/>
        </w:rPr>
      </w:pPr>
      <w:r>
        <w:rPr>
          <w:rFonts w:ascii="David" w:hAnsi="David" w:cs="David"/>
          <w:sz w:val="24"/>
          <w:szCs w:val="24"/>
          <w:rtl/>
        </w:rPr>
        <w:t xml:space="preserve">סוף דבר, על הנאשם 3 לא חל דין מקל ולכן יש להותיר את הרשעתו בעבירת הריגה לפי </w:t>
      </w:r>
      <w:hyperlink r:id="rId117" w:history="1">
        <w:r w:rsidR="005948C0" w:rsidRPr="005948C0">
          <w:rPr>
            <w:rFonts w:ascii="David" w:hAnsi="David" w:cs="David"/>
            <w:color w:val="0000FF"/>
            <w:sz w:val="24"/>
            <w:szCs w:val="24"/>
            <w:u w:val="single"/>
            <w:rtl/>
          </w:rPr>
          <w:t>ס' 298</w:t>
        </w:r>
      </w:hyperlink>
      <w:r>
        <w:rPr>
          <w:rFonts w:ascii="David" w:hAnsi="David" w:cs="David"/>
          <w:sz w:val="24"/>
          <w:szCs w:val="24"/>
          <w:rtl/>
        </w:rPr>
        <w:t xml:space="preserve"> לחוק כפי שהיה בעת שניתנה הכרעת הדין, על כנה. </w:t>
      </w:r>
    </w:p>
    <w:p w14:paraId="2FC9E074"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6EB49D1A" w14:textId="77777777" w:rsidR="004C3216" w:rsidRDefault="004C3216" w:rsidP="005811E2">
      <w:pPr>
        <w:pStyle w:val="ListParagraph"/>
        <w:tabs>
          <w:tab w:val="left" w:pos="2125"/>
        </w:tabs>
        <w:spacing w:after="0" w:line="360" w:lineRule="auto"/>
        <w:ind w:left="516" w:right="426"/>
        <w:jc w:val="both"/>
        <w:rPr>
          <w:rFonts w:ascii="David" w:hAnsi="David" w:cs="David"/>
          <w:b/>
          <w:bCs/>
          <w:sz w:val="28"/>
          <w:szCs w:val="28"/>
          <w:u w:val="single"/>
        </w:rPr>
      </w:pPr>
      <w:r>
        <w:rPr>
          <w:rFonts w:ascii="David" w:hAnsi="David" w:cs="David"/>
          <w:b/>
          <w:bCs/>
          <w:sz w:val="28"/>
          <w:szCs w:val="28"/>
          <w:u w:val="single"/>
          <w:rtl/>
        </w:rPr>
        <w:t>גזירת הדין - כללי</w:t>
      </w:r>
    </w:p>
    <w:p w14:paraId="21FBDBEB" w14:textId="77777777" w:rsidR="004C3216" w:rsidRDefault="004C3216" w:rsidP="00DF1ED4">
      <w:pPr>
        <w:pStyle w:val="ListParagraph"/>
        <w:numPr>
          <w:ilvl w:val="0"/>
          <w:numId w:val="6"/>
        </w:numPr>
        <w:tabs>
          <w:tab w:val="left" w:pos="465"/>
        </w:tabs>
        <w:spacing w:after="0" w:line="360" w:lineRule="auto"/>
        <w:ind w:left="516" w:right="426" w:hanging="375"/>
        <w:jc w:val="both"/>
        <w:rPr>
          <w:rFonts w:cs="David"/>
          <w:sz w:val="24"/>
          <w:szCs w:val="24"/>
        </w:rPr>
      </w:pPr>
      <w:r>
        <w:rPr>
          <w:rFonts w:cs="David" w:hint="eastAsia"/>
          <w:sz w:val="24"/>
          <w:szCs w:val="24"/>
          <w:rtl/>
        </w:rPr>
        <w:t>העיקרון</w:t>
      </w:r>
      <w:r>
        <w:rPr>
          <w:rFonts w:cs="David"/>
          <w:sz w:val="24"/>
          <w:szCs w:val="24"/>
          <w:rtl/>
        </w:rPr>
        <w:t xml:space="preserve"> </w:t>
      </w:r>
      <w:r>
        <w:rPr>
          <w:rFonts w:cs="David" w:hint="eastAsia"/>
          <w:sz w:val="24"/>
          <w:szCs w:val="24"/>
          <w:rtl/>
        </w:rPr>
        <w:t>המנחה</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עקרון</w:t>
      </w:r>
      <w:r>
        <w:rPr>
          <w:rFonts w:cs="David"/>
          <w:sz w:val="24"/>
          <w:szCs w:val="24"/>
          <w:rtl/>
        </w:rPr>
        <w:t xml:space="preserve"> </w:t>
      </w:r>
      <w:r>
        <w:rPr>
          <w:rFonts w:cs="David" w:hint="eastAsia"/>
          <w:sz w:val="24"/>
          <w:szCs w:val="24"/>
          <w:rtl/>
        </w:rPr>
        <w:t>ההלימה</w:t>
      </w:r>
      <w:r>
        <w:rPr>
          <w:rFonts w:cs="David"/>
          <w:sz w:val="24"/>
          <w:szCs w:val="24"/>
          <w:rtl/>
        </w:rPr>
        <w:t xml:space="preserve">, </w:t>
      </w:r>
      <w:r>
        <w:rPr>
          <w:rFonts w:cs="David" w:hint="eastAsia"/>
          <w:sz w:val="24"/>
          <w:szCs w:val="24"/>
          <w:rtl/>
        </w:rPr>
        <w:t>היינו</w:t>
      </w:r>
      <w:r>
        <w:rPr>
          <w:rFonts w:cs="David"/>
          <w:sz w:val="24"/>
          <w:szCs w:val="24"/>
          <w:rtl/>
        </w:rPr>
        <w:t xml:space="preserve"> </w:t>
      </w:r>
      <w:r>
        <w:rPr>
          <w:rFonts w:cs="David" w:hint="eastAsia"/>
          <w:sz w:val="24"/>
          <w:szCs w:val="24"/>
          <w:rtl/>
        </w:rPr>
        <w:t>קיומו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יחס</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בנסיבותיו</w:t>
      </w:r>
      <w:r>
        <w:rPr>
          <w:rFonts w:cs="David"/>
          <w:sz w:val="24"/>
          <w:szCs w:val="24"/>
          <w:rtl/>
        </w:rPr>
        <w:t xml:space="preserve"> </w:t>
      </w:r>
      <w:r>
        <w:rPr>
          <w:rFonts w:cs="David" w:hint="eastAsia"/>
          <w:sz w:val="24"/>
          <w:szCs w:val="24"/>
          <w:rtl/>
        </w:rPr>
        <w:t>ומידת</w:t>
      </w:r>
      <w:r>
        <w:rPr>
          <w:rFonts w:cs="David"/>
          <w:sz w:val="24"/>
          <w:szCs w:val="24"/>
          <w:rtl/>
        </w:rPr>
        <w:t xml:space="preserve"> </w:t>
      </w:r>
      <w:r>
        <w:rPr>
          <w:rFonts w:cs="David" w:hint="eastAsia"/>
          <w:sz w:val="24"/>
          <w:szCs w:val="24"/>
          <w:rtl/>
        </w:rPr>
        <w:t>אשמו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ובין</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ומידת</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המוטל</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ובקצרה</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לעבריין</w:t>
      </w:r>
      <w:r>
        <w:rPr>
          <w:rFonts w:cs="David"/>
          <w:sz w:val="24"/>
          <w:szCs w:val="24"/>
          <w:rtl/>
        </w:rPr>
        <w:t xml:space="preserve"> </w:t>
      </w:r>
      <w:r>
        <w:rPr>
          <w:rFonts w:cs="David" w:hint="eastAsia"/>
          <w:sz w:val="24"/>
          <w:szCs w:val="24"/>
          <w:rtl/>
        </w:rPr>
        <w:t>ייגזר</w:t>
      </w:r>
      <w:r>
        <w:rPr>
          <w:rFonts w:cs="David"/>
          <w:sz w:val="24"/>
          <w:szCs w:val="24"/>
          <w:rtl/>
        </w:rPr>
        <w:t xml:space="preserve"> </w:t>
      </w:r>
      <w:r>
        <w:rPr>
          <w:rFonts w:cs="David" w:hint="eastAsia"/>
          <w:sz w:val="24"/>
          <w:szCs w:val="24"/>
          <w:rtl/>
        </w:rPr>
        <w:t>ממידת</w:t>
      </w:r>
      <w:r>
        <w:rPr>
          <w:rFonts w:cs="David"/>
          <w:sz w:val="24"/>
          <w:szCs w:val="24"/>
          <w:rtl/>
        </w:rPr>
        <w:t xml:space="preserve"> </w:t>
      </w:r>
      <w:r>
        <w:rPr>
          <w:rFonts w:cs="David" w:hint="eastAsia"/>
          <w:sz w:val="24"/>
          <w:szCs w:val="24"/>
          <w:rtl/>
        </w:rPr>
        <w:t>אשמו</w:t>
      </w:r>
      <w:r>
        <w:rPr>
          <w:rFonts w:cs="David"/>
          <w:sz w:val="24"/>
          <w:szCs w:val="24"/>
          <w:rtl/>
        </w:rPr>
        <w:t xml:space="preserve"> </w:t>
      </w:r>
      <w:r>
        <w:rPr>
          <w:rFonts w:cs="David" w:hint="eastAsia"/>
          <w:sz w:val="24"/>
          <w:szCs w:val="24"/>
          <w:rtl/>
        </w:rPr>
        <w:t>ומחומרת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תיקון</w:t>
      </w:r>
      <w:r>
        <w:rPr>
          <w:rFonts w:cs="David"/>
          <w:sz w:val="24"/>
          <w:szCs w:val="24"/>
          <w:rtl/>
        </w:rPr>
        <w:t xml:space="preserve"> 113 </w:t>
      </w:r>
      <w:r>
        <w:rPr>
          <w:rFonts w:cs="David" w:hint="eastAsia"/>
          <w:sz w:val="24"/>
          <w:szCs w:val="24"/>
          <w:rtl/>
        </w:rPr>
        <w:t>ל</w:t>
      </w:r>
      <w:hyperlink r:id="rId118" w:history="1">
        <w:r w:rsidR="008B74B3" w:rsidRPr="008B74B3">
          <w:rPr>
            <w:rFonts w:cs="David" w:hint="eastAsia"/>
            <w:color w:val="0000FF"/>
            <w:sz w:val="24"/>
            <w:szCs w:val="24"/>
            <w:u w:val="single"/>
            <w:rtl/>
          </w:rPr>
          <w:t>חוק</w:t>
        </w:r>
        <w:r w:rsidR="008B74B3" w:rsidRPr="008B74B3">
          <w:rPr>
            <w:rFonts w:cs="David"/>
            <w:color w:val="0000FF"/>
            <w:sz w:val="24"/>
            <w:szCs w:val="24"/>
            <w:u w:val="single"/>
            <w:rtl/>
          </w:rPr>
          <w:t xml:space="preserve"> </w:t>
        </w:r>
        <w:r w:rsidR="008B74B3" w:rsidRPr="008B74B3">
          <w:rPr>
            <w:rFonts w:cs="David" w:hint="eastAsia"/>
            <w:color w:val="0000FF"/>
            <w:sz w:val="24"/>
            <w:szCs w:val="24"/>
            <w:u w:val="single"/>
            <w:rtl/>
          </w:rPr>
          <w:t>העונשין</w:t>
        </w:r>
      </w:hyperlink>
      <w:r>
        <w:rPr>
          <w:rFonts w:cs="David"/>
          <w:sz w:val="24"/>
          <w:szCs w:val="24"/>
          <w:rtl/>
        </w:rPr>
        <w:t xml:space="preserve"> </w:t>
      </w:r>
      <w:r>
        <w:rPr>
          <w:rFonts w:cs="David" w:hint="eastAsia"/>
          <w:sz w:val="24"/>
          <w:szCs w:val="24"/>
          <w:rtl/>
        </w:rPr>
        <w:t>הגדיר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ההיררכיה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שיקולי</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sz w:val="24"/>
          <w:szCs w:val="24"/>
          <w:rtl/>
        </w:rPr>
        <w:t>לפי</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הבא</w:t>
      </w:r>
      <w:r>
        <w:rPr>
          <w:rFonts w:cs="David"/>
          <w:sz w:val="24"/>
          <w:szCs w:val="24"/>
          <w:rtl/>
        </w:rPr>
        <w:t xml:space="preserve">: </w:t>
      </w:r>
      <w:r>
        <w:rPr>
          <w:rFonts w:cs="David" w:hint="eastAsia"/>
          <w:sz w:val="24"/>
          <w:szCs w:val="24"/>
          <w:rtl/>
        </w:rPr>
        <w:t>הלימה</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הרתעה</w:t>
      </w:r>
      <w:r>
        <w:rPr>
          <w:rFonts w:cs="David"/>
          <w:sz w:val="24"/>
          <w:szCs w:val="24"/>
          <w:rtl/>
        </w:rPr>
        <w:t xml:space="preserve"> </w:t>
      </w:r>
      <w:r>
        <w:rPr>
          <w:rFonts w:cs="David" w:hint="eastAsia"/>
          <w:sz w:val="24"/>
          <w:szCs w:val="24"/>
          <w:rtl/>
        </w:rPr>
        <w:t>אישית</w:t>
      </w:r>
      <w:r>
        <w:rPr>
          <w:rFonts w:cs="David"/>
          <w:sz w:val="24"/>
          <w:szCs w:val="24"/>
          <w:rtl/>
        </w:rPr>
        <w:t xml:space="preserve"> </w:t>
      </w:r>
      <w:r>
        <w:rPr>
          <w:rFonts w:cs="David" w:hint="eastAsia"/>
          <w:sz w:val="24"/>
          <w:szCs w:val="24"/>
          <w:rtl/>
        </w:rPr>
        <w:t>והרתעת</w:t>
      </w:r>
      <w:r>
        <w:rPr>
          <w:rFonts w:cs="David"/>
          <w:sz w:val="24"/>
          <w:szCs w:val="24"/>
          <w:rtl/>
        </w:rPr>
        <w:t xml:space="preserve"> </w:t>
      </w:r>
      <w:r>
        <w:rPr>
          <w:rFonts w:cs="David" w:hint="eastAsia"/>
          <w:sz w:val="24"/>
          <w:szCs w:val="24"/>
          <w:rtl/>
        </w:rPr>
        <w:t>הרבים</w:t>
      </w:r>
      <w:r>
        <w:rPr>
          <w:rFonts w:cs="David"/>
          <w:sz w:val="24"/>
          <w:szCs w:val="24"/>
          <w:rtl/>
        </w:rPr>
        <w:t xml:space="preserve">. </w:t>
      </w:r>
      <w:r>
        <w:rPr>
          <w:rFonts w:cs="David" w:hint="eastAsia"/>
          <w:sz w:val="24"/>
          <w:szCs w:val="24"/>
          <w:rtl/>
        </w:rPr>
        <w:t>בעוד</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ההלימה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גמולי</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הינם</w:t>
      </w:r>
      <w:r>
        <w:rPr>
          <w:rFonts w:cs="David"/>
          <w:sz w:val="24"/>
          <w:szCs w:val="24"/>
          <w:rtl/>
        </w:rPr>
        <w:t xml:space="preserve"> </w:t>
      </w:r>
      <w:r>
        <w:rPr>
          <w:rFonts w:cs="David" w:hint="eastAsia"/>
          <w:sz w:val="24"/>
          <w:szCs w:val="24"/>
          <w:rtl/>
        </w:rPr>
        <w:t>שיקולים</w:t>
      </w:r>
      <w:r>
        <w:rPr>
          <w:rFonts w:cs="David"/>
          <w:sz w:val="24"/>
          <w:szCs w:val="24"/>
          <w:rtl/>
        </w:rPr>
        <w:t xml:space="preserve"> </w:t>
      </w:r>
      <w:r>
        <w:rPr>
          <w:rFonts w:cs="David" w:hint="eastAsia"/>
          <w:sz w:val="24"/>
          <w:szCs w:val="24"/>
          <w:rtl/>
        </w:rPr>
        <w:t>תועלתניים</w:t>
      </w:r>
      <w:r>
        <w:rPr>
          <w:rFonts w:cs="David"/>
          <w:sz w:val="24"/>
          <w:szCs w:val="24"/>
          <w:rtl/>
        </w:rPr>
        <w:t xml:space="preserve">. </w:t>
      </w:r>
    </w:p>
    <w:p w14:paraId="56308862" w14:textId="77777777" w:rsidR="004C3216" w:rsidRDefault="004C3216" w:rsidP="005811E2">
      <w:pPr>
        <w:pStyle w:val="ListParagraph"/>
        <w:tabs>
          <w:tab w:val="left" w:pos="2125"/>
        </w:tabs>
        <w:spacing w:after="0" w:line="360" w:lineRule="auto"/>
        <w:ind w:left="516" w:right="426"/>
        <w:jc w:val="both"/>
        <w:rPr>
          <w:rFonts w:cs="David"/>
          <w:sz w:val="24"/>
          <w:szCs w:val="24"/>
        </w:rPr>
      </w:pPr>
    </w:p>
    <w:p w14:paraId="1EECF26B" w14:textId="77777777" w:rsidR="004C3216" w:rsidRDefault="004C3216" w:rsidP="00DF1ED4">
      <w:pPr>
        <w:pStyle w:val="ListParagraph"/>
        <w:numPr>
          <w:ilvl w:val="0"/>
          <w:numId w:val="6"/>
        </w:numPr>
        <w:tabs>
          <w:tab w:val="left" w:pos="465"/>
        </w:tabs>
        <w:spacing w:after="0" w:line="360" w:lineRule="auto"/>
        <w:ind w:left="516" w:right="426" w:hanging="375"/>
        <w:jc w:val="both"/>
        <w:rPr>
          <w:rFonts w:cs="David"/>
          <w:sz w:val="24"/>
          <w:szCs w:val="24"/>
        </w:rPr>
      </w:pPr>
      <w:r>
        <w:rPr>
          <w:rFonts w:cs="David" w:hint="eastAsia"/>
          <w:sz w:val="24"/>
          <w:szCs w:val="24"/>
          <w:rtl/>
        </w:rPr>
        <w:t>השלב</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בגזירת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קביעת</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במתחם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אובייקטיבי</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לשם</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נלקחים</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השיקולים</w:t>
      </w:r>
      <w:r>
        <w:rPr>
          <w:rFonts w:cs="David"/>
          <w:sz w:val="24"/>
          <w:szCs w:val="24"/>
          <w:rtl/>
        </w:rPr>
        <w:t xml:space="preserve">: (1) </w:t>
      </w:r>
      <w:r>
        <w:rPr>
          <w:rFonts w:cs="David" w:hint="eastAsia"/>
          <w:sz w:val="24"/>
          <w:szCs w:val="24"/>
          <w:rtl/>
        </w:rPr>
        <w:t>הערך</w:t>
      </w:r>
      <w:r>
        <w:rPr>
          <w:rFonts w:cs="David"/>
          <w:sz w:val="24"/>
          <w:szCs w:val="24"/>
          <w:rtl/>
        </w:rPr>
        <w:t xml:space="preserve"> </w:t>
      </w:r>
      <w:r>
        <w:rPr>
          <w:rFonts w:cs="David" w:hint="eastAsia"/>
          <w:sz w:val="24"/>
          <w:szCs w:val="24"/>
          <w:rtl/>
        </w:rPr>
        <w:t>החברתי</w:t>
      </w:r>
      <w:r>
        <w:rPr>
          <w:rFonts w:cs="David"/>
          <w:sz w:val="24"/>
          <w:szCs w:val="24"/>
          <w:rtl/>
        </w:rPr>
        <w:t xml:space="preserve"> </w:t>
      </w:r>
      <w:r>
        <w:rPr>
          <w:rFonts w:cs="David" w:hint="eastAsia"/>
          <w:sz w:val="24"/>
          <w:szCs w:val="24"/>
          <w:rtl/>
        </w:rPr>
        <w:t>שנפגע</w:t>
      </w:r>
      <w:r>
        <w:rPr>
          <w:rFonts w:cs="David"/>
          <w:sz w:val="24"/>
          <w:szCs w:val="24"/>
          <w:rtl/>
        </w:rPr>
        <w:t xml:space="preserve"> </w:t>
      </w:r>
      <w:r>
        <w:rPr>
          <w:rFonts w:cs="David" w:hint="eastAsia"/>
          <w:sz w:val="24"/>
          <w:szCs w:val="24"/>
          <w:rtl/>
        </w:rPr>
        <w:t>מביצוע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ומידת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בערך</w:t>
      </w:r>
      <w:r>
        <w:rPr>
          <w:rFonts w:cs="David"/>
          <w:sz w:val="24"/>
          <w:szCs w:val="24"/>
          <w:rtl/>
        </w:rPr>
        <w:t xml:space="preserve"> </w:t>
      </w:r>
      <w:r>
        <w:rPr>
          <w:rFonts w:cs="David" w:hint="eastAsia"/>
          <w:sz w:val="24"/>
          <w:szCs w:val="24"/>
          <w:rtl/>
        </w:rPr>
        <w:t>זה</w:t>
      </w:r>
      <w:r>
        <w:rPr>
          <w:rFonts w:cs="David"/>
          <w:sz w:val="24"/>
          <w:szCs w:val="24"/>
          <w:rtl/>
        </w:rPr>
        <w:t xml:space="preserve">; (2) </w:t>
      </w:r>
      <w:r>
        <w:rPr>
          <w:rFonts w:cs="David" w:hint="eastAsia"/>
          <w:sz w:val="24"/>
          <w:szCs w:val="24"/>
          <w:rtl/>
        </w:rPr>
        <w:t>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הנהוגה</w:t>
      </w:r>
      <w:r>
        <w:rPr>
          <w:rFonts w:cs="David"/>
          <w:sz w:val="24"/>
          <w:szCs w:val="24"/>
          <w:rtl/>
        </w:rPr>
        <w:t xml:space="preserve">; (3) </w:t>
      </w:r>
      <w:r>
        <w:rPr>
          <w:rFonts w:cs="David" w:hint="eastAsia"/>
          <w:sz w:val="24"/>
          <w:szCs w:val="24"/>
          <w:rtl/>
        </w:rPr>
        <w:t>נסיבות</w:t>
      </w:r>
      <w:r>
        <w:rPr>
          <w:rFonts w:cs="David"/>
          <w:sz w:val="24"/>
          <w:szCs w:val="24"/>
          <w:rtl/>
        </w:rPr>
        <w:t xml:space="preserve"> </w:t>
      </w:r>
      <w:r>
        <w:rPr>
          <w:rFonts w:cs="David" w:hint="eastAsia"/>
          <w:sz w:val="24"/>
          <w:szCs w:val="24"/>
          <w:rtl/>
        </w:rPr>
        <w:t>הקשורות</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מתייחס</w:t>
      </w:r>
      <w:r>
        <w:rPr>
          <w:rFonts w:cs="David"/>
          <w:sz w:val="24"/>
          <w:szCs w:val="24"/>
          <w:rtl/>
        </w:rPr>
        <w:t xml:space="preserve"> </w:t>
      </w:r>
      <w:r>
        <w:rPr>
          <w:rFonts w:cs="David" w:hint="eastAsia"/>
          <w:sz w:val="24"/>
          <w:szCs w:val="24"/>
          <w:rtl/>
        </w:rPr>
        <w:t>למקרה</w:t>
      </w:r>
      <w:r>
        <w:rPr>
          <w:rFonts w:cs="David"/>
          <w:sz w:val="24"/>
          <w:szCs w:val="24"/>
          <w:rtl/>
        </w:rPr>
        <w:t xml:space="preserve"> </w:t>
      </w:r>
      <w:r>
        <w:rPr>
          <w:rFonts w:cs="David" w:hint="eastAsia"/>
          <w:sz w:val="24"/>
          <w:szCs w:val="24"/>
          <w:rtl/>
        </w:rPr>
        <w:t>קונקרטי</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מראש</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ור</w:t>
      </w:r>
      <w:r>
        <w:rPr>
          <w:rFonts w:cs="David"/>
          <w:sz w:val="24"/>
          <w:szCs w:val="24"/>
          <w:rtl/>
        </w:rPr>
        <w:t xml:space="preserve">' </w:t>
      </w:r>
      <w:r>
        <w:rPr>
          <w:rFonts w:cs="David" w:hint="eastAsia"/>
          <w:sz w:val="24"/>
          <w:szCs w:val="24"/>
          <w:rtl/>
        </w:rPr>
        <w:t>בנדון</w:t>
      </w:r>
      <w:r>
        <w:rPr>
          <w:rFonts w:cs="David"/>
          <w:sz w:val="24"/>
          <w:szCs w:val="24"/>
          <w:rtl/>
        </w:rPr>
        <w:t xml:space="preserve">, </w:t>
      </w:r>
      <w:r>
        <w:rPr>
          <w:rFonts w:cs="David" w:hint="eastAsia"/>
          <w:sz w:val="24"/>
          <w:szCs w:val="24"/>
          <w:rtl/>
        </w:rPr>
        <w:t>לדוגמה</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w:t>
      </w:r>
      <w:hyperlink r:id="rId119" w:history="1">
        <w:r w:rsidR="008B74B3" w:rsidRPr="008B74B3">
          <w:rPr>
            <w:rFonts w:cs="David" w:hint="eastAsia"/>
            <w:color w:val="0000FF"/>
            <w:sz w:val="24"/>
            <w:szCs w:val="24"/>
            <w:u w:val="single"/>
            <w:rtl/>
          </w:rPr>
          <w:t>רע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4088/13</w:t>
        </w:r>
      </w:hyperlink>
      <w:r>
        <w:rPr>
          <w:rFonts w:cs="David"/>
          <w:sz w:val="24"/>
          <w:szCs w:val="24"/>
          <w:rtl/>
        </w:rPr>
        <w:t xml:space="preserve"> </w:t>
      </w:r>
      <w:r>
        <w:rPr>
          <w:rFonts w:ascii="Miriam" w:hAnsi="Miriam" w:cs="Miriam"/>
          <w:sz w:val="24"/>
          <w:szCs w:val="24"/>
          <w:rtl/>
        </w:rPr>
        <w:t>הדרי נ' מדינת ישראל</w:t>
      </w:r>
      <w:r>
        <w:rPr>
          <w:rFonts w:cs="David"/>
          <w:sz w:val="24"/>
          <w:szCs w:val="24"/>
          <w:rtl/>
        </w:rPr>
        <w:t xml:space="preserve"> </w:t>
      </w:r>
      <w:r w:rsidR="00DF1ED4" w:rsidRPr="00DF1ED4">
        <w:rPr>
          <w:rFonts w:ascii="Times New Roman" w:hAnsi="Times New Roman" w:cs="David"/>
          <w:szCs w:val="24"/>
          <w:rtl/>
        </w:rPr>
        <w:t>[</w:t>
      </w:r>
      <w:r w:rsidR="00DF1ED4" w:rsidRPr="00DF1ED4">
        <w:rPr>
          <w:rFonts w:ascii="Times New Roman" w:hAnsi="Times New Roman" w:cs="David" w:hint="eastAsia"/>
          <w:szCs w:val="24"/>
          <w:rtl/>
        </w:rPr>
        <w:t>פורסם</w:t>
      </w:r>
      <w:r w:rsidR="00DF1ED4" w:rsidRPr="00DF1ED4">
        <w:rPr>
          <w:rFonts w:ascii="Times New Roman" w:hAnsi="Times New Roman" w:cs="David"/>
          <w:szCs w:val="24"/>
          <w:rtl/>
        </w:rPr>
        <w:t xml:space="preserve"> </w:t>
      </w:r>
      <w:r w:rsidR="00DF1ED4" w:rsidRPr="00DF1ED4">
        <w:rPr>
          <w:rFonts w:ascii="Times New Roman" w:hAnsi="Times New Roman" w:cs="David" w:hint="eastAsia"/>
          <w:szCs w:val="24"/>
          <w:rtl/>
        </w:rPr>
        <w:t>בנבו</w:t>
      </w:r>
      <w:r w:rsidR="00DF1ED4" w:rsidRPr="00DF1ED4">
        <w:rPr>
          <w:rFonts w:ascii="Times New Roman" w:hAnsi="Times New Roman" w:cs="David"/>
          <w:szCs w:val="24"/>
          <w:rtl/>
        </w:rPr>
        <w:t xml:space="preserve">] </w:t>
      </w:r>
      <w:r>
        <w:rPr>
          <w:rFonts w:cs="David"/>
          <w:sz w:val="24"/>
          <w:szCs w:val="24"/>
          <w:rtl/>
        </w:rPr>
        <w:t xml:space="preserve">(11.6.13); </w:t>
      </w:r>
      <w:hyperlink r:id="rId120"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8641/12</w:t>
        </w:r>
      </w:hyperlink>
      <w:r>
        <w:rPr>
          <w:rFonts w:cs="David"/>
          <w:sz w:val="24"/>
          <w:szCs w:val="24"/>
          <w:rtl/>
        </w:rPr>
        <w:t xml:space="preserve"> </w:t>
      </w:r>
      <w:r>
        <w:rPr>
          <w:rFonts w:ascii="Miriam" w:hAnsi="Miriam" w:cs="Miriam"/>
          <w:sz w:val="24"/>
          <w:szCs w:val="24"/>
          <w:rtl/>
        </w:rPr>
        <w:t>סעד נ' מדינת ישראל</w:t>
      </w:r>
      <w:r>
        <w:rPr>
          <w:rFonts w:cs="David"/>
          <w:sz w:val="24"/>
          <w:szCs w:val="24"/>
          <w:rtl/>
        </w:rPr>
        <w:t xml:space="preserve"> </w:t>
      </w:r>
      <w:r w:rsidR="00DF1ED4" w:rsidRPr="00DF1ED4">
        <w:rPr>
          <w:rFonts w:ascii="Times New Roman" w:hAnsi="Times New Roman" w:cs="David"/>
          <w:szCs w:val="24"/>
          <w:rtl/>
        </w:rPr>
        <w:t>[</w:t>
      </w:r>
      <w:r w:rsidR="00DF1ED4" w:rsidRPr="00DF1ED4">
        <w:rPr>
          <w:rFonts w:ascii="Times New Roman" w:hAnsi="Times New Roman" w:cs="David" w:hint="eastAsia"/>
          <w:szCs w:val="24"/>
          <w:rtl/>
        </w:rPr>
        <w:t>פורסם</w:t>
      </w:r>
      <w:r w:rsidR="00DF1ED4" w:rsidRPr="00DF1ED4">
        <w:rPr>
          <w:rFonts w:ascii="Times New Roman" w:hAnsi="Times New Roman" w:cs="David"/>
          <w:szCs w:val="24"/>
          <w:rtl/>
        </w:rPr>
        <w:t xml:space="preserve"> </w:t>
      </w:r>
      <w:r w:rsidR="00DF1ED4" w:rsidRPr="00DF1ED4">
        <w:rPr>
          <w:rFonts w:ascii="Times New Roman" w:hAnsi="Times New Roman" w:cs="David" w:hint="eastAsia"/>
          <w:szCs w:val="24"/>
          <w:rtl/>
        </w:rPr>
        <w:t>בנבו</w:t>
      </w:r>
      <w:r w:rsidR="00DF1ED4" w:rsidRPr="00DF1ED4">
        <w:rPr>
          <w:rFonts w:ascii="Times New Roman" w:hAnsi="Times New Roman" w:cs="David"/>
          <w:szCs w:val="24"/>
          <w:rtl/>
        </w:rPr>
        <w:t xml:space="preserve">] </w:t>
      </w:r>
      <w:r>
        <w:rPr>
          <w:rFonts w:cs="David"/>
          <w:sz w:val="24"/>
          <w:szCs w:val="24"/>
          <w:rtl/>
        </w:rPr>
        <w:t xml:space="preserve">(5.8.13); </w:t>
      </w:r>
      <w:hyperlink r:id="rId121"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1323/13</w:t>
        </w:r>
      </w:hyperlink>
      <w:r>
        <w:rPr>
          <w:rFonts w:cs="David"/>
          <w:sz w:val="24"/>
          <w:szCs w:val="24"/>
          <w:rtl/>
        </w:rPr>
        <w:t xml:space="preserve"> </w:t>
      </w:r>
      <w:r>
        <w:rPr>
          <w:rFonts w:ascii="Miriam" w:hAnsi="Miriam" w:cs="Miriam"/>
          <w:sz w:val="24"/>
          <w:szCs w:val="24"/>
          <w:rtl/>
        </w:rPr>
        <w:t>חסן ואח' נ' מדינת ישראל</w:t>
      </w:r>
      <w:r>
        <w:rPr>
          <w:rFonts w:cs="David"/>
          <w:sz w:val="24"/>
          <w:szCs w:val="24"/>
          <w:rtl/>
        </w:rPr>
        <w:t xml:space="preserve"> </w:t>
      </w:r>
      <w:r w:rsidR="00DF1ED4" w:rsidRPr="00DF1ED4">
        <w:rPr>
          <w:rFonts w:ascii="Times New Roman" w:hAnsi="Times New Roman" w:cs="David"/>
          <w:szCs w:val="24"/>
          <w:rtl/>
        </w:rPr>
        <w:t>[</w:t>
      </w:r>
      <w:r w:rsidR="00DF1ED4" w:rsidRPr="00DF1ED4">
        <w:rPr>
          <w:rFonts w:ascii="Times New Roman" w:hAnsi="Times New Roman" w:cs="David" w:hint="eastAsia"/>
          <w:szCs w:val="24"/>
          <w:rtl/>
        </w:rPr>
        <w:t>פורסם</w:t>
      </w:r>
      <w:r w:rsidR="00DF1ED4" w:rsidRPr="00DF1ED4">
        <w:rPr>
          <w:rFonts w:ascii="Times New Roman" w:hAnsi="Times New Roman" w:cs="David"/>
          <w:szCs w:val="24"/>
          <w:rtl/>
        </w:rPr>
        <w:t xml:space="preserve"> </w:t>
      </w:r>
      <w:r w:rsidR="00DF1ED4" w:rsidRPr="00DF1ED4">
        <w:rPr>
          <w:rFonts w:ascii="Times New Roman" w:hAnsi="Times New Roman" w:cs="David" w:hint="eastAsia"/>
          <w:szCs w:val="24"/>
          <w:rtl/>
        </w:rPr>
        <w:t>בנבו</w:t>
      </w:r>
      <w:r w:rsidR="00DF1ED4" w:rsidRPr="00DF1ED4">
        <w:rPr>
          <w:rFonts w:ascii="Times New Roman" w:hAnsi="Times New Roman" w:cs="David"/>
          <w:szCs w:val="24"/>
          <w:rtl/>
        </w:rPr>
        <w:t xml:space="preserve">] </w:t>
      </w:r>
      <w:r>
        <w:rPr>
          <w:rFonts w:cs="David"/>
          <w:sz w:val="24"/>
          <w:szCs w:val="24"/>
          <w:rtl/>
        </w:rPr>
        <w:t xml:space="preserve">(5.6.13). </w:t>
      </w:r>
    </w:p>
    <w:p w14:paraId="031CAC0C" w14:textId="77777777" w:rsidR="004C3216" w:rsidRDefault="004C3216" w:rsidP="005811E2">
      <w:pPr>
        <w:pStyle w:val="ListParagraph"/>
        <w:rPr>
          <w:rFonts w:cs="David"/>
          <w:sz w:val="24"/>
          <w:szCs w:val="24"/>
        </w:rPr>
      </w:pPr>
    </w:p>
    <w:p w14:paraId="7E00EC2C" w14:textId="77777777" w:rsidR="004C3216" w:rsidRDefault="004C3216" w:rsidP="005811E2">
      <w:pPr>
        <w:pStyle w:val="ListParagraph"/>
        <w:tabs>
          <w:tab w:val="left" w:pos="2125"/>
        </w:tabs>
        <w:spacing w:after="0" w:line="360" w:lineRule="auto"/>
        <w:ind w:left="516" w:right="426"/>
        <w:jc w:val="both"/>
        <w:rPr>
          <w:rFonts w:ascii="David" w:hAnsi="David" w:cs="David"/>
          <w:b/>
          <w:bCs/>
          <w:sz w:val="28"/>
          <w:szCs w:val="28"/>
          <w:u w:val="single"/>
          <w:rtl/>
        </w:rPr>
      </w:pPr>
      <w:r>
        <w:rPr>
          <w:rFonts w:ascii="David" w:hAnsi="David" w:cs="David"/>
          <w:b/>
          <w:bCs/>
          <w:sz w:val="28"/>
          <w:szCs w:val="28"/>
          <w:u w:val="single"/>
          <w:rtl/>
        </w:rPr>
        <w:t xml:space="preserve">נסיבות הקשורות בביצוע העבירות </w:t>
      </w:r>
    </w:p>
    <w:p w14:paraId="04714D73" w14:textId="77777777" w:rsidR="004C3216" w:rsidRDefault="004C3216" w:rsidP="00DF1ED4">
      <w:pPr>
        <w:pStyle w:val="ListParagraph"/>
        <w:numPr>
          <w:ilvl w:val="0"/>
          <w:numId w:val="6"/>
        </w:numPr>
        <w:tabs>
          <w:tab w:val="left" w:pos="585"/>
        </w:tabs>
        <w:spacing w:after="0" w:line="360" w:lineRule="auto"/>
        <w:ind w:left="516" w:right="426" w:hanging="375"/>
        <w:jc w:val="both"/>
        <w:rPr>
          <w:rFonts w:ascii="David" w:hAnsi="David" w:cs="David"/>
          <w:b/>
          <w:bCs/>
          <w:sz w:val="24"/>
          <w:szCs w:val="24"/>
        </w:rPr>
      </w:pPr>
      <w:r>
        <w:rPr>
          <w:rFonts w:ascii="David" w:hAnsi="David" w:cs="David"/>
          <w:sz w:val="24"/>
          <w:szCs w:val="24"/>
          <w:rtl/>
        </w:rPr>
        <w:t xml:space="preserve">במקרים רבים המובאים בפני בית המשפט נכתב בגזרי הדין כי מדובר במקרה חמור וביטויים דומים אחרים. ואכן, חלק ניכר מהמקרים הבאים לפתחו של בית המשפט, וודאי לבית המשפט המחוזי, הם חמורים וקשים. מדובר לא פעם באירועי אלימות בהם נפגעו ונחבלו נפגעי עבירה ולעתים גם קיפדו חייהם. במקרים רבים, רבים מידי, מעורבים גם כלי נשק המוחזקים שלא כדין. כל מקרה וחומרתו, כל קורבן עולם ומלואו ומעגלי הנזק, כידוע, אינם נוגעים על פי רוב למתלונן או לנפגע הקונקרטי אלא גם לסובבים אותם. ואולם, גם מי שסוקר מקרי אלימות ובכלל זה כאלה הכוללים שימוש וירי בכלי נשק, אינו יכול שלא להסכים כי המקרה שבפנינו חריג בכל קנה מידה - </w:t>
      </w:r>
      <w:r>
        <w:rPr>
          <w:rFonts w:ascii="David" w:hAnsi="David" w:cs="David"/>
          <w:b/>
          <w:bCs/>
          <w:sz w:val="24"/>
          <w:szCs w:val="24"/>
          <w:rtl/>
        </w:rPr>
        <w:t xml:space="preserve">קבוצת אנשים מגיעה לבית מגורים במדינת ישראל, כשברשות חלק מהם לא פחות מ 6 כלי נשק, החבורה מקיפה את הבית וחלקם יורה לעברו </w:t>
      </w:r>
      <w:r>
        <w:rPr>
          <w:rFonts w:ascii="David" w:hAnsi="David" w:cs="David"/>
          <w:b/>
          <w:bCs/>
          <w:sz w:val="24"/>
          <w:szCs w:val="24"/>
          <w:u w:val="single"/>
          <w:rtl/>
        </w:rPr>
        <w:t xml:space="preserve">לא פחות </w:t>
      </w:r>
      <w:r>
        <w:rPr>
          <w:rFonts w:ascii="David" w:hAnsi="David" w:cs="David"/>
          <w:b/>
          <w:bCs/>
          <w:sz w:val="24"/>
          <w:szCs w:val="24"/>
          <w:rtl/>
        </w:rPr>
        <w:t xml:space="preserve">מ 97 קליעים. </w:t>
      </w:r>
    </w:p>
    <w:p w14:paraId="09B4E9C1" w14:textId="77777777" w:rsidR="004C3216" w:rsidRDefault="004C3216" w:rsidP="005811E2">
      <w:pPr>
        <w:pStyle w:val="ListParagraph"/>
        <w:tabs>
          <w:tab w:val="left" w:pos="2125"/>
        </w:tabs>
        <w:spacing w:after="0" w:line="360" w:lineRule="auto"/>
        <w:ind w:left="516" w:right="426"/>
        <w:jc w:val="both"/>
        <w:rPr>
          <w:rFonts w:ascii="David" w:hAnsi="David" w:cs="David"/>
          <w:b/>
          <w:bCs/>
          <w:sz w:val="24"/>
          <w:szCs w:val="24"/>
        </w:rPr>
      </w:pPr>
    </w:p>
    <w:p w14:paraId="7C7854B2" w14:textId="77777777" w:rsidR="004C3216" w:rsidRDefault="004C3216" w:rsidP="005811E2">
      <w:pPr>
        <w:pStyle w:val="ListParagraph"/>
        <w:numPr>
          <w:ilvl w:val="0"/>
          <w:numId w:val="6"/>
        </w:numPr>
        <w:tabs>
          <w:tab w:val="left" w:pos="800"/>
          <w:tab w:val="left" w:pos="2125"/>
        </w:tabs>
        <w:spacing w:after="0" w:line="360" w:lineRule="auto"/>
        <w:ind w:left="516" w:right="426" w:hanging="375"/>
        <w:jc w:val="both"/>
        <w:rPr>
          <w:rFonts w:ascii="David" w:hAnsi="David" w:cs="David"/>
          <w:sz w:val="24"/>
          <w:szCs w:val="24"/>
        </w:rPr>
      </w:pPr>
      <w:r>
        <w:rPr>
          <w:rFonts w:ascii="David" w:hAnsi="David" w:cs="David"/>
          <w:sz w:val="24"/>
          <w:szCs w:val="24"/>
          <w:rtl/>
        </w:rPr>
        <w:t xml:space="preserve">בהמשך אסקור מקרים – חמורים כשלעצמם – בהם הגיעו נאשמים סמוך לבתי קורבנות העבירה, ירו לעבר הבתים (או ישירות לכיוון קורבנות העבירה) ונמלטו חיש מהר, לרוב ברכבים עמם הגיעו. האירוע שבפנינו מובחן מאותם מקרים, </w:t>
      </w:r>
      <w:r>
        <w:rPr>
          <w:rFonts w:ascii="David" w:hAnsi="David" w:cs="David"/>
          <w:sz w:val="24"/>
          <w:szCs w:val="24"/>
          <w:u w:val="single"/>
          <w:rtl/>
        </w:rPr>
        <w:t>לחומרה</w:t>
      </w:r>
      <w:r>
        <w:rPr>
          <w:rFonts w:ascii="David" w:hAnsi="David" w:cs="David"/>
          <w:sz w:val="24"/>
          <w:szCs w:val="24"/>
          <w:rtl/>
        </w:rPr>
        <w:t xml:space="preserve">, מבחינה כמותית ו"איכותית", משום התעוזה, עזות המצח והמסוכנות הרבה שאפיינה אותו ובאה לידי ביטוי במספר פרמטרים: </w:t>
      </w:r>
    </w:p>
    <w:p w14:paraId="2F562AB9" w14:textId="77777777" w:rsidR="004C3216" w:rsidRDefault="004C3216" w:rsidP="005811E2">
      <w:pPr>
        <w:spacing w:line="360" w:lineRule="auto"/>
        <w:ind w:left="516" w:right="426"/>
        <w:jc w:val="both"/>
        <w:rPr>
          <w:rFonts w:ascii="David" w:hAnsi="David"/>
          <w:rtl/>
        </w:rPr>
      </w:pPr>
    </w:p>
    <w:p w14:paraId="17B1D101" w14:textId="77777777" w:rsidR="004C3216" w:rsidRDefault="004C3216" w:rsidP="005811E2">
      <w:pPr>
        <w:spacing w:line="360" w:lineRule="auto"/>
        <w:ind w:left="516" w:right="426"/>
        <w:jc w:val="both"/>
        <w:rPr>
          <w:rFonts w:ascii="David" w:hAnsi="David"/>
          <w:rtl/>
        </w:rPr>
      </w:pPr>
      <w:r>
        <w:rPr>
          <w:rFonts w:ascii="David" w:hAnsi="David"/>
          <w:rtl/>
        </w:rPr>
        <w:t xml:space="preserve">ראשית, </w:t>
      </w:r>
      <w:r>
        <w:rPr>
          <w:rFonts w:ascii="David" w:hAnsi="David"/>
          <w:u w:val="single"/>
          <w:rtl/>
        </w:rPr>
        <w:t>במשכו</w:t>
      </w:r>
      <w:r>
        <w:rPr>
          <w:rFonts w:ascii="David" w:hAnsi="David"/>
          <w:rtl/>
        </w:rPr>
        <w:t xml:space="preserve"> של האירוע – מדובר באירוע שנמשך דקות רבות, נצח בעיני דרי המתחם; </w:t>
      </w:r>
    </w:p>
    <w:p w14:paraId="1BABC604" w14:textId="77777777" w:rsidR="004C3216" w:rsidRDefault="004C3216" w:rsidP="005811E2">
      <w:pPr>
        <w:spacing w:line="360" w:lineRule="auto"/>
        <w:ind w:left="516" w:right="426"/>
        <w:jc w:val="both"/>
        <w:rPr>
          <w:rFonts w:ascii="David" w:hAnsi="David"/>
          <w:rtl/>
        </w:rPr>
      </w:pPr>
    </w:p>
    <w:p w14:paraId="27D85934" w14:textId="77777777" w:rsidR="004C3216" w:rsidRDefault="004C3216" w:rsidP="005811E2">
      <w:pPr>
        <w:spacing w:line="360" w:lineRule="auto"/>
        <w:ind w:left="516" w:right="426"/>
        <w:jc w:val="both"/>
        <w:rPr>
          <w:rFonts w:ascii="David" w:hAnsi="David"/>
          <w:rtl/>
        </w:rPr>
      </w:pPr>
      <w:r>
        <w:rPr>
          <w:rFonts w:ascii="David" w:hAnsi="David"/>
          <w:rtl/>
        </w:rPr>
        <w:t xml:space="preserve">שנית, </w:t>
      </w:r>
      <w:r>
        <w:rPr>
          <w:rFonts w:ascii="David" w:hAnsi="David"/>
          <w:u w:val="single"/>
          <w:rtl/>
        </w:rPr>
        <w:t xml:space="preserve">מספר המשתתפים באירוע וכמות כלי הנשק והתחמושת </w:t>
      </w:r>
      <w:r>
        <w:rPr>
          <w:rFonts w:ascii="David" w:hAnsi="David"/>
          <w:rtl/>
        </w:rPr>
        <w:t>שבה עשו הנאשמים שימוש;</w:t>
      </w:r>
    </w:p>
    <w:p w14:paraId="31E2D9E3" w14:textId="77777777" w:rsidR="004C3216" w:rsidRDefault="004C3216" w:rsidP="005811E2">
      <w:pPr>
        <w:spacing w:line="360" w:lineRule="auto"/>
        <w:ind w:left="516" w:right="426"/>
        <w:jc w:val="both"/>
        <w:rPr>
          <w:rFonts w:ascii="David" w:hAnsi="David"/>
          <w:rtl/>
        </w:rPr>
      </w:pPr>
    </w:p>
    <w:p w14:paraId="66CDA391" w14:textId="77777777" w:rsidR="004C3216" w:rsidRDefault="004C3216" w:rsidP="005811E2">
      <w:pPr>
        <w:spacing w:line="360" w:lineRule="auto"/>
        <w:ind w:left="516" w:right="426"/>
        <w:jc w:val="both"/>
        <w:rPr>
          <w:rFonts w:ascii="David" w:hAnsi="David"/>
          <w:rtl/>
        </w:rPr>
      </w:pPr>
      <w:r>
        <w:rPr>
          <w:rFonts w:ascii="David" w:hAnsi="David"/>
          <w:rtl/>
        </w:rPr>
        <w:t xml:space="preserve">ואחרון אך ראשון בסדר החשיבות – העובדה כי מדובר </w:t>
      </w:r>
      <w:r>
        <w:rPr>
          <w:rFonts w:ascii="David" w:hAnsi="David"/>
          <w:u w:val="single"/>
          <w:rtl/>
        </w:rPr>
        <w:t>בבית שהיה מוכר היטב לנאשמים ואכלס בקומת הקרקע את המנוחה ובקומה שמעל - שתי דירות שם נמצאו אותה עת שתי משפחות, ובכלל זה ילדים ומבוגרים.</w:t>
      </w:r>
      <w:r>
        <w:rPr>
          <w:rFonts w:ascii="David" w:hAnsi="David"/>
          <w:rtl/>
        </w:rPr>
        <w:t xml:space="preserve"> האירוע, כאמור, התרחש קרוב לשעה 22:00 – שעה שכל בר דעת מבין שבני המשפחה נמצאים בביתם.</w:t>
      </w:r>
    </w:p>
    <w:p w14:paraId="7A08E42A" w14:textId="77777777" w:rsidR="004C3216" w:rsidRDefault="004C3216" w:rsidP="005811E2">
      <w:pPr>
        <w:spacing w:line="360" w:lineRule="auto"/>
        <w:ind w:left="516" w:right="426"/>
        <w:jc w:val="both"/>
        <w:rPr>
          <w:rFonts w:ascii="David" w:hAnsi="David"/>
          <w:rtl/>
        </w:rPr>
      </w:pPr>
    </w:p>
    <w:p w14:paraId="42260E14" w14:textId="77777777" w:rsidR="004C3216" w:rsidRDefault="004C3216" w:rsidP="005811E2">
      <w:pPr>
        <w:spacing w:line="360" w:lineRule="auto"/>
        <w:ind w:left="516" w:right="426"/>
        <w:jc w:val="both"/>
        <w:rPr>
          <w:rFonts w:ascii="David" w:hAnsi="David"/>
          <w:rtl/>
        </w:rPr>
      </w:pPr>
      <w:r>
        <w:rPr>
          <w:rFonts w:ascii="David" w:hAnsi="David"/>
          <w:rtl/>
        </w:rPr>
        <w:t xml:space="preserve">אין מדובר בסצנה הלקוחה ממערבון או סרט פעולה, שם לעתים קבוצת אנשים ניצבת מול בית ו"מרססת" אותו בכלי נשק אוטומטיים. </w:t>
      </w:r>
      <w:r>
        <w:rPr>
          <w:rFonts w:ascii="David" w:hAnsi="David"/>
          <w:u w:val="single"/>
          <w:rtl/>
        </w:rPr>
        <w:t>מדובר באירוע שהתרחש כאן ואצלנו בשנת 2017 במדינת ישראל</w:t>
      </w:r>
      <w:r>
        <w:rPr>
          <w:rFonts w:ascii="David" w:hAnsi="David"/>
          <w:rtl/>
        </w:rPr>
        <w:t xml:space="preserve">. </w:t>
      </w:r>
    </w:p>
    <w:p w14:paraId="48F6E19E" w14:textId="77777777" w:rsidR="004C3216" w:rsidRDefault="004C3216" w:rsidP="005811E2">
      <w:pPr>
        <w:spacing w:line="360" w:lineRule="auto"/>
        <w:ind w:left="516" w:right="426"/>
        <w:jc w:val="both"/>
        <w:rPr>
          <w:rFonts w:ascii="David" w:hAnsi="David"/>
          <w:rtl/>
        </w:rPr>
      </w:pPr>
    </w:p>
    <w:p w14:paraId="423A47C2" w14:textId="77777777" w:rsidR="004C3216" w:rsidRDefault="004C3216" w:rsidP="005811E2">
      <w:pPr>
        <w:pStyle w:val="ListParagraph"/>
        <w:numPr>
          <w:ilvl w:val="0"/>
          <w:numId w:val="6"/>
        </w:numPr>
        <w:tabs>
          <w:tab w:val="left" w:pos="516"/>
          <w:tab w:val="left" w:pos="800"/>
          <w:tab w:val="left" w:pos="2125"/>
        </w:tabs>
        <w:spacing w:after="0" w:line="360" w:lineRule="auto"/>
        <w:ind w:left="516" w:right="426" w:hanging="375"/>
        <w:jc w:val="both"/>
        <w:rPr>
          <w:rFonts w:ascii="David" w:hAnsi="David" w:cs="David"/>
          <w:sz w:val="24"/>
          <w:szCs w:val="24"/>
          <w:rtl/>
        </w:rPr>
      </w:pPr>
      <w:r>
        <w:rPr>
          <w:rFonts w:ascii="David" w:hAnsi="David" w:cs="David"/>
          <w:sz w:val="24"/>
          <w:szCs w:val="24"/>
          <w:rtl/>
        </w:rPr>
        <w:t>אפנה בנדון לתמונות הזירה שהוגשו במהלך שמיעת הראיות ותיעדו את המתחם לאחר האירוע. ניתן להבחין בקירות וחלונות הבית מנוקבים מפגיעת עשרות קליעים (ת/498; ובמיוחד תמונות 47 עד 107). אין צורך בדמיון מפותח כדי לשער את שהתרחש בתוך כתלי המתחם – ילדים מתעוררים בבכי, צעקות, אימה, פחד.</w:t>
      </w:r>
    </w:p>
    <w:p w14:paraId="50DFC3C1" w14:textId="77777777" w:rsidR="004C3216" w:rsidRDefault="004C3216" w:rsidP="005811E2">
      <w:pPr>
        <w:pStyle w:val="ListParagraph"/>
        <w:tabs>
          <w:tab w:val="left" w:pos="2125"/>
        </w:tabs>
        <w:spacing w:after="0" w:line="360" w:lineRule="auto"/>
        <w:ind w:left="516" w:right="426"/>
        <w:jc w:val="both"/>
        <w:rPr>
          <w:rFonts w:ascii="David" w:hAnsi="David" w:cs="David"/>
          <w:sz w:val="24"/>
          <w:szCs w:val="24"/>
        </w:rPr>
      </w:pPr>
    </w:p>
    <w:p w14:paraId="33659AA1" w14:textId="77777777" w:rsidR="004C3216" w:rsidRDefault="004C3216" w:rsidP="005811E2">
      <w:pPr>
        <w:pStyle w:val="ListParagraph"/>
        <w:numPr>
          <w:ilvl w:val="0"/>
          <w:numId w:val="6"/>
        </w:numPr>
        <w:tabs>
          <w:tab w:val="left" w:pos="658"/>
          <w:tab w:val="left" w:pos="2125"/>
        </w:tabs>
        <w:spacing w:after="0" w:line="360" w:lineRule="auto"/>
        <w:ind w:left="516" w:right="426" w:hanging="425"/>
        <w:jc w:val="both"/>
        <w:rPr>
          <w:rFonts w:ascii="David" w:hAnsi="David" w:cs="David"/>
          <w:sz w:val="24"/>
          <w:szCs w:val="24"/>
        </w:rPr>
      </w:pPr>
      <w:r>
        <w:rPr>
          <w:rFonts w:ascii="David" w:hAnsi="David" w:cs="David"/>
          <w:sz w:val="24"/>
          <w:szCs w:val="24"/>
          <w:rtl/>
        </w:rPr>
        <w:t>עוד אפנה גם לעדותו של פריד (ר' פרוטוקול הדיונים מ 17.4.18; 22.4.18; 22.5.18 ו 27.5.18) שתיאר את רגעי האימה שחוו הוא ומשפחתו. אבהיר, ההפניה לעדותו לא באה להחליף את עובדות כתב האישום המתוקן ומאליו יוצא כי העובדות היחידות הקובעות הן אלה שבכתב האישום המתוקן. יחד עם זאת מצאתי לנכון להביא את הקטע הבא הממחיש באופן תמציתי את שעבר על בני המשפחה:</w:t>
      </w:r>
    </w:p>
    <w:p w14:paraId="5BE9F252" w14:textId="77777777" w:rsidR="004C3216" w:rsidRDefault="004C3216" w:rsidP="005811E2">
      <w:pPr>
        <w:spacing w:line="360" w:lineRule="auto"/>
        <w:ind w:left="516" w:right="426" w:hanging="425"/>
        <w:jc w:val="both"/>
        <w:rPr>
          <w:rFonts w:ascii="David" w:hAnsi="David"/>
          <w:rtl/>
        </w:rPr>
      </w:pPr>
    </w:p>
    <w:p w14:paraId="390219D8" w14:textId="77777777" w:rsidR="004C3216" w:rsidRDefault="004C3216" w:rsidP="005811E2">
      <w:pPr>
        <w:spacing w:line="360" w:lineRule="auto"/>
        <w:ind w:left="516" w:right="426"/>
        <w:jc w:val="both"/>
        <w:rPr>
          <w:rFonts w:ascii="David" w:hAnsi="David"/>
          <w:rtl/>
        </w:rPr>
      </w:pPr>
      <w:r>
        <w:rPr>
          <w:rFonts w:ascii="David" w:hAnsi="David"/>
          <w:b/>
          <w:bCs/>
          <w:rtl/>
        </w:rPr>
        <w:t>".. ואז התחלתי לישון שינה עמוקה שמעתי יריות ועוד לא התחלתי כאילו יריות פתאום שמעתי בום על הבית ואז באה הילדה שלי א' אומרת לי אבא יורים לנו על הבית. ...קמתי מהר מאור הורדתי את הבגדים שלי של השינה, שמתי את בגדי העבודה כי הם בתוך החדר והיריות התחילו להיות יותר חזקות, יותר קרובים לחלונות וזה מהר מאוד חייגתי לאח שלי, אח שלי עבד אמרתי לו עבד יורים לנו על הבית. מה קרה, מה, מה, בוא תעזור לי, אמר לי תתקשר למשטרה, התחלתי להתארגן... ואז אשתי גם היתה לידי צועקת כשדיברתי עם המשטרה.. והכנסנו את כל הילדים לחדר פנימה שלא ייפגעו מהקליעים, בזמן הזה גם אשתו נזכרה שהילד מ' (בהמשך מסר שהיה בן שנתיים וחצי – י.ל.) הוא לא נמצא אתנו (הוא נמצא – י.ל.) בסלון, והסלון יש עליו הרבה כדורים והחלונות התחילו ניפוצים ניפוצים של החלון... אז היא הלכה בלי לחשוב פעמיים, הלכה הביאה אותו מהסלון ... ואחר כך התחלתי ללכת בתוך הבית לא יודע מה לעשות, אין לי, אני לא יכול לצאת מהבית כי היריות על כיוון הבית מכל הכוונים, כיוון מלמטה, כיוון מלמעלה, מהכניסה, והיריות רק הולכות ומתחזקות.."</w:t>
      </w:r>
      <w:r>
        <w:rPr>
          <w:rFonts w:ascii="David" w:hAnsi="David"/>
          <w:rtl/>
        </w:rPr>
        <w:t xml:space="preserve"> (פרוטוקול דיון 17.4.18).</w:t>
      </w:r>
    </w:p>
    <w:p w14:paraId="20A63615" w14:textId="77777777" w:rsidR="004C3216" w:rsidRDefault="004C3216" w:rsidP="005811E2">
      <w:pPr>
        <w:spacing w:line="360" w:lineRule="auto"/>
        <w:ind w:left="516" w:right="426" w:hanging="425"/>
        <w:jc w:val="both"/>
        <w:rPr>
          <w:rFonts w:ascii="David" w:hAnsi="David"/>
          <w:rtl/>
        </w:rPr>
      </w:pPr>
      <w:r>
        <w:rPr>
          <w:rFonts w:ascii="David" w:hAnsi="David"/>
          <w:rtl/>
        </w:rPr>
        <w:t xml:space="preserve"> </w:t>
      </w:r>
    </w:p>
    <w:p w14:paraId="23758977" w14:textId="77777777" w:rsidR="004C3216" w:rsidRDefault="004C3216" w:rsidP="005811E2">
      <w:pPr>
        <w:pStyle w:val="ListParagraph"/>
        <w:numPr>
          <w:ilvl w:val="0"/>
          <w:numId w:val="6"/>
        </w:numPr>
        <w:tabs>
          <w:tab w:val="left" w:pos="658"/>
          <w:tab w:val="left" w:pos="2125"/>
        </w:tabs>
        <w:spacing w:after="0" w:line="360" w:lineRule="auto"/>
        <w:ind w:left="516" w:right="426" w:hanging="425"/>
        <w:jc w:val="both"/>
        <w:rPr>
          <w:rFonts w:ascii="David" w:hAnsi="David" w:cs="David"/>
          <w:sz w:val="24"/>
          <w:szCs w:val="24"/>
          <w:rtl/>
        </w:rPr>
      </w:pPr>
      <w:r>
        <w:rPr>
          <w:rFonts w:ascii="David" w:hAnsi="David" w:cs="David"/>
          <w:sz w:val="24"/>
          <w:szCs w:val="24"/>
          <w:u w:val="single"/>
          <w:rtl/>
        </w:rPr>
        <w:t>בנוסף, קיימים מספר נתונים כלליים שמצאתי להפנות אליהם</w:t>
      </w:r>
      <w:r>
        <w:rPr>
          <w:rFonts w:ascii="David" w:hAnsi="David" w:cs="David"/>
          <w:sz w:val="24"/>
          <w:szCs w:val="24"/>
          <w:rtl/>
        </w:rPr>
        <w:t>:</w:t>
      </w:r>
    </w:p>
    <w:p w14:paraId="6F2758CB" w14:textId="77777777" w:rsidR="004C3216" w:rsidRDefault="004C3216" w:rsidP="005811E2">
      <w:pPr>
        <w:pStyle w:val="ListParagraph"/>
        <w:tabs>
          <w:tab w:val="left" w:pos="2125"/>
        </w:tabs>
        <w:spacing w:after="0" w:line="360" w:lineRule="auto"/>
        <w:ind w:left="516" w:right="426" w:hanging="425"/>
        <w:jc w:val="both"/>
        <w:rPr>
          <w:rFonts w:ascii="David" w:hAnsi="David" w:cs="David"/>
          <w:sz w:val="24"/>
          <w:szCs w:val="24"/>
        </w:rPr>
      </w:pPr>
    </w:p>
    <w:p w14:paraId="53865749"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David" w:hAnsi="David" w:cs="David"/>
          <w:sz w:val="24"/>
          <w:szCs w:val="24"/>
        </w:rPr>
      </w:pPr>
      <w:r>
        <w:rPr>
          <w:rFonts w:ascii="David" w:hAnsi="David" w:cs="David"/>
          <w:sz w:val="24"/>
          <w:szCs w:val="24"/>
          <w:u w:val="single"/>
          <w:rtl/>
        </w:rPr>
        <w:t>הראשון</w:t>
      </w:r>
      <w:r>
        <w:rPr>
          <w:rFonts w:ascii="David" w:hAnsi="David" w:cs="David"/>
          <w:sz w:val="24"/>
          <w:szCs w:val="24"/>
          <w:rtl/>
        </w:rPr>
        <w:t xml:space="preserve">, הוא כי האירוע – ובעיקר תוצאתו הקטלנית – התרחש, בין היתר, משום </w:t>
      </w:r>
      <w:r>
        <w:rPr>
          <w:rFonts w:ascii="David" w:hAnsi="David" w:cs="David"/>
          <w:sz w:val="24"/>
          <w:szCs w:val="24"/>
          <w:u w:val="single"/>
          <w:rtl/>
        </w:rPr>
        <w:t>הנגישות לכלי נשק רבים שהוחזקו ברשות הנאשמים (הרלוונטיים) שלא כחוק</w:t>
      </w:r>
      <w:r>
        <w:rPr>
          <w:rFonts w:ascii="David" w:hAnsi="David" w:cs="David"/>
          <w:sz w:val="24"/>
          <w:szCs w:val="24"/>
          <w:rtl/>
        </w:rPr>
        <w:t>. השילוב בין נאשמים חסרי מעצורים ונגישות לכלי נשק הינה, כאמור, קשה וקטלנית. כלי נשק אלה לא הוסגרו לידי המשטרה ולכן יש ממש בטענת המאשימה כי לא מן הנמנע שייעשה בהם (עוד) שימוש בעתיד, גם אם על ידי אחרים.</w:t>
      </w:r>
    </w:p>
    <w:p w14:paraId="63CF68F4" w14:textId="77777777" w:rsidR="004C3216" w:rsidRDefault="004C3216" w:rsidP="005811E2">
      <w:pPr>
        <w:pStyle w:val="ListParagraph"/>
        <w:spacing w:after="0" w:line="360" w:lineRule="auto"/>
        <w:ind w:left="516" w:right="426" w:hanging="425"/>
        <w:rPr>
          <w:rFonts w:ascii="David" w:hAnsi="David" w:cs="David"/>
          <w:sz w:val="24"/>
          <w:szCs w:val="24"/>
        </w:rPr>
      </w:pPr>
    </w:p>
    <w:p w14:paraId="26FA45E3" w14:textId="77777777" w:rsidR="004C3216" w:rsidRDefault="004C3216" w:rsidP="005811E2">
      <w:pPr>
        <w:pStyle w:val="ListParagraph"/>
        <w:numPr>
          <w:ilvl w:val="0"/>
          <w:numId w:val="6"/>
        </w:numPr>
        <w:tabs>
          <w:tab w:val="left" w:pos="658"/>
          <w:tab w:val="left" w:pos="2125"/>
        </w:tabs>
        <w:spacing w:after="0" w:line="360" w:lineRule="auto"/>
        <w:ind w:left="516" w:right="426" w:hanging="425"/>
        <w:jc w:val="both"/>
        <w:rPr>
          <w:rFonts w:ascii="David" w:hAnsi="David" w:cs="David"/>
          <w:sz w:val="24"/>
          <w:szCs w:val="24"/>
          <w:rtl/>
        </w:rPr>
      </w:pPr>
      <w:r>
        <w:rPr>
          <w:rFonts w:ascii="David" w:hAnsi="David" w:cs="David"/>
          <w:sz w:val="24"/>
          <w:szCs w:val="24"/>
          <w:u w:val="single"/>
          <w:rtl/>
        </w:rPr>
        <w:t>השני</w:t>
      </w:r>
      <w:r>
        <w:rPr>
          <w:rFonts w:ascii="David" w:hAnsi="David" w:cs="David"/>
          <w:sz w:val="24"/>
          <w:szCs w:val="24"/>
          <w:rtl/>
        </w:rPr>
        <w:t xml:space="preserve">, </w:t>
      </w:r>
      <w:r>
        <w:rPr>
          <w:rFonts w:ascii="David" w:hAnsi="David" w:cs="David"/>
          <w:sz w:val="24"/>
          <w:szCs w:val="24"/>
          <w:u w:val="single"/>
          <w:rtl/>
        </w:rPr>
        <w:t>הפער בין מעשיהם חסרי המעצורים של הנאשמים, מחד, אל מול נתוניהם החיוביים בסך הכל והעובדה כי ניהלו, למעט חריגים, אורח חיים נורמטיבי על פני הדברים</w:t>
      </w:r>
      <w:r>
        <w:rPr>
          <w:rFonts w:ascii="David" w:hAnsi="David" w:cs="David"/>
          <w:sz w:val="24"/>
          <w:szCs w:val="24"/>
          <w:rtl/>
        </w:rPr>
        <w:t xml:space="preserve">. כפי שפורט לעיל, מרבית הנאשמים נעדרי עבר פלילי ולכל הפחות שאינו משמעותי. עלה שאין מדובר במי שניהלו אורח חיים עברייני עובר לאירוע. גם במהלך הדיונים, וכאלה היו לא מעט, הנאשמים התנהגו ללא דופי. למרות זאת, הם לא היססו מלקחת חלק, איש איש על פי חלקו בכתב האישום המתוקן, באירוע האלים כנגד בני משפחתם הגם שידעו שאיש מהם לא נטל חלק באירוע המקדים במהלכו הותקפו קרוביהם. </w:t>
      </w:r>
      <w:r>
        <w:rPr>
          <w:rFonts w:ascii="David" w:hAnsi="David" w:cs="David"/>
          <w:sz w:val="24"/>
          <w:szCs w:val="24"/>
          <w:u w:val="single"/>
          <w:rtl/>
        </w:rPr>
        <w:t>מדובר בפער בלתי נתפס על פני הדברים</w:t>
      </w:r>
      <w:r>
        <w:rPr>
          <w:rFonts w:ascii="David" w:hAnsi="David" w:cs="David"/>
          <w:sz w:val="24"/>
          <w:szCs w:val="24"/>
          <w:rtl/>
        </w:rPr>
        <w:t xml:space="preserve">. </w:t>
      </w:r>
    </w:p>
    <w:p w14:paraId="6A57E8DC" w14:textId="77777777" w:rsidR="004C3216" w:rsidRDefault="004C3216" w:rsidP="005811E2">
      <w:pPr>
        <w:pStyle w:val="ListParagraph"/>
        <w:rPr>
          <w:rFonts w:ascii="David" w:hAnsi="David" w:cs="David"/>
          <w:sz w:val="24"/>
          <w:szCs w:val="24"/>
        </w:rPr>
      </w:pPr>
    </w:p>
    <w:p w14:paraId="498D2021" w14:textId="77777777" w:rsidR="004C3216" w:rsidRDefault="004C3216" w:rsidP="005811E2">
      <w:pPr>
        <w:pStyle w:val="ListParagraph"/>
        <w:tabs>
          <w:tab w:val="left" w:pos="658"/>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נתתי דעתי לעולה מהתסקירים ולפיו, על פי הנטען שם, מרבית הנאשמים נענו לפנייתו-הוראתו של הנאשם 1, שהוא הוא הדמות הסמכותית והקובעת במשפחה. ואולם, נתון זה אינו יכול לשמש לזכותם וגם אם כן, הרי שמשקלו אינו יכול להיות משמעותי לנוכח חומרת מעשיהם. מדובר באנשים בוגרים, חלקם הורים לילדים ואחריותו האישית של כל נאשם ברורה. זאת ועוד, הנכתב בתסקירים אינו מהווה תחליף לעובדות כתב האישום המתוקן ושם, כזכור, צוין כי הנאשם 1 שידל את יתר הנאשמים "להגיע לשכונה ולפצוע", בעוד שלגבי הנאשמים 2 עד 9 צוין כי הם סיכמו "לירות באמצעות מספר כלי נשק על המתחם ועל המתגוררים בו". משמע, כל אחד מהנאשמים בחר למלא אחר "הוראתו" של הנאשם 1 בצורה שונה – חלק מהנאשמים בחרו "רק" לאיים, וחלק אחר בחרו לירות לעבר הבית – כל נאשם על פי חלקו </w:t>
      </w:r>
      <w:r>
        <w:rPr>
          <w:rFonts w:ascii="David" w:hAnsi="David" w:cs="David"/>
          <w:sz w:val="24"/>
          <w:szCs w:val="24"/>
          <w:u w:val="single"/>
          <w:rtl/>
        </w:rPr>
        <w:t>ובחירותיו</w:t>
      </w:r>
      <w:r>
        <w:rPr>
          <w:rFonts w:ascii="David" w:hAnsi="David" w:cs="David"/>
          <w:sz w:val="24"/>
          <w:szCs w:val="24"/>
          <w:rtl/>
        </w:rPr>
        <w:t xml:space="preserve">. זאת ועוד, לא ניתן  לאחוז במקל משני קצותיו – גם לטעון, לזכות הנאשם 1, כי הוא אינו קשור לירי; וגם לייחס לו בעקיפין את האחריות לכך. חלקו של הנאשם 1 חמור דיו, אך הצמדות לעובדות כתב האישום המתוקן אינה מייחסת לו קשר לירי עצמו או הוראה קונקרטית לירי כאמור. </w:t>
      </w:r>
    </w:p>
    <w:p w14:paraId="46167485" w14:textId="77777777" w:rsidR="004C3216" w:rsidRDefault="004C3216" w:rsidP="005811E2">
      <w:pPr>
        <w:pStyle w:val="ListParagraph"/>
        <w:tabs>
          <w:tab w:val="left" w:pos="2125"/>
        </w:tabs>
        <w:spacing w:after="0" w:line="360" w:lineRule="auto"/>
        <w:ind w:left="516" w:right="426" w:hanging="425"/>
        <w:jc w:val="both"/>
        <w:rPr>
          <w:rFonts w:ascii="David" w:hAnsi="David" w:cs="David"/>
          <w:sz w:val="24"/>
          <w:szCs w:val="24"/>
        </w:rPr>
      </w:pPr>
    </w:p>
    <w:p w14:paraId="6680E6AF"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David" w:hAnsi="David" w:cs="David"/>
          <w:sz w:val="24"/>
          <w:szCs w:val="24"/>
        </w:rPr>
      </w:pPr>
      <w:r>
        <w:rPr>
          <w:rFonts w:ascii="David" w:hAnsi="David" w:cs="David"/>
          <w:sz w:val="24"/>
          <w:szCs w:val="24"/>
          <w:u w:val="single"/>
          <w:rtl/>
        </w:rPr>
        <w:t>השלישי</w:t>
      </w:r>
      <w:r>
        <w:rPr>
          <w:rFonts w:ascii="David" w:hAnsi="David" w:cs="David"/>
          <w:sz w:val="24"/>
          <w:szCs w:val="24"/>
          <w:rtl/>
        </w:rPr>
        <w:t xml:space="preserve">, כי אין מדובר באירוע "ספונטאני". מוכרים לא פעם אירועים "המתפתחים" תוך שניות, לא כך במקרה דנן - תחילתו של האירוע היתה, מבחינת הנאשמים, עם קבלת הידיעה על האירוע המקדים. גם אם סברו בתחילה שנאסים נפצע קשה או גרוע מכך, אין חולק כי כאשר יצאו את המרכז הרפואי בכפר קרע לכוון שכונת מגוריהם, הם ידעו כי נאסים נורה "רק" ברגליו וגם החבלה בנאשם 9 היתה קלה באופן יחסי (ולראיה – הוא נטל חלק באירוע והצטרף ליתר הנאשמים). במלים אחרות, אף שניתן להבין את כעסם של הנאשמים על שהתרחש במסגרת האירוע המקדים, היה די והותר זמן בידיהם להירגע ולשקול את מעשיהם. </w:t>
      </w:r>
    </w:p>
    <w:p w14:paraId="7A1EB5A4" w14:textId="77777777" w:rsidR="004C3216" w:rsidRDefault="004C3216" w:rsidP="005811E2">
      <w:pPr>
        <w:pStyle w:val="ListParagraph"/>
        <w:tabs>
          <w:tab w:val="left" w:pos="516"/>
        </w:tabs>
        <w:spacing w:after="0" w:line="360" w:lineRule="auto"/>
        <w:ind w:left="516" w:right="426"/>
        <w:jc w:val="both"/>
        <w:rPr>
          <w:rFonts w:ascii="David" w:hAnsi="David" w:cs="David"/>
          <w:sz w:val="24"/>
          <w:szCs w:val="24"/>
        </w:rPr>
      </w:pPr>
    </w:p>
    <w:p w14:paraId="072B4E44" w14:textId="77777777" w:rsidR="004C3216" w:rsidRDefault="004C3216" w:rsidP="005811E2">
      <w:pPr>
        <w:pStyle w:val="ListParagraph"/>
        <w:tabs>
          <w:tab w:val="left" w:pos="516"/>
        </w:tabs>
        <w:spacing w:after="0" w:line="360" w:lineRule="auto"/>
        <w:ind w:left="516" w:right="426"/>
        <w:jc w:val="both"/>
        <w:rPr>
          <w:rFonts w:ascii="David" w:hAnsi="David" w:cs="David"/>
          <w:sz w:val="24"/>
          <w:szCs w:val="24"/>
        </w:rPr>
      </w:pPr>
      <w:r>
        <w:rPr>
          <w:rFonts w:ascii="David" w:hAnsi="David" w:cs="David"/>
          <w:sz w:val="24"/>
          <w:szCs w:val="24"/>
          <w:u w:val="single"/>
          <w:rtl/>
        </w:rPr>
        <w:t>זאת ועוד, וזה הדבר החשוב, הדעת אינה תופסת את התגובה חסרת הפרופורציות והאלימה עד בלי די של ירי משולח רסן שכוון כנגד מי שכלל לא היו מעורבים באירוע המקדים וכל "חטאם" הוא השתייכותם לפלג ה"לא נכון" של המשפחה</w:t>
      </w:r>
      <w:r>
        <w:rPr>
          <w:rFonts w:ascii="David" w:hAnsi="David" w:cs="David"/>
          <w:sz w:val="24"/>
          <w:szCs w:val="24"/>
          <w:rtl/>
        </w:rPr>
        <w:t xml:space="preserve">.  </w:t>
      </w:r>
    </w:p>
    <w:p w14:paraId="23663995" w14:textId="77777777" w:rsidR="004C3216" w:rsidRDefault="004C3216" w:rsidP="005811E2">
      <w:pPr>
        <w:pStyle w:val="ListParagraph"/>
        <w:spacing w:after="0" w:line="360" w:lineRule="auto"/>
        <w:ind w:left="516" w:right="426" w:hanging="425"/>
        <w:rPr>
          <w:rFonts w:ascii="David" w:hAnsi="David" w:cs="David"/>
          <w:sz w:val="24"/>
          <w:szCs w:val="24"/>
        </w:rPr>
      </w:pPr>
    </w:p>
    <w:p w14:paraId="23BBC96B" w14:textId="77777777" w:rsidR="004C3216" w:rsidRDefault="004C3216" w:rsidP="005811E2">
      <w:pPr>
        <w:pStyle w:val="ListParagraph"/>
        <w:numPr>
          <w:ilvl w:val="0"/>
          <w:numId w:val="6"/>
        </w:numPr>
        <w:tabs>
          <w:tab w:val="left" w:pos="658"/>
        </w:tabs>
        <w:spacing w:after="0" w:line="360" w:lineRule="auto"/>
        <w:ind w:left="516" w:right="426" w:hanging="425"/>
        <w:jc w:val="both"/>
        <w:rPr>
          <w:rFonts w:ascii="David" w:hAnsi="David" w:cs="David"/>
          <w:sz w:val="24"/>
          <w:szCs w:val="24"/>
          <w:rtl/>
        </w:rPr>
      </w:pPr>
      <w:r>
        <w:rPr>
          <w:rFonts w:ascii="David" w:hAnsi="David" w:cs="David"/>
          <w:sz w:val="24"/>
          <w:szCs w:val="24"/>
          <w:rtl/>
        </w:rPr>
        <w:t xml:space="preserve">יחד עם זאת ולשם הצגת התמונה באופן כולל ומאוזן ומבלי שיהיה בדבר להפחית מהאמור לעיל, סבורני כי לא ניתן להתעלם כליל מהאירוע המקדים שכוון כנגד בני משפחת הנאשמים (וכנגד הנאשם 9). מדובר באירוע בו בני משפחת הנאשמים הותקפו באופן אלים ואכזרי. משמע, הגם שאין מדובר באירוע ספונטאני ומיידי, והדגשתי זאת לעיל, גם אין מדובר, מנגד, באירוע שמתוכנן ומבוצע ב"קור רוח". נתון זה אינו מפחית מאחריותם ובוודאי שאינו מצדיק מתקפה פראית על מי שכלל לא נטלו חלק באירוע המקדים (או בכלל!) אך הוא בא להציג את מכלול התמונה על רבדיה השונים. </w:t>
      </w:r>
    </w:p>
    <w:p w14:paraId="762AE1DD" w14:textId="77777777" w:rsidR="004C3216" w:rsidRDefault="004C3216" w:rsidP="005811E2">
      <w:pPr>
        <w:pStyle w:val="ListParagraph"/>
        <w:spacing w:after="0" w:line="360" w:lineRule="auto"/>
        <w:ind w:left="516" w:right="426" w:hanging="425"/>
        <w:rPr>
          <w:rFonts w:ascii="David" w:hAnsi="David" w:cs="David"/>
          <w:sz w:val="24"/>
          <w:szCs w:val="24"/>
        </w:rPr>
      </w:pPr>
    </w:p>
    <w:p w14:paraId="6627CCE0"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Times New Roman" w:hAnsi="Times New Roman" w:cs="David"/>
          <w:sz w:val="24"/>
          <w:szCs w:val="24"/>
          <w:rtl/>
          <w:lang w:val="en-GB"/>
        </w:rPr>
      </w:pPr>
      <w:r>
        <w:rPr>
          <w:rFonts w:ascii="David" w:hAnsi="David" w:cs="David"/>
          <w:sz w:val="24"/>
          <w:szCs w:val="24"/>
          <w:rtl/>
        </w:rPr>
        <w:t>וכעת, אפנה ל</w:t>
      </w:r>
      <w:r>
        <w:rPr>
          <w:rFonts w:ascii="David" w:hAnsi="David" w:cs="David"/>
          <w:sz w:val="24"/>
          <w:szCs w:val="24"/>
          <w:u w:val="single"/>
          <w:rtl/>
        </w:rPr>
        <w:t>נסיבות הקשורות בביצוע העבירות, ביחס לכל נאשם ונאשם</w:t>
      </w:r>
      <w:r>
        <w:rPr>
          <w:rFonts w:ascii="David" w:hAnsi="David" w:cs="David"/>
          <w:sz w:val="24"/>
          <w:szCs w:val="24"/>
          <w:rtl/>
        </w:rPr>
        <w:t xml:space="preserve">. </w:t>
      </w:r>
    </w:p>
    <w:p w14:paraId="1FEB954E" w14:textId="77777777" w:rsidR="004C3216" w:rsidRDefault="004C3216" w:rsidP="005811E2">
      <w:pPr>
        <w:pStyle w:val="ListParagraph"/>
        <w:rPr>
          <w:rFonts w:ascii="David" w:hAnsi="David" w:cs="David"/>
          <w:sz w:val="24"/>
          <w:szCs w:val="24"/>
        </w:rPr>
      </w:pPr>
    </w:p>
    <w:p w14:paraId="2BCB8257" w14:textId="77777777" w:rsidR="004C3216" w:rsidRDefault="004C3216" w:rsidP="005811E2">
      <w:pPr>
        <w:pStyle w:val="ListParagraph"/>
        <w:tabs>
          <w:tab w:val="left" w:pos="516"/>
        </w:tabs>
        <w:spacing w:after="0" w:line="360" w:lineRule="auto"/>
        <w:ind w:left="516" w:right="426"/>
        <w:jc w:val="both"/>
        <w:rPr>
          <w:rFonts w:ascii="Times New Roman" w:hAnsi="Times New Roman" w:cs="David"/>
          <w:sz w:val="24"/>
          <w:szCs w:val="24"/>
          <w:rtl/>
          <w:lang w:val="en-GB"/>
        </w:rPr>
      </w:pPr>
      <w:r>
        <w:rPr>
          <w:rFonts w:ascii="David" w:hAnsi="David" w:cs="David"/>
          <w:sz w:val="24"/>
          <w:szCs w:val="24"/>
          <w:rtl/>
        </w:rPr>
        <w:t xml:space="preserve">יודגש,  כי כל נאשם ייענש בגין החלק </w:t>
      </w:r>
      <w:r>
        <w:rPr>
          <w:rFonts w:ascii="David" w:hAnsi="David" w:cs="David"/>
          <w:sz w:val="24"/>
          <w:szCs w:val="24"/>
          <w:u w:val="single"/>
          <w:rtl/>
        </w:rPr>
        <w:t>שיוחס לו</w:t>
      </w:r>
      <w:r>
        <w:rPr>
          <w:rFonts w:ascii="David" w:hAnsi="David" w:cs="David"/>
          <w:sz w:val="24"/>
          <w:szCs w:val="24"/>
          <w:rtl/>
        </w:rPr>
        <w:t xml:space="preserve"> בכתב האישום המתוקן, תוך שנלקחו בחשבון הנסיבות הכוללות של האירוע, ככל שהיו רלוונטיות לאותו נאשם. כך למשל, והגם שהדברים אמורים להיות ברורים, אבהיר, לדוגמה, כי היחיד שאחראי למות המנוחה הוא הנאשם 3 בלבד. </w:t>
      </w:r>
    </w:p>
    <w:p w14:paraId="39541581" w14:textId="77777777" w:rsidR="004C3216" w:rsidRDefault="004C3216" w:rsidP="005811E2">
      <w:pPr>
        <w:pStyle w:val="ListParagraph"/>
        <w:rPr>
          <w:rFonts w:ascii="Times New Roman" w:hAnsi="Times New Roman" w:cs="David"/>
          <w:sz w:val="24"/>
          <w:szCs w:val="24"/>
          <w:lang w:val="en-GB"/>
        </w:rPr>
      </w:pPr>
    </w:p>
    <w:p w14:paraId="69C9BDCB" w14:textId="77777777" w:rsidR="004C3216" w:rsidRDefault="004C3216" w:rsidP="005811E2">
      <w:pPr>
        <w:pStyle w:val="ListParagraph"/>
        <w:tabs>
          <w:tab w:val="left" w:pos="516"/>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rtl/>
          <w:lang w:val="en-GB"/>
        </w:rPr>
        <w:t>מרבית הנסיבות פורטו לעיל, אך לשם הנוחות אשוב ואחזור על החלק הרלוונטי לכל נאשם, ו</w:t>
      </w:r>
      <w:r>
        <w:rPr>
          <w:rFonts w:ascii="Times New Roman" w:hAnsi="Times New Roman" w:cs="David"/>
          <w:sz w:val="24"/>
          <w:szCs w:val="24"/>
          <w:rtl/>
        </w:rPr>
        <w:t>זאת מהשלב בו היו הנאשמים במוקד הרפואי בכפר קרע</w:t>
      </w:r>
      <w:r>
        <w:rPr>
          <w:rFonts w:ascii="Times New Roman" w:hAnsi="Times New Roman" w:cs="David"/>
          <w:sz w:val="24"/>
          <w:szCs w:val="24"/>
          <w:rtl/>
          <w:lang w:val="en-GB"/>
        </w:rPr>
        <w:t>:</w:t>
      </w:r>
    </w:p>
    <w:p w14:paraId="7B82FCF8" w14:textId="77777777" w:rsidR="004C3216" w:rsidRDefault="004C3216" w:rsidP="005811E2">
      <w:pPr>
        <w:pStyle w:val="ListParagraph"/>
        <w:rPr>
          <w:rFonts w:ascii="Times New Roman" w:hAnsi="Times New Roman" w:cs="David"/>
          <w:sz w:val="24"/>
          <w:szCs w:val="24"/>
          <w:lang w:val="en-GB"/>
        </w:rPr>
      </w:pPr>
    </w:p>
    <w:p w14:paraId="6B2FA955" w14:textId="77777777" w:rsidR="004C3216" w:rsidRDefault="004C3216" w:rsidP="005811E2">
      <w:pPr>
        <w:pStyle w:val="ListParagraph"/>
        <w:numPr>
          <w:ilvl w:val="0"/>
          <w:numId w:val="6"/>
        </w:numPr>
        <w:tabs>
          <w:tab w:val="left" w:pos="233"/>
        </w:tabs>
        <w:spacing w:after="0" w:line="360" w:lineRule="auto"/>
        <w:ind w:left="516" w:right="426" w:hanging="425"/>
        <w:jc w:val="both"/>
        <w:rPr>
          <w:rFonts w:ascii="Arial" w:hAnsi="Arial" w:cs="David"/>
          <w:sz w:val="24"/>
          <w:szCs w:val="24"/>
          <w:u w:val="single"/>
          <w:rtl/>
        </w:rPr>
      </w:pPr>
      <w:r>
        <w:rPr>
          <w:rFonts w:ascii="Times New Roman" w:hAnsi="Times New Roman" w:cs="David"/>
          <w:sz w:val="24"/>
          <w:szCs w:val="24"/>
          <w:u w:val="single"/>
          <w:rtl/>
          <w:lang w:val="en-GB"/>
        </w:rPr>
        <w:t>הנאשם 1</w:t>
      </w:r>
      <w:r>
        <w:rPr>
          <w:rFonts w:ascii="Times New Roman" w:hAnsi="Times New Roman" w:cs="David"/>
          <w:sz w:val="24"/>
          <w:szCs w:val="24"/>
          <w:rtl/>
          <w:lang w:val="en-GB"/>
        </w:rPr>
        <w:t xml:space="preserve">, אבי המשפחה והדמות הדומיננטית בה, דרש, הורה ושידל את הנאשמים 2 עד 9 - ילדיו ואחייניו, להגיע לשכונה ולפצוע בצוותא את "כולם". </w:t>
      </w:r>
    </w:p>
    <w:p w14:paraId="1E8009CF" w14:textId="77777777" w:rsidR="004C3216" w:rsidRDefault="004C3216" w:rsidP="005811E2">
      <w:pPr>
        <w:pStyle w:val="ListParagraph"/>
        <w:rPr>
          <w:rFonts w:ascii="Times New Roman" w:hAnsi="Times New Roman" w:cs="David"/>
          <w:sz w:val="24"/>
          <w:szCs w:val="24"/>
          <w:lang w:val="en-GB"/>
        </w:rPr>
      </w:pPr>
    </w:p>
    <w:p w14:paraId="3104FB47" w14:textId="77777777" w:rsidR="004C3216" w:rsidRDefault="004C3216" w:rsidP="005811E2">
      <w:pPr>
        <w:pStyle w:val="ListParagraph"/>
        <w:tabs>
          <w:tab w:val="left" w:pos="233"/>
        </w:tabs>
        <w:spacing w:after="0" w:line="360" w:lineRule="auto"/>
        <w:ind w:left="516" w:right="426"/>
        <w:jc w:val="both"/>
        <w:rPr>
          <w:rFonts w:ascii="Arial" w:hAnsi="Arial" w:cs="David"/>
          <w:sz w:val="24"/>
          <w:szCs w:val="24"/>
          <w:u w:val="single"/>
          <w:rtl/>
        </w:rPr>
      </w:pPr>
      <w:r>
        <w:rPr>
          <w:rFonts w:ascii="Times New Roman" w:hAnsi="Times New Roman" w:cs="David"/>
          <w:sz w:val="24"/>
          <w:szCs w:val="24"/>
          <w:rtl/>
          <w:lang w:val="en-GB"/>
        </w:rPr>
        <w:t>חלקו של נאשם 1 הוא משמעותי. ציינתי לעיל שלא ניתן ליצוק לגזר הדין נתונים שאינם מצוינים בעובדות המוסכמות, במובן זה שלא ניתן "להאדיר" את חלקו של הנאשם 1 בהסתמך על נתוני התסקירים; יחד עם זאת, אפנה את תשומת הלב כי הנאשם 1 הוא זה ש"</w:t>
      </w:r>
      <w:r>
        <w:rPr>
          <w:rFonts w:ascii="Times New Roman" w:hAnsi="Times New Roman" w:cs="David"/>
          <w:b/>
          <w:bCs/>
          <w:sz w:val="24"/>
          <w:szCs w:val="24"/>
          <w:rtl/>
          <w:lang w:val="en-GB"/>
        </w:rPr>
        <w:t>דרש, הורה ושידל</w:t>
      </w:r>
      <w:r>
        <w:rPr>
          <w:rFonts w:ascii="Times New Roman" w:hAnsi="Times New Roman" w:cs="David"/>
          <w:sz w:val="24"/>
          <w:szCs w:val="24"/>
          <w:rtl/>
          <w:lang w:val="en-GB"/>
        </w:rPr>
        <w:t xml:space="preserve">" את יתר הנאשמים להגיע לשכונה במטרה לפצוע את "כולם". </w:t>
      </w:r>
    </w:p>
    <w:p w14:paraId="2728ABA9" w14:textId="77777777" w:rsidR="004C3216" w:rsidRDefault="004C3216" w:rsidP="005811E2">
      <w:pPr>
        <w:pStyle w:val="ListParagraph"/>
        <w:spacing w:after="0" w:line="360" w:lineRule="auto"/>
        <w:ind w:left="516" w:right="426" w:hanging="425"/>
        <w:rPr>
          <w:rFonts w:ascii="Times New Roman" w:hAnsi="Times New Roman" w:cs="David"/>
          <w:sz w:val="24"/>
          <w:szCs w:val="24"/>
          <w:lang w:val="en-GB"/>
        </w:rPr>
      </w:pPr>
    </w:p>
    <w:p w14:paraId="5E4E3634"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r>
        <w:rPr>
          <w:rFonts w:ascii="Times New Roman" w:hAnsi="Times New Roman" w:cs="David"/>
          <w:sz w:val="24"/>
          <w:szCs w:val="24"/>
          <w:rtl/>
          <w:lang w:val="en-GB"/>
        </w:rPr>
        <w:tab/>
      </w:r>
      <w:r>
        <w:rPr>
          <w:rFonts w:ascii="Times New Roman" w:hAnsi="Times New Roman" w:cs="David"/>
          <w:sz w:val="24"/>
          <w:szCs w:val="24"/>
          <w:rtl/>
          <w:lang w:val="en-GB"/>
        </w:rPr>
        <w:tab/>
        <w:t>אחריותו של הנאשם 1 כמשדל הינה משמעותית. המשדל, יוזכר, הינו מי "</w:t>
      </w:r>
      <w:r>
        <w:rPr>
          <w:rFonts w:ascii="Times New Roman" w:hAnsi="Times New Roman" w:cs="David"/>
          <w:b/>
          <w:bCs/>
          <w:sz w:val="24"/>
          <w:szCs w:val="24"/>
          <w:rtl/>
          <w:lang w:val="en-GB"/>
        </w:rPr>
        <w:t>המביא אחר לידי עשיית עבירה בשכנוע, בעידוד, בדרישה, בהפצרה או בכל דרך שיש בה משום הפעלת לחץ.."</w:t>
      </w:r>
      <w:r>
        <w:rPr>
          <w:rFonts w:ascii="Times New Roman" w:hAnsi="Times New Roman" w:cs="David"/>
          <w:sz w:val="24"/>
          <w:szCs w:val="24"/>
          <w:rtl/>
          <w:lang w:val="en-GB"/>
        </w:rPr>
        <w:t xml:space="preserve"> (</w:t>
      </w:r>
      <w:hyperlink r:id="rId122" w:history="1">
        <w:r w:rsidR="005948C0" w:rsidRPr="005948C0">
          <w:rPr>
            <w:rFonts w:ascii="Times New Roman" w:hAnsi="Times New Roman" w:cs="David"/>
            <w:color w:val="0000FF"/>
            <w:sz w:val="24"/>
            <w:szCs w:val="24"/>
            <w:u w:val="single"/>
            <w:rtl/>
            <w:lang w:val="en-GB"/>
          </w:rPr>
          <w:t>ס' 30</w:t>
        </w:r>
      </w:hyperlink>
      <w:r>
        <w:rPr>
          <w:rFonts w:ascii="Times New Roman" w:hAnsi="Times New Roman" w:cs="David"/>
          <w:sz w:val="24"/>
          <w:szCs w:val="24"/>
          <w:rtl/>
          <w:lang w:val="en-GB"/>
        </w:rPr>
        <w:t xml:space="preserve"> לחוק). </w:t>
      </w:r>
    </w:p>
    <w:p w14:paraId="7982517D"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p>
    <w:p w14:paraId="177D1822"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r>
        <w:rPr>
          <w:rFonts w:ascii="Times New Roman" w:hAnsi="Times New Roman" w:cs="David"/>
          <w:sz w:val="24"/>
          <w:szCs w:val="24"/>
          <w:rtl/>
          <w:lang w:val="en-GB"/>
        </w:rPr>
        <w:tab/>
      </w:r>
      <w:r>
        <w:rPr>
          <w:rFonts w:ascii="Times New Roman" w:hAnsi="Times New Roman" w:cs="David"/>
          <w:sz w:val="24"/>
          <w:szCs w:val="24"/>
          <w:rtl/>
          <w:lang w:val="en-GB"/>
        </w:rPr>
        <w:tab/>
        <w:t>כפי שנקבע, יש צורך שהתנהגות המשדל תהיה "ראשית ומכרעת" ובעלת "אפקטיביות פוטנציאלית" להשפיע על המשודל לבצע את העבירה מושא השידול (</w:t>
      </w:r>
      <w:hyperlink r:id="rId123" w:history="1">
        <w:r w:rsidR="008B74B3" w:rsidRPr="008B74B3">
          <w:rPr>
            <w:rFonts w:ascii="Times New Roman" w:hAnsi="Times New Roman" w:cs="David"/>
            <w:color w:val="0000FF"/>
            <w:sz w:val="24"/>
            <w:szCs w:val="24"/>
            <w:u w:val="single"/>
            <w:rtl/>
            <w:lang w:val="en-GB"/>
          </w:rPr>
          <w:t>ע"פ 8469/99 אסקין נ' מדינת ישראל, פ"ד נה</w:t>
        </w:r>
      </w:hyperlink>
      <w:r>
        <w:rPr>
          <w:rFonts w:ascii="Times New Roman" w:hAnsi="Times New Roman" w:cs="David"/>
          <w:sz w:val="24"/>
          <w:szCs w:val="24"/>
          <w:rtl/>
          <w:lang w:val="en-GB"/>
        </w:rPr>
        <w:t xml:space="preserve"> (2), 65 וכן ר' רבין וואקי, </w:t>
      </w:r>
      <w:r>
        <w:rPr>
          <w:rFonts w:ascii="Miriam" w:hAnsi="Miriam" w:cs="Miriam"/>
          <w:sz w:val="24"/>
          <w:szCs w:val="24"/>
          <w:rtl/>
          <w:lang w:val="en-GB"/>
        </w:rPr>
        <w:t>דיני עונשין</w:t>
      </w:r>
      <w:r>
        <w:rPr>
          <w:rFonts w:ascii="Times New Roman" w:hAnsi="Times New Roman" w:cs="David"/>
          <w:sz w:val="24"/>
          <w:szCs w:val="24"/>
          <w:rtl/>
          <w:lang w:val="en-GB"/>
        </w:rPr>
        <w:t xml:space="preserve">, מהדורה שלישית, עמ' 606). בשל מעמדו ותפקידו המרכזי, הושווה עונשו של המשדל לזה של המבצע בפועל של עבירת השידול (ור' בהקשר זה </w:t>
      </w:r>
      <w:hyperlink r:id="rId124" w:history="1">
        <w:r w:rsidR="005948C0" w:rsidRPr="005948C0">
          <w:rPr>
            <w:rFonts w:ascii="Times New Roman" w:hAnsi="Times New Roman" w:cs="David"/>
            <w:color w:val="0000FF"/>
            <w:sz w:val="24"/>
            <w:szCs w:val="24"/>
            <w:u w:val="single"/>
            <w:rtl/>
            <w:lang w:val="en-GB"/>
          </w:rPr>
          <w:t>ס' 34ד'</w:t>
        </w:r>
      </w:hyperlink>
      <w:r>
        <w:rPr>
          <w:rFonts w:ascii="Times New Roman" w:hAnsi="Times New Roman" w:cs="David"/>
          <w:sz w:val="24"/>
          <w:szCs w:val="24"/>
          <w:rtl/>
          <w:lang w:val="en-GB"/>
        </w:rPr>
        <w:t xml:space="preserve"> לחוק וכן </w:t>
      </w:r>
      <w:hyperlink r:id="rId125" w:history="1">
        <w:r w:rsidR="008B74B3" w:rsidRPr="008B74B3">
          <w:rPr>
            <w:rFonts w:ascii="Times New Roman" w:hAnsi="Times New Roman" w:cs="David"/>
            <w:color w:val="0000FF"/>
            <w:sz w:val="24"/>
            <w:szCs w:val="24"/>
            <w:u w:val="single"/>
            <w:rtl/>
            <w:lang w:val="en-GB"/>
          </w:rPr>
          <w:t>ע"פ 7894/03</w:t>
        </w:r>
      </w:hyperlink>
      <w:r>
        <w:rPr>
          <w:rFonts w:ascii="Times New Roman" w:hAnsi="Times New Roman" w:cs="David"/>
          <w:sz w:val="24"/>
          <w:szCs w:val="24"/>
          <w:rtl/>
          <w:lang w:val="en-GB"/>
        </w:rPr>
        <w:t xml:space="preserve"> </w:t>
      </w:r>
      <w:r>
        <w:rPr>
          <w:rFonts w:ascii="Miriam" w:hAnsi="Miriam" w:cs="Miriam"/>
          <w:sz w:val="24"/>
          <w:szCs w:val="24"/>
          <w:rtl/>
          <w:lang w:val="en-GB"/>
        </w:rPr>
        <w:t>מסראווה נ' מדינת ישראל</w:t>
      </w:r>
      <w:r>
        <w:rPr>
          <w:rFonts w:ascii="Times New Roman" w:hAnsi="Times New Roman" w:cs="David"/>
          <w:sz w:val="24"/>
          <w:szCs w:val="24"/>
          <w:rtl/>
          <w:lang w:val="en-GB"/>
        </w:rPr>
        <w:t xml:space="preserve"> </w:t>
      </w:r>
      <w:r w:rsidR="00DF1ED4" w:rsidRPr="00DF1ED4">
        <w:rPr>
          <w:rFonts w:ascii="Times New Roman" w:hAnsi="Times New Roman" w:cs="David"/>
          <w:szCs w:val="24"/>
          <w:rtl/>
          <w:lang w:val="en-GB"/>
        </w:rPr>
        <w:t xml:space="preserve">[פורסם בנבו] </w:t>
      </w:r>
      <w:r>
        <w:rPr>
          <w:rFonts w:ascii="Times New Roman" w:hAnsi="Times New Roman" w:cs="David"/>
          <w:sz w:val="24"/>
          <w:szCs w:val="24"/>
          <w:rtl/>
          <w:lang w:val="en-GB"/>
        </w:rPr>
        <w:t xml:space="preserve">(18.2.08). </w:t>
      </w:r>
    </w:p>
    <w:p w14:paraId="35137D3C"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p>
    <w:p w14:paraId="47B83911"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r>
        <w:rPr>
          <w:rFonts w:ascii="Times New Roman" w:hAnsi="Times New Roman" w:cs="David"/>
          <w:sz w:val="24"/>
          <w:szCs w:val="24"/>
          <w:rtl/>
          <w:lang w:val="en-GB"/>
        </w:rPr>
        <w:tab/>
      </w:r>
      <w:r>
        <w:rPr>
          <w:rFonts w:ascii="Times New Roman" w:hAnsi="Times New Roman" w:cs="David"/>
          <w:sz w:val="24"/>
          <w:szCs w:val="24"/>
          <w:rtl/>
          <w:lang w:val="en-GB"/>
        </w:rPr>
        <w:tab/>
        <w:t xml:space="preserve">מנגד, ואף זאת צוין לעיל, בעוד שהנאשם 1 שידל את הנאשמים 2 עד 9 להגיע לשכונה ולפצוע "בלבד"; סיכמו האחרונים – </w:t>
      </w:r>
      <w:r>
        <w:rPr>
          <w:rFonts w:ascii="Times New Roman" w:hAnsi="Times New Roman" w:cs="David"/>
          <w:sz w:val="24"/>
          <w:szCs w:val="24"/>
          <w:u w:val="single"/>
          <w:rtl/>
          <w:lang w:val="en-GB"/>
        </w:rPr>
        <w:t>ובכך פסעו שלב מהותי ומשמעותי מעבר לאותו שידול</w:t>
      </w:r>
      <w:r>
        <w:rPr>
          <w:rFonts w:ascii="Times New Roman" w:hAnsi="Times New Roman" w:cs="David"/>
          <w:sz w:val="24"/>
          <w:szCs w:val="24"/>
          <w:rtl/>
          <w:lang w:val="en-GB"/>
        </w:rPr>
        <w:t xml:space="preserve"> – </w:t>
      </w:r>
      <w:r>
        <w:rPr>
          <w:rFonts w:ascii="Times New Roman" w:hAnsi="Times New Roman" w:cs="David"/>
          <w:sz w:val="24"/>
          <w:szCs w:val="24"/>
          <w:u w:val="single"/>
          <w:rtl/>
          <w:lang w:val="en-GB"/>
        </w:rPr>
        <w:t>לירות</w:t>
      </w:r>
      <w:r>
        <w:rPr>
          <w:rFonts w:ascii="Times New Roman" w:hAnsi="Times New Roman" w:cs="David"/>
          <w:sz w:val="24"/>
          <w:szCs w:val="24"/>
          <w:rtl/>
          <w:lang w:val="en-GB"/>
        </w:rPr>
        <w:t xml:space="preserve"> באמצעות מספר כלי נשק על המתחם ועל המתגוררים בו. </w:t>
      </w:r>
    </w:p>
    <w:p w14:paraId="01722BF4"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rtl/>
          <w:lang w:val="en-GB"/>
        </w:rPr>
      </w:pPr>
    </w:p>
    <w:p w14:paraId="140CDCE6" w14:textId="77777777" w:rsidR="004C3216" w:rsidRDefault="004C3216" w:rsidP="005811E2">
      <w:pPr>
        <w:pStyle w:val="ListParagraph"/>
        <w:tabs>
          <w:tab w:val="left" w:pos="233"/>
        </w:tabs>
        <w:spacing w:after="0" w:line="360" w:lineRule="auto"/>
        <w:ind w:left="516" w:right="426" w:hanging="425"/>
        <w:jc w:val="both"/>
        <w:rPr>
          <w:rFonts w:ascii="Arial" w:hAnsi="Arial" w:cs="David"/>
          <w:sz w:val="24"/>
          <w:szCs w:val="24"/>
          <w:u w:val="single"/>
          <w:rtl/>
        </w:rPr>
      </w:pPr>
      <w:r>
        <w:rPr>
          <w:rFonts w:ascii="Times New Roman" w:hAnsi="Times New Roman" w:cs="David"/>
          <w:sz w:val="24"/>
          <w:szCs w:val="24"/>
          <w:rtl/>
          <w:lang w:val="en-GB"/>
        </w:rPr>
        <w:tab/>
      </w:r>
      <w:r>
        <w:rPr>
          <w:rFonts w:ascii="Times New Roman" w:hAnsi="Times New Roman" w:cs="David"/>
          <w:sz w:val="24"/>
          <w:szCs w:val="24"/>
          <w:rtl/>
          <w:lang w:val="en-GB"/>
        </w:rPr>
        <w:tab/>
        <w:t xml:space="preserve">לכן, חרף החומרה הברורה במעשי הנאשם 1, משלא יוחסה לו אחריות ישירה וברורה למעשי יתר הנאשמים שכללו כאמור </w:t>
      </w:r>
      <w:r>
        <w:rPr>
          <w:rFonts w:ascii="Times New Roman" w:hAnsi="Times New Roman" w:cs="David"/>
          <w:sz w:val="24"/>
          <w:szCs w:val="24"/>
          <w:u w:val="single"/>
          <w:rtl/>
          <w:lang w:val="en-GB"/>
        </w:rPr>
        <w:t>ירי לעבר המתחם וכן לעבר יושביו</w:t>
      </w:r>
      <w:r>
        <w:rPr>
          <w:rFonts w:ascii="Times New Roman" w:hAnsi="Times New Roman" w:cs="David"/>
          <w:sz w:val="24"/>
          <w:szCs w:val="24"/>
          <w:rtl/>
          <w:lang w:val="en-GB"/>
        </w:rPr>
        <w:t xml:space="preserve">, הוא ייענש רק בשל השידול שיוחס לו ולא מעבר לכך. </w:t>
      </w:r>
      <w:r>
        <w:rPr>
          <w:rFonts w:ascii="Times New Roman" w:hAnsi="Times New Roman" w:cs="David"/>
          <w:sz w:val="24"/>
          <w:szCs w:val="24"/>
          <w:u w:val="single"/>
          <w:rtl/>
          <w:lang w:val="en-GB"/>
        </w:rPr>
        <w:t>נאשם זה הורשע, כאמור, ב</w:t>
      </w:r>
      <w:r>
        <w:rPr>
          <w:rFonts w:ascii="Miriam" w:hAnsi="Miriam" w:cs="Miriam"/>
          <w:sz w:val="24"/>
          <w:szCs w:val="24"/>
          <w:u w:val="single"/>
          <w:rtl/>
        </w:rPr>
        <w:t>שידול לפציעה בנסיבות מחמירות</w:t>
      </w:r>
      <w:r>
        <w:rPr>
          <w:rFonts w:ascii="Arial" w:hAnsi="Arial" w:cs="David"/>
          <w:sz w:val="24"/>
          <w:szCs w:val="24"/>
          <w:u w:val="single"/>
          <w:rtl/>
        </w:rPr>
        <w:t xml:space="preserve">. </w:t>
      </w:r>
    </w:p>
    <w:p w14:paraId="4C83324E" w14:textId="77777777" w:rsidR="004C3216" w:rsidRDefault="004C3216" w:rsidP="005811E2">
      <w:pPr>
        <w:tabs>
          <w:tab w:val="left" w:pos="233"/>
        </w:tabs>
        <w:spacing w:line="360" w:lineRule="auto"/>
        <w:ind w:left="516" w:right="426" w:hanging="425"/>
        <w:jc w:val="both"/>
        <w:rPr>
          <w:rFonts w:ascii="Arial" w:hAnsi="Arial"/>
          <w:u w:val="single"/>
        </w:rPr>
      </w:pPr>
    </w:p>
    <w:p w14:paraId="602DBC01" w14:textId="77777777" w:rsidR="004C3216" w:rsidRDefault="004C3216" w:rsidP="005811E2">
      <w:pPr>
        <w:pStyle w:val="ListParagraph"/>
        <w:numPr>
          <w:ilvl w:val="0"/>
          <w:numId w:val="6"/>
        </w:numPr>
        <w:tabs>
          <w:tab w:val="left" w:pos="233"/>
        </w:tabs>
        <w:spacing w:after="0" w:line="360" w:lineRule="auto"/>
        <w:ind w:left="516" w:right="426" w:hanging="425"/>
        <w:jc w:val="both"/>
        <w:rPr>
          <w:rFonts w:ascii="Times New Roman" w:hAnsi="Times New Roman" w:cs="David"/>
          <w:sz w:val="24"/>
          <w:szCs w:val="24"/>
          <w:lang w:val="en-GB"/>
        </w:rPr>
      </w:pPr>
      <w:r>
        <w:rPr>
          <w:rFonts w:ascii="Times New Roman" w:hAnsi="Times New Roman" w:cs="David"/>
          <w:sz w:val="24"/>
          <w:szCs w:val="24"/>
          <w:rtl/>
          <w:lang w:val="en-GB"/>
        </w:rPr>
        <w:t xml:space="preserve"> </w:t>
      </w:r>
      <w:r>
        <w:rPr>
          <w:rFonts w:ascii="Times New Roman" w:hAnsi="Times New Roman" w:cs="David"/>
          <w:sz w:val="24"/>
          <w:szCs w:val="24"/>
          <w:u w:val="single"/>
          <w:rtl/>
          <w:lang w:val="en-GB"/>
        </w:rPr>
        <w:t>לגבי יתר הנאשמים</w:t>
      </w:r>
      <w:r>
        <w:rPr>
          <w:rFonts w:ascii="Times New Roman" w:hAnsi="Times New Roman" w:cs="David"/>
          <w:sz w:val="24"/>
          <w:szCs w:val="24"/>
          <w:rtl/>
          <w:lang w:val="en-GB"/>
        </w:rPr>
        <w:t>, צוין כאמור כי הם "סיכמו" לנקום בבני משפחת תורכי ו</w:t>
      </w:r>
      <w:r>
        <w:rPr>
          <w:rFonts w:ascii="Times New Roman" w:hAnsi="Times New Roman" w:cs="David"/>
          <w:sz w:val="24"/>
          <w:szCs w:val="24"/>
          <w:u w:val="single"/>
          <w:rtl/>
          <w:lang w:val="en-GB"/>
        </w:rPr>
        <w:t>לירות באמצעות מספר כלי נשק על המתחם ועל המתגוררים בו ולפגוע בהם</w:t>
      </w:r>
      <w:r>
        <w:rPr>
          <w:rFonts w:ascii="Times New Roman" w:hAnsi="Times New Roman" w:cs="David"/>
          <w:sz w:val="24"/>
          <w:szCs w:val="24"/>
          <w:rtl/>
          <w:lang w:val="en-GB"/>
        </w:rPr>
        <w:t xml:space="preserve">.  </w:t>
      </w:r>
    </w:p>
    <w:p w14:paraId="55925677" w14:textId="77777777" w:rsidR="004C3216" w:rsidRDefault="004C3216" w:rsidP="005811E2">
      <w:pPr>
        <w:pStyle w:val="ListParagraph"/>
        <w:tabs>
          <w:tab w:val="left" w:pos="233"/>
        </w:tabs>
        <w:spacing w:after="0" w:line="360" w:lineRule="auto"/>
        <w:ind w:left="516" w:right="426" w:hanging="425"/>
        <w:jc w:val="both"/>
        <w:rPr>
          <w:rFonts w:ascii="Times New Roman" w:hAnsi="Times New Roman" w:cs="David"/>
          <w:sz w:val="24"/>
          <w:szCs w:val="24"/>
          <w:lang w:val="en-GB"/>
        </w:rPr>
      </w:pPr>
    </w:p>
    <w:p w14:paraId="6A0C06D8" w14:textId="77777777" w:rsidR="004C3216" w:rsidRDefault="004C3216" w:rsidP="005811E2">
      <w:pPr>
        <w:pStyle w:val="ListParagraph"/>
        <w:numPr>
          <w:ilvl w:val="0"/>
          <w:numId w:val="6"/>
        </w:numPr>
        <w:tabs>
          <w:tab w:val="left" w:pos="233"/>
        </w:tabs>
        <w:spacing w:after="0" w:line="360" w:lineRule="auto"/>
        <w:ind w:left="516" w:right="426" w:hanging="425"/>
        <w:jc w:val="both"/>
        <w:rPr>
          <w:rFonts w:ascii="Times New Roman" w:hAnsi="Times New Roman" w:cs="David"/>
          <w:sz w:val="24"/>
          <w:szCs w:val="24"/>
          <w:lang w:val="en-GB"/>
        </w:rPr>
      </w:pPr>
      <w:r>
        <w:rPr>
          <w:rFonts w:ascii="Times New Roman" w:hAnsi="Times New Roman" w:cs="David"/>
          <w:sz w:val="24"/>
          <w:szCs w:val="24"/>
          <w:rtl/>
          <w:lang w:val="en-GB"/>
        </w:rPr>
        <w:t xml:space="preserve">המונח "סיכמו" החליף את עבירת הקשר. ולכן, ככל שהדברים נוגעים </w:t>
      </w:r>
      <w:r>
        <w:rPr>
          <w:rFonts w:ascii="Times New Roman" w:hAnsi="Times New Roman" w:cs="David"/>
          <w:sz w:val="24"/>
          <w:szCs w:val="24"/>
          <w:u w:val="single"/>
          <w:rtl/>
          <w:lang w:val="en-GB"/>
        </w:rPr>
        <w:t>לנאשם 5</w:t>
      </w:r>
      <w:r>
        <w:rPr>
          <w:rFonts w:ascii="Times New Roman" w:hAnsi="Times New Roman" w:cs="David"/>
          <w:sz w:val="24"/>
          <w:szCs w:val="24"/>
          <w:rtl/>
          <w:lang w:val="en-GB"/>
        </w:rPr>
        <w:t xml:space="preserve">, שהורשע בעבירת </w:t>
      </w:r>
      <w:r>
        <w:rPr>
          <w:rFonts w:ascii="Times New Roman" w:hAnsi="Times New Roman" w:cs="David"/>
          <w:sz w:val="24"/>
          <w:szCs w:val="24"/>
          <w:u w:val="single"/>
          <w:rtl/>
          <w:lang w:val="en-GB"/>
        </w:rPr>
        <w:t>איומים</w:t>
      </w:r>
      <w:r>
        <w:rPr>
          <w:rFonts w:ascii="Times New Roman" w:hAnsi="Times New Roman" w:cs="David"/>
          <w:sz w:val="24"/>
          <w:szCs w:val="24"/>
          <w:rtl/>
          <w:lang w:val="en-GB"/>
        </w:rPr>
        <w:t xml:space="preserve"> בלבד, לא אזקוף לחובתו את החזקת הנשק או השימוש בו. יחד עם זאת, לא ניתן יהיה להתעלם מהנסיבות הכוללות של האירוע, להן היה מודע בהיותו אחד מאלה ש"צר" על המתחם בעוד יתר הנאשמים הרלוונטיים יורים לעברו. כאמור, נאשם זה פנה בצעקות וגידופים לבני משפחת המנוחה ששהו במתחם ואיים עליהם בכוונה להפחידם, כי יחנכו אותם וקרא להם לצאת מהמתחם. אין מדובר אם כן ב"סתם" עבירת איומים בנסיבות "רגילות", שהעונש בגינה הינו בד"כ צופה פני עתיד, אלא באיומים "תחת אש", תרתי משמע, המכוונת כלפי מושאי האיום. </w:t>
      </w:r>
    </w:p>
    <w:p w14:paraId="6A6F70B8" w14:textId="77777777" w:rsidR="004C3216" w:rsidRDefault="004C3216" w:rsidP="005811E2">
      <w:pPr>
        <w:pStyle w:val="ListParagraph"/>
        <w:spacing w:after="0" w:line="360" w:lineRule="auto"/>
        <w:ind w:left="516" w:right="426" w:hanging="425"/>
        <w:rPr>
          <w:rFonts w:ascii="Times New Roman" w:hAnsi="Times New Roman" w:cs="David"/>
          <w:sz w:val="24"/>
          <w:szCs w:val="24"/>
          <w:lang w:val="en-GB"/>
        </w:rPr>
      </w:pPr>
    </w:p>
    <w:p w14:paraId="50444465"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Times New Roman" w:hAnsi="Times New Roman" w:cs="David"/>
          <w:sz w:val="24"/>
          <w:szCs w:val="24"/>
          <w:rtl/>
          <w:lang w:val="en-GB"/>
        </w:rPr>
      </w:pPr>
      <w:r>
        <w:rPr>
          <w:rFonts w:ascii="Times New Roman" w:hAnsi="Times New Roman" w:cs="David"/>
          <w:sz w:val="24"/>
          <w:szCs w:val="24"/>
          <w:u w:val="single"/>
          <w:rtl/>
          <w:lang w:val="en-GB"/>
        </w:rPr>
        <w:t>כלל הנאשמים, למעט הנאשמים 1 ו 5 שחלקם נדון לעיל, הורשעו בעבירות נשק</w:t>
      </w:r>
      <w:r>
        <w:rPr>
          <w:rFonts w:ascii="Times New Roman" w:hAnsi="Times New Roman" w:cs="David"/>
          <w:sz w:val="24"/>
          <w:szCs w:val="24"/>
          <w:rtl/>
          <w:lang w:val="en-GB"/>
        </w:rPr>
        <w:t xml:space="preserve">: הנאשמים 2, 3, 6, 7 ו 8 הובילו ונשאו 6 כלי נשק לכל הפחות, בהם 4 אקדחים ושני תתי מקלע מאולתרים וכן תחמושת לכלי הנשק, כאשר כל אחד מהם החזיק הוביל ונשא נשק (אחד) מתוך הנשקים הנ"ל; ואילו הנאשמים 4 ו 9 </w:t>
      </w:r>
      <w:r>
        <w:rPr>
          <w:rFonts w:ascii="Times New Roman" w:hAnsi="Times New Roman" w:cs="David"/>
          <w:sz w:val="24"/>
          <w:szCs w:val="24"/>
          <w:u w:val="single"/>
          <w:rtl/>
          <w:lang w:val="en-GB"/>
        </w:rPr>
        <w:t>סייעו</w:t>
      </w:r>
      <w:r>
        <w:rPr>
          <w:rFonts w:ascii="Times New Roman" w:hAnsi="Times New Roman" w:cs="David"/>
          <w:sz w:val="24"/>
          <w:szCs w:val="24"/>
          <w:rtl/>
          <w:lang w:val="en-GB"/>
        </w:rPr>
        <w:t xml:space="preserve"> לנאשמים לעיל בהחזקת כלי הנשק והתחמושת בעצם הגעתם המשותפת עמם לזירה, בחיזוק ידיהם ואבטחת מעשיהם. </w:t>
      </w:r>
      <w:r>
        <w:rPr>
          <w:rFonts w:ascii="David" w:hAnsi="David" w:cs="David"/>
          <w:sz w:val="24"/>
          <w:szCs w:val="24"/>
          <w:rtl/>
        </w:rPr>
        <w:t xml:space="preserve">בנוסף, </w:t>
      </w:r>
      <w:r>
        <w:rPr>
          <w:rFonts w:ascii="Times New Roman" w:hAnsi="Times New Roman" w:cs="David"/>
          <w:sz w:val="24"/>
          <w:szCs w:val="24"/>
          <w:rtl/>
          <w:lang w:val="en-GB"/>
        </w:rPr>
        <w:t>נאשמים אלה צרו בצוותא חדא על המתחם, התמקמו במקומות שונים ומשתנים סביב המתחם, כאשר:</w:t>
      </w:r>
    </w:p>
    <w:p w14:paraId="6600B2B4" w14:textId="77777777" w:rsidR="004C3216" w:rsidRDefault="004C3216" w:rsidP="005811E2">
      <w:pPr>
        <w:pStyle w:val="ListParagraph"/>
        <w:spacing w:after="0" w:line="360" w:lineRule="auto"/>
        <w:ind w:left="516" w:right="426" w:hanging="425"/>
        <w:rPr>
          <w:rFonts w:ascii="Times New Roman" w:hAnsi="Times New Roman" w:cs="David"/>
          <w:sz w:val="24"/>
          <w:szCs w:val="24"/>
          <w:lang w:val="en-GB"/>
        </w:rPr>
      </w:pPr>
    </w:p>
    <w:p w14:paraId="43D47F54"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Times New Roman" w:hAnsi="Times New Roman" w:cs="David"/>
          <w:sz w:val="24"/>
          <w:szCs w:val="24"/>
          <w:rtl/>
          <w:lang w:val="en-GB"/>
        </w:rPr>
        <w:t xml:space="preserve"> </w:t>
      </w:r>
      <w:r>
        <w:rPr>
          <w:rFonts w:ascii="Times New Roman" w:hAnsi="Times New Roman" w:cs="David"/>
          <w:sz w:val="24"/>
          <w:szCs w:val="24"/>
          <w:u w:val="single"/>
          <w:rtl/>
          <w:lang w:val="en-GB"/>
        </w:rPr>
        <w:t>הנאשם 3</w:t>
      </w:r>
      <w:r>
        <w:rPr>
          <w:rFonts w:ascii="Times New Roman" w:hAnsi="Times New Roman" w:cs="David"/>
          <w:sz w:val="24"/>
          <w:szCs w:val="24"/>
          <w:rtl/>
          <w:lang w:val="en-GB"/>
        </w:rPr>
        <w:t xml:space="preserve"> נכנס לתוך חצר המתחם וירה משם באמצעות הנשק שנשא </w:t>
      </w:r>
      <w:r>
        <w:rPr>
          <w:rFonts w:ascii="Times New Roman" w:hAnsi="Times New Roman" w:cs="David"/>
          <w:sz w:val="24"/>
          <w:szCs w:val="24"/>
          <w:u w:val="single"/>
          <w:rtl/>
          <w:lang w:val="en-GB"/>
        </w:rPr>
        <w:t>לעבר בתיהם של המנוחה, פריד ומוסטפא, בכוונה לפגוע בדרי המתחם</w:t>
      </w:r>
      <w:r>
        <w:rPr>
          <w:rFonts w:ascii="Times New Roman" w:hAnsi="Times New Roman" w:cs="David"/>
          <w:sz w:val="24"/>
          <w:szCs w:val="24"/>
          <w:rtl/>
          <w:lang w:val="en-GB"/>
        </w:rPr>
        <w:t xml:space="preserve">. </w:t>
      </w:r>
    </w:p>
    <w:p w14:paraId="4A258E7C" w14:textId="77777777" w:rsidR="004C3216" w:rsidRDefault="004C3216" w:rsidP="005811E2">
      <w:pPr>
        <w:pStyle w:val="ListParagraph"/>
        <w:rPr>
          <w:rFonts w:ascii="Times New Roman" w:hAnsi="Times New Roman" w:cs="David"/>
          <w:sz w:val="24"/>
          <w:szCs w:val="24"/>
          <w:lang w:val="en-GB"/>
        </w:rPr>
      </w:pPr>
    </w:p>
    <w:p w14:paraId="1DD80424" w14:textId="77777777" w:rsidR="004C3216" w:rsidRDefault="004C3216" w:rsidP="005811E2">
      <w:pPr>
        <w:pStyle w:val="ListParagraph"/>
        <w:tabs>
          <w:tab w:val="left" w:pos="516"/>
        </w:tabs>
        <w:spacing w:after="0" w:line="360" w:lineRule="auto"/>
        <w:ind w:left="516" w:right="426"/>
        <w:jc w:val="both"/>
        <w:rPr>
          <w:rFonts w:ascii="Arial" w:hAnsi="Arial" w:cs="David"/>
          <w:sz w:val="24"/>
          <w:szCs w:val="24"/>
          <w:rtl/>
        </w:rPr>
      </w:pPr>
      <w:r>
        <w:rPr>
          <w:rFonts w:ascii="Times New Roman" w:hAnsi="Times New Roman" w:cs="David"/>
          <w:sz w:val="24"/>
          <w:szCs w:val="24"/>
          <w:rtl/>
          <w:lang w:val="en-GB"/>
        </w:rPr>
        <w:t xml:space="preserve">כתוצאה מהירי שביצע, נפגעה המנוחה ונפחה את נשמתה. בנוסף, נפגע מהירי פריד בירך ימין. הנאשם 3, שחלקו היה המרכזי והקטלני מבין כלל הנאשמים, הורשע </w:t>
      </w:r>
      <w:r>
        <w:rPr>
          <w:rFonts w:ascii="Miriam" w:hAnsi="Miriam" w:cs="Miriam"/>
          <w:sz w:val="24"/>
          <w:szCs w:val="24"/>
          <w:rtl/>
        </w:rPr>
        <w:t>בעבירות נשק; בהריגת המנוחה</w:t>
      </w:r>
      <w:r>
        <w:rPr>
          <w:rFonts w:ascii="David" w:hAnsi="David" w:cs="David"/>
          <w:sz w:val="24"/>
          <w:szCs w:val="24"/>
          <w:rtl/>
        </w:rPr>
        <w:t>, וכן ב</w:t>
      </w:r>
      <w:r>
        <w:rPr>
          <w:rFonts w:ascii="Miriam" w:hAnsi="Miriam" w:cs="Miriam"/>
          <w:sz w:val="24"/>
          <w:szCs w:val="24"/>
          <w:rtl/>
        </w:rPr>
        <w:t>חבלה בכוונה מחמירה</w:t>
      </w:r>
      <w:r>
        <w:rPr>
          <w:rFonts w:ascii="David" w:hAnsi="David" w:cs="David"/>
          <w:sz w:val="24"/>
          <w:szCs w:val="24"/>
          <w:rtl/>
        </w:rPr>
        <w:t>, ביחס לפציעת פריד.</w:t>
      </w:r>
      <w:r>
        <w:rPr>
          <w:rFonts w:ascii="Arial" w:hAnsi="Arial" w:cs="David"/>
          <w:sz w:val="24"/>
          <w:szCs w:val="24"/>
          <w:rtl/>
        </w:rPr>
        <w:t xml:space="preserve"> </w:t>
      </w:r>
    </w:p>
    <w:p w14:paraId="03238B6F" w14:textId="77777777" w:rsidR="004C3216" w:rsidRDefault="004C3216" w:rsidP="005811E2">
      <w:pPr>
        <w:pStyle w:val="ListParagraph"/>
        <w:spacing w:after="0" w:line="360" w:lineRule="auto"/>
        <w:ind w:left="516" w:right="426" w:hanging="425"/>
        <w:rPr>
          <w:rFonts w:ascii="Arial" w:hAnsi="Arial" w:cs="David"/>
          <w:sz w:val="24"/>
          <w:szCs w:val="24"/>
        </w:rPr>
      </w:pPr>
    </w:p>
    <w:p w14:paraId="05A8D734"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 xml:space="preserve">דומה שמרבית השיקולים לחומרה כבר צוינו לעיל בעניינו של נאשם זה. יחד עם זאת אפנה לכך כי נאשם זה לא רק ירה על המתחם ויושביו כשהוא מצוי מחוצה לו (כנאשמים 7 ו 8), אלא גם פעל ביתר עזות מצח ומסוכנות בכך שנכנס </w:t>
      </w:r>
      <w:r>
        <w:rPr>
          <w:rFonts w:ascii="Arial" w:hAnsi="Arial" w:cs="David"/>
          <w:sz w:val="24"/>
          <w:szCs w:val="24"/>
          <w:u w:val="single"/>
          <w:rtl/>
        </w:rPr>
        <w:t>לתוך חצר המתחם וירה מטווח של מטרים ספורים לעבר בתי המתחם והכל מתוך כוונה לפגוע בדרי המתחם</w:t>
      </w:r>
      <w:r>
        <w:rPr>
          <w:rFonts w:ascii="Arial" w:hAnsi="Arial" w:cs="David"/>
          <w:sz w:val="24"/>
          <w:szCs w:val="24"/>
          <w:rtl/>
        </w:rPr>
        <w:t xml:space="preserve">. </w:t>
      </w:r>
    </w:p>
    <w:p w14:paraId="39548A02" w14:textId="77777777" w:rsidR="004C3216" w:rsidRDefault="004C3216" w:rsidP="005811E2">
      <w:pPr>
        <w:pStyle w:val="ListParagraph"/>
        <w:spacing w:after="0" w:line="360" w:lineRule="auto"/>
        <w:ind w:left="516" w:right="426" w:hanging="425"/>
        <w:rPr>
          <w:rFonts w:ascii="Arial" w:hAnsi="Arial" w:cs="David"/>
          <w:sz w:val="24"/>
          <w:szCs w:val="24"/>
        </w:rPr>
      </w:pPr>
    </w:p>
    <w:p w14:paraId="7B3F4E53"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 xml:space="preserve">לכן, ומבלי להפחית בחומרת מעשי יתר הנאשמים ובפרט אלא שירו לעבר בתי המתחם, קיים הבדל "איכותי" (לרעה) בכניסתו של נאשם זה לחצר המתחם והירי מטווח קרוב לעבר הבית ולעבר יושביו. </w:t>
      </w:r>
    </w:p>
    <w:p w14:paraId="46ACAE61" w14:textId="77777777" w:rsidR="004C3216" w:rsidRDefault="004C3216" w:rsidP="005811E2">
      <w:pPr>
        <w:pStyle w:val="ListParagraph"/>
        <w:spacing w:after="0" w:line="360" w:lineRule="auto"/>
        <w:ind w:left="516" w:right="426" w:hanging="425"/>
        <w:rPr>
          <w:rFonts w:ascii="Arial" w:hAnsi="Arial" w:cs="David"/>
          <w:sz w:val="24"/>
          <w:szCs w:val="24"/>
        </w:rPr>
      </w:pPr>
    </w:p>
    <w:p w14:paraId="69AA8C30"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 xml:space="preserve">אפנה בנדון לפרק בו דנתי בתיקון 137 לעיל ולמשמעות מעשיו של הנאשם 3 בהקשר זה – מדובר במי שהיה אדיש לחיי הזולת, ובמקרה דנן מדובר בבני משפחתו המורחבת. </w:t>
      </w:r>
    </w:p>
    <w:p w14:paraId="4ED0FC2E"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p>
    <w:p w14:paraId="42675C62"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 xml:space="preserve">נתון זה מהווה שיקול לחומרה שכן מי שנוהג כך כלפי בני משפחתו (שכזכור, כלל לא נטלו חלק באירוע המקדים), מהווה גם סכנה כלפי כולי עלמא. </w:t>
      </w:r>
    </w:p>
    <w:p w14:paraId="124FF61E"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p>
    <w:p w14:paraId="20A1A090"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 xml:space="preserve">מידת הפגיעה בערכים המוגנים בנדון, שהם הגנה על חיי האדם, גופו, שלומו בטחונו ורכושו, הינה גבוהה ביותר. </w:t>
      </w:r>
    </w:p>
    <w:p w14:paraId="7399689C"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p>
    <w:p w14:paraId="5F4F20A1"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 xml:space="preserve">כנסיבה לקולה בעניינו של הנאשם 3 אציין שלא נטען כי הוא היה מודע </w:t>
      </w:r>
      <w:r>
        <w:rPr>
          <w:rFonts w:ascii="Arial" w:hAnsi="Arial" w:cs="David"/>
          <w:sz w:val="24"/>
          <w:szCs w:val="24"/>
          <w:u w:val="single"/>
          <w:rtl/>
        </w:rPr>
        <w:t>בזמן אמת</w:t>
      </w:r>
      <w:r>
        <w:rPr>
          <w:rFonts w:ascii="Arial" w:hAnsi="Arial" w:cs="David"/>
          <w:sz w:val="24"/>
          <w:szCs w:val="24"/>
          <w:rtl/>
        </w:rPr>
        <w:t xml:space="preserve"> לתוצאות מעשיו, קרי - לכך שהקליע שירה גרם למותה של המנוחה. כאמור, האירוע כלל ירי מאסיבי מצד רבים, ומשלא נטענה עובדה זו, אניח כי כאשר הנאשם 3 המשיך בירי ופגע בפריד, טרם נודע לו שזמן קצר לפני כן הוא גרם למות המנוחה. </w:t>
      </w:r>
    </w:p>
    <w:p w14:paraId="79A3B958"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Pr>
      </w:pPr>
    </w:p>
    <w:p w14:paraId="190A64A6"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Pr>
      </w:pPr>
      <w:r>
        <w:rPr>
          <w:rFonts w:ascii="Arial" w:hAnsi="Arial" w:cs="David"/>
          <w:sz w:val="24"/>
          <w:szCs w:val="24"/>
          <w:rtl/>
        </w:rPr>
        <w:t xml:space="preserve">בהקשר לעיל אעיר, כי במסגרת טיעוני הנאשם 3 לעונש נטען כי אלמלא הודייתו בהריגת המנוחה ספק אם המאשימה היתה מוכיחה מי היה זה שירה את הירי הקטלני. </w:t>
      </w:r>
    </w:p>
    <w:p w14:paraId="3EC3FB90" w14:textId="77777777" w:rsidR="004C3216" w:rsidRDefault="004C3216" w:rsidP="005811E2">
      <w:pPr>
        <w:pStyle w:val="ListParagraph"/>
        <w:spacing w:after="0" w:line="360" w:lineRule="auto"/>
        <w:ind w:left="516" w:right="426"/>
        <w:rPr>
          <w:rFonts w:ascii="Arial" w:hAnsi="Arial" w:cs="David"/>
          <w:sz w:val="24"/>
          <w:szCs w:val="24"/>
        </w:rPr>
      </w:pPr>
    </w:p>
    <w:p w14:paraId="7F96932F" w14:textId="77777777" w:rsidR="004C3216" w:rsidRDefault="004C3216" w:rsidP="005811E2">
      <w:pPr>
        <w:pStyle w:val="ListParagraph"/>
        <w:tabs>
          <w:tab w:val="left" w:pos="516"/>
        </w:tabs>
        <w:spacing w:after="0" w:line="360" w:lineRule="auto"/>
        <w:ind w:left="516" w:right="426"/>
        <w:jc w:val="both"/>
        <w:rPr>
          <w:rFonts w:ascii="Arial" w:hAnsi="Arial" w:cs="David"/>
          <w:sz w:val="24"/>
          <w:szCs w:val="24"/>
          <w:rtl/>
        </w:rPr>
      </w:pPr>
      <w:r>
        <w:rPr>
          <w:rFonts w:ascii="Arial" w:hAnsi="Arial" w:cs="David"/>
          <w:sz w:val="24"/>
          <w:szCs w:val="24"/>
          <w:rtl/>
        </w:rPr>
        <w:t xml:space="preserve">מדובר בטענה שיש לדחות מכל וכל. משהודה הנאשם 3 בעובדות כתב האישום המתוקן (וחזר והבהיר זאת בטיעוניו לעונש וכן בדבריו במסגרת "המילה האחרונה") לא ניתן לדבר בשני קולות – גם לקבל אחריות וגם לפזר ערפל בנדון. </w:t>
      </w:r>
    </w:p>
    <w:p w14:paraId="4E99640A" w14:textId="77777777" w:rsidR="004C3216" w:rsidRDefault="004C3216" w:rsidP="005811E2">
      <w:pPr>
        <w:pStyle w:val="ListParagraph"/>
        <w:spacing w:after="0" w:line="360" w:lineRule="auto"/>
        <w:ind w:left="516" w:right="426"/>
        <w:rPr>
          <w:rFonts w:ascii="Arial" w:hAnsi="Arial" w:cs="David"/>
          <w:sz w:val="24"/>
          <w:szCs w:val="24"/>
        </w:rPr>
      </w:pPr>
    </w:p>
    <w:p w14:paraId="6D9FB81C"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יוזכר, כי כלל הנאשמים הואשמו בתחילה בעבירת הריגה ואין חולק כי מבחינה הדין, יכול נאשם להיות מורשע בעבירת הריגה אף אם לא הוא שגרם לקטילה בפועל (ור' לדוגמה האמור ב</w:t>
      </w:r>
      <w:hyperlink r:id="rId126" w:history="1">
        <w:r w:rsidR="008B74B3" w:rsidRPr="008B74B3">
          <w:rPr>
            <w:rFonts w:ascii="Arial" w:hAnsi="Arial" w:cs="David"/>
            <w:color w:val="0000FF"/>
            <w:sz w:val="24"/>
            <w:szCs w:val="24"/>
            <w:u w:val="single"/>
            <w:rtl/>
          </w:rPr>
          <w:t>ע"פ 1475/15</w:t>
        </w:r>
      </w:hyperlink>
      <w:r>
        <w:rPr>
          <w:rFonts w:ascii="Arial" w:hAnsi="Arial" w:cs="David"/>
          <w:sz w:val="24"/>
          <w:szCs w:val="24"/>
          <w:rtl/>
        </w:rPr>
        <w:t xml:space="preserve"> </w:t>
      </w:r>
      <w:r>
        <w:rPr>
          <w:rFonts w:ascii="Miriam" w:hAnsi="Miriam" w:cs="Miriam"/>
          <w:sz w:val="24"/>
          <w:szCs w:val="24"/>
          <w:rtl/>
        </w:rPr>
        <w:t>פלוני נ' מדינת ישראל</w:t>
      </w:r>
      <w:r>
        <w:rPr>
          <w:rFonts w:ascii="Arial" w:hAnsi="Arial" w:cs="David"/>
          <w:sz w:val="24"/>
          <w:szCs w:val="24"/>
          <w:rtl/>
        </w:rPr>
        <w:t xml:space="preserve"> </w:t>
      </w:r>
      <w:r w:rsidR="00DF1ED4" w:rsidRPr="00DF1ED4">
        <w:rPr>
          <w:rFonts w:ascii="Times New Roman" w:hAnsi="Times New Roman" w:cs="David"/>
          <w:szCs w:val="24"/>
          <w:rtl/>
        </w:rPr>
        <w:t xml:space="preserve">[פורסם בנבו] </w:t>
      </w:r>
      <w:r>
        <w:rPr>
          <w:rFonts w:ascii="Arial" w:hAnsi="Arial" w:cs="David"/>
          <w:sz w:val="24"/>
          <w:szCs w:val="24"/>
          <w:rtl/>
        </w:rPr>
        <w:t xml:space="preserve">(15.3.15); </w:t>
      </w:r>
      <w:hyperlink r:id="rId127" w:history="1">
        <w:r w:rsidR="008B74B3" w:rsidRPr="008B74B3">
          <w:rPr>
            <w:rFonts w:ascii="Arial" w:hAnsi="Arial" w:cs="David"/>
            <w:color w:val="0000FF"/>
            <w:sz w:val="24"/>
            <w:szCs w:val="24"/>
            <w:u w:val="single"/>
            <w:rtl/>
          </w:rPr>
          <w:t>ע"פ 5022/01 מדינת ישראל נ' אטיאס, פ"ד נא</w:t>
        </w:r>
      </w:hyperlink>
      <w:r>
        <w:rPr>
          <w:rFonts w:ascii="Arial" w:hAnsi="Arial" w:cs="David"/>
          <w:sz w:val="24"/>
          <w:szCs w:val="24"/>
          <w:rtl/>
        </w:rPr>
        <w:t xml:space="preserve">(1) 856). </w:t>
      </w:r>
    </w:p>
    <w:p w14:paraId="2366FA44"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p>
    <w:p w14:paraId="409BD25A" w14:textId="77777777" w:rsidR="004C3216" w:rsidRDefault="004C3216" w:rsidP="005811E2">
      <w:pPr>
        <w:pStyle w:val="ListParagraph"/>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ab/>
        <w:t xml:space="preserve">משמע, טענת הנאשם 3 הינה חרב פיפיות שכן לו היה המשפט מתנהל עד תום ייתכן (וייתכן בלבד, זאת לא נדע) שלא רק הוא אלא גם נאשמים נוספים היו מורשעים באחריות למות המנוחה. משכך, אין מקום ל"משחקי אילו"; לא היה מקום להעלות את הטענה לעיל; ובסופו של יום הנאשם 3 (והוא בלבד) הורשע, על פי הודייתו, בהריגת המנוחה. הא ותו לא, בלי "אבל" ובלי "אילו..". </w:t>
      </w:r>
    </w:p>
    <w:p w14:paraId="34E1A3C2" w14:textId="77777777" w:rsidR="004C3216" w:rsidRDefault="004C3216" w:rsidP="005811E2">
      <w:pPr>
        <w:pStyle w:val="ListParagraph"/>
        <w:spacing w:after="0" w:line="360" w:lineRule="auto"/>
        <w:ind w:left="516" w:right="426" w:hanging="425"/>
        <w:rPr>
          <w:rFonts w:ascii="Arial" w:hAnsi="Arial" w:cs="David"/>
          <w:sz w:val="24"/>
          <w:szCs w:val="24"/>
        </w:rPr>
      </w:pPr>
    </w:p>
    <w:p w14:paraId="4F5413E1"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Arial" w:hAnsi="Arial" w:cs="David"/>
          <w:sz w:val="24"/>
          <w:szCs w:val="24"/>
          <w:rtl/>
        </w:rPr>
      </w:pPr>
      <w:r>
        <w:rPr>
          <w:rFonts w:ascii="Arial" w:hAnsi="Arial" w:cs="David"/>
          <w:sz w:val="24"/>
          <w:szCs w:val="24"/>
          <w:rtl/>
        </w:rPr>
        <w:t xml:space="preserve">עוד יוער בהקשר לנאשם 3, כי הריגת המנוחה והחבלה בפריד מהווים "אירוע" אחד ומשהיתה בנדון הסכמה בין הצדדים, וזו כאמור אף עמדתי, לא ארחיב בנדון. </w:t>
      </w:r>
    </w:p>
    <w:p w14:paraId="678B86BD" w14:textId="77777777" w:rsidR="004C3216" w:rsidRDefault="004C3216" w:rsidP="005811E2">
      <w:pPr>
        <w:pStyle w:val="ListParagraph"/>
        <w:spacing w:after="0" w:line="360" w:lineRule="auto"/>
        <w:ind w:left="516" w:right="426" w:hanging="425"/>
        <w:rPr>
          <w:rFonts w:ascii="Arial" w:hAnsi="Arial" w:cs="David"/>
          <w:sz w:val="24"/>
          <w:szCs w:val="24"/>
        </w:rPr>
      </w:pPr>
    </w:p>
    <w:p w14:paraId="6EBCDEFE"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David" w:hAnsi="David" w:cs="David"/>
          <w:sz w:val="24"/>
          <w:szCs w:val="24"/>
          <w:rtl/>
        </w:rPr>
      </w:pPr>
      <w:r>
        <w:rPr>
          <w:rFonts w:ascii="Times New Roman" w:hAnsi="Times New Roman" w:cs="David"/>
          <w:sz w:val="24"/>
          <w:szCs w:val="24"/>
          <w:u w:val="single"/>
          <w:rtl/>
          <w:lang w:val="en-GB"/>
        </w:rPr>
        <w:t>הנאשמים 7 ו 8</w:t>
      </w:r>
      <w:r>
        <w:rPr>
          <w:rFonts w:ascii="Times New Roman" w:hAnsi="Times New Roman" w:cs="David"/>
          <w:sz w:val="24"/>
          <w:szCs w:val="24"/>
          <w:rtl/>
          <w:lang w:val="en-GB"/>
        </w:rPr>
        <w:t xml:space="preserve"> התמקמו סביב פתחי המתחם וירו משם באמצעות הנשקים שנשאו </w:t>
      </w:r>
      <w:r>
        <w:rPr>
          <w:rFonts w:ascii="Times New Roman" w:hAnsi="Times New Roman" w:cs="David"/>
          <w:sz w:val="24"/>
          <w:szCs w:val="24"/>
          <w:u w:val="single"/>
          <w:rtl/>
          <w:lang w:val="en-GB"/>
        </w:rPr>
        <w:t>על בתיהם</w:t>
      </w:r>
      <w:r>
        <w:rPr>
          <w:rFonts w:ascii="Times New Roman" w:hAnsi="Times New Roman" w:cs="David"/>
          <w:sz w:val="24"/>
          <w:szCs w:val="24"/>
          <w:rtl/>
          <w:lang w:val="en-GB"/>
        </w:rPr>
        <w:t xml:space="preserve"> של המנוחה, פריד ומוסטפא. נאשמים אלה הורשעו ב</w:t>
      </w:r>
      <w:r>
        <w:rPr>
          <w:rFonts w:ascii="Miriam" w:hAnsi="Miriam" w:cs="Miriam"/>
          <w:sz w:val="24"/>
          <w:szCs w:val="24"/>
          <w:rtl/>
        </w:rPr>
        <w:t>עבירות בנשק (החזקה ונשיאה)</w:t>
      </w:r>
      <w:r>
        <w:rPr>
          <w:rFonts w:ascii="Arial" w:hAnsi="Arial" w:cs="David"/>
          <w:sz w:val="24"/>
          <w:szCs w:val="24"/>
          <w:rtl/>
        </w:rPr>
        <w:t xml:space="preserve"> וב</w:t>
      </w:r>
      <w:r>
        <w:rPr>
          <w:rFonts w:ascii="Miriam" w:hAnsi="Miriam" w:cs="Miriam"/>
          <w:sz w:val="24"/>
          <w:szCs w:val="24"/>
          <w:rtl/>
        </w:rPr>
        <w:t>ניסיון לגרום פציעה בנסיבות מחמירות</w:t>
      </w:r>
      <w:r>
        <w:rPr>
          <w:rFonts w:ascii="David" w:hAnsi="David" w:cs="David"/>
          <w:sz w:val="24"/>
          <w:szCs w:val="24"/>
          <w:rtl/>
        </w:rPr>
        <w:t xml:space="preserve">. </w:t>
      </w:r>
    </w:p>
    <w:p w14:paraId="5EC3AA69" w14:textId="77777777" w:rsidR="004C3216" w:rsidRDefault="004C3216" w:rsidP="005811E2">
      <w:pPr>
        <w:pStyle w:val="ListParagraph"/>
        <w:spacing w:after="0" w:line="360" w:lineRule="auto"/>
        <w:ind w:left="516" w:right="426" w:hanging="425"/>
        <w:rPr>
          <w:rFonts w:ascii="David" w:hAnsi="David" w:cs="David"/>
          <w:sz w:val="24"/>
          <w:szCs w:val="24"/>
        </w:rPr>
      </w:pPr>
    </w:p>
    <w:p w14:paraId="136D6CF7" w14:textId="77777777" w:rsidR="004C3216" w:rsidRDefault="004C3216" w:rsidP="005811E2">
      <w:pPr>
        <w:pStyle w:val="ListParagraph"/>
        <w:numPr>
          <w:ilvl w:val="0"/>
          <w:numId w:val="6"/>
        </w:numPr>
        <w:tabs>
          <w:tab w:val="left" w:pos="516"/>
        </w:tabs>
        <w:spacing w:after="0" w:line="360" w:lineRule="auto"/>
        <w:ind w:left="516" w:right="426" w:hanging="425"/>
        <w:jc w:val="both"/>
        <w:rPr>
          <w:rFonts w:ascii="David" w:hAnsi="David" w:cs="David"/>
          <w:sz w:val="24"/>
          <w:szCs w:val="24"/>
          <w:rtl/>
        </w:rPr>
      </w:pPr>
      <w:r>
        <w:rPr>
          <w:rFonts w:ascii="David" w:hAnsi="David" w:cs="David"/>
          <w:sz w:val="24"/>
          <w:szCs w:val="24"/>
          <w:rtl/>
        </w:rPr>
        <w:t xml:space="preserve">החומרה הטמונה במעשי נאשמים אלה ברורה מאליה והתייחסתי לכך לעיל. יחד עם זאת, נתתי דעתי לטענת בא כוחם כי עבירת האלימות בה הורשעו נתונה (לכשעצמה) לסמכותו העניינית של בית המשפט השלום. עוד נטען שנתון זה גם אמור להביא לבחינה קפדנית של מקרים אחרים בהם הורשעו נאשמים בירי לעבר בתים אך הורשעו, לרוב, בעבירות חמורות יותר. </w:t>
      </w:r>
    </w:p>
    <w:p w14:paraId="67FA0C01" w14:textId="77777777" w:rsidR="004C3216" w:rsidRDefault="004C3216" w:rsidP="005811E2">
      <w:pPr>
        <w:pStyle w:val="ListParagraph"/>
        <w:spacing w:after="0" w:line="360" w:lineRule="auto"/>
        <w:ind w:left="516" w:right="426"/>
        <w:rPr>
          <w:rFonts w:ascii="David" w:hAnsi="David" w:cs="David"/>
          <w:sz w:val="24"/>
          <w:szCs w:val="24"/>
        </w:rPr>
      </w:pPr>
    </w:p>
    <w:p w14:paraId="7EAB7F1E"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tl/>
          <w:lang w:val="en-GB"/>
        </w:rPr>
      </w:pPr>
      <w:r>
        <w:rPr>
          <w:rFonts w:ascii="Times New Roman" w:hAnsi="Times New Roman" w:cs="David"/>
          <w:sz w:val="24"/>
          <w:szCs w:val="24"/>
          <w:u w:val="single"/>
          <w:rtl/>
          <w:lang w:val="en-GB"/>
        </w:rPr>
        <w:t>הנאשמים 2 ו 6</w:t>
      </w:r>
      <w:r>
        <w:rPr>
          <w:rFonts w:ascii="Times New Roman" w:hAnsi="Times New Roman" w:cs="David"/>
          <w:sz w:val="24"/>
          <w:szCs w:val="24"/>
          <w:rtl/>
          <w:lang w:val="en-GB"/>
        </w:rPr>
        <w:t xml:space="preserve"> התמקמו סביב המתחם וירו באמצעות הנשקים שנשאו </w:t>
      </w:r>
      <w:r>
        <w:rPr>
          <w:rFonts w:ascii="Times New Roman" w:hAnsi="Times New Roman" w:cs="David"/>
          <w:sz w:val="24"/>
          <w:szCs w:val="24"/>
          <w:u w:val="single"/>
          <w:rtl/>
          <w:lang w:val="en-GB"/>
        </w:rPr>
        <w:t>באזור מגורים</w:t>
      </w:r>
      <w:r>
        <w:rPr>
          <w:rFonts w:ascii="Times New Roman" w:hAnsi="Times New Roman" w:cs="David"/>
          <w:sz w:val="24"/>
          <w:szCs w:val="24"/>
          <w:rtl/>
          <w:lang w:val="en-GB"/>
        </w:rPr>
        <w:t>. גם בעניין נאשמים אלה, טענו באי כוחם, בצדק מסוים, כי יש לגזור את דינם, בשים לב לעבירה בה הורשעו ולרמת הענישה הנוהגת בפסיקה במקרים דומים. מדוע בצדק מסוים בלבד? שכן מרבית המקרים ה"שכיחים" של ירי באזור מגורים אינם מאופיינים בנסיבות כה חריגות לחומרה.</w:t>
      </w:r>
    </w:p>
    <w:p w14:paraId="14388C4D" w14:textId="77777777" w:rsidR="004C3216" w:rsidRDefault="004C3216" w:rsidP="005811E2">
      <w:pPr>
        <w:spacing w:line="360" w:lineRule="auto"/>
        <w:ind w:left="516" w:right="426"/>
        <w:jc w:val="both"/>
        <w:rPr>
          <w:rFonts w:ascii="David" w:hAnsi="David"/>
          <w:u w:val="single"/>
          <w:lang w:val="en-GB"/>
        </w:rPr>
      </w:pPr>
    </w:p>
    <w:p w14:paraId="586B16C0"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8"/>
          <w:szCs w:val="28"/>
          <w:u w:val="single"/>
          <w:rtl/>
        </w:rPr>
      </w:pPr>
      <w:r>
        <w:rPr>
          <w:rFonts w:ascii="David" w:hAnsi="David" w:cs="David"/>
          <w:b/>
          <w:bCs/>
          <w:sz w:val="28"/>
          <w:szCs w:val="28"/>
          <w:u w:val="single"/>
          <w:rtl/>
        </w:rPr>
        <w:t>מדיניות הענישה הנהוגה – כללי</w:t>
      </w:r>
    </w:p>
    <w:p w14:paraId="1F54A71B"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Pr>
      </w:pPr>
      <w:r>
        <w:rPr>
          <w:rFonts w:ascii="David" w:hAnsi="David" w:cs="David"/>
          <w:sz w:val="24"/>
          <w:szCs w:val="24"/>
          <w:rtl/>
        </w:rPr>
        <w:t xml:space="preserve">התייחסותו של בית המשפט העליון לענישה שיש להשית בעבירות אלימות פרוסה על פני מאות רבות של  פסקי דין. </w:t>
      </w:r>
    </w:p>
    <w:p w14:paraId="0D9B8B1B"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23344B8C"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רבות דובר על הצורך בענישה של ממש כנגד מי שנוקטים בדרכים אלימות ועל הצורך להשיב את תחושת הביטחון לפרט ולציבור. </w:t>
      </w:r>
    </w:p>
    <w:p w14:paraId="2843114D"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2FFB8FD7"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r>
        <w:rPr>
          <w:rFonts w:ascii="David" w:hAnsi="David" w:cs="David"/>
          <w:sz w:val="24"/>
          <w:szCs w:val="24"/>
          <w:rtl/>
        </w:rPr>
        <w:t>אחת הדרכים הינה באמצעות ענישה ואפנה בנדון לאמור ב</w:t>
      </w:r>
      <w:hyperlink r:id="rId128" w:history="1">
        <w:r w:rsidR="008B74B3" w:rsidRPr="008B74B3">
          <w:rPr>
            <w:rFonts w:ascii="David" w:hAnsi="David" w:cs="David"/>
            <w:color w:val="0000FF"/>
            <w:sz w:val="24"/>
            <w:szCs w:val="24"/>
            <w:u w:val="single"/>
            <w:rtl/>
          </w:rPr>
          <w:t>ע"פ 8641/12</w:t>
        </w:r>
      </w:hyperlink>
      <w:r>
        <w:rPr>
          <w:rFonts w:ascii="David" w:hAnsi="David" w:cs="David"/>
          <w:sz w:val="24"/>
          <w:szCs w:val="24"/>
          <w:rtl/>
        </w:rPr>
        <w:t xml:space="preserve"> </w:t>
      </w:r>
      <w:r>
        <w:rPr>
          <w:rFonts w:ascii="Miriam" w:hAnsi="Miriam" w:cs="Miriam"/>
          <w:sz w:val="24"/>
          <w:szCs w:val="24"/>
          <w:rtl/>
        </w:rPr>
        <w:t>סעד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(5.8.2013), שם צוינו הדברים הבאים:</w:t>
      </w:r>
    </w:p>
    <w:p w14:paraId="60C9EEEA" w14:textId="77777777" w:rsidR="004C3216" w:rsidRDefault="004C3216" w:rsidP="005811E2">
      <w:pPr>
        <w:spacing w:line="360" w:lineRule="auto"/>
        <w:ind w:left="516" w:right="426"/>
        <w:jc w:val="both"/>
        <w:rPr>
          <w:rFonts w:ascii="David" w:hAnsi="David"/>
          <w:rtl/>
        </w:rPr>
      </w:pPr>
    </w:p>
    <w:p w14:paraId="3DDF6F9C" w14:textId="77777777" w:rsidR="004C3216" w:rsidRDefault="004C3216" w:rsidP="005811E2">
      <w:pPr>
        <w:spacing w:line="360" w:lineRule="auto"/>
        <w:ind w:left="516" w:right="426"/>
        <w:jc w:val="both"/>
        <w:rPr>
          <w:rFonts w:ascii="David" w:hAnsi="David"/>
          <w:rtl/>
        </w:rPr>
      </w:pPr>
      <w:r>
        <w:rPr>
          <w:rFonts w:ascii="David" w:hAnsi="David"/>
          <w:b/>
          <w:bCs/>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p>
    <w:p w14:paraId="3FC97D07" w14:textId="77777777" w:rsidR="004C3216" w:rsidRDefault="004C3216" w:rsidP="005811E2">
      <w:pPr>
        <w:spacing w:line="360" w:lineRule="auto"/>
        <w:ind w:left="516" w:right="426"/>
        <w:jc w:val="both"/>
        <w:rPr>
          <w:rFonts w:ascii="David" w:hAnsi="David"/>
          <w:rtl/>
        </w:rPr>
      </w:pPr>
    </w:p>
    <w:p w14:paraId="2FCE48B7" w14:textId="77777777" w:rsidR="004C3216" w:rsidRDefault="004C3216" w:rsidP="005811E2">
      <w:pPr>
        <w:spacing w:line="360" w:lineRule="auto"/>
        <w:ind w:left="516" w:right="426"/>
        <w:jc w:val="both"/>
        <w:rPr>
          <w:rFonts w:ascii="David" w:hAnsi="David"/>
          <w:rtl/>
        </w:rPr>
      </w:pPr>
      <w:r>
        <w:rPr>
          <w:rtl/>
        </w:rPr>
        <w:t xml:space="preserve">עוד אפנה </w:t>
      </w:r>
      <w:r>
        <w:rPr>
          <w:rFonts w:ascii="David" w:hAnsi="David"/>
          <w:rtl/>
        </w:rPr>
        <w:t>ל</w:t>
      </w:r>
      <w:hyperlink r:id="rId129" w:history="1">
        <w:r w:rsidR="008B74B3" w:rsidRPr="008B74B3">
          <w:rPr>
            <w:rFonts w:ascii="David" w:hAnsi="David"/>
            <w:color w:val="0000FF"/>
            <w:u w:val="single"/>
            <w:rtl/>
          </w:rPr>
          <w:t>ע"פ 32/14</w:t>
        </w:r>
      </w:hyperlink>
      <w:r>
        <w:rPr>
          <w:rFonts w:ascii="David" w:hAnsi="David"/>
          <w:rtl/>
        </w:rPr>
        <w:t xml:space="preserve"> </w:t>
      </w:r>
      <w:r>
        <w:rPr>
          <w:rFonts w:ascii="Miriam" w:hAnsi="Miriam" w:cs="Miriam"/>
          <w:rtl/>
        </w:rPr>
        <w:t>עמאש נ' מדינת ישראל</w:t>
      </w:r>
      <w:r>
        <w:rPr>
          <w:rFonts w:ascii="David" w:hAnsi="David"/>
          <w:rtl/>
        </w:rPr>
        <w:t xml:space="preserve"> </w:t>
      </w:r>
      <w:r w:rsidR="00DF1ED4" w:rsidRPr="00DF1ED4">
        <w:rPr>
          <w:sz w:val="22"/>
          <w:rtl/>
        </w:rPr>
        <w:t xml:space="preserve">[פורסם בנבו] </w:t>
      </w:r>
      <w:r>
        <w:rPr>
          <w:rFonts w:ascii="David" w:hAnsi="David"/>
          <w:rtl/>
        </w:rPr>
        <w:t>(17.9.15), שם הובאו הדברים הבאים:</w:t>
      </w:r>
    </w:p>
    <w:p w14:paraId="17C85FC9" w14:textId="77777777" w:rsidR="004C3216" w:rsidRDefault="004C3216" w:rsidP="005811E2">
      <w:pPr>
        <w:spacing w:line="360" w:lineRule="auto"/>
        <w:ind w:left="516" w:right="426"/>
        <w:jc w:val="both"/>
        <w:rPr>
          <w:rFonts w:ascii="David" w:hAnsi="David"/>
          <w:rtl/>
        </w:rPr>
      </w:pPr>
    </w:p>
    <w:p w14:paraId="7D0F6A8C" w14:textId="77777777" w:rsidR="004C3216" w:rsidRDefault="004C3216" w:rsidP="005811E2">
      <w:pPr>
        <w:spacing w:line="360" w:lineRule="auto"/>
        <w:ind w:left="516" w:right="426"/>
        <w:jc w:val="both"/>
        <w:rPr>
          <w:rFonts w:ascii="David" w:hAnsi="David"/>
          <w:b/>
          <w:bCs/>
          <w:rtl/>
        </w:rPr>
      </w:pPr>
      <w:r>
        <w:rPr>
          <w:rFonts w:ascii="David" w:hAnsi="David"/>
          <w:b/>
          <w:bCs/>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דמם של אלו אשר קיפדו את פתיל חייהם, בכללם עוברי אורח תמימים, זועק מן האדמה. אין מנוס מהטלת עונש מאסר של ממש בנסיבות אלו, גם אם מדובר באנשים נורמטיביים ללא עבר פלילי מכביד..".</w:t>
      </w:r>
    </w:p>
    <w:p w14:paraId="53777678" w14:textId="77777777" w:rsidR="004C3216" w:rsidRDefault="004C3216" w:rsidP="005811E2">
      <w:pPr>
        <w:pStyle w:val="Ruller41"/>
        <w:ind w:left="516" w:right="426"/>
        <w:rPr>
          <w:sz w:val="22"/>
          <w:rtl/>
        </w:rPr>
      </w:pPr>
    </w:p>
    <w:p w14:paraId="2908ABF1" w14:textId="77777777" w:rsidR="004C3216" w:rsidRDefault="004C3216" w:rsidP="005811E2">
      <w:pPr>
        <w:spacing w:line="360" w:lineRule="auto"/>
        <w:ind w:left="516" w:right="426"/>
        <w:jc w:val="both"/>
        <w:rPr>
          <w:rFonts w:ascii="David" w:hAnsi="David"/>
          <w:b/>
          <w:bCs/>
          <w:rtl/>
        </w:rPr>
      </w:pPr>
      <w:r>
        <w:rPr>
          <w:rFonts w:ascii="David" w:hAnsi="David"/>
          <w:rtl/>
        </w:rPr>
        <w:t xml:space="preserve">וכן ר' בנדון </w:t>
      </w:r>
      <w:hyperlink r:id="rId130" w:history="1">
        <w:r w:rsidR="008B74B3" w:rsidRPr="008B74B3">
          <w:rPr>
            <w:rFonts w:ascii="David" w:hAnsi="David"/>
            <w:color w:val="0000FF"/>
            <w:u w:val="single"/>
            <w:rtl/>
          </w:rPr>
          <w:t>ע"פ 5753/04</w:t>
        </w:r>
      </w:hyperlink>
      <w:r>
        <w:rPr>
          <w:rFonts w:ascii="David" w:hAnsi="David"/>
          <w:rtl/>
        </w:rPr>
        <w:t xml:space="preserve"> </w:t>
      </w:r>
      <w:r>
        <w:rPr>
          <w:rFonts w:ascii="Miriam" w:hAnsi="Miriam" w:cs="Miriam"/>
          <w:rtl/>
        </w:rPr>
        <w:t>מדינת ישראל נ' רייכמן</w:t>
      </w:r>
      <w:r>
        <w:rPr>
          <w:rFonts w:ascii="David" w:hAnsi="David"/>
          <w:rtl/>
        </w:rPr>
        <w:t xml:space="preserve"> </w:t>
      </w:r>
      <w:r w:rsidR="00DF1ED4" w:rsidRPr="00DF1ED4">
        <w:rPr>
          <w:sz w:val="22"/>
          <w:rtl/>
        </w:rPr>
        <w:t xml:space="preserve">[פורסם בנבו] </w:t>
      </w:r>
      <w:r>
        <w:rPr>
          <w:rFonts w:ascii="David" w:hAnsi="David"/>
          <w:rtl/>
        </w:rPr>
        <w:t>(7.2.05).</w:t>
      </w:r>
    </w:p>
    <w:p w14:paraId="4CB907EE" w14:textId="77777777" w:rsidR="004C3216" w:rsidRDefault="004C3216" w:rsidP="005811E2">
      <w:pPr>
        <w:spacing w:line="360" w:lineRule="auto"/>
        <w:ind w:left="516" w:right="426"/>
        <w:jc w:val="both"/>
        <w:rPr>
          <w:rFonts w:ascii="David" w:hAnsi="David"/>
          <w:b/>
          <w:bCs/>
          <w:rtl/>
        </w:rPr>
      </w:pPr>
    </w:p>
    <w:p w14:paraId="717204F5"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rtl/>
        </w:rPr>
        <w:t xml:space="preserve">לעניין מדיניות הענישה בנוגע לכל נאשם ונאשם, יש צורך בחלוקת הנאשמים לקבוצות, בהתאם לחלקם באירוע ומידת האשם של כל אחד. </w:t>
      </w:r>
    </w:p>
    <w:p w14:paraId="3E35207E"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172C546C"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r>
        <w:rPr>
          <w:rFonts w:ascii="David" w:hAnsi="David" w:cs="David"/>
          <w:sz w:val="24"/>
          <w:szCs w:val="24"/>
          <w:u w:val="single"/>
          <w:rtl/>
        </w:rPr>
        <w:t>בקבוצה הראשונה</w:t>
      </w:r>
      <w:r>
        <w:rPr>
          <w:rFonts w:ascii="David" w:hAnsi="David" w:cs="David"/>
          <w:sz w:val="24"/>
          <w:szCs w:val="24"/>
          <w:rtl/>
        </w:rPr>
        <w:t>, בדרגת החומרה הגבוהה ביותר ניצב הנאשם 3 שהורשע בהריגת המנוחה, בחבלה בכוונה מחמירה בפריד וכן בעבירות נשק;</w:t>
      </w:r>
    </w:p>
    <w:p w14:paraId="1AAF7420" w14:textId="77777777" w:rsidR="004C3216" w:rsidRDefault="004C3216" w:rsidP="005811E2">
      <w:pPr>
        <w:pStyle w:val="ListParagraph"/>
        <w:spacing w:after="0" w:line="360" w:lineRule="auto"/>
        <w:ind w:left="516" w:right="426"/>
        <w:rPr>
          <w:rFonts w:ascii="David" w:hAnsi="David" w:cs="David"/>
          <w:sz w:val="24"/>
          <w:szCs w:val="24"/>
        </w:rPr>
      </w:pPr>
    </w:p>
    <w:p w14:paraId="5806AEA3"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u w:val="single"/>
          <w:rtl/>
        </w:rPr>
        <w:t>בקבוצה השניה</w:t>
      </w:r>
      <w:r>
        <w:rPr>
          <w:rFonts w:ascii="David" w:hAnsi="David" w:cs="David"/>
          <w:sz w:val="24"/>
          <w:szCs w:val="24"/>
          <w:rtl/>
        </w:rPr>
        <w:t>, נכללים הנאשמים 7 ו 8 ש</w:t>
      </w:r>
      <w:r>
        <w:rPr>
          <w:rFonts w:ascii="David" w:hAnsi="David" w:cs="David"/>
          <w:sz w:val="24"/>
          <w:szCs w:val="24"/>
          <w:u w:val="single"/>
          <w:rtl/>
        </w:rPr>
        <w:t xml:space="preserve">ירו מחוץ למתחם לעבר בתי המתחם </w:t>
      </w:r>
      <w:r>
        <w:rPr>
          <w:rFonts w:ascii="Arial" w:hAnsi="Arial" w:cs="David"/>
          <w:sz w:val="24"/>
          <w:szCs w:val="24"/>
          <w:u w:val="single"/>
          <w:rtl/>
        </w:rPr>
        <w:t>בניסיון לפצוע את דרי המתחם</w:t>
      </w:r>
      <w:r>
        <w:rPr>
          <w:rFonts w:ascii="Arial" w:hAnsi="Arial" w:cs="David"/>
          <w:sz w:val="24"/>
          <w:szCs w:val="24"/>
          <w:rtl/>
        </w:rPr>
        <w:t xml:space="preserve">. </w:t>
      </w:r>
    </w:p>
    <w:p w14:paraId="13669A34" w14:textId="77777777" w:rsidR="004C3216" w:rsidRDefault="004C3216" w:rsidP="005811E2">
      <w:pPr>
        <w:pStyle w:val="ListParagraph"/>
        <w:spacing w:after="0" w:line="360" w:lineRule="auto"/>
        <w:ind w:left="516" w:right="426"/>
        <w:rPr>
          <w:rFonts w:ascii="David" w:hAnsi="David" w:cs="David"/>
          <w:sz w:val="24"/>
          <w:szCs w:val="24"/>
        </w:rPr>
      </w:pPr>
    </w:p>
    <w:p w14:paraId="62368173"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David" w:hAnsi="David" w:cs="David"/>
          <w:sz w:val="24"/>
          <w:szCs w:val="24"/>
          <w:u w:val="single"/>
          <w:rtl/>
        </w:rPr>
        <w:t>בקבוצה השלישית</w:t>
      </w:r>
      <w:r>
        <w:rPr>
          <w:rFonts w:ascii="David" w:hAnsi="David" w:cs="David"/>
          <w:sz w:val="24"/>
          <w:szCs w:val="24"/>
          <w:rtl/>
        </w:rPr>
        <w:t xml:space="preserve">, נכללים </w:t>
      </w:r>
      <w:r>
        <w:rPr>
          <w:rFonts w:ascii="Times New Roman" w:hAnsi="Times New Roman" w:cs="David"/>
          <w:sz w:val="24"/>
          <w:szCs w:val="24"/>
          <w:rtl/>
          <w:lang w:val="en-GB"/>
        </w:rPr>
        <w:t>הנאשמים 2 ו 6 ש</w:t>
      </w:r>
      <w:r>
        <w:rPr>
          <w:rFonts w:ascii="Times New Roman" w:hAnsi="Times New Roman" w:cs="David"/>
          <w:sz w:val="24"/>
          <w:szCs w:val="24"/>
          <w:u w:val="single"/>
          <w:rtl/>
          <w:lang w:val="en-GB"/>
        </w:rPr>
        <w:t>ירו באזור מגורים</w:t>
      </w:r>
      <w:r>
        <w:rPr>
          <w:rFonts w:ascii="Times New Roman" w:hAnsi="Times New Roman" w:cs="David"/>
          <w:sz w:val="24"/>
          <w:szCs w:val="24"/>
          <w:rtl/>
          <w:lang w:val="en-GB"/>
        </w:rPr>
        <w:t xml:space="preserve"> בסמוך למתחם, בהקשר הכולל שפורט בהרחבה לעיל. </w:t>
      </w:r>
    </w:p>
    <w:p w14:paraId="6010FA55" w14:textId="77777777" w:rsidR="004C3216" w:rsidRDefault="004C3216" w:rsidP="005811E2">
      <w:pPr>
        <w:pStyle w:val="ListParagraph"/>
        <w:spacing w:after="0" w:line="360" w:lineRule="auto"/>
        <w:ind w:left="516" w:right="426"/>
        <w:rPr>
          <w:rFonts w:ascii="Times New Roman" w:hAnsi="Times New Roman" w:cs="David"/>
          <w:sz w:val="24"/>
          <w:szCs w:val="24"/>
          <w:lang w:val="en-GB"/>
        </w:rPr>
      </w:pPr>
    </w:p>
    <w:p w14:paraId="06607BC1"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u w:val="single"/>
          <w:rtl/>
          <w:lang w:val="en-GB"/>
        </w:rPr>
        <w:t>בקבוצה הרביעית,</w:t>
      </w:r>
      <w:r>
        <w:rPr>
          <w:rFonts w:ascii="Times New Roman" w:hAnsi="Times New Roman" w:cs="David"/>
          <w:sz w:val="24"/>
          <w:szCs w:val="24"/>
          <w:rtl/>
          <w:lang w:val="en-GB"/>
        </w:rPr>
        <w:t xml:space="preserve"> נמצאים הנאשמים 4 ו 9 ש</w:t>
      </w:r>
      <w:r>
        <w:rPr>
          <w:rFonts w:ascii="Times New Roman" w:hAnsi="Times New Roman" w:cs="David"/>
          <w:sz w:val="24"/>
          <w:szCs w:val="24"/>
          <w:u w:val="single"/>
          <w:rtl/>
          <w:lang w:val="en-GB"/>
        </w:rPr>
        <w:t>סייעו להחזקת נשק</w:t>
      </w:r>
      <w:r>
        <w:rPr>
          <w:rFonts w:ascii="Times New Roman" w:hAnsi="Times New Roman" w:cs="David"/>
          <w:sz w:val="24"/>
          <w:szCs w:val="24"/>
          <w:rtl/>
          <w:lang w:val="en-GB"/>
        </w:rPr>
        <w:t xml:space="preserve">, בנסיבות שתוארו לעיל. </w:t>
      </w:r>
    </w:p>
    <w:p w14:paraId="3E784BAB" w14:textId="77777777" w:rsidR="004C3216" w:rsidRDefault="004C3216" w:rsidP="005811E2">
      <w:pPr>
        <w:pStyle w:val="ListParagraph"/>
        <w:spacing w:after="0" w:line="360" w:lineRule="auto"/>
        <w:ind w:left="516" w:right="426"/>
        <w:rPr>
          <w:rFonts w:ascii="Times New Roman" w:hAnsi="Times New Roman" w:cs="David"/>
          <w:sz w:val="24"/>
          <w:szCs w:val="24"/>
          <w:lang w:val="en-GB"/>
        </w:rPr>
      </w:pPr>
    </w:p>
    <w:p w14:paraId="27FBAD93"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u w:val="single"/>
          <w:rtl/>
          <w:lang w:val="en-GB"/>
        </w:rPr>
        <w:t>חמישי במדרג החומרה</w:t>
      </w:r>
      <w:r>
        <w:rPr>
          <w:rFonts w:ascii="Times New Roman" w:hAnsi="Times New Roman" w:cs="David"/>
          <w:sz w:val="24"/>
          <w:szCs w:val="24"/>
          <w:rtl/>
          <w:lang w:val="en-GB"/>
        </w:rPr>
        <w:t xml:space="preserve">, ולו מבחינת העבירה בה הורשע, מצוי הנאשם 1 ששידל את יתר הנאשמים </w:t>
      </w:r>
      <w:r>
        <w:rPr>
          <w:rFonts w:ascii="Miriam" w:hAnsi="Miriam" w:cs="Miriam"/>
          <w:sz w:val="24"/>
          <w:szCs w:val="24"/>
          <w:u w:val="single"/>
          <w:rtl/>
        </w:rPr>
        <w:t>לפציעה בנסיבות מחמירות</w:t>
      </w:r>
      <w:r>
        <w:rPr>
          <w:rFonts w:ascii="Arial" w:hAnsi="Arial" w:cs="David"/>
          <w:sz w:val="24"/>
          <w:szCs w:val="24"/>
          <w:u w:val="single"/>
          <w:rtl/>
        </w:rPr>
        <w:t xml:space="preserve">. </w:t>
      </w:r>
      <w:r>
        <w:rPr>
          <w:rFonts w:ascii="Times New Roman" w:hAnsi="Times New Roman" w:cs="David"/>
          <w:sz w:val="24"/>
          <w:szCs w:val="24"/>
          <w:rtl/>
          <w:lang w:val="en-GB"/>
        </w:rPr>
        <w:t xml:space="preserve"> </w:t>
      </w:r>
    </w:p>
    <w:p w14:paraId="7D3E9AB1" w14:textId="77777777" w:rsidR="004C3216" w:rsidRDefault="004C3216" w:rsidP="005811E2">
      <w:pPr>
        <w:pStyle w:val="ListParagraph"/>
        <w:spacing w:after="0" w:line="360" w:lineRule="auto"/>
        <w:ind w:left="516" w:right="426"/>
        <w:rPr>
          <w:rFonts w:ascii="Times New Roman" w:hAnsi="Times New Roman" w:cs="David"/>
          <w:sz w:val="24"/>
          <w:szCs w:val="24"/>
          <w:lang w:val="en-GB"/>
        </w:rPr>
      </w:pPr>
    </w:p>
    <w:p w14:paraId="65C184A4"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u w:val="single"/>
          <w:rtl/>
          <w:lang w:val="en-GB"/>
        </w:rPr>
        <w:t>אחרון ושישי במדרג החומרה</w:t>
      </w:r>
      <w:r>
        <w:rPr>
          <w:rFonts w:ascii="Times New Roman" w:hAnsi="Times New Roman" w:cs="David"/>
          <w:sz w:val="24"/>
          <w:szCs w:val="24"/>
          <w:rtl/>
          <w:lang w:val="en-GB"/>
        </w:rPr>
        <w:t xml:space="preserve">, נמצא הנאשם 5 שהורשע בעבירת איומים בלבד. </w:t>
      </w:r>
    </w:p>
    <w:p w14:paraId="4C0A69A9" w14:textId="77777777" w:rsidR="004C3216" w:rsidRDefault="004C3216" w:rsidP="005811E2">
      <w:pPr>
        <w:pStyle w:val="ListParagraph"/>
        <w:spacing w:after="0" w:line="360" w:lineRule="auto"/>
        <w:ind w:left="516" w:right="426"/>
        <w:rPr>
          <w:rFonts w:ascii="Times New Roman" w:hAnsi="Times New Roman" w:cs="David"/>
          <w:sz w:val="24"/>
          <w:szCs w:val="24"/>
          <w:lang w:val="en-GB"/>
        </w:rPr>
      </w:pPr>
    </w:p>
    <w:p w14:paraId="4684495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tl/>
          <w:lang w:val="en-GB"/>
        </w:rPr>
      </w:pPr>
      <w:r>
        <w:rPr>
          <w:rFonts w:ascii="Times New Roman" w:hAnsi="Times New Roman" w:cs="David"/>
          <w:sz w:val="24"/>
          <w:szCs w:val="24"/>
          <w:rtl/>
          <w:lang w:val="en-GB"/>
        </w:rPr>
        <w:t xml:space="preserve">לגבי הפסיקה אליה הופניתי - לא היה זה מפתיע שכל צד הפנה לפסיקה ששירתה את ענייננו. מחד, הפנתה המאשימה לענישה מחמירה באופן יחסי; ומנגד, הפנו ב"כ הנאשמים לענישה מקלה באופן יחסי. מכיוון שנסיבות ענייננו ייחודיות, לחומרה, כל שניתן הוא, לרוב, להקיש וללמוד מאותם מקרים לענייננו. </w:t>
      </w:r>
    </w:p>
    <w:p w14:paraId="5BFD88DB"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lang w:val="en-GB"/>
        </w:rPr>
      </w:pPr>
    </w:p>
    <w:p w14:paraId="287830FF"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rtl/>
          <w:lang w:val="en-GB"/>
        </w:rPr>
        <w:t xml:space="preserve">אין בכוונתי לסקור את כלל הפסיקה אליה הופניתי, מה גם שחלק ניכר ממנה נגע למקרים שבינם לבין המקרה שלפנינו לא היה הרבה מן המשותף, או שנגע למקרים בהם הגיעו הצדדים להסדרי טיעון שכללו הסכמות עונשיות וגם אלה לרוב אינם רלוונטיים. </w:t>
      </w:r>
    </w:p>
    <w:p w14:paraId="25FC6EA5"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lang w:val="en-GB"/>
        </w:rPr>
      </w:pPr>
    </w:p>
    <w:p w14:paraId="602D78C5"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Times New Roman" w:hAnsi="Times New Roman" w:cs="David"/>
          <w:sz w:val="24"/>
          <w:szCs w:val="24"/>
          <w:rtl/>
          <w:lang w:val="en-GB"/>
        </w:rPr>
        <w:t>כאמור, למעט הנאשמים 1 ו 5, מעשי כלל הנאשמים נגעו באופן כזה או אחר להחזקת נשק (או סיוע להחזקה). זה שורש הרע ויש להניח כי אלמלא החזיקו בנ</w:t>
      </w:r>
      <w:r>
        <w:rPr>
          <w:rFonts w:ascii="Times New Roman" w:hAnsi="Times New Roman" w:cs="David"/>
          <w:sz w:val="24"/>
          <w:szCs w:val="24"/>
          <w:rtl/>
        </w:rPr>
        <w:t xml:space="preserve">שק שלא כדין תוצאות האירוע לא היו כה חמורות. </w:t>
      </w:r>
    </w:p>
    <w:p w14:paraId="4B7F0CAF"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Pr>
      </w:pPr>
    </w:p>
    <w:p w14:paraId="64167DB9"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rPr>
      </w:pPr>
      <w:r>
        <w:rPr>
          <w:rFonts w:ascii="Times New Roman" w:hAnsi="Times New Roman" w:cs="David"/>
          <w:sz w:val="24"/>
          <w:szCs w:val="24"/>
          <w:rtl/>
        </w:rPr>
        <w:t xml:space="preserve">עמדתי לעיל על הקלות הבלתי נסבלת של החזקת נשק שלא כדין ואשר גוררת עמה מעשים אלימים כמו זה שנדון בפנינו כעת. </w:t>
      </w:r>
    </w:p>
    <w:p w14:paraId="4DE20E7A"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rPr>
      </w:pPr>
    </w:p>
    <w:p w14:paraId="74524A37"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rPr>
      </w:pPr>
      <w:r>
        <w:rPr>
          <w:rFonts w:ascii="Times New Roman" w:hAnsi="Times New Roman" w:cs="David"/>
          <w:sz w:val="24"/>
          <w:szCs w:val="24"/>
          <w:u w:val="single"/>
          <w:rtl/>
        </w:rPr>
        <w:t>זה אם כן יהיה "מסד" הענישה ממנו אצא, ולו לגבי רמת הענישה הנהוגה לגבי הנאשמים הרלוונטיים שהחזיקו או סייעו להחזקת נשק.</w:t>
      </w:r>
      <w:r>
        <w:rPr>
          <w:rFonts w:ascii="Times New Roman" w:hAnsi="Times New Roman" w:cs="David"/>
          <w:sz w:val="24"/>
          <w:szCs w:val="24"/>
          <w:rtl/>
        </w:rPr>
        <w:t xml:space="preserve"> </w:t>
      </w:r>
    </w:p>
    <w:p w14:paraId="13F60F67"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rPr>
      </w:pPr>
    </w:p>
    <w:p w14:paraId="61B999CA"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צוין לא פעם בפסיקה, כי החזקת ונשיאת נשק ללא היתר טומנת בחובה סכנה ממשית שמא אותו הנשק יגיע לידיים לא זהירות או שיעשה שימוש פלילי או חבלני בנשק ובכך ייגרם נזק ממשי חמור, החל בנזק לרכוש וכלה בנזק לגוף, עד כדי גרימת מוות. זאת ועוד, עצם החזקת נשק באופן שאינו מפוקח על ידי הרשויות טומן בחובו סיכון פן המחזיק בו יתפתה לעשות בו שימוש, ולו ברגעי לחץ ופחד (ר' </w:t>
      </w:r>
      <w:hyperlink r:id="rId131" w:history="1">
        <w:r w:rsidR="008B74B3" w:rsidRPr="008B74B3">
          <w:rPr>
            <w:rFonts w:ascii="David" w:hAnsi="David" w:cs="David"/>
            <w:color w:val="0000FF"/>
            <w:sz w:val="24"/>
            <w:szCs w:val="24"/>
            <w:u w:val="single"/>
            <w:rtl/>
          </w:rPr>
          <w:t>ע"פ 4945/13</w:t>
        </w:r>
      </w:hyperlink>
      <w:r>
        <w:rPr>
          <w:rFonts w:ascii="David" w:hAnsi="David" w:cs="David"/>
          <w:sz w:val="24"/>
          <w:szCs w:val="24"/>
          <w:rtl/>
        </w:rPr>
        <w:t xml:space="preserve"> </w:t>
      </w:r>
      <w:r>
        <w:rPr>
          <w:rFonts w:ascii="Miriam" w:hAnsi="Miriam" w:cs="Miriam"/>
          <w:sz w:val="24"/>
          <w:szCs w:val="24"/>
          <w:rtl/>
        </w:rPr>
        <w:t>מדינת ישראל נ' סלימאן</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(19.1.14); </w:t>
      </w:r>
      <w:hyperlink r:id="rId132" w:history="1">
        <w:r w:rsidR="008B74B3" w:rsidRPr="008B74B3">
          <w:rPr>
            <w:rFonts w:ascii="David" w:hAnsi="David" w:cs="David"/>
            <w:color w:val="0000FF"/>
            <w:sz w:val="24"/>
            <w:szCs w:val="24"/>
            <w:u w:val="single"/>
            <w:rtl/>
          </w:rPr>
          <w:t>ע"פ 3300/06</w:t>
        </w:r>
      </w:hyperlink>
      <w:r>
        <w:rPr>
          <w:rFonts w:ascii="David" w:hAnsi="David" w:cs="David"/>
          <w:sz w:val="24"/>
          <w:szCs w:val="24"/>
          <w:rtl/>
        </w:rPr>
        <w:t xml:space="preserve"> </w:t>
      </w:r>
      <w:r>
        <w:rPr>
          <w:rFonts w:ascii="Miriam" w:hAnsi="Miriam" w:cs="Miriam"/>
          <w:sz w:val="24"/>
          <w:szCs w:val="24"/>
          <w:rtl/>
        </w:rPr>
        <w:t>אבו סנינה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(10.8.06)). </w:t>
      </w:r>
    </w:p>
    <w:p w14:paraId="284DBD24"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495DD0FD"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tl/>
        </w:rPr>
      </w:pPr>
      <w:r>
        <w:rPr>
          <w:rFonts w:ascii="David" w:hAnsi="David" w:cs="David"/>
          <w:sz w:val="24"/>
          <w:szCs w:val="24"/>
          <w:rtl/>
        </w:rPr>
        <w:t>מדיניות הענישה הכללית הנוהגת בעבירות נשק היא כי יש להשית עונשים ממשיים ומרתיעים וזאת משום החומרה הטמונה בעבירות אלה, משום שיקולי ההלימה וההרתעה וכדי לצמצם את היקף התופעה הרעה של ההחזקה והשימוש בכלי נשק לא חוקיים (ור' לדוגמה בהקשר זה האמור ב</w:t>
      </w:r>
      <w:hyperlink r:id="rId133" w:history="1">
        <w:r w:rsidR="008B74B3" w:rsidRPr="008B74B3">
          <w:rPr>
            <w:rFonts w:ascii="David" w:hAnsi="David" w:cs="David"/>
            <w:color w:val="0000FF"/>
            <w:sz w:val="24"/>
            <w:szCs w:val="24"/>
            <w:u w:val="single"/>
            <w:rtl/>
          </w:rPr>
          <w:t>ע"פ 135/17</w:t>
        </w:r>
      </w:hyperlink>
      <w:r>
        <w:rPr>
          <w:rFonts w:ascii="David" w:hAnsi="David" w:cs="David"/>
          <w:sz w:val="24"/>
          <w:szCs w:val="24"/>
          <w:rtl/>
        </w:rPr>
        <w:t xml:space="preserve"> </w:t>
      </w:r>
      <w:r>
        <w:rPr>
          <w:rFonts w:ascii="Miriam" w:hAnsi="Miriam" w:cs="Miriam"/>
          <w:sz w:val="24"/>
          <w:szCs w:val="24"/>
          <w:rtl/>
        </w:rPr>
        <w:t xml:space="preserve">מדינת ישראל נ' בסל </w:t>
      </w:r>
      <w:r w:rsidR="00DF1ED4" w:rsidRPr="00DF1ED4">
        <w:rPr>
          <w:rFonts w:ascii="Times New Roman" w:hAnsi="Times New Roman" w:cs="David"/>
          <w:szCs w:val="24"/>
          <w:rtl/>
        </w:rPr>
        <w:t xml:space="preserve">[פורסם בנבו] </w:t>
      </w:r>
      <w:r>
        <w:rPr>
          <w:rFonts w:ascii="Miriam" w:hAnsi="Miriam" w:cs="Miriam"/>
          <w:sz w:val="24"/>
          <w:szCs w:val="24"/>
          <w:rtl/>
        </w:rPr>
        <w:t>(</w:t>
      </w:r>
      <w:r>
        <w:rPr>
          <w:rFonts w:ascii="David" w:hAnsi="David" w:cs="David"/>
          <w:sz w:val="24"/>
          <w:szCs w:val="24"/>
          <w:rtl/>
        </w:rPr>
        <w:t xml:space="preserve">8.3.17); </w:t>
      </w:r>
      <w:hyperlink r:id="rId134" w:history="1">
        <w:r w:rsidR="008B74B3" w:rsidRPr="008B74B3">
          <w:rPr>
            <w:rFonts w:ascii="David" w:hAnsi="David" w:cs="David"/>
            <w:color w:val="0000FF"/>
            <w:sz w:val="24"/>
            <w:szCs w:val="24"/>
            <w:u w:val="single"/>
            <w:rtl/>
          </w:rPr>
          <w:t>ע"פ 4215/18</w:t>
        </w:r>
      </w:hyperlink>
      <w:r>
        <w:rPr>
          <w:rFonts w:ascii="David" w:hAnsi="David" w:cs="David"/>
          <w:sz w:val="24"/>
          <w:szCs w:val="24"/>
          <w:rtl/>
        </w:rPr>
        <w:t xml:space="preserve"> </w:t>
      </w:r>
      <w:r>
        <w:rPr>
          <w:rFonts w:ascii="Miriam" w:hAnsi="Miriam" w:cs="Miriam"/>
          <w:sz w:val="24"/>
          <w:szCs w:val="24"/>
          <w:rtl/>
        </w:rPr>
        <w:t>ח'טיב נ' מדינת ישראל</w:t>
      </w:r>
      <w:r>
        <w:rPr>
          <w:rFonts w:ascii="David" w:hAnsi="David" w:cs="David"/>
          <w:sz w:val="24"/>
          <w:szCs w:val="24"/>
          <w:rtl/>
        </w:rPr>
        <w:t xml:space="preserve"> (8.7.18)). עוד נקבע שכל מקרה ונסיבותיו הקונקרטיות ובהקשר זה יש להתחשב בסוג הנשק, מאפייני הנשיאה (משך הנשיאה, מקום הנשיאה), מטרת הנשיאה, (וראה האמור ב</w:t>
      </w:r>
      <w:hyperlink r:id="rId135" w:history="1">
        <w:r w:rsidR="008B74B3" w:rsidRPr="008B74B3">
          <w:rPr>
            <w:rFonts w:ascii="David" w:hAnsi="David" w:cs="David"/>
            <w:color w:val="0000FF"/>
            <w:sz w:val="24"/>
            <w:szCs w:val="24"/>
            <w:u w:val="single"/>
            <w:rtl/>
          </w:rPr>
          <w:t>ע"פ 1323/13</w:t>
        </w:r>
      </w:hyperlink>
      <w:r>
        <w:rPr>
          <w:rFonts w:ascii="David" w:hAnsi="David" w:cs="David"/>
          <w:sz w:val="24"/>
          <w:szCs w:val="24"/>
          <w:rtl/>
        </w:rPr>
        <w:t xml:space="preserve"> </w:t>
      </w:r>
      <w:r>
        <w:rPr>
          <w:rFonts w:ascii="Miriam" w:hAnsi="Miriam" w:cs="Miriam"/>
          <w:sz w:val="24"/>
          <w:szCs w:val="24"/>
          <w:rtl/>
        </w:rPr>
        <w:t>חסן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(5.6.13)). </w:t>
      </w:r>
    </w:p>
    <w:p w14:paraId="2F275B9E"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13F290D8"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sz w:val="24"/>
          <w:szCs w:val="24"/>
          <w:rtl/>
        </w:rPr>
        <w:t xml:space="preserve">נסיבות המקרה שבפנינו בהקשר לעיל הן של החזקה ושימוש במספר כלי נשק, בהם 4 אקדחים ו 2 תתי מקלע, הגם שכל אחד מהנאשמים הרלוונטיים עשה שימוש רק בכלי נשק אחד. </w:t>
      </w:r>
    </w:p>
    <w:p w14:paraId="5BAB7D24" w14:textId="77777777" w:rsidR="004C3216" w:rsidRDefault="004C3216" w:rsidP="005811E2">
      <w:pPr>
        <w:pStyle w:val="ListParagraph"/>
        <w:spacing w:after="0" w:line="360" w:lineRule="auto"/>
        <w:ind w:left="516" w:right="426"/>
        <w:rPr>
          <w:rFonts w:ascii="David" w:hAnsi="David" w:cs="David"/>
          <w:b/>
          <w:bCs/>
          <w:sz w:val="24"/>
          <w:szCs w:val="24"/>
          <w:u w:val="single"/>
        </w:rPr>
      </w:pPr>
    </w:p>
    <w:p w14:paraId="5CECC3A4"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רמת הענישה הנהוגה לגבי החזקה "בלבד" של כלי נשק שכאלה, נעה בסדרי גודל של בין 10 ל 24 חודשי מאסר</w:t>
      </w:r>
      <w:r>
        <w:rPr>
          <w:rFonts w:ascii="David" w:hAnsi="David" w:cs="David"/>
          <w:sz w:val="24"/>
          <w:szCs w:val="24"/>
          <w:rtl/>
        </w:rPr>
        <w:t xml:space="preserve"> (אפנה בנדון ל</w:t>
      </w:r>
      <w:hyperlink r:id="rId136" w:history="1">
        <w:r w:rsidR="008B74B3" w:rsidRPr="008B74B3">
          <w:rPr>
            <w:rFonts w:ascii="David" w:hAnsi="David" w:cs="David"/>
            <w:color w:val="0000FF"/>
            <w:sz w:val="24"/>
            <w:szCs w:val="24"/>
            <w:u w:val="single"/>
            <w:rtl/>
          </w:rPr>
          <w:t>ע"פ 2398/14</w:t>
        </w:r>
      </w:hyperlink>
      <w:r>
        <w:rPr>
          <w:rFonts w:ascii="David" w:hAnsi="David" w:cs="David"/>
          <w:sz w:val="24"/>
          <w:szCs w:val="24"/>
          <w:rtl/>
        </w:rPr>
        <w:t xml:space="preserve"> </w:t>
      </w:r>
      <w:r>
        <w:rPr>
          <w:rFonts w:ascii="Miriam" w:hAnsi="Miriam" w:cs="Miriam"/>
          <w:sz w:val="24"/>
          <w:szCs w:val="24"/>
          <w:rtl/>
        </w:rPr>
        <w:t>אלהזייל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(8.7.2014); </w:t>
      </w:r>
      <w:hyperlink r:id="rId137" w:history="1">
        <w:r w:rsidR="008B74B3" w:rsidRPr="008B74B3">
          <w:rPr>
            <w:rFonts w:ascii="David" w:hAnsi="David" w:cs="David"/>
            <w:color w:val="0000FF"/>
            <w:sz w:val="24"/>
            <w:szCs w:val="24"/>
            <w:u w:val="single"/>
            <w:rtl/>
          </w:rPr>
          <w:t>ע"פ 4982/15</w:t>
        </w:r>
      </w:hyperlink>
      <w:r>
        <w:rPr>
          <w:rFonts w:ascii="David" w:hAnsi="David" w:cs="David"/>
          <w:sz w:val="24"/>
          <w:szCs w:val="24"/>
          <w:rtl/>
        </w:rPr>
        <w:t xml:space="preserve"> </w:t>
      </w:r>
      <w:r>
        <w:rPr>
          <w:rFonts w:ascii="Miriam" w:hAnsi="Miriam" w:cs="Miriam"/>
          <w:sz w:val="24"/>
          <w:szCs w:val="24"/>
          <w:rtl/>
        </w:rPr>
        <w:t>שחיטה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(3.9.15); </w:t>
      </w:r>
      <w:hyperlink r:id="rId138" w:history="1">
        <w:r w:rsidR="008B74B3" w:rsidRPr="008B74B3">
          <w:rPr>
            <w:rFonts w:ascii="David" w:hAnsi="David" w:cs="David"/>
            <w:color w:val="0000FF"/>
            <w:sz w:val="24"/>
            <w:szCs w:val="24"/>
            <w:u w:val="single"/>
            <w:rtl/>
          </w:rPr>
          <w:t>ע"פ 9702/16</w:t>
        </w:r>
      </w:hyperlink>
      <w:r>
        <w:rPr>
          <w:rFonts w:ascii="David" w:hAnsi="David" w:cs="David"/>
          <w:sz w:val="24"/>
          <w:szCs w:val="24"/>
          <w:rtl/>
        </w:rPr>
        <w:t xml:space="preserve"> </w:t>
      </w:r>
      <w:r>
        <w:rPr>
          <w:rFonts w:ascii="Miriam" w:hAnsi="Miriam" w:cs="Miriam"/>
          <w:sz w:val="24"/>
          <w:szCs w:val="24"/>
          <w:rtl/>
        </w:rPr>
        <w:t>אבו אלוליאיה נ' מדינת ישראל</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(13.9.17); </w:t>
      </w:r>
      <w:hyperlink r:id="rId139" w:history="1">
        <w:r w:rsidR="008B74B3" w:rsidRPr="008B74B3">
          <w:rPr>
            <w:rFonts w:ascii="David" w:hAnsi="David" w:cs="David"/>
            <w:color w:val="0000FF"/>
            <w:sz w:val="24"/>
            <w:szCs w:val="24"/>
            <w:u w:val="single"/>
            <w:rtl/>
          </w:rPr>
          <w:t>ע"פ 3336/18</w:t>
        </w:r>
      </w:hyperlink>
      <w:r>
        <w:rPr>
          <w:rFonts w:ascii="David" w:hAnsi="David" w:cs="David"/>
          <w:sz w:val="24"/>
          <w:szCs w:val="24"/>
          <w:rtl/>
        </w:rPr>
        <w:t xml:space="preserve"> </w:t>
      </w:r>
      <w:r>
        <w:rPr>
          <w:rFonts w:ascii="Miriam" w:hAnsi="Miriam" w:cs="Miriam"/>
          <w:sz w:val="24"/>
          <w:szCs w:val="24"/>
          <w:rtl/>
        </w:rPr>
        <w:t>מדינת ישראל נ' סמארה</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 xml:space="preserve">(29.11.18)). נתון זה ישמש כקנה מידה להמשך הדרך, שכן, כאמור, זוהי "עבירת הבסיס" לגבי מרבית הנאשמים וחלקם לא רק שנשאו נשק אלא גם עשו בו שימוש בנסיבות שתוארו לעיל, דבר המחייב החמרה של ממש בענישה. </w:t>
      </w:r>
    </w:p>
    <w:p w14:paraId="021A4432" w14:textId="77777777" w:rsidR="004C3216" w:rsidRDefault="004C3216" w:rsidP="005811E2">
      <w:pPr>
        <w:pStyle w:val="ListParagraph"/>
        <w:spacing w:after="0" w:line="360" w:lineRule="auto"/>
        <w:ind w:left="516" w:right="426"/>
        <w:rPr>
          <w:rFonts w:ascii="David" w:hAnsi="David" w:cs="David"/>
          <w:sz w:val="24"/>
          <w:szCs w:val="24"/>
        </w:rPr>
      </w:pPr>
    </w:p>
    <w:p w14:paraId="44B6EEEE"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מדיניות הענישה הנהוגה למעשים המיוחסים לנאשם 3</w:t>
      </w:r>
      <w:r>
        <w:rPr>
          <w:rFonts w:ascii="David" w:hAnsi="David" w:cs="David"/>
          <w:sz w:val="24"/>
          <w:szCs w:val="24"/>
          <w:rtl/>
        </w:rPr>
        <w:t xml:space="preserve"> – נאשם זה הורשע הן בהריגת המנוחה והן בעבירת חבלה בכוונה מחמירה ביחס לירי שפגע בפריד. </w:t>
      </w:r>
    </w:p>
    <w:p w14:paraId="38F90637" w14:textId="77777777" w:rsidR="004C3216" w:rsidRDefault="004C3216" w:rsidP="005811E2">
      <w:pPr>
        <w:pStyle w:val="ListParagraph"/>
        <w:spacing w:after="0" w:line="360" w:lineRule="auto"/>
        <w:ind w:left="516" w:right="426"/>
        <w:rPr>
          <w:rFonts w:ascii="David" w:hAnsi="David" w:cs="David"/>
          <w:sz w:val="24"/>
          <w:szCs w:val="24"/>
        </w:rPr>
      </w:pPr>
    </w:p>
    <w:p w14:paraId="4470501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Arial" w:hAnsi="Arial" w:cs="David"/>
          <w:sz w:val="24"/>
          <w:szCs w:val="24"/>
          <w:rtl/>
        </w:rPr>
      </w:pPr>
      <w:r>
        <w:rPr>
          <w:rFonts w:ascii="Arial" w:hAnsi="Arial" w:cs="David"/>
          <w:sz w:val="24"/>
          <w:szCs w:val="24"/>
          <w:rtl/>
        </w:rPr>
        <w:t>לעניין מדיניות הענישה הנהוגה בעבירת הריגה במקרים בעלי קרבה במידה כזו או אחרת לענייננו, אפנה למקרים הבאים:</w:t>
      </w:r>
    </w:p>
    <w:p w14:paraId="23BD293F" w14:textId="77777777" w:rsidR="004C3216" w:rsidRDefault="004C3216" w:rsidP="005811E2">
      <w:pPr>
        <w:spacing w:line="360" w:lineRule="auto"/>
        <w:ind w:left="516" w:right="426"/>
        <w:jc w:val="both"/>
        <w:rPr>
          <w:rFonts w:ascii="Arial" w:hAnsi="Arial"/>
          <w:u w:val="single"/>
          <w:rtl/>
        </w:rPr>
      </w:pPr>
    </w:p>
    <w:p w14:paraId="2AE413C7" w14:textId="77777777" w:rsidR="004C3216" w:rsidRDefault="004C3216" w:rsidP="005811E2">
      <w:pPr>
        <w:spacing w:line="360" w:lineRule="auto"/>
        <w:ind w:left="516" w:right="426"/>
        <w:jc w:val="both"/>
        <w:rPr>
          <w:rFonts w:ascii="Arial" w:hAnsi="Arial"/>
          <w:rtl/>
        </w:rPr>
      </w:pPr>
      <w:r>
        <w:rPr>
          <w:rFonts w:ascii="Arial" w:hAnsi="Arial"/>
          <w:rtl/>
        </w:rPr>
        <w:t>ב</w:t>
      </w:r>
      <w:hyperlink r:id="rId140" w:history="1">
        <w:r w:rsidR="008B74B3" w:rsidRPr="008B74B3">
          <w:rPr>
            <w:rFonts w:ascii="Arial" w:hAnsi="Arial"/>
            <w:color w:val="0000FF"/>
            <w:u w:val="single"/>
            <w:rtl/>
          </w:rPr>
          <w:t>ע"פ 4977/06</w:t>
        </w:r>
      </w:hyperlink>
      <w:r>
        <w:rPr>
          <w:rFonts w:ascii="Arial" w:hAnsi="Arial"/>
          <w:rtl/>
        </w:rPr>
        <w:t xml:space="preserve"> </w:t>
      </w:r>
      <w:r>
        <w:rPr>
          <w:rFonts w:ascii="Miriam" w:hAnsi="Miriam" w:cs="Miriam"/>
          <w:rtl/>
        </w:rPr>
        <w:t>פלוני נ' מדינת ישראל</w:t>
      </w:r>
      <w:r>
        <w:rPr>
          <w:rFonts w:ascii="Arial" w:hAnsi="Arial"/>
          <w:rtl/>
        </w:rPr>
        <w:t xml:space="preserve"> </w:t>
      </w:r>
      <w:r w:rsidR="00DF1ED4" w:rsidRPr="00DF1ED4">
        <w:rPr>
          <w:sz w:val="22"/>
          <w:rtl/>
        </w:rPr>
        <w:t xml:space="preserve">[פורסם בנבו] </w:t>
      </w:r>
      <w:r>
        <w:rPr>
          <w:rFonts w:ascii="Arial" w:hAnsi="Arial"/>
          <w:rtl/>
        </w:rPr>
        <w:t xml:space="preserve">(8.3.07) נדון מקרה שבו, על רקע סכסוך אלים בין המערער לבין אחר, הגיע המערער, קטין בעת האירוע, לבית האחר </w:t>
      </w:r>
      <w:r>
        <w:rPr>
          <w:rFonts w:ascii="Arial" w:hAnsi="Arial"/>
          <w:u w:val="single"/>
          <w:rtl/>
        </w:rPr>
        <w:t>וירה לעבר הבית מספר יריות. אחת מהיריות פגעה באחות האחר וגרמה למותה</w:t>
      </w:r>
      <w:r>
        <w:rPr>
          <w:rFonts w:ascii="Arial" w:hAnsi="Arial"/>
          <w:rtl/>
        </w:rPr>
        <w:t>. בית המשפט המחוזי גזר על המערער</w:t>
      </w:r>
      <w:r>
        <w:rPr>
          <w:rFonts w:ascii="Arial" w:hAnsi="Arial"/>
          <w:u w:val="single"/>
          <w:rtl/>
        </w:rPr>
        <w:t xml:space="preserve"> 13 שנות מאסר </w:t>
      </w:r>
      <w:r>
        <w:rPr>
          <w:rFonts w:ascii="Arial" w:hAnsi="Arial"/>
          <w:rtl/>
        </w:rPr>
        <w:t xml:space="preserve">(ללא עבר פלילי, כאמור - קטין, הודה במיוחס לו, הביע חרטה). </w:t>
      </w:r>
    </w:p>
    <w:p w14:paraId="0AD7947C" w14:textId="77777777" w:rsidR="004C3216" w:rsidRDefault="004C3216" w:rsidP="005811E2">
      <w:pPr>
        <w:pStyle w:val="ListParagraph"/>
        <w:spacing w:after="0" w:line="360" w:lineRule="auto"/>
        <w:ind w:left="516" w:right="426"/>
        <w:jc w:val="both"/>
        <w:rPr>
          <w:rFonts w:ascii="Arial" w:hAnsi="Arial" w:cs="David"/>
          <w:sz w:val="24"/>
          <w:szCs w:val="24"/>
        </w:rPr>
      </w:pPr>
    </w:p>
    <w:p w14:paraId="0B680EB3" w14:textId="77777777" w:rsidR="004C3216" w:rsidRDefault="004C3216" w:rsidP="005811E2">
      <w:pPr>
        <w:pStyle w:val="ListParagraph"/>
        <w:spacing w:after="0" w:line="360" w:lineRule="auto"/>
        <w:ind w:left="516" w:right="426"/>
        <w:jc w:val="both"/>
        <w:rPr>
          <w:rFonts w:ascii="Arial" w:hAnsi="Arial" w:cs="David"/>
          <w:sz w:val="24"/>
          <w:szCs w:val="24"/>
          <w:rtl/>
        </w:rPr>
      </w:pPr>
      <w:r>
        <w:rPr>
          <w:rFonts w:ascii="Arial" w:hAnsi="Arial" w:cs="David"/>
          <w:sz w:val="24"/>
          <w:szCs w:val="24"/>
          <w:rtl/>
        </w:rPr>
        <w:t xml:space="preserve">בעניין שנדון </w:t>
      </w:r>
      <w:hyperlink r:id="rId141" w:history="1">
        <w:r w:rsidR="008B74B3" w:rsidRPr="008B74B3">
          <w:rPr>
            <w:rFonts w:ascii="Arial" w:hAnsi="Arial" w:cs="David"/>
            <w:color w:val="0000FF"/>
            <w:sz w:val="24"/>
            <w:szCs w:val="24"/>
            <w:u w:val="single"/>
            <w:rtl/>
          </w:rPr>
          <w:t>ע"פ 7744/14</w:t>
        </w:r>
      </w:hyperlink>
      <w:r>
        <w:rPr>
          <w:rFonts w:ascii="Arial" w:hAnsi="Arial" w:cs="David"/>
          <w:sz w:val="24"/>
          <w:szCs w:val="24"/>
          <w:rtl/>
        </w:rPr>
        <w:t xml:space="preserve"> </w:t>
      </w:r>
      <w:r>
        <w:rPr>
          <w:rFonts w:ascii="Miriam" w:hAnsi="Miriam" w:cs="Miriam"/>
          <w:sz w:val="24"/>
          <w:szCs w:val="24"/>
          <w:rtl/>
        </w:rPr>
        <w:t>מדינת ישראל נ' הייב</w:t>
      </w:r>
      <w:r>
        <w:rPr>
          <w:rFonts w:ascii="Arial" w:hAnsi="Arial" w:cs="David"/>
          <w:sz w:val="24"/>
          <w:szCs w:val="24"/>
          <w:rtl/>
        </w:rPr>
        <w:t xml:space="preserve"> </w:t>
      </w:r>
      <w:r w:rsidR="00DF1ED4" w:rsidRPr="00DF1ED4">
        <w:rPr>
          <w:rFonts w:ascii="Times New Roman" w:hAnsi="Times New Roman" w:cs="David"/>
          <w:szCs w:val="24"/>
          <w:rtl/>
        </w:rPr>
        <w:t xml:space="preserve">[פורסם בנבו] </w:t>
      </w:r>
      <w:r>
        <w:rPr>
          <w:rFonts w:ascii="Arial" w:hAnsi="Arial" w:cs="David"/>
          <w:sz w:val="24"/>
          <w:szCs w:val="24"/>
          <w:rtl/>
        </w:rPr>
        <w:t xml:space="preserve">(10.12.15) הורשע המשיב בהריגה, עבירות נשק, ירי באזור מגורים וקשירת קשר. על בית המשיב הושלך רימון ויום לאחר מכן ניגשו המשיב ועוד שניים לבית מי שחשדו בו (להלן: </w:t>
      </w:r>
      <w:r>
        <w:rPr>
          <w:rFonts w:ascii="Miriam" w:hAnsi="Miriam" w:cs="Miriam"/>
          <w:sz w:val="24"/>
          <w:szCs w:val="24"/>
          <w:rtl/>
        </w:rPr>
        <w:t>המנוח</w:t>
      </w:r>
      <w:r>
        <w:rPr>
          <w:rFonts w:ascii="Arial" w:hAnsi="Arial" w:cs="David"/>
          <w:sz w:val="24"/>
          <w:szCs w:val="24"/>
          <w:rtl/>
        </w:rPr>
        <w:t xml:space="preserve">) כשהם נושאים שני רובי </w:t>
      </w:r>
      <w:r>
        <w:rPr>
          <w:rFonts w:ascii="Arial" w:hAnsi="Arial" w:cs="David"/>
          <w:sz w:val="24"/>
          <w:szCs w:val="24"/>
        </w:rPr>
        <w:t>m-16</w:t>
      </w:r>
      <w:r>
        <w:rPr>
          <w:rFonts w:ascii="Arial" w:hAnsi="Arial" w:cs="David"/>
          <w:sz w:val="24"/>
          <w:szCs w:val="24"/>
          <w:rtl/>
        </w:rPr>
        <w:t xml:space="preserve"> ותחמושת. </w:t>
      </w:r>
      <w:r>
        <w:rPr>
          <w:rFonts w:ascii="Arial" w:hAnsi="Arial" w:cs="David"/>
          <w:sz w:val="24"/>
          <w:szCs w:val="24"/>
          <w:u w:val="single"/>
          <w:rtl/>
        </w:rPr>
        <w:t>המשיב ובן דודו ירו לעבר הבית לפחות 105 קליעים שפגעו בבית, בחומת הבית, ומה שיותר חשוב לענייננו – אחד מהקליעים פגע בחזהו של המנוח שהיה אותה עת בחצר הבית, והרגו</w:t>
      </w:r>
      <w:r>
        <w:rPr>
          <w:rFonts w:ascii="Arial" w:hAnsi="Arial" w:cs="David"/>
          <w:sz w:val="24"/>
          <w:szCs w:val="24"/>
          <w:rtl/>
        </w:rPr>
        <w:t xml:space="preserve">. נקבע בבית המשפט המחוזי </w:t>
      </w:r>
      <w:r>
        <w:rPr>
          <w:rFonts w:ascii="Arial" w:hAnsi="Arial" w:cs="David"/>
          <w:sz w:val="24"/>
          <w:szCs w:val="24"/>
          <w:u w:val="single"/>
          <w:rtl/>
        </w:rPr>
        <w:t>מתחם בין 10 ל 14 שנות מאסר</w:t>
      </w:r>
      <w:r>
        <w:rPr>
          <w:rFonts w:ascii="Arial" w:hAnsi="Arial" w:cs="David"/>
          <w:sz w:val="24"/>
          <w:szCs w:val="24"/>
          <w:rtl/>
        </w:rPr>
        <w:t xml:space="preserve"> ונגזרו על המשיב 11 שנות מאסר בפועל (צעיר, לחובתו עבר פלילי, הודה במיוחס לו, תסקיר שלילי). ערעור המדינה על קולת העונש התקבל, </w:t>
      </w:r>
      <w:r>
        <w:rPr>
          <w:rFonts w:ascii="Arial" w:hAnsi="Arial" w:cs="David"/>
          <w:sz w:val="24"/>
          <w:szCs w:val="24"/>
          <w:u w:val="single"/>
          <w:rtl/>
        </w:rPr>
        <w:t>והעונש הוחמר ל 13 שנות מאסר</w:t>
      </w:r>
      <w:r>
        <w:rPr>
          <w:rFonts w:ascii="Arial" w:hAnsi="Arial" w:cs="David"/>
          <w:sz w:val="24"/>
          <w:szCs w:val="24"/>
          <w:rtl/>
        </w:rPr>
        <w:t xml:space="preserve">, בשים לב לעברו הפלילי של המשיב, לשיקולי הרתעת הרבים ותוך שהודגש הכלל שערכאת הערעור אינה ממצה את הדין. </w:t>
      </w:r>
    </w:p>
    <w:p w14:paraId="32089E9A" w14:textId="77777777" w:rsidR="004C3216" w:rsidRDefault="004C3216" w:rsidP="005811E2">
      <w:pPr>
        <w:spacing w:line="360" w:lineRule="auto"/>
        <w:ind w:right="426"/>
        <w:jc w:val="both"/>
        <w:rPr>
          <w:rFonts w:ascii="Calibri" w:hAnsi="Calibri" w:cs="Arial"/>
          <w:sz w:val="22"/>
          <w:szCs w:val="22"/>
          <w:rtl/>
        </w:rPr>
      </w:pPr>
    </w:p>
    <w:p w14:paraId="0FB94EEB"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rtl/>
        </w:rPr>
        <w:t>כפי שציינתי לעיל, לא מצאתי להביא במסגרת זו את כלל הפסיקה אליה הופניתי, בעיקר זו שלא תאמה את נסיבות המקרה שבפנינו. דוגמה לכך היא העניין שנדון ב</w:t>
      </w:r>
      <w:hyperlink r:id="rId142" w:history="1">
        <w:r w:rsidR="008B74B3" w:rsidRPr="008B74B3">
          <w:rPr>
            <w:rFonts w:ascii="David" w:hAnsi="David" w:cs="David"/>
            <w:color w:val="0000FF"/>
            <w:sz w:val="24"/>
            <w:szCs w:val="24"/>
            <w:u w:val="single"/>
            <w:rtl/>
          </w:rPr>
          <w:t>ע"פ 107/08</w:t>
        </w:r>
      </w:hyperlink>
      <w:r>
        <w:rPr>
          <w:rFonts w:ascii="David" w:hAnsi="David" w:cs="David"/>
          <w:sz w:val="24"/>
          <w:szCs w:val="24"/>
          <w:rtl/>
        </w:rPr>
        <w:t xml:space="preserve"> </w:t>
      </w:r>
      <w:r>
        <w:rPr>
          <w:rFonts w:ascii="Miriam" w:hAnsi="Miriam" w:cs="Miriam"/>
          <w:sz w:val="24"/>
          <w:szCs w:val="24"/>
          <w:rtl/>
        </w:rPr>
        <w:t>מדינת ישראל נ' עית</w:t>
      </w:r>
      <w:r>
        <w:rPr>
          <w:rFonts w:ascii="David" w:hAnsi="David" w:cs="David"/>
          <w:sz w:val="24"/>
          <w:szCs w:val="24"/>
          <w:rtl/>
        </w:rPr>
        <w:t xml:space="preserve"> </w:t>
      </w:r>
      <w:r w:rsidR="00DF1ED4" w:rsidRPr="00DF1ED4">
        <w:rPr>
          <w:rFonts w:ascii="Times New Roman" w:hAnsi="Times New Roman" w:cs="David"/>
          <w:szCs w:val="24"/>
          <w:rtl/>
        </w:rPr>
        <w:t xml:space="preserve">[פורסם בנבו] </w:t>
      </w:r>
      <w:r>
        <w:rPr>
          <w:rFonts w:ascii="David" w:hAnsi="David" w:cs="David"/>
          <w:sz w:val="24"/>
          <w:szCs w:val="24"/>
          <w:rtl/>
        </w:rPr>
        <w:t>(3.2.19). באותו מקרה נדון המשיב ל 7 שנות מאסר "בלבד", בנסיבות ש</w:t>
      </w:r>
      <w:r>
        <w:rPr>
          <w:rFonts w:ascii="David" w:hAnsi="David" w:cs="David"/>
          <w:sz w:val="24"/>
          <w:szCs w:val="24"/>
          <w:u w:val="single"/>
          <w:rtl/>
        </w:rPr>
        <w:t>על פני הדברים</w:t>
      </w:r>
      <w:r>
        <w:rPr>
          <w:rFonts w:ascii="David" w:hAnsi="David" w:cs="David"/>
          <w:sz w:val="24"/>
          <w:szCs w:val="24"/>
          <w:rtl/>
        </w:rPr>
        <w:t xml:space="preserve"> (בלבד) דומות לענייננו. יחד עם זאת, עיון בפסק הדין מלמד שבאותו מקרה המשיב לא כיוון לפגוע במי מקבוצת האנשים שהיתה במקום ולכן נקבע כי מדובר בהריגה בקלות דעת. נתון זה, כמו גם נסיבותיו האישיות, הוביל לעונש המתון יחסית לעיל. </w:t>
      </w:r>
    </w:p>
    <w:p w14:paraId="53154019"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7148D7CB"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Pr>
      </w:pPr>
      <w:r>
        <w:rPr>
          <w:rFonts w:ascii="David" w:hAnsi="David" w:cs="David"/>
          <w:sz w:val="24"/>
          <w:szCs w:val="24"/>
          <w:rtl/>
        </w:rPr>
        <w:t>לעניין עבירת החבלה בכוונה מחמירה המיוחסת לנאשם 3, אפנה – בהקשר למדיניות הענישה הנהוגה בנסיבות דומות (שוב, במגבלות שצוינו לעיל) למקרים הבאים:</w:t>
      </w:r>
    </w:p>
    <w:p w14:paraId="128B8959" w14:textId="77777777" w:rsidR="004C3216" w:rsidRDefault="004C3216" w:rsidP="005811E2">
      <w:pPr>
        <w:spacing w:line="360" w:lineRule="auto"/>
        <w:ind w:left="516" w:right="426"/>
        <w:jc w:val="both"/>
        <w:rPr>
          <w:rFonts w:ascii="David" w:hAnsi="David"/>
          <w:rtl/>
        </w:rPr>
      </w:pPr>
    </w:p>
    <w:p w14:paraId="0E20E5E4" w14:textId="77777777" w:rsidR="004C3216" w:rsidRDefault="004C3216" w:rsidP="005811E2">
      <w:pPr>
        <w:spacing w:line="360" w:lineRule="auto"/>
        <w:ind w:left="516" w:right="426"/>
        <w:jc w:val="both"/>
        <w:rPr>
          <w:rFonts w:ascii="Arial" w:hAnsi="Arial"/>
          <w:rtl/>
        </w:rPr>
      </w:pPr>
      <w:r>
        <w:rPr>
          <w:rFonts w:ascii="Arial" w:hAnsi="Arial"/>
          <w:rtl/>
        </w:rPr>
        <w:t>ב</w:t>
      </w:r>
      <w:hyperlink r:id="rId143" w:history="1">
        <w:r w:rsidR="008B74B3" w:rsidRPr="008B74B3">
          <w:rPr>
            <w:rFonts w:ascii="Arial" w:hAnsi="Arial"/>
            <w:color w:val="0000FF"/>
            <w:u w:val="single"/>
            <w:rtl/>
          </w:rPr>
          <w:t>ע"פ 6359/18</w:t>
        </w:r>
      </w:hyperlink>
      <w:r>
        <w:rPr>
          <w:rFonts w:ascii="Arial" w:hAnsi="Arial"/>
          <w:rtl/>
        </w:rPr>
        <w:t xml:space="preserve"> </w:t>
      </w:r>
      <w:r>
        <w:rPr>
          <w:rFonts w:ascii="Miriam" w:hAnsi="Miriam" w:cs="Miriam"/>
          <w:rtl/>
        </w:rPr>
        <w:t>מדינת ישראל נ' מחאמיד</w:t>
      </w:r>
      <w:r>
        <w:rPr>
          <w:rFonts w:ascii="Arial" w:hAnsi="Arial"/>
          <w:rtl/>
        </w:rPr>
        <w:t xml:space="preserve"> </w:t>
      </w:r>
      <w:r w:rsidR="00DF1ED4" w:rsidRPr="00DF1ED4">
        <w:rPr>
          <w:sz w:val="22"/>
          <w:rtl/>
        </w:rPr>
        <w:t xml:space="preserve">[פורסם בנבו] </w:t>
      </w:r>
      <w:r>
        <w:rPr>
          <w:rFonts w:ascii="Arial" w:hAnsi="Arial"/>
          <w:rtl/>
        </w:rPr>
        <w:t xml:space="preserve">(11.4.19), נדון מקרה בו הגיע המשיב למפגש סולחה שנערך בינו לבין המתלונן בעקבות ויכוח קודם, כשהוא מצויד ברובה צייד. כאשר המתלונן ירד מרכבו, ניגש אליו המשיב </w:t>
      </w:r>
      <w:r>
        <w:rPr>
          <w:rFonts w:ascii="Arial" w:hAnsi="Arial"/>
          <w:u w:val="single"/>
          <w:rtl/>
        </w:rPr>
        <w:t>וירה בו כדור אחד ממרחק של מספר מטרים</w:t>
      </w:r>
      <w:r>
        <w:rPr>
          <w:rFonts w:ascii="Arial" w:hAnsi="Arial"/>
          <w:rtl/>
        </w:rPr>
        <w:t xml:space="preserve">. המתלונן נפגע קשה ברגלו. המשיב הורשע בעבירה של חבלה בכוונה מחמירה ונשיאת נשק. </w:t>
      </w:r>
      <w:r>
        <w:rPr>
          <w:rFonts w:ascii="Arial" w:hAnsi="Arial"/>
          <w:u w:val="single"/>
          <w:rtl/>
        </w:rPr>
        <w:t>נקבע מתחם בין 4 ל 7</w:t>
      </w:r>
      <w:r>
        <w:rPr>
          <w:rFonts w:ascii="Arial" w:hAnsi="Arial"/>
          <w:rtl/>
        </w:rPr>
        <w:t xml:space="preserve"> שנות מאסר והוטל עונש של </w:t>
      </w:r>
      <w:r>
        <w:rPr>
          <w:rFonts w:ascii="Arial" w:hAnsi="Arial"/>
          <w:u w:val="single"/>
          <w:rtl/>
        </w:rPr>
        <w:t>5 שנות מאסר</w:t>
      </w:r>
      <w:r>
        <w:rPr>
          <w:rFonts w:ascii="Arial" w:hAnsi="Arial"/>
          <w:rtl/>
        </w:rPr>
        <w:t xml:space="preserve"> (הודה, עבר שאינו מכביד). במסגרת ערעור על קולת העונש הוחמר העונש והועמד על</w:t>
      </w:r>
      <w:r>
        <w:rPr>
          <w:rFonts w:ascii="Arial" w:hAnsi="Arial"/>
          <w:u w:val="single"/>
          <w:rtl/>
        </w:rPr>
        <w:t xml:space="preserve"> 6 שנות מאסר</w:t>
      </w:r>
      <w:r>
        <w:rPr>
          <w:rFonts w:ascii="Arial" w:hAnsi="Arial"/>
          <w:rtl/>
        </w:rPr>
        <w:t xml:space="preserve">, בשים לב לחומרת המעשה, מחד, ולכך כי ערכאת הערעור אינה ממצה את הדין, מנגד. </w:t>
      </w:r>
    </w:p>
    <w:p w14:paraId="1F20050B" w14:textId="77777777" w:rsidR="004C3216" w:rsidRDefault="004C3216" w:rsidP="005811E2">
      <w:pPr>
        <w:spacing w:line="360" w:lineRule="auto"/>
        <w:ind w:left="516" w:right="426"/>
        <w:jc w:val="both"/>
        <w:rPr>
          <w:rFonts w:ascii="Arial" w:hAnsi="Arial"/>
          <w:rtl/>
        </w:rPr>
      </w:pPr>
    </w:p>
    <w:p w14:paraId="2A6E26BA" w14:textId="77777777" w:rsidR="004C3216" w:rsidRDefault="004C3216" w:rsidP="005811E2">
      <w:pPr>
        <w:spacing w:line="360" w:lineRule="auto"/>
        <w:ind w:left="516" w:right="426"/>
        <w:jc w:val="both"/>
        <w:rPr>
          <w:rFonts w:ascii="Arial" w:hAnsi="Arial"/>
          <w:rtl/>
        </w:rPr>
      </w:pPr>
      <w:r>
        <w:rPr>
          <w:rFonts w:ascii="Arial" w:hAnsi="Arial"/>
          <w:rtl/>
        </w:rPr>
        <w:t>ב</w:t>
      </w:r>
      <w:hyperlink r:id="rId144" w:history="1">
        <w:r w:rsidR="008B74B3" w:rsidRPr="008B74B3">
          <w:rPr>
            <w:rFonts w:ascii="Arial" w:hAnsi="Arial"/>
            <w:color w:val="0000FF"/>
            <w:u w:val="single"/>
            <w:rtl/>
          </w:rPr>
          <w:t>ע"פ 8641/12</w:t>
        </w:r>
      </w:hyperlink>
      <w:r>
        <w:rPr>
          <w:rFonts w:ascii="Arial" w:hAnsi="Arial"/>
          <w:rtl/>
        </w:rPr>
        <w:t xml:space="preserve"> ‏</w:t>
      </w:r>
      <w:r>
        <w:rPr>
          <w:rFonts w:ascii="Miriam" w:hAnsi="Miriam" w:cs="Miriam"/>
          <w:rtl/>
        </w:rPr>
        <w:t>סעד נ' מדינת ישראל</w:t>
      </w:r>
      <w:r>
        <w:rPr>
          <w:rFonts w:ascii="Arial" w:hAnsi="Arial"/>
          <w:rtl/>
        </w:rPr>
        <w:t xml:space="preserve"> </w:t>
      </w:r>
      <w:r w:rsidR="00DF1ED4" w:rsidRPr="00DF1ED4">
        <w:rPr>
          <w:sz w:val="22"/>
          <w:rtl/>
        </w:rPr>
        <w:t xml:space="preserve">[פורסם בנבו] </w:t>
      </w:r>
      <w:r>
        <w:rPr>
          <w:rFonts w:ascii="Arial" w:hAnsi="Arial"/>
          <w:rtl/>
        </w:rPr>
        <w:t xml:space="preserve">(5.8.13). נדון עניינו של מי שירה לעבר המתלונן 3 יריות ברגליו, על רקע סברתו כי המתלונן קשור לאירוע במהלכו נפגע דודו כשנתיים קודם לכן ושהוא מפיץ שמועות בנוגע לאותו אירוע. בעקבות כך קרא המערער למתלונן לנסוע אתו, בשלב מסוים הורה לו לרדת מהרכב כדי לשוחח עמו ואז </w:t>
      </w:r>
      <w:r>
        <w:rPr>
          <w:rFonts w:ascii="Arial" w:hAnsi="Arial"/>
          <w:u w:val="single"/>
          <w:rtl/>
        </w:rPr>
        <w:t>ירה לעבר רגליו מספר יריות מהן פגעו 3 כדורים ברגליו.</w:t>
      </w:r>
      <w:r>
        <w:rPr>
          <w:rFonts w:ascii="Arial" w:hAnsi="Arial"/>
          <w:rtl/>
        </w:rPr>
        <w:t xml:space="preserve"> ההרשעה היתה ב</w:t>
      </w:r>
      <w:r>
        <w:rPr>
          <w:rFonts w:ascii="Arial" w:hAnsi="Arial"/>
          <w:u w:val="single"/>
          <w:rtl/>
        </w:rPr>
        <w:t>חבלה בכוונה מחמירה</w:t>
      </w:r>
      <w:r>
        <w:rPr>
          <w:rFonts w:ascii="Arial" w:hAnsi="Arial"/>
          <w:rtl/>
        </w:rPr>
        <w:t xml:space="preserve"> ועבירות נשק. בערכאה הדיונית נקבע עונש מאסר בפועל לתקופה של 42 חודשים (ניהל את ההליך, צעיר נעדר עבר פלילי), ובמסגרת הערעור על קולת העונש נקבע </w:t>
      </w:r>
      <w:r>
        <w:rPr>
          <w:rFonts w:ascii="Arial" w:hAnsi="Arial"/>
          <w:u w:val="single"/>
          <w:rtl/>
        </w:rPr>
        <w:t>שהמתחם היה אמור להיקבע בין 3.5 ל 8 שנות מאסר</w:t>
      </w:r>
      <w:r>
        <w:rPr>
          <w:rFonts w:ascii="Arial" w:hAnsi="Arial"/>
          <w:rtl/>
        </w:rPr>
        <w:t>. הערעור התקבל והעונש הועמד על</w:t>
      </w:r>
      <w:r>
        <w:rPr>
          <w:rFonts w:ascii="Arial" w:hAnsi="Arial"/>
          <w:u w:val="single"/>
          <w:rtl/>
        </w:rPr>
        <w:t xml:space="preserve"> 5 שנות מאסר בפועל</w:t>
      </w:r>
      <w:r>
        <w:rPr>
          <w:rFonts w:ascii="Arial" w:hAnsi="Arial"/>
          <w:rtl/>
        </w:rPr>
        <w:t xml:space="preserve">.  </w:t>
      </w:r>
    </w:p>
    <w:p w14:paraId="5ED07C18" w14:textId="77777777" w:rsidR="004C3216" w:rsidRDefault="004C3216" w:rsidP="005811E2">
      <w:pPr>
        <w:spacing w:line="360" w:lineRule="auto"/>
        <w:ind w:left="516" w:right="426"/>
        <w:jc w:val="both"/>
        <w:rPr>
          <w:rFonts w:ascii="Arial" w:hAnsi="Arial"/>
          <w:rtl/>
        </w:rPr>
      </w:pPr>
    </w:p>
    <w:p w14:paraId="7F358C57" w14:textId="77777777" w:rsidR="004C3216" w:rsidRDefault="004C3216" w:rsidP="005811E2">
      <w:pPr>
        <w:spacing w:line="360" w:lineRule="auto"/>
        <w:ind w:left="516" w:right="426"/>
        <w:jc w:val="both"/>
        <w:rPr>
          <w:rFonts w:ascii="Arial" w:hAnsi="Arial"/>
          <w:rtl/>
        </w:rPr>
      </w:pPr>
      <w:r>
        <w:rPr>
          <w:rFonts w:ascii="Arial" w:hAnsi="Arial"/>
          <w:rtl/>
        </w:rPr>
        <w:t>ב</w:t>
      </w:r>
      <w:hyperlink r:id="rId145" w:history="1">
        <w:r w:rsidR="008B74B3" w:rsidRPr="008B74B3">
          <w:rPr>
            <w:rFonts w:ascii="Arial" w:hAnsi="Arial"/>
            <w:color w:val="0000FF"/>
            <w:u w:val="single"/>
            <w:rtl/>
          </w:rPr>
          <w:t>ע"פ 6101/16</w:t>
        </w:r>
      </w:hyperlink>
      <w:r>
        <w:rPr>
          <w:rFonts w:ascii="Arial" w:hAnsi="Arial"/>
          <w:rtl/>
        </w:rPr>
        <w:t xml:space="preserve"> </w:t>
      </w:r>
      <w:r>
        <w:rPr>
          <w:rFonts w:ascii="Miriam" w:hAnsi="Miriam" w:cs="Miriam"/>
          <w:rtl/>
        </w:rPr>
        <w:t>עווד נ' מדינת ישראל</w:t>
      </w:r>
      <w:r>
        <w:rPr>
          <w:rFonts w:ascii="Arial" w:hAnsi="Arial"/>
          <w:rtl/>
        </w:rPr>
        <w:t xml:space="preserve"> </w:t>
      </w:r>
      <w:r w:rsidR="00DF1ED4" w:rsidRPr="00DF1ED4">
        <w:rPr>
          <w:sz w:val="22"/>
          <w:rtl/>
        </w:rPr>
        <w:t xml:space="preserve">[פורסם בנבו] </w:t>
      </w:r>
      <w:r>
        <w:rPr>
          <w:rFonts w:ascii="Arial" w:hAnsi="Arial"/>
          <w:rtl/>
        </w:rPr>
        <w:t xml:space="preserve">(28.6.17), נדון עניינו של מי שירה לעבר רגליו של מי ש"נחשד" בקיום יחסים רומנטיים עם אשת המערער. תחילה ירה לעברו כדור אחד ולאחר שהמתלונן החל להימלט השיגו </w:t>
      </w:r>
      <w:r>
        <w:rPr>
          <w:rFonts w:ascii="Arial" w:hAnsi="Arial"/>
          <w:u w:val="single"/>
          <w:rtl/>
        </w:rPr>
        <w:t>וירה שני קליעים נוספים ברגליו</w:t>
      </w:r>
      <w:r>
        <w:rPr>
          <w:rFonts w:ascii="Arial" w:hAnsi="Arial"/>
          <w:rtl/>
        </w:rPr>
        <w:t>. המערער הורשע ב</w:t>
      </w:r>
      <w:r>
        <w:rPr>
          <w:rFonts w:ascii="Arial" w:hAnsi="Arial"/>
          <w:u w:val="single"/>
          <w:rtl/>
        </w:rPr>
        <w:t>חבלה בכוונה מחמירה</w:t>
      </w:r>
      <w:r>
        <w:rPr>
          <w:rFonts w:ascii="Arial" w:hAnsi="Arial"/>
          <w:rtl/>
        </w:rPr>
        <w:t xml:space="preserve">, עבירות נשק ועבירות נוספות (ירי באזור מגורים, שיבוש מהלכי משפט ועוד). בערכאה הדיונית נקבע </w:t>
      </w:r>
      <w:r>
        <w:rPr>
          <w:rFonts w:ascii="Arial" w:hAnsi="Arial"/>
          <w:u w:val="single"/>
          <w:rtl/>
        </w:rPr>
        <w:t>מתחם בין 6 ל 12</w:t>
      </w:r>
      <w:r>
        <w:rPr>
          <w:rFonts w:ascii="Arial" w:hAnsi="Arial"/>
          <w:rtl/>
        </w:rPr>
        <w:t xml:space="preserve"> שנות מאסר, ונקבע </w:t>
      </w:r>
      <w:r>
        <w:rPr>
          <w:rFonts w:ascii="Arial" w:hAnsi="Arial"/>
          <w:u w:val="single"/>
          <w:rtl/>
        </w:rPr>
        <w:t>עונש של 9 שנות מאס</w:t>
      </w:r>
      <w:r>
        <w:rPr>
          <w:rFonts w:ascii="Arial" w:hAnsi="Arial"/>
          <w:rtl/>
        </w:rPr>
        <w:t xml:space="preserve">ר בפועל (הורשע לאחר ניהול, עבר פלילי  מכביד). בערעור </w:t>
      </w:r>
      <w:r>
        <w:rPr>
          <w:rFonts w:ascii="Arial" w:hAnsi="Arial"/>
          <w:u w:val="single"/>
          <w:rtl/>
        </w:rPr>
        <w:t>הופחת העונש ל 8 שנות מאסר</w:t>
      </w:r>
      <w:r>
        <w:rPr>
          <w:rFonts w:ascii="Arial" w:hAnsi="Arial"/>
          <w:rtl/>
        </w:rPr>
        <w:t xml:space="preserve">.  </w:t>
      </w:r>
    </w:p>
    <w:p w14:paraId="4455EDD3" w14:textId="77777777" w:rsidR="004C3216" w:rsidRDefault="004C3216" w:rsidP="005811E2">
      <w:pPr>
        <w:spacing w:line="360" w:lineRule="auto"/>
        <w:ind w:left="516" w:right="426"/>
        <w:jc w:val="both"/>
        <w:rPr>
          <w:rFonts w:ascii="Arial" w:hAnsi="Arial"/>
          <w:rtl/>
        </w:rPr>
      </w:pPr>
    </w:p>
    <w:p w14:paraId="2F919A2F" w14:textId="77777777" w:rsidR="004C3216" w:rsidRDefault="004C3216" w:rsidP="005811E2">
      <w:pPr>
        <w:spacing w:line="360" w:lineRule="auto"/>
        <w:ind w:left="516" w:right="426"/>
        <w:jc w:val="both"/>
        <w:rPr>
          <w:rFonts w:ascii="Arial" w:hAnsi="Arial"/>
          <w:rtl/>
        </w:rPr>
      </w:pPr>
      <w:r>
        <w:rPr>
          <w:rFonts w:ascii="Arial" w:hAnsi="Arial"/>
          <w:rtl/>
        </w:rPr>
        <w:t>ב</w:t>
      </w:r>
      <w:hyperlink r:id="rId146" w:history="1">
        <w:r w:rsidR="008B74B3" w:rsidRPr="008B74B3">
          <w:rPr>
            <w:rFonts w:ascii="Arial" w:hAnsi="Arial"/>
            <w:color w:val="0000FF"/>
            <w:u w:val="single"/>
            <w:rtl/>
          </w:rPr>
          <w:t>ע"פ 6459/17</w:t>
        </w:r>
      </w:hyperlink>
      <w:r>
        <w:rPr>
          <w:rFonts w:ascii="Arial" w:hAnsi="Arial"/>
          <w:rtl/>
        </w:rPr>
        <w:t xml:space="preserve"> </w:t>
      </w:r>
      <w:r>
        <w:rPr>
          <w:rFonts w:ascii="Miriam" w:hAnsi="Miriam" w:cs="Miriam"/>
          <w:rtl/>
        </w:rPr>
        <w:t>מדינת ישראל נ' קדושים</w:t>
      </w:r>
      <w:r>
        <w:rPr>
          <w:rFonts w:ascii="Arial" w:hAnsi="Arial"/>
          <w:rtl/>
        </w:rPr>
        <w:t xml:space="preserve"> </w:t>
      </w:r>
      <w:r w:rsidR="00DF1ED4" w:rsidRPr="00DF1ED4">
        <w:rPr>
          <w:sz w:val="22"/>
          <w:rtl/>
        </w:rPr>
        <w:t xml:space="preserve">[פורסם בנבו] </w:t>
      </w:r>
      <w:r>
        <w:rPr>
          <w:rFonts w:ascii="Arial" w:hAnsi="Arial"/>
          <w:rtl/>
        </w:rPr>
        <w:t>(27.2.18), נדון עניינם של שני משיבים שרכבו על קטנוע וכאשר חלפו על פני המתלונן ירה אחד מהם לעבר חזהו של המתלונן. המתלונן נפצע קשה. המשיבים הורשעו בחבלה בכוונה מחמירה, עבירות נשק ועוד. בערכאה הדיונית נקבע מתחם בין 4 ל 8 שנות מאסר, ונקבעו עונשים של 6 שנות מאסר על היורה ו 5 שנות מאסר על שותפו (הודו, לחובתם עבר מכביד). הערעור על קולת העונש התקבל והעונש לגבי השניים הוחמר ל</w:t>
      </w:r>
      <w:r>
        <w:rPr>
          <w:rFonts w:ascii="Arial" w:hAnsi="Arial"/>
          <w:u w:val="single"/>
          <w:rtl/>
        </w:rPr>
        <w:t xml:space="preserve"> 8 שנות מאסר</w:t>
      </w:r>
      <w:r>
        <w:rPr>
          <w:rFonts w:ascii="Arial" w:hAnsi="Arial"/>
          <w:rtl/>
        </w:rPr>
        <w:t xml:space="preserve"> (לגבי אחד מהם העונש כלל הפעלת מע"ת בחופף) בשים לב שערכאת הערעור אינה ממצה את הדין.  </w:t>
      </w:r>
    </w:p>
    <w:p w14:paraId="7FD4D171" w14:textId="77777777" w:rsidR="004C3216" w:rsidRDefault="004C3216" w:rsidP="005811E2">
      <w:pPr>
        <w:spacing w:line="360" w:lineRule="auto"/>
        <w:ind w:left="516" w:right="426"/>
        <w:jc w:val="both"/>
        <w:rPr>
          <w:rFonts w:ascii="Arial" w:hAnsi="Arial"/>
          <w:rtl/>
        </w:rPr>
      </w:pPr>
    </w:p>
    <w:p w14:paraId="2273CA1F" w14:textId="77777777" w:rsidR="004C3216" w:rsidRDefault="004C3216" w:rsidP="005811E2">
      <w:pPr>
        <w:spacing w:line="360" w:lineRule="auto"/>
        <w:ind w:left="516" w:right="426"/>
        <w:jc w:val="both"/>
        <w:rPr>
          <w:rFonts w:ascii="Arial" w:hAnsi="Arial"/>
          <w:rtl/>
        </w:rPr>
      </w:pPr>
      <w:r>
        <w:rPr>
          <w:rFonts w:ascii="Arial" w:hAnsi="Arial"/>
          <w:rtl/>
        </w:rPr>
        <w:t>ב</w:t>
      </w:r>
      <w:hyperlink r:id="rId147" w:history="1">
        <w:r w:rsidR="008B74B3" w:rsidRPr="008B74B3">
          <w:rPr>
            <w:rFonts w:ascii="Arial" w:hAnsi="Arial"/>
            <w:color w:val="0000FF"/>
            <w:u w:val="single"/>
            <w:rtl/>
          </w:rPr>
          <w:t>ת.פ. (מחוזי חיפה) 16420-10-16</w:t>
        </w:r>
      </w:hyperlink>
      <w:r>
        <w:rPr>
          <w:rFonts w:ascii="Arial" w:hAnsi="Arial"/>
          <w:rtl/>
        </w:rPr>
        <w:t xml:space="preserve"> </w:t>
      </w:r>
      <w:r>
        <w:rPr>
          <w:rFonts w:ascii="Miriam" w:hAnsi="Miriam" w:cs="Miriam"/>
          <w:rtl/>
        </w:rPr>
        <w:t>מדינת ישראל נ' אגבאריה</w:t>
      </w:r>
      <w:r>
        <w:rPr>
          <w:rFonts w:ascii="Arial" w:hAnsi="Arial"/>
          <w:rtl/>
        </w:rPr>
        <w:t xml:space="preserve"> </w:t>
      </w:r>
      <w:r w:rsidR="00DF1ED4" w:rsidRPr="00DF1ED4">
        <w:rPr>
          <w:sz w:val="22"/>
          <w:rtl/>
        </w:rPr>
        <w:t xml:space="preserve">[פורסם בנבו] </w:t>
      </w:r>
      <w:r>
        <w:rPr>
          <w:rFonts w:ascii="Arial" w:hAnsi="Arial"/>
          <w:rtl/>
        </w:rPr>
        <w:t xml:space="preserve">(30.5.18), נדון עניינו של נאשם שנסע ברכב בסמוך לבית המתלונן </w:t>
      </w:r>
      <w:r>
        <w:rPr>
          <w:rFonts w:ascii="Arial" w:hAnsi="Arial"/>
          <w:u w:val="single"/>
          <w:rtl/>
        </w:rPr>
        <w:t>וירה על רקע סכסוך משפחתי לעבר הבית בתת מקלע ממרחק של מספר מטרים. כדור אחד פגע ברגלו</w:t>
      </w:r>
      <w:r>
        <w:rPr>
          <w:rFonts w:ascii="Arial" w:hAnsi="Arial"/>
          <w:rtl/>
        </w:rPr>
        <w:t xml:space="preserve"> של המתלונן והוא נאלץ לעבור מספר ניתוחים. הנאשם הורשע ב</w:t>
      </w:r>
      <w:r>
        <w:rPr>
          <w:rFonts w:ascii="Arial" w:hAnsi="Arial"/>
          <w:u w:val="single"/>
          <w:rtl/>
        </w:rPr>
        <w:t>חבלה בכוונה מחמירה</w:t>
      </w:r>
      <w:r>
        <w:rPr>
          <w:rFonts w:ascii="Arial" w:hAnsi="Arial"/>
          <w:rtl/>
        </w:rPr>
        <w:t xml:space="preserve"> ועבירות נשק. נקבע </w:t>
      </w:r>
      <w:r>
        <w:rPr>
          <w:rFonts w:ascii="Arial" w:hAnsi="Arial"/>
          <w:u w:val="single"/>
          <w:rtl/>
        </w:rPr>
        <w:t>מתחם בין 6 ל 10 שנות מאסר</w:t>
      </w:r>
      <w:r>
        <w:rPr>
          <w:rFonts w:ascii="Arial" w:hAnsi="Arial"/>
          <w:rtl/>
        </w:rPr>
        <w:t xml:space="preserve">, והוטל עונש של </w:t>
      </w:r>
      <w:r>
        <w:rPr>
          <w:rFonts w:ascii="Arial" w:hAnsi="Arial"/>
          <w:u w:val="single"/>
          <w:rtl/>
        </w:rPr>
        <w:t>7 שנות מאסר</w:t>
      </w:r>
      <w:r>
        <w:rPr>
          <w:rFonts w:ascii="Arial" w:hAnsi="Arial"/>
          <w:rtl/>
        </w:rPr>
        <w:t xml:space="preserve"> (נעדר עבר פלילי, ניהל את משפטו). הוגש ערעור על חומרת העונש וטרם ניתן פסק דין (</w:t>
      </w:r>
      <w:hyperlink r:id="rId148" w:history="1">
        <w:r w:rsidR="008B74B3" w:rsidRPr="008B74B3">
          <w:rPr>
            <w:rFonts w:ascii="Arial" w:hAnsi="Arial"/>
            <w:color w:val="0000FF"/>
            <w:u w:val="single"/>
            <w:rtl/>
          </w:rPr>
          <w:t>ע"פ 5376/18</w:t>
        </w:r>
      </w:hyperlink>
      <w:r>
        <w:rPr>
          <w:rFonts w:ascii="Arial" w:hAnsi="Arial"/>
          <w:rtl/>
        </w:rPr>
        <w:t>).</w:t>
      </w:r>
    </w:p>
    <w:p w14:paraId="4F1DDAA8" w14:textId="77777777" w:rsidR="004C3216" w:rsidRDefault="004C3216" w:rsidP="005811E2">
      <w:pPr>
        <w:spacing w:line="360" w:lineRule="auto"/>
        <w:ind w:left="516" w:right="426"/>
        <w:jc w:val="both"/>
        <w:rPr>
          <w:rFonts w:ascii="Arial" w:hAnsi="Arial"/>
          <w:rtl/>
        </w:rPr>
      </w:pPr>
    </w:p>
    <w:p w14:paraId="475A3F3D" w14:textId="77777777" w:rsidR="004C3216" w:rsidRDefault="004C3216" w:rsidP="005811E2">
      <w:pPr>
        <w:spacing w:line="360" w:lineRule="auto"/>
        <w:ind w:left="516" w:right="426"/>
        <w:jc w:val="both"/>
        <w:rPr>
          <w:rFonts w:ascii="Arial" w:hAnsi="Arial"/>
          <w:rtl/>
        </w:rPr>
      </w:pPr>
      <w:r>
        <w:rPr>
          <w:rFonts w:ascii="David" w:hAnsi="David"/>
          <w:rtl/>
        </w:rPr>
        <w:t>ב</w:t>
      </w:r>
      <w:hyperlink r:id="rId149" w:history="1">
        <w:r w:rsidR="00DF1ED4" w:rsidRPr="00DF1ED4">
          <w:rPr>
            <w:rFonts w:ascii="David" w:hAnsi="David"/>
            <w:color w:val="0000FF"/>
            <w:u w:val="single"/>
            <w:rtl/>
          </w:rPr>
          <w:t>ת.פ. (מחוזי נצרת) 41585-03-16</w:t>
        </w:r>
      </w:hyperlink>
      <w:r>
        <w:rPr>
          <w:rFonts w:ascii="David" w:hAnsi="David"/>
          <w:rtl/>
        </w:rPr>
        <w:t xml:space="preserve"> </w:t>
      </w:r>
      <w:r>
        <w:rPr>
          <w:rFonts w:ascii="Miriam" w:hAnsi="Miriam" w:cs="Miriam"/>
          <w:rtl/>
        </w:rPr>
        <w:t>מדינת ישראל נ' הייב</w:t>
      </w:r>
      <w:r>
        <w:rPr>
          <w:rFonts w:ascii="David" w:hAnsi="David"/>
          <w:rtl/>
        </w:rPr>
        <w:t xml:space="preserve"> </w:t>
      </w:r>
      <w:r w:rsidR="00DF1ED4" w:rsidRPr="00DF1ED4">
        <w:rPr>
          <w:sz w:val="22"/>
          <w:rtl/>
        </w:rPr>
        <w:t xml:space="preserve">[פורסם בנבו] </w:t>
      </w:r>
      <w:r>
        <w:rPr>
          <w:rFonts w:ascii="David" w:hAnsi="David"/>
          <w:rtl/>
        </w:rPr>
        <w:t xml:space="preserve">(21.3.17) הורשע הנאשם בחבלה בכוונה מחמירה (ניסיון), עבירות נשק, ירי באזור מגורים ועבירות נלוות אחרות, בהקשר לאירוע במהלכו, על רקע סכסוך קודם, הגיע ברכב לבית האנשים עמם היה מסוכסך כשהוא מצויד </w:t>
      </w:r>
      <w:r>
        <w:rPr>
          <w:rFonts w:ascii="David" w:hAnsi="David"/>
          <w:u w:val="single"/>
          <w:rtl/>
        </w:rPr>
        <w:t xml:space="preserve">ברובה מסוג </w:t>
      </w:r>
      <w:r>
        <w:rPr>
          <w:rFonts w:ascii="David" w:hAnsi="David"/>
          <w:u w:val="single"/>
        </w:rPr>
        <w:t>m-16</w:t>
      </w:r>
      <w:r>
        <w:rPr>
          <w:rFonts w:ascii="David" w:hAnsi="David"/>
          <w:u w:val="single"/>
          <w:rtl/>
        </w:rPr>
        <w:t>, יצא מהרכב, כיוון את הרובה לעבר המתלוננים שעמדו על מרפסת ביתם וירה לעברם 29 יריות</w:t>
      </w:r>
      <w:r>
        <w:rPr>
          <w:rFonts w:ascii="David" w:hAnsi="David"/>
          <w:rtl/>
        </w:rPr>
        <w:t xml:space="preserve"> בכוונה לגרום להם חבלה חמורה. משום שהנוכחים נשכבו על הארץ איש מהם לא נפצע, אך 17 מהקליעים פגעו בבית לרבות מעקה המרפסת וחלק מהקליעים חדרו לבית. נקבע </w:t>
      </w:r>
      <w:r>
        <w:rPr>
          <w:rFonts w:ascii="David" w:hAnsi="David"/>
          <w:u w:val="single"/>
          <w:rtl/>
        </w:rPr>
        <w:t>מתחם בין 4 ל 7 שנות מאסר</w:t>
      </w:r>
      <w:r>
        <w:rPr>
          <w:rFonts w:ascii="David" w:hAnsi="David"/>
          <w:rtl/>
        </w:rPr>
        <w:t xml:space="preserve">, ועונשו של הנאשם הועמד על </w:t>
      </w:r>
      <w:r>
        <w:rPr>
          <w:rFonts w:ascii="David" w:hAnsi="David"/>
          <w:u w:val="single"/>
          <w:rtl/>
        </w:rPr>
        <w:t>5 שנות מאסר</w:t>
      </w:r>
      <w:r>
        <w:rPr>
          <w:rFonts w:ascii="David" w:hAnsi="David"/>
          <w:rtl/>
        </w:rPr>
        <w:t xml:space="preserve"> (הודה, לחובתו עבר פלילי, תסקיר שלילי).</w:t>
      </w:r>
    </w:p>
    <w:p w14:paraId="6C38E9B0" w14:textId="77777777" w:rsidR="004C3216" w:rsidRDefault="004C3216" w:rsidP="005811E2">
      <w:pPr>
        <w:spacing w:line="360" w:lineRule="auto"/>
        <w:ind w:left="516" w:right="426"/>
        <w:jc w:val="both"/>
        <w:rPr>
          <w:rFonts w:ascii="Arial" w:hAnsi="Arial"/>
          <w:rtl/>
        </w:rPr>
      </w:pPr>
    </w:p>
    <w:p w14:paraId="5E69FFAB" w14:textId="77777777" w:rsidR="004C3216" w:rsidRDefault="004C3216" w:rsidP="00066707">
      <w:pPr>
        <w:spacing w:line="360" w:lineRule="auto"/>
        <w:ind w:left="516" w:right="426"/>
        <w:jc w:val="both"/>
        <w:rPr>
          <w:rFonts w:ascii="Arial" w:hAnsi="Arial"/>
          <w:rtl/>
        </w:rPr>
      </w:pPr>
      <w:r>
        <w:rPr>
          <w:rFonts w:ascii="Arial" w:hAnsi="Arial"/>
          <w:rtl/>
        </w:rPr>
        <w:t>המקרה האחרון אליו אפנה הוא בעניינם של הנאשמים 10 עד 12, שכאמור לעיל דינם נגזר במסגרת פרשה זו [</w:t>
      </w:r>
      <w:r w:rsidR="008B74B3" w:rsidRPr="00DF1ED4">
        <w:rPr>
          <w:rFonts w:ascii="Arial" w:hAnsi="Arial"/>
          <w:rtl/>
        </w:rPr>
        <w:t>ת.פ. (מחוזי חיפה) 8898-04-</w:t>
      </w:r>
      <w:r w:rsidR="008B74B3" w:rsidRPr="00DF1ED4">
        <w:rPr>
          <w:rFonts w:ascii="Arial" w:hAnsi="Arial"/>
          <w:rtl/>
        </w:rPr>
        <w:t>1</w:t>
      </w:r>
      <w:r w:rsidR="008B74B3" w:rsidRPr="00DF1ED4">
        <w:rPr>
          <w:rFonts w:ascii="Arial" w:hAnsi="Arial"/>
          <w:rtl/>
        </w:rPr>
        <w:t>8</w:t>
      </w:r>
      <w:r>
        <w:rPr>
          <w:rFonts w:ascii="Arial" w:hAnsi="Arial"/>
          <w:rtl/>
        </w:rPr>
        <w:t xml:space="preserve">, גז"ד מיום 8.7.18]. תיאור מעשיהם הובא בפרק עובדות כתב האישום ואזכיר בקצרה כי השלושה עקבו אחר נאסים (שנסע עם אחיו נדים וכן עם הנאשם 9), ואז חסמו את רכב האחרונים ובהמשך </w:t>
      </w:r>
      <w:r>
        <w:rPr>
          <w:rFonts w:ascii="Arial" w:hAnsi="Arial"/>
          <w:u w:val="single"/>
          <w:rtl/>
        </w:rPr>
        <w:t>ירה הנאשם 12 לעבר רגליו של נאסים</w:t>
      </w:r>
      <w:r>
        <w:rPr>
          <w:rFonts w:ascii="Arial" w:hAnsi="Arial"/>
          <w:rtl/>
        </w:rPr>
        <w:t xml:space="preserve">. הנאשם 12 הורשע בעבירות נשק וחבלה בכוונה מחמירה; </w:t>
      </w:r>
      <w:r>
        <w:rPr>
          <w:rFonts w:ascii="Arial" w:hAnsi="Arial"/>
          <w:u w:val="single"/>
          <w:rtl/>
        </w:rPr>
        <w:t>נקבע בעניינו מתחם בין 5 ל 8 שנות מאסר ודינו נגזר ל 5.5 שנות מאסר</w:t>
      </w:r>
      <w:r>
        <w:rPr>
          <w:rFonts w:ascii="Arial" w:hAnsi="Arial"/>
          <w:rtl/>
        </w:rPr>
        <w:t xml:space="preserve"> (הודה, עבר שאינו מכביד). </w:t>
      </w:r>
    </w:p>
    <w:p w14:paraId="23823158" w14:textId="77777777" w:rsidR="004C3216" w:rsidRDefault="004C3216" w:rsidP="005811E2">
      <w:pPr>
        <w:spacing w:line="360" w:lineRule="auto"/>
        <w:ind w:left="516" w:right="426"/>
        <w:jc w:val="both"/>
        <w:rPr>
          <w:rFonts w:ascii="David" w:hAnsi="David"/>
          <w:u w:val="single"/>
          <w:rtl/>
        </w:rPr>
      </w:pPr>
    </w:p>
    <w:p w14:paraId="54ABB7DD"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rtl/>
        </w:rPr>
        <w:t xml:space="preserve">בפסקה שלהלן אביא מקרים הנוגעים הן לנאשמים 2 ו 6 והן לנאשמים 7 ו 8. </w:t>
      </w:r>
    </w:p>
    <w:p w14:paraId="5AB96A48"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162F338F"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לכאורה, מדובר בשתי קבוצות נאשמים שונות ואכן המתחמים שייקבעו לגבי שתי קבוצות אלה יהיו שונים. יחד עם זאת, מצאתי לנכון להביא את אותה קבוצת גזרי דין משום הקרבה העניינית והעונשית (ולו באופן יחסי) ביניהם, כאשר ההתאמות תעשנה, כאמור, בהמשך. </w:t>
      </w:r>
    </w:p>
    <w:p w14:paraId="2BD9C1E7" w14:textId="77777777" w:rsidR="004C3216" w:rsidRDefault="004C3216" w:rsidP="005811E2">
      <w:pPr>
        <w:spacing w:line="360" w:lineRule="auto"/>
        <w:ind w:left="516" w:right="426"/>
        <w:jc w:val="both"/>
        <w:rPr>
          <w:rFonts w:ascii="David" w:hAnsi="David"/>
          <w:rtl/>
        </w:rPr>
      </w:pPr>
    </w:p>
    <w:p w14:paraId="5BF0834C" w14:textId="77777777" w:rsidR="004C3216" w:rsidRDefault="004C3216" w:rsidP="005811E2">
      <w:pPr>
        <w:spacing w:line="360" w:lineRule="auto"/>
        <w:ind w:left="516" w:right="426"/>
        <w:jc w:val="both"/>
        <w:rPr>
          <w:rFonts w:ascii="David" w:hAnsi="David"/>
          <w:rtl/>
        </w:rPr>
      </w:pPr>
      <w:r>
        <w:rPr>
          <w:rFonts w:ascii="David" w:hAnsi="David"/>
          <w:rtl/>
        </w:rPr>
        <w:t>ב</w:t>
      </w:r>
      <w:hyperlink r:id="rId150" w:history="1">
        <w:r w:rsidR="008B74B3" w:rsidRPr="008B74B3">
          <w:rPr>
            <w:rFonts w:ascii="David" w:hAnsi="David"/>
            <w:color w:val="0000FF"/>
            <w:u w:val="single"/>
            <w:rtl/>
          </w:rPr>
          <w:t>ע"פ 9830/17</w:t>
        </w:r>
      </w:hyperlink>
      <w:r>
        <w:rPr>
          <w:rFonts w:ascii="David" w:hAnsi="David"/>
          <w:rtl/>
        </w:rPr>
        <w:t xml:space="preserve"> </w:t>
      </w:r>
      <w:r>
        <w:rPr>
          <w:rFonts w:ascii="Miriam" w:hAnsi="Miriam" w:cs="Miriam"/>
          <w:rtl/>
        </w:rPr>
        <w:t>חמודה נ' מדינת ישראל</w:t>
      </w:r>
      <w:r>
        <w:rPr>
          <w:rFonts w:ascii="David" w:hAnsi="David"/>
          <w:rtl/>
        </w:rPr>
        <w:t xml:space="preserve"> </w:t>
      </w:r>
      <w:r w:rsidR="00DF1ED4" w:rsidRPr="00DF1ED4">
        <w:rPr>
          <w:sz w:val="22"/>
          <w:rtl/>
        </w:rPr>
        <w:t xml:space="preserve">[פורסם בנבו] </w:t>
      </w:r>
      <w:r>
        <w:rPr>
          <w:rFonts w:ascii="David" w:hAnsi="David"/>
          <w:rtl/>
        </w:rPr>
        <w:t xml:space="preserve">(8.3.18) על רקע סכסוך שנתגלע בין אחות המערער למשפחת המתלונן, המערער נסע יחד עם שני אנשים נוספים ברכב, כשהוא אוחז בידיו נשק. בעת שהשלושה חלפו עם המכונית על פני ביתו של המתלונן, </w:t>
      </w:r>
      <w:r>
        <w:rPr>
          <w:rFonts w:ascii="David" w:hAnsi="David"/>
          <w:u w:val="single"/>
          <w:rtl/>
        </w:rPr>
        <w:t>המערער הוציא חלק מגופו מחוץ לחלון הרכב, ירה מספר כדורים באוויר, ולאחר שהבחין כי המתלונן שוהה במרפסת הבית ירה עוד לפחות ארבעה כדורים לעבר הבית במטרה להפחידו.</w:t>
      </w:r>
      <w:r>
        <w:rPr>
          <w:rFonts w:ascii="David" w:hAnsi="David"/>
          <w:rtl/>
        </w:rPr>
        <w:t xml:space="preserve"> בגין כך הורשע בעבירה של </w:t>
      </w:r>
      <w:r>
        <w:rPr>
          <w:rFonts w:ascii="David" w:hAnsi="David"/>
          <w:u w:val="single"/>
          <w:rtl/>
        </w:rPr>
        <w:t>ירי באזור מגורים ועבירות בנשק</w:t>
      </w:r>
      <w:r>
        <w:rPr>
          <w:rFonts w:ascii="David" w:hAnsi="David"/>
          <w:rtl/>
        </w:rPr>
        <w:t xml:space="preserve">. בית המשפט המחוזי קבע כי </w:t>
      </w:r>
      <w:r>
        <w:rPr>
          <w:rFonts w:ascii="David" w:hAnsi="David"/>
          <w:u w:val="single"/>
          <w:rtl/>
        </w:rPr>
        <w:t>מתחם העונש ההולם נע בין 24 ל 48 חודשי מאסר</w:t>
      </w:r>
      <w:r>
        <w:rPr>
          <w:rFonts w:ascii="David" w:hAnsi="David"/>
          <w:rtl/>
        </w:rPr>
        <w:t xml:space="preserve"> בפועל והעמיד את עונשו על</w:t>
      </w:r>
      <w:r>
        <w:rPr>
          <w:rFonts w:ascii="David" w:hAnsi="David"/>
          <w:u w:val="single"/>
          <w:rtl/>
        </w:rPr>
        <w:t xml:space="preserve"> 30 חודשי מאסר</w:t>
      </w:r>
      <w:r>
        <w:rPr>
          <w:rFonts w:ascii="David" w:hAnsi="David"/>
          <w:rtl/>
        </w:rPr>
        <w:t xml:space="preserve"> (צעיר, הודה טרם שמיעת ראיות, לחובתו עבר פלילי). הערעור על חומרת העונש נדחה. </w:t>
      </w:r>
    </w:p>
    <w:p w14:paraId="34E9E648" w14:textId="77777777" w:rsidR="004C3216" w:rsidRDefault="004C3216" w:rsidP="005811E2">
      <w:pPr>
        <w:spacing w:line="360" w:lineRule="auto"/>
        <w:ind w:left="516" w:right="426"/>
        <w:jc w:val="both"/>
        <w:rPr>
          <w:rFonts w:ascii="David" w:hAnsi="David"/>
          <w:rtl/>
        </w:rPr>
      </w:pPr>
    </w:p>
    <w:p w14:paraId="0C3432AC" w14:textId="77777777" w:rsidR="004C3216" w:rsidRDefault="004C3216" w:rsidP="005811E2">
      <w:pPr>
        <w:spacing w:line="360" w:lineRule="auto"/>
        <w:ind w:left="516" w:right="426"/>
        <w:jc w:val="both"/>
        <w:rPr>
          <w:rFonts w:ascii="David" w:hAnsi="David"/>
          <w:rtl/>
        </w:rPr>
      </w:pPr>
      <w:r>
        <w:rPr>
          <w:rFonts w:ascii="David" w:hAnsi="David"/>
          <w:rtl/>
        </w:rPr>
        <w:t>ב</w:t>
      </w:r>
      <w:hyperlink r:id="rId151" w:history="1">
        <w:r w:rsidR="008B74B3" w:rsidRPr="008B74B3">
          <w:rPr>
            <w:rFonts w:ascii="David" w:hAnsi="David"/>
            <w:color w:val="0000FF"/>
            <w:u w:val="single"/>
            <w:rtl/>
          </w:rPr>
          <w:t>ע"פ 4677/15</w:t>
        </w:r>
      </w:hyperlink>
      <w:r>
        <w:rPr>
          <w:rFonts w:ascii="David" w:hAnsi="David"/>
          <w:rtl/>
        </w:rPr>
        <w:t xml:space="preserve"> </w:t>
      </w:r>
      <w:r>
        <w:rPr>
          <w:rFonts w:ascii="Miriam" w:hAnsi="Miriam" w:cs="Miriam"/>
          <w:rtl/>
        </w:rPr>
        <w:t>פאח'ורי נ' מדינת ישראל</w:t>
      </w:r>
      <w:r>
        <w:rPr>
          <w:rFonts w:ascii="David" w:hAnsi="David"/>
          <w:rtl/>
        </w:rPr>
        <w:t xml:space="preserve"> </w:t>
      </w:r>
      <w:r w:rsidR="00BB2098" w:rsidRPr="00BB2098">
        <w:rPr>
          <w:sz w:val="22"/>
          <w:rtl/>
        </w:rPr>
        <w:t xml:space="preserve">[פורסם בנבו] </w:t>
      </w:r>
      <w:r>
        <w:rPr>
          <w:rFonts w:ascii="David" w:hAnsi="David"/>
          <w:rtl/>
        </w:rPr>
        <w:t xml:space="preserve">(2.5.2016) המערער הורשע </w:t>
      </w:r>
      <w:r>
        <w:rPr>
          <w:rFonts w:ascii="David" w:hAnsi="David"/>
          <w:u w:val="single"/>
          <w:rtl/>
        </w:rPr>
        <w:t>בעבירות בנשק, ירי באזור מגורים</w:t>
      </w:r>
      <w:r>
        <w:rPr>
          <w:rFonts w:ascii="David" w:hAnsi="David"/>
          <w:rtl/>
        </w:rPr>
        <w:t xml:space="preserve">, איומים וחבלה במזיד לרכב. על רקע סכסוך קודם </w:t>
      </w:r>
      <w:r>
        <w:rPr>
          <w:rFonts w:ascii="David" w:hAnsi="David"/>
          <w:u w:val="single"/>
          <w:rtl/>
        </w:rPr>
        <w:t>ירה המערער על יריביו, כשהוא עומד בתחנת אוטובוס והם נוסעים ברכב. אחת מהיריות פגעה ברכב</w:t>
      </w:r>
      <w:r>
        <w:rPr>
          <w:rFonts w:ascii="David" w:hAnsi="David"/>
          <w:rtl/>
        </w:rPr>
        <w:t xml:space="preserve">. המתחם לאישום זה נקבע בין 30 ל 54 חודשי מאסר. באישום נוסף תואר כי המערער </w:t>
      </w:r>
      <w:r>
        <w:rPr>
          <w:rFonts w:ascii="David" w:hAnsi="David"/>
          <w:u w:val="single"/>
          <w:rtl/>
        </w:rPr>
        <w:t>הגיע כשהוא מצויד באקדח בסמוך לביתו של אחר וירה לעבר ביתו מספר יריות</w:t>
      </w:r>
      <w:r>
        <w:rPr>
          <w:rFonts w:ascii="David" w:hAnsi="David"/>
          <w:rtl/>
        </w:rPr>
        <w:t>, שחלקן פגעו בבית. מתחם העונש ההולם לאישום זה נקבע בין 24 ל 48 חודשי מאסר בפועל. על המערער נגזר עונש כולל של 46 חודשי מאסר (צעיר, הודה, עבר לא מכביד, נערך הסכם סולחה). הערעור על חומרת העונש התקבל ו</w:t>
      </w:r>
      <w:r>
        <w:rPr>
          <w:rFonts w:ascii="David" w:hAnsi="David"/>
          <w:u w:val="single"/>
          <w:rtl/>
        </w:rPr>
        <w:t>העונש הופחת ל 34 חודשי מאסר</w:t>
      </w:r>
      <w:r>
        <w:rPr>
          <w:rFonts w:ascii="David" w:hAnsi="David"/>
          <w:rtl/>
        </w:rPr>
        <w:t xml:space="preserve"> בפועל תוך שצוין כי קיים במערער "פוטנציאל שיקומי גבוה במיוחד".</w:t>
      </w:r>
    </w:p>
    <w:p w14:paraId="4988B425" w14:textId="77777777" w:rsidR="004C3216" w:rsidRDefault="004C3216" w:rsidP="005811E2">
      <w:pPr>
        <w:spacing w:line="360" w:lineRule="auto"/>
        <w:ind w:left="516" w:right="426"/>
        <w:jc w:val="both"/>
        <w:rPr>
          <w:rFonts w:ascii="David" w:hAnsi="David"/>
          <w:rtl/>
        </w:rPr>
      </w:pPr>
    </w:p>
    <w:p w14:paraId="1C73CA1B" w14:textId="77777777" w:rsidR="004C3216" w:rsidRDefault="004C3216" w:rsidP="005811E2">
      <w:pPr>
        <w:spacing w:line="360" w:lineRule="auto"/>
        <w:ind w:left="516" w:right="426"/>
        <w:jc w:val="both"/>
        <w:rPr>
          <w:rFonts w:ascii="David" w:hAnsi="David"/>
          <w:rtl/>
        </w:rPr>
      </w:pPr>
      <w:r>
        <w:rPr>
          <w:rFonts w:ascii="David" w:hAnsi="David"/>
          <w:rtl/>
        </w:rPr>
        <w:t>ב</w:t>
      </w:r>
      <w:hyperlink r:id="rId152" w:history="1">
        <w:r w:rsidR="008B74B3" w:rsidRPr="008B74B3">
          <w:rPr>
            <w:rFonts w:ascii="David" w:hAnsi="David"/>
            <w:color w:val="0000FF"/>
            <w:u w:val="single"/>
            <w:rtl/>
          </w:rPr>
          <w:t>ע"פ 4377/16</w:t>
        </w:r>
      </w:hyperlink>
      <w:r>
        <w:rPr>
          <w:rFonts w:ascii="David" w:hAnsi="David"/>
          <w:rtl/>
        </w:rPr>
        <w:t xml:space="preserve"> </w:t>
      </w:r>
      <w:r>
        <w:rPr>
          <w:rFonts w:ascii="Miriam" w:hAnsi="Miriam" w:cs="Miriam"/>
          <w:rtl/>
        </w:rPr>
        <w:t>תורק נ' מדינת ישראל</w:t>
      </w:r>
      <w:r>
        <w:rPr>
          <w:rFonts w:ascii="David" w:hAnsi="David"/>
          <w:rtl/>
        </w:rPr>
        <w:t xml:space="preserve"> </w:t>
      </w:r>
      <w:r w:rsidR="00BB2098" w:rsidRPr="00BB2098">
        <w:rPr>
          <w:sz w:val="22"/>
          <w:rtl/>
        </w:rPr>
        <w:t xml:space="preserve">[פורסם בנבו] </w:t>
      </w:r>
      <w:r>
        <w:rPr>
          <w:rFonts w:ascii="David" w:hAnsi="David"/>
          <w:rtl/>
        </w:rPr>
        <w:t xml:space="preserve">(6.10.2016). בסוף תגרת שכנים נכנסו המערער ואחיו לביתם ומיד לאחר מכן יצאו כאשר </w:t>
      </w:r>
      <w:r>
        <w:rPr>
          <w:rFonts w:ascii="David" w:hAnsi="David"/>
          <w:u w:val="single"/>
          <w:rtl/>
        </w:rPr>
        <w:t>המערער אוחז ברובה. לאחר מכן רץ המערער לעבר בית המתלוננים וירה לעבר שער ביתם,</w:t>
      </w:r>
      <w:r>
        <w:rPr>
          <w:rFonts w:ascii="David" w:hAnsi="David"/>
          <w:rtl/>
        </w:rPr>
        <w:t xml:space="preserve"> בעודם עומדים בסמוך לשער, במטרה לאיים עליהם. המערער הורשע בעבירות נשק, מעשה פזיזות ורשלנות, איומים, ירי באזור מגורים. </w:t>
      </w:r>
      <w:r>
        <w:rPr>
          <w:rFonts w:ascii="David" w:hAnsi="David"/>
          <w:u w:val="single"/>
          <w:rtl/>
        </w:rPr>
        <w:t>נקבע מתחם בין 26 ל 42 חודשי מאסר והמערער נידון ל 30 חודשי מאסר</w:t>
      </w:r>
      <w:r>
        <w:rPr>
          <w:rFonts w:ascii="David" w:hAnsi="David"/>
          <w:rtl/>
        </w:rPr>
        <w:t xml:space="preserve"> (צעיר, נעדר עבר פלילי, הודה). ערעור על חומרת העונש נדחה. </w:t>
      </w:r>
    </w:p>
    <w:p w14:paraId="211D3F68" w14:textId="77777777" w:rsidR="004C3216" w:rsidRDefault="004C3216" w:rsidP="005811E2">
      <w:pPr>
        <w:spacing w:line="360" w:lineRule="auto"/>
        <w:ind w:left="516" w:right="426"/>
        <w:jc w:val="both"/>
        <w:rPr>
          <w:rFonts w:ascii="David" w:hAnsi="David"/>
          <w:rtl/>
        </w:rPr>
      </w:pPr>
    </w:p>
    <w:p w14:paraId="7A164B33" w14:textId="77777777" w:rsidR="004C3216" w:rsidRDefault="004C3216" w:rsidP="005811E2">
      <w:pPr>
        <w:spacing w:line="360" w:lineRule="auto"/>
        <w:ind w:left="516" w:right="426"/>
        <w:jc w:val="both"/>
        <w:rPr>
          <w:rFonts w:ascii="David" w:hAnsi="David"/>
          <w:rtl/>
        </w:rPr>
      </w:pPr>
      <w:r>
        <w:rPr>
          <w:rFonts w:ascii="David" w:hAnsi="David"/>
          <w:rtl/>
        </w:rPr>
        <w:t>ב</w:t>
      </w:r>
      <w:hyperlink r:id="rId153" w:history="1">
        <w:r w:rsidR="008B74B3" w:rsidRPr="008B74B3">
          <w:rPr>
            <w:rFonts w:ascii="David" w:hAnsi="David"/>
            <w:color w:val="0000FF"/>
            <w:u w:val="single"/>
            <w:rtl/>
          </w:rPr>
          <w:t>ע"פ 6724/15</w:t>
        </w:r>
      </w:hyperlink>
      <w:r>
        <w:rPr>
          <w:rFonts w:ascii="David" w:hAnsi="David"/>
          <w:rtl/>
        </w:rPr>
        <w:t xml:space="preserve"> </w:t>
      </w:r>
      <w:r>
        <w:rPr>
          <w:rFonts w:ascii="Miriam" w:hAnsi="Miriam" w:cs="Miriam"/>
          <w:rtl/>
        </w:rPr>
        <w:t>אגבאריה נ' מדינת ישראל</w:t>
      </w:r>
      <w:r>
        <w:rPr>
          <w:rFonts w:ascii="David" w:hAnsi="David"/>
          <w:rtl/>
        </w:rPr>
        <w:t xml:space="preserve"> </w:t>
      </w:r>
      <w:r w:rsidR="00BB2098" w:rsidRPr="00BB2098">
        <w:rPr>
          <w:sz w:val="22"/>
          <w:rtl/>
        </w:rPr>
        <w:t xml:space="preserve">[פורסם בנבו] </w:t>
      </w:r>
      <w:r>
        <w:rPr>
          <w:rFonts w:ascii="David" w:hAnsi="David"/>
          <w:rtl/>
        </w:rPr>
        <w:t xml:space="preserve">(28.12.15), נדון עניינו של מי שעל רקע ויכוח כספי, שלח אדם אחר לבית המתלונן. </w:t>
      </w:r>
      <w:r>
        <w:rPr>
          <w:rFonts w:ascii="David" w:hAnsi="David"/>
          <w:u w:val="single"/>
          <w:rtl/>
        </w:rPr>
        <w:t>אותו אחר הגיע ברכב כשהוא נושא אקדח, פתח את דלת הרכב וירה 10 כדורים לכיוון בית המתלונן שעה שהמתלונן ובני משפחתו ישנו</w:t>
      </w:r>
      <w:r>
        <w:rPr>
          <w:rFonts w:ascii="David" w:hAnsi="David"/>
          <w:rtl/>
        </w:rPr>
        <w:t xml:space="preserve">. חלק מהקליעים חדרו את חלון הבית לתוך הסלון. בהמשך, הגיש המערער תלונת שווא כי הרכב בו נסע האחר והיה שייך לו נגנב ממנו. המערער הורשע בעבירות נשק, קשירת קשר, ירי באזור מגורים, איומים, ועבירות נלוות אחרות. </w:t>
      </w:r>
      <w:r>
        <w:rPr>
          <w:rFonts w:ascii="David" w:hAnsi="David"/>
          <w:u w:val="single"/>
          <w:rtl/>
        </w:rPr>
        <w:t>נקבע מתחם בין 18 ל 48 חודשי מאסר בפועל, ועונשו הועמד על 26 חודשי מאסר בפועל</w:t>
      </w:r>
      <w:r>
        <w:rPr>
          <w:rFonts w:ascii="David" w:hAnsi="David"/>
          <w:rtl/>
        </w:rPr>
        <w:t xml:space="preserve"> (צעיר, נעדר עבר פלילי, הודה לאחר שמיעת חלק ניכר מהראיות). הערעור על חומרת העונש התקבל והעונש הופחת ל  24 חודשים.</w:t>
      </w:r>
    </w:p>
    <w:p w14:paraId="444FDC3D" w14:textId="77777777" w:rsidR="004C3216" w:rsidRDefault="004C3216" w:rsidP="005811E2">
      <w:pPr>
        <w:spacing w:line="360" w:lineRule="auto"/>
        <w:ind w:left="516" w:right="426"/>
        <w:jc w:val="both"/>
        <w:rPr>
          <w:rFonts w:ascii="David" w:hAnsi="David"/>
          <w:rtl/>
        </w:rPr>
      </w:pPr>
    </w:p>
    <w:p w14:paraId="46C0DB9D"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קביעת המתחמים – סיכום.</w:t>
      </w:r>
      <w:r>
        <w:rPr>
          <w:rFonts w:ascii="David" w:hAnsi="David" w:cs="David"/>
          <w:b/>
          <w:bCs/>
          <w:sz w:val="24"/>
          <w:szCs w:val="24"/>
          <w:rtl/>
        </w:rPr>
        <w:t xml:space="preserve"> </w:t>
      </w:r>
    </w:p>
    <w:p w14:paraId="6FB5EC80"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rPr>
      </w:pPr>
    </w:p>
    <w:p w14:paraId="313EDBDE"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tl/>
        </w:rPr>
      </w:pPr>
      <w:r>
        <w:rPr>
          <w:rFonts w:ascii="David" w:hAnsi="David" w:cs="David"/>
          <w:b/>
          <w:bCs/>
          <w:sz w:val="24"/>
          <w:szCs w:val="24"/>
          <w:rtl/>
        </w:rPr>
        <w:t xml:space="preserve">בשים לב לכל האמור לעיל, לערכים החברתיים שנפגעו ומידת הפגיעה בהם; לנסיבות ביצוע העבירות; ולמדיניות הענישה הנהוגה, </w:t>
      </w:r>
      <w:r>
        <w:rPr>
          <w:rFonts w:ascii="David" w:hAnsi="David" w:cs="David"/>
          <w:b/>
          <w:bCs/>
          <w:sz w:val="24"/>
          <w:szCs w:val="24"/>
          <w:u w:val="single"/>
          <w:rtl/>
        </w:rPr>
        <w:t xml:space="preserve">אני קובע את המתחמים שלהלן: </w:t>
      </w:r>
    </w:p>
    <w:p w14:paraId="5385A6BE"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495AB1B9" w14:textId="77777777" w:rsidR="004C3216" w:rsidRDefault="004C3216" w:rsidP="00066707">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Pr>
      </w:pPr>
      <w:r>
        <w:rPr>
          <w:rFonts w:ascii="David" w:hAnsi="David" w:cs="David"/>
          <w:b/>
          <w:bCs/>
          <w:sz w:val="24"/>
          <w:szCs w:val="24"/>
          <w:u w:val="single"/>
          <w:rtl/>
        </w:rPr>
        <w:t xml:space="preserve">לגבי הנאשם 1 </w:t>
      </w:r>
      <w:r>
        <w:rPr>
          <w:rFonts w:ascii="David" w:hAnsi="David" w:cs="David"/>
          <w:sz w:val="24"/>
          <w:szCs w:val="24"/>
          <w:rtl/>
        </w:rPr>
        <w:t xml:space="preserve">- אין חולק כי משרעת הענישה לגבי </w:t>
      </w:r>
      <w:r w:rsidRPr="00066707">
        <w:rPr>
          <w:rFonts w:ascii="David" w:hAnsi="David" w:cs="David"/>
          <w:sz w:val="24"/>
          <w:szCs w:val="24"/>
          <w:rtl/>
        </w:rPr>
        <w:t>העבירה</w:t>
      </w:r>
      <w:r>
        <w:rPr>
          <w:rFonts w:ascii="David" w:hAnsi="David" w:cs="David"/>
          <w:sz w:val="24"/>
          <w:szCs w:val="24"/>
          <w:rtl/>
        </w:rPr>
        <w:t xml:space="preserve"> בה הורשע הנאשם 1 רחבה ומה שקובע, כבכל מקרה, הינן נסיבות המקרה הקונקרטי. מדובר כאמור במי ששידל את ילדיו ואחייניו לפצוע את בני משפחתו על לא עול בכפם, ובכך טמונה החומרה שבמעשיו. </w:t>
      </w:r>
      <w:r>
        <w:rPr>
          <w:rFonts w:ascii="David" w:hAnsi="David" w:cs="David"/>
          <w:b/>
          <w:bCs/>
          <w:sz w:val="24"/>
          <w:szCs w:val="24"/>
          <w:u w:val="single"/>
          <w:rtl/>
        </w:rPr>
        <w:t>המאשימה סברה שהמתחם הראוי בעניינו נע בין 6 חודשי מאסר שיכול וירוצו בעבודות שירות ועד 24 חודשי מאסר, ואף אני סבור כך.</w:t>
      </w:r>
      <w:r>
        <w:rPr>
          <w:rFonts w:ascii="David" w:hAnsi="David" w:cs="David"/>
          <w:sz w:val="24"/>
          <w:szCs w:val="24"/>
          <w:rtl/>
        </w:rPr>
        <w:t xml:space="preserve"> </w:t>
      </w:r>
    </w:p>
    <w:p w14:paraId="3760D2DC" w14:textId="77777777" w:rsidR="004C3216" w:rsidRDefault="004C3216" w:rsidP="005811E2">
      <w:pPr>
        <w:pStyle w:val="ListParagraph"/>
        <w:spacing w:after="0" w:line="360" w:lineRule="auto"/>
        <w:ind w:left="516" w:right="426"/>
        <w:rPr>
          <w:rFonts w:ascii="David" w:hAnsi="David" w:cs="David"/>
          <w:sz w:val="24"/>
          <w:szCs w:val="24"/>
        </w:rPr>
      </w:pPr>
    </w:p>
    <w:p w14:paraId="188614CC"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sz w:val="24"/>
          <w:szCs w:val="24"/>
          <w:rtl/>
        </w:rPr>
        <w:t xml:space="preserve"> </w:t>
      </w:r>
      <w:r>
        <w:rPr>
          <w:rFonts w:ascii="David" w:hAnsi="David" w:cs="David"/>
          <w:b/>
          <w:bCs/>
          <w:sz w:val="24"/>
          <w:szCs w:val="24"/>
          <w:u w:val="single"/>
          <w:rtl/>
        </w:rPr>
        <w:t>לגבי הנאשמים 2 ו 6</w:t>
      </w:r>
      <w:r>
        <w:rPr>
          <w:rFonts w:ascii="David" w:hAnsi="David" w:cs="David"/>
          <w:sz w:val="24"/>
          <w:szCs w:val="24"/>
          <w:rtl/>
        </w:rPr>
        <w:t xml:space="preserve"> – הפניתי לכלל השיקולים הנוגעים אליהם וכן למדיניות הענישה הנהוגה במקרים דומים. ציינתי כי "עבירת הבסיס" שמהווה נקודת מוצא בענייננו הינה עבירת הנשק, ולה מתווספים נתונים משמעותיים לחומרה של הירי בענייננו בנסיבותיו הקונקרטיות. בשים לב לכלל השיקולים הנדרשים, </w:t>
      </w:r>
      <w:r>
        <w:rPr>
          <w:rFonts w:ascii="David" w:hAnsi="David" w:cs="David"/>
          <w:b/>
          <w:bCs/>
          <w:sz w:val="24"/>
          <w:szCs w:val="24"/>
          <w:u w:val="single"/>
          <w:rtl/>
        </w:rPr>
        <w:t>אני קובע את מתחם העונש לגביהם בין 2.5 ל 5 שנות מאסר בפועל.</w:t>
      </w:r>
    </w:p>
    <w:p w14:paraId="6AD88589" w14:textId="77777777" w:rsidR="004C3216" w:rsidRDefault="004C3216" w:rsidP="005811E2">
      <w:pPr>
        <w:pStyle w:val="ListParagraph"/>
        <w:rPr>
          <w:rFonts w:ascii="David" w:hAnsi="David" w:cs="David"/>
          <w:b/>
          <w:bCs/>
          <w:sz w:val="24"/>
          <w:szCs w:val="24"/>
          <w:u w:val="single"/>
        </w:rPr>
      </w:pPr>
    </w:p>
    <w:p w14:paraId="0F87D827"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b/>
          <w:bCs/>
          <w:sz w:val="24"/>
          <w:szCs w:val="24"/>
          <w:u w:val="single"/>
          <w:rtl/>
        </w:rPr>
        <w:t>לגבי הנאשם 3</w:t>
      </w:r>
      <w:r>
        <w:rPr>
          <w:rFonts w:ascii="David" w:hAnsi="David" w:cs="David"/>
          <w:sz w:val="24"/>
          <w:szCs w:val="24"/>
          <w:rtl/>
        </w:rPr>
        <w:t xml:space="preserve"> – הנאשם 3 הורשע הן בהריגת המנוחה והן בעבירת חבלה בכוונה מחמירה ביחס לירי לעבר פריד. מדובר באירוע אחד, אך חרף זאת אין הדבר אומר שעבירת החבלה "תבלע" בעבירת ההריגה, שהרי גם כאשר מספר "מעשים" מסווגים כ"אירוע" אחד, יינתן משקל למספרם, טיבם, וחומרתם של המעשים -  </w:t>
      </w:r>
    </w:p>
    <w:p w14:paraId="697BFB8D"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546E3094"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הלכה היא כי גם כאשר כמה מעשים נחשבים כחלק מ"אירוע" אחד הרי שבקביעת מתחם הענישה יש תמיד להביא בחשבון את מספרם וחומרתם של המעשים, כך שמתחם הענישה בגין האירוע יכול לעלות אף על עונש המקסימום בגין מעשה אחד". </w:t>
      </w:r>
      <w:r>
        <w:rPr>
          <w:rFonts w:ascii="David" w:hAnsi="David" w:cs="David"/>
          <w:sz w:val="24"/>
          <w:szCs w:val="24"/>
          <w:rtl/>
        </w:rPr>
        <w:t>(</w:t>
      </w:r>
      <w:hyperlink r:id="rId154" w:history="1">
        <w:r w:rsidR="008B74B3" w:rsidRPr="008B74B3">
          <w:rPr>
            <w:rFonts w:ascii="David" w:hAnsi="David" w:cs="David"/>
            <w:color w:val="0000FF"/>
            <w:sz w:val="24"/>
            <w:szCs w:val="24"/>
            <w:u w:val="single"/>
            <w:rtl/>
          </w:rPr>
          <w:t>ע"פ 1082/14</w:t>
        </w:r>
      </w:hyperlink>
      <w:r>
        <w:rPr>
          <w:rFonts w:ascii="David" w:hAnsi="David" w:cs="David"/>
          <w:sz w:val="24"/>
          <w:szCs w:val="24"/>
          <w:rtl/>
        </w:rPr>
        <w:t xml:space="preserve"> </w:t>
      </w:r>
      <w:r>
        <w:rPr>
          <w:rFonts w:ascii="Miriam" w:hAnsi="Miriam" w:cs="Miriam"/>
          <w:sz w:val="24"/>
          <w:szCs w:val="24"/>
          <w:rtl/>
        </w:rPr>
        <w:t>ג'סאר נ' מדינת ישראל</w:t>
      </w:r>
      <w:r>
        <w:rPr>
          <w:rFonts w:ascii="David" w:hAnsi="David" w:cs="David"/>
          <w:sz w:val="24"/>
          <w:szCs w:val="24"/>
          <w:rtl/>
        </w:rPr>
        <w:t xml:space="preserve"> </w:t>
      </w:r>
      <w:r w:rsidR="00BB2098" w:rsidRPr="00BB2098">
        <w:rPr>
          <w:rFonts w:ascii="Times New Roman" w:hAnsi="Times New Roman" w:cs="David"/>
          <w:szCs w:val="24"/>
          <w:rtl/>
        </w:rPr>
        <w:t xml:space="preserve">[פורסם בנבו] </w:t>
      </w:r>
      <w:r>
        <w:rPr>
          <w:rFonts w:ascii="David" w:hAnsi="David" w:cs="David"/>
          <w:sz w:val="24"/>
          <w:szCs w:val="24"/>
          <w:rtl/>
        </w:rPr>
        <w:t>(23.7.15)</w:t>
      </w:r>
      <w:r>
        <w:rPr>
          <w:rFonts w:ascii="David" w:hAnsi="David" w:cs="David"/>
          <w:b/>
          <w:bCs/>
          <w:sz w:val="24"/>
          <w:szCs w:val="24"/>
          <w:rtl/>
        </w:rPr>
        <w:t xml:space="preserve">). </w:t>
      </w:r>
      <w:r>
        <w:rPr>
          <w:rFonts w:ascii="David" w:hAnsi="David" w:cs="David"/>
          <w:sz w:val="24"/>
          <w:szCs w:val="24"/>
          <w:rtl/>
        </w:rPr>
        <w:t xml:space="preserve"> </w:t>
      </w:r>
    </w:p>
    <w:p w14:paraId="224A8E3C"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213F5FED"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sz w:val="24"/>
          <w:szCs w:val="24"/>
          <w:rtl/>
        </w:rPr>
        <w:t xml:space="preserve">וכן ר' בנדון </w:t>
      </w:r>
      <w:hyperlink r:id="rId155" w:history="1">
        <w:r w:rsidR="005948C0" w:rsidRPr="005948C0">
          <w:rPr>
            <w:rFonts w:ascii="David" w:hAnsi="David" w:cs="David"/>
            <w:color w:val="0000FF"/>
            <w:sz w:val="24"/>
            <w:szCs w:val="24"/>
            <w:u w:val="single"/>
            <w:rtl/>
          </w:rPr>
          <w:t>ס' 40יג'(ג)</w:t>
        </w:r>
      </w:hyperlink>
      <w:r>
        <w:rPr>
          <w:rFonts w:ascii="David" w:hAnsi="David" w:cs="David"/>
          <w:sz w:val="24"/>
          <w:szCs w:val="24"/>
          <w:rtl/>
        </w:rPr>
        <w:t xml:space="preserve"> לחוק.</w:t>
      </w:r>
    </w:p>
    <w:p w14:paraId="174FCF8E"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6BDA46DC" w14:textId="77777777" w:rsidR="004C3216" w:rsidRPr="00632576" w:rsidRDefault="004C3216" w:rsidP="005811E2">
      <w:pPr>
        <w:pStyle w:val="ListParagraph"/>
        <w:tabs>
          <w:tab w:val="left" w:pos="516"/>
          <w:tab w:val="left" w:pos="2125"/>
        </w:tabs>
        <w:spacing w:after="0" w:line="360" w:lineRule="auto"/>
        <w:ind w:left="516" w:right="426"/>
        <w:jc w:val="both"/>
        <w:rPr>
          <w:rFonts w:cs="David"/>
          <w:sz w:val="24"/>
          <w:szCs w:val="24"/>
          <w:rtl/>
        </w:rPr>
      </w:pPr>
      <w:r w:rsidRPr="00632576">
        <w:rPr>
          <w:rFonts w:ascii="David" w:hAnsi="David" w:cs="David"/>
          <w:sz w:val="24"/>
          <w:szCs w:val="24"/>
          <w:rtl/>
        </w:rPr>
        <w:t>הנאשם 3 גרם למות המנוחה ועל המתחם לשקף את ערך החיים על כל הכרוך בכך. אפנה בנדון לדברים שנקבעו ב</w:t>
      </w:r>
      <w:hyperlink r:id="rId156"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9422/11</w:t>
        </w:r>
      </w:hyperlink>
      <w:r w:rsidRPr="00632576">
        <w:rPr>
          <w:rFonts w:cs="David"/>
          <w:sz w:val="24"/>
          <w:szCs w:val="24"/>
          <w:rtl/>
        </w:rPr>
        <w:t xml:space="preserve"> </w:t>
      </w:r>
      <w:r w:rsidRPr="00632576">
        <w:rPr>
          <w:rFonts w:ascii="Miriam" w:hAnsi="Miriam" w:cs="Miriam"/>
          <w:sz w:val="24"/>
          <w:szCs w:val="24"/>
          <w:rtl/>
        </w:rPr>
        <w:t>דהן נ' מדינת ישראל</w:t>
      </w:r>
      <w:r w:rsidRPr="00632576">
        <w:rPr>
          <w:rFonts w:cs="David"/>
          <w:sz w:val="24"/>
          <w:szCs w:val="24"/>
          <w:rtl/>
        </w:rPr>
        <w:t xml:space="preserve"> </w:t>
      </w:r>
      <w:r w:rsidR="00BB2098" w:rsidRPr="00BB2098">
        <w:rPr>
          <w:rFonts w:ascii="Times New Roman" w:hAnsi="Times New Roman" w:cs="David"/>
          <w:szCs w:val="24"/>
          <w:rtl/>
        </w:rPr>
        <w:t>[</w:t>
      </w:r>
      <w:r w:rsidR="00BB2098" w:rsidRPr="00BB2098">
        <w:rPr>
          <w:rFonts w:ascii="Times New Roman" w:hAnsi="Times New Roman" w:cs="David" w:hint="eastAsia"/>
          <w:szCs w:val="24"/>
          <w:rtl/>
        </w:rPr>
        <w:t>פורסם</w:t>
      </w:r>
      <w:r w:rsidR="00BB2098" w:rsidRPr="00BB2098">
        <w:rPr>
          <w:rFonts w:ascii="Times New Roman" w:hAnsi="Times New Roman" w:cs="David"/>
          <w:szCs w:val="24"/>
          <w:rtl/>
        </w:rPr>
        <w:t xml:space="preserve"> </w:t>
      </w:r>
      <w:r w:rsidR="00BB2098" w:rsidRPr="00BB2098">
        <w:rPr>
          <w:rFonts w:ascii="Times New Roman" w:hAnsi="Times New Roman" w:cs="David" w:hint="eastAsia"/>
          <w:szCs w:val="24"/>
          <w:rtl/>
        </w:rPr>
        <w:t>בנבו</w:t>
      </w:r>
      <w:r w:rsidR="00BB2098" w:rsidRPr="00BB2098">
        <w:rPr>
          <w:rFonts w:ascii="Times New Roman" w:hAnsi="Times New Roman" w:cs="David"/>
          <w:szCs w:val="24"/>
          <w:rtl/>
        </w:rPr>
        <w:t xml:space="preserve">] </w:t>
      </w:r>
      <w:r w:rsidRPr="00632576">
        <w:rPr>
          <w:rFonts w:cs="David"/>
          <w:sz w:val="24"/>
          <w:szCs w:val="24"/>
          <w:rtl/>
        </w:rPr>
        <w:t xml:space="preserve">(3.7.13): </w:t>
      </w:r>
    </w:p>
    <w:p w14:paraId="2FDD62AE" w14:textId="77777777" w:rsidR="004C3216" w:rsidRPr="00632576" w:rsidRDefault="004C3216" w:rsidP="005811E2">
      <w:pPr>
        <w:pStyle w:val="ListParagraph"/>
        <w:tabs>
          <w:tab w:val="left" w:pos="516"/>
          <w:tab w:val="left" w:pos="2125"/>
        </w:tabs>
        <w:spacing w:after="0" w:line="360" w:lineRule="auto"/>
        <w:ind w:left="516" w:right="426"/>
        <w:jc w:val="both"/>
        <w:rPr>
          <w:rFonts w:cs="David"/>
          <w:sz w:val="24"/>
          <w:szCs w:val="24"/>
          <w:rtl/>
        </w:rPr>
      </w:pPr>
    </w:p>
    <w:p w14:paraId="5B1F7152"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r>
        <w:rPr>
          <w:rFonts w:cs="David"/>
          <w:sz w:val="24"/>
          <w:szCs w:val="24"/>
          <w:rtl/>
        </w:rPr>
        <w:t>"</w:t>
      </w:r>
      <w:r>
        <w:rPr>
          <w:rFonts w:cs="David" w:hint="eastAsia"/>
          <w:b/>
          <w:bCs/>
          <w:sz w:val="24"/>
          <w:szCs w:val="24"/>
          <w:rtl/>
        </w:rPr>
        <w:t>דומה</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כבר</w:t>
      </w:r>
      <w:r>
        <w:rPr>
          <w:rFonts w:cs="David"/>
          <w:b/>
          <w:bCs/>
          <w:sz w:val="24"/>
          <w:szCs w:val="24"/>
          <w:rtl/>
        </w:rPr>
        <w:t xml:space="preserve"> </w:t>
      </w:r>
      <w:r>
        <w:rPr>
          <w:rFonts w:cs="David" w:hint="eastAsia"/>
          <w:b/>
          <w:bCs/>
          <w:sz w:val="24"/>
          <w:szCs w:val="24"/>
          <w:rtl/>
        </w:rPr>
        <w:t>נאמר</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שניתן</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הקלות</w:t>
      </w:r>
      <w:r>
        <w:rPr>
          <w:rFonts w:cs="David"/>
          <w:b/>
          <w:bCs/>
          <w:sz w:val="24"/>
          <w:szCs w:val="24"/>
          <w:rtl/>
        </w:rPr>
        <w:t xml:space="preserve"> </w:t>
      </w:r>
      <w:r>
        <w:rPr>
          <w:rFonts w:cs="David" w:hint="eastAsia"/>
          <w:b/>
          <w:bCs/>
          <w:sz w:val="24"/>
          <w:szCs w:val="24"/>
          <w:rtl/>
        </w:rPr>
        <w:t>הבלתי</w:t>
      </w:r>
      <w:r>
        <w:rPr>
          <w:rFonts w:cs="David"/>
          <w:b/>
          <w:bCs/>
          <w:sz w:val="24"/>
          <w:szCs w:val="24"/>
          <w:rtl/>
        </w:rPr>
        <w:t xml:space="preserve"> </w:t>
      </w:r>
      <w:r>
        <w:rPr>
          <w:rFonts w:cs="David" w:hint="eastAsia"/>
          <w:b/>
          <w:bCs/>
          <w:sz w:val="24"/>
          <w:szCs w:val="24"/>
          <w:rtl/>
        </w:rPr>
        <w:t>נתפסת</w:t>
      </w:r>
      <w:r>
        <w:rPr>
          <w:rFonts w:cs="David"/>
          <w:b/>
          <w:bCs/>
          <w:sz w:val="24"/>
          <w:szCs w:val="24"/>
          <w:rtl/>
        </w:rPr>
        <w:t xml:space="preserve"> </w:t>
      </w:r>
      <w:r>
        <w:rPr>
          <w:rFonts w:cs="David" w:hint="eastAsia"/>
          <w:b/>
          <w:bCs/>
          <w:sz w:val="24"/>
          <w:szCs w:val="24"/>
          <w:rtl/>
        </w:rPr>
        <w:t>בה</w:t>
      </w:r>
      <w:r>
        <w:rPr>
          <w:rFonts w:cs="David"/>
          <w:b/>
          <w:bCs/>
          <w:sz w:val="24"/>
          <w:szCs w:val="24"/>
          <w:rtl/>
        </w:rPr>
        <w:t xml:space="preserve"> </w:t>
      </w:r>
      <w:r>
        <w:rPr>
          <w:rFonts w:cs="David" w:hint="eastAsia"/>
          <w:b/>
          <w:bCs/>
          <w:sz w:val="24"/>
          <w:szCs w:val="24"/>
          <w:rtl/>
        </w:rPr>
        <w:t>נגדעים</w:t>
      </w:r>
      <w:r>
        <w:rPr>
          <w:rFonts w:cs="David"/>
          <w:b/>
          <w:bCs/>
          <w:sz w:val="24"/>
          <w:szCs w:val="24"/>
          <w:rtl/>
        </w:rPr>
        <w:t xml:space="preserve"> </w:t>
      </w:r>
      <w:r>
        <w:rPr>
          <w:rFonts w:cs="David" w:hint="eastAsia"/>
          <w:b/>
          <w:bCs/>
          <w:sz w:val="24"/>
          <w:szCs w:val="24"/>
          <w:rtl/>
        </w:rPr>
        <w:t>בארצנו</w:t>
      </w:r>
      <w:r>
        <w:rPr>
          <w:rFonts w:cs="David"/>
          <w:b/>
          <w:bCs/>
          <w:sz w:val="24"/>
          <w:szCs w:val="24"/>
          <w:rtl/>
        </w:rPr>
        <w:t xml:space="preserve"> </w:t>
      </w:r>
      <w:r>
        <w:rPr>
          <w:rFonts w:cs="David" w:hint="eastAsia"/>
          <w:b/>
          <w:bCs/>
          <w:sz w:val="24"/>
          <w:szCs w:val="24"/>
          <w:rtl/>
        </w:rPr>
        <w:t>חיי</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rtl/>
        </w:rPr>
        <w:t>ולא</w:t>
      </w:r>
      <w:r>
        <w:rPr>
          <w:rFonts w:cs="David"/>
          <w:b/>
          <w:bCs/>
          <w:sz w:val="24"/>
          <w:szCs w:val="24"/>
          <w:rtl/>
        </w:rPr>
        <w:t xml:space="preserve"> </w:t>
      </w:r>
      <w:r>
        <w:rPr>
          <w:rFonts w:cs="David" w:hint="eastAsia"/>
          <w:b/>
          <w:bCs/>
          <w:sz w:val="24"/>
          <w:szCs w:val="24"/>
          <w:rtl/>
        </w:rPr>
        <w:t>נותר</w:t>
      </w:r>
      <w:r>
        <w:rPr>
          <w:rFonts w:cs="David"/>
          <w:b/>
          <w:bCs/>
          <w:sz w:val="24"/>
          <w:szCs w:val="24"/>
          <w:rtl/>
        </w:rPr>
        <w:t xml:space="preserve"> </w:t>
      </w:r>
      <w:r>
        <w:rPr>
          <w:rFonts w:cs="David" w:hint="eastAsia"/>
          <w:b/>
          <w:bCs/>
          <w:sz w:val="24"/>
          <w:szCs w:val="24"/>
          <w:rtl/>
        </w:rPr>
        <w:t>אלא</w:t>
      </w:r>
      <w:r>
        <w:rPr>
          <w:rFonts w:cs="David"/>
          <w:b/>
          <w:bCs/>
          <w:sz w:val="24"/>
          <w:szCs w:val="24"/>
          <w:rtl/>
        </w:rPr>
        <w:t xml:space="preserve"> </w:t>
      </w:r>
      <w:r>
        <w:rPr>
          <w:rFonts w:cs="David" w:hint="eastAsia"/>
          <w:b/>
          <w:bCs/>
          <w:sz w:val="24"/>
          <w:szCs w:val="24"/>
          <w:rtl/>
        </w:rPr>
        <w:t>לחזור</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הדברים</w:t>
      </w:r>
      <w:r>
        <w:rPr>
          <w:rFonts w:cs="David"/>
          <w:b/>
          <w:bCs/>
          <w:sz w:val="24"/>
          <w:szCs w:val="24"/>
          <w:rtl/>
        </w:rPr>
        <w:t xml:space="preserve">. </w:t>
      </w:r>
      <w:r>
        <w:rPr>
          <w:rFonts w:cs="David" w:hint="eastAsia"/>
          <w:b/>
          <w:bCs/>
          <w:sz w:val="24"/>
          <w:szCs w:val="24"/>
          <w:rtl/>
        </w:rPr>
        <w:t>חילופי</w:t>
      </w:r>
      <w:r>
        <w:rPr>
          <w:rFonts w:cs="David"/>
          <w:b/>
          <w:bCs/>
          <w:sz w:val="24"/>
          <w:szCs w:val="24"/>
          <w:rtl/>
        </w:rPr>
        <w:t xml:space="preserve"> </w:t>
      </w:r>
      <w:r>
        <w:rPr>
          <w:rFonts w:cs="David" w:hint="eastAsia"/>
          <w:b/>
          <w:bCs/>
          <w:sz w:val="24"/>
          <w:szCs w:val="24"/>
          <w:rtl/>
        </w:rPr>
        <w:t>דברים</w:t>
      </w:r>
      <w:r>
        <w:rPr>
          <w:rFonts w:cs="David"/>
          <w:b/>
          <w:bCs/>
          <w:sz w:val="24"/>
          <w:szCs w:val="24"/>
          <w:rtl/>
        </w:rPr>
        <w:t xml:space="preserve"> </w:t>
      </w:r>
      <w:r>
        <w:rPr>
          <w:rFonts w:cs="David" w:hint="eastAsia"/>
          <w:b/>
          <w:bCs/>
          <w:sz w:val="24"/>
          <w:szCs w:val="24"/>
          <w:rtl/>
        </w:rPr>
        <w:t>וסכסוכים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מה</w:t>
      </w:r>
      <w:r>
        <w:rPr>
          <w:rFonts w:cs="David"/>
          <w:b/>
          <w:bCs/>
          <w:sz w:val="24"/>
          <w:szCs w:val="24"/>
          <w:rtl/>
        </w:rPr>
        <w:t xml:space="preserve"> </w:t>
      </w:r>
      <w:r>
        <w:rPr>
          <w:rFonts w:cs="David" w:hint="eastAsia"/>
          <w:b/>
          <w:bCs/>
          <w:sz w:val="24"/>
          <w:szCs w:val="24"/>
          <w:rtl/>
        </w:rPr>
        <w:t>בכך</w:t>
      </w:r>
      <w:r>
        <w:rPr>
          <w:rFonts w:cs="David"/>
          <w:b/>
          <w:bCs/>
          <w:sz w:val="24"/>
          <w:szCs w:val="24"/>
          <w:rtl/>
        </w:rPr>
        <w:t xml:space="preserve"> </w:t>
      </w:r>
      <w:r>
        <w:rPr>
          <w:rFonts w:cs="David" w:hint="eastAsia"/>
          <w:b/>
          <w:bCs/>
          <w:sz w:val="24"/>
          <w:szCs w:val="24"/>
          <w:rtl/>
        </w:rPr>
        <w:t>מובילים</w:t>
      </w:r>
      <w:r>
        <w:rPr>
          <w:rFonts w:cs="David"/>
          <w:b/>
          <w:bCs/>
          <w:sz w:val="24"/>
          <w:szCs w:val="24"/>
          <w:rtl/>
        </w:rPr>
        <w:t xml:space="preserve"> </w:t>
      </w:r>
      <w:r>
        <w:rPr>
          <w:rFonts w:cs="David" w:hint="eastAsia"/>
          <w:b/>
          <w:bCs/>
          <w:sz w:val="24"/>
          <w:szCs w:val="24"/>
          <w:rtl/>
        </w:rPr>
        <w:t>במקרים</w:t>
      </w:r>
      <w:r>
        <w:rPr>
          <w:rFonts w:cs="David"/>
          <w:b/>
          <w:bCs/>
          <w:sz w:val="24"/>
          <w:szCs w:val="24"/>
          <w:rtl/>
        </w:rPr>
        <w:t xml:space="preserve"> </w:t>
      </w:r>
      <w:r>
        <w:rPr>
          <w:rFonts w:cs="David" w:hint="eastAsia"/>
          <w:b/>
          <w:bCs/>
          <w:sz w:val="24"/>
          <w:szCs w:val="24"/>
          <w:rtl/>
        </w:rPr>
        <w:t>רבים</w:t>
      </w:r>
      <w:r>
        <w:rPr>
          <w:rFonts w:cs="David"/>
          <w:b/>
          <w:bCs/>
          <w:sz w:val="24"/>
          <w:szCs w:val="24"/>
          <w:rtl/>
        </w:rPr>
        <w:t xml:space="preserve"> </w:t>
      </w:r>
      <w:r>
        <w:rPr>
          <w:rFonts w:cs="David" w:hint="eastAsia"/>
          <w:b/>
          <w:bCs/>
          <w:sz w:val="24"/>
          <w:szCs w:val="24"/>
          <w:rtl/>
        </w:rPr>
        <w:t>מדי</w:t>
      </w:r>
      <w:r>
        <w:rPr>
          <w:rFonts w:cs="David"/>
          <w:b/>
          <w:bCs/>
          <w:sz w:val="24"/>
          <w:szCs w:val="24"/>
          <w:rtl/>
        </w:rPr>
        <w:t xml:space="preserve"> </w:t>
      </w:r>
      <w:r>
        <w:rPr>
          <w:rFonts w:cs="David" w:hint="eastAsia"/>
          <w:b/>
          <w:bCs/>
          <w:sz w:val="24"/>
          <w:szCs w:val="24"/>
          <w:rtl/>
        </w:rPr>
        <w:t>ובמהירות</w:t>
      </w:r>
      <w:r>
        <w:rPr>
          <w:rFonts w:cs="David"/>
          <w:b/>
          <w:bCs/>
          <w:sz w:val="24"/>
          <w:szCs w:val="24"/>
          <w:rtl/>
        </w:rPr>
        <w:t xml:space="preserve"> </w:t>
      </w:r>
      <w:r>
        <w:rPr>
          <w:rFonts w:cs="David" w:hint="eastAsia"/>
          <w:b/>
          <w:bCs/>
          <w:sz w:val="24"/>
          <w:szCs w:val="24"/>
          <w:rtl/>
        </w:rPr>
        <w:t>גדולה</w:t>
      </w:r>
      <w:r>
        <w:rPr>
          <w:rFonts w:cs="David"/>
          <w:b/>
          <w:bCs/>
          <w:sz w:val="24"/>
          <w:szCs w:val="24"/>
          <w:rtl/>
        </w:rPr>
        <w:t xml:space="preserve"> </w:t>
      </w:r>
      <w:r>
        <w:rPr>
          <w:rFonts w:cs="David" w:hint="eastAsia"/>
          <w:b/>
          <w:bCs/>
          <w:sz w:val="24"/>
          <w:szCs w:val="24"/>
          <w:rtl/>
        </w:rPr>
        <w:t>מדי</w:t>
      </w:r>
      <w:r>
        <w:rPr>
          <w:rFonts w:cs="David"/>
          <w:b/>
          <w:bCs/>
          <w:sz w:val="24"/>
          <w:szCs w:val="24"/>
          <w:rtl/>
        </w:rPr>
        <w:t xml:space="preserve"> </w:t>
      </w:r>
      <w:r>
        <w:rPr>
          <w:rFonts w:cs="David" w:hint="eastAsia"/>
          <w:b/>
          <w:bCs/>
          <w:sz w:val="24"/>
          <w:szCs w:val="24"/>
          <w:rtl/>
        </w:rPr>
        <w:t>לשליפת</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קר</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חם</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לנקיטה</w:t>
      </w:r>
      <w:r>
        <w:rPr>
          <w:rFonts w:cs="David"/>
          <w:b/>
          <w:bCs/>
          <w:sz w:val="24"/>
          <w:szCs w:val="24"/>
          <w:rtl/>
        </w:rPr>
        <w:t xml:space="preserve"> </w:t>
      </w:r>
      <w:r>
        <w:rPr>
          <w:rFonts w:cs="David" w:hint="eastAsia"/>
          <w:b/>
          <w:bCs/>
          <w:sz w:val="24"/>
          <w:szCs w:val="24"/>
          <w:rtl/>
        </w:rPr>
        <w:t>במעשי</w:t>
      </w:r>
      <w:r>
        <w:rPr>
          <w:rFonts w:cs="David"/>
          <w:b/>
          <w:bCs/>
          <w:sz w:val="24"/>
          <w:szCs w:val="24"/>
          <w:rtl/>
        </w:rPr>
        <w:t xml:space="preserve"> </w:t>
      </w:r>
      <w:r>
        <w:rPr>
          <w:rFonts w:cs="David" w:hint="eastAsia"/>
          <w:b/>
          <w:bCs/>
          <w:sz w:val="24"/>
          <w:szCs w:val="24"/>
          <w:rtl/>
        </w:rPr>
        <w:t>אלימות</w:t>
      </w:r>
      <w:r>
        <w:rPr>
          <w:rFonts w:cs="David"/>
          <w:b/>
          <w:bCs/>
          <w:sz w:val="24"/>
          <w:szCs w:val="24"/>
          <w:rtl/>
        </w:rPr>
        <w:t xml:space="preserve"> </w:t>
      </w:r>
      <w:r>
        <w:rPr>
          <w:rFonts w:cs="David" w:hint="eastAsia"/>
          <w:b/>
          <w:bCs/>
          <w:sz w:val="24"/>
          <w:szCs w:val="24"/>
          <w:rtl/>
        </w:rPr>
        <w:t>קטלנים</w:t>
      </w:r>
      <w:r>
        <w:rPr>
          <w:rFonts w:cs="David"/>
          <w:b/>
          <w:bCs/>
          <w:sz w:val="24"/>
          <w:szCs w:val="24"/>
          <w:rtl/>
        </w:rPr>
        <w:t xml:space="preserve">. </w:t>
      </w:r>
      <w:r>
        <w:rPr>
          <w:rFonts w:cs="David" w:hint="eastAsia"/>
          <w:b/>
          <w:bCs/>
          <w:sz w:val="24"/>
          <w:szCs w:val="24"/>
          <w:rtl/>
        </w:rPr>
        <w:t>יתרה</w:t>
      </w:r>
      <w:r>
        <w:rPr>
          <w:rFonts w:cs="David"/>
          <w:b/>
          <w:bCs/>
          <w:sz w:val="24"/>
          <w:szCs w:val="24"/>
          <w:rtl/>
        </w:rPr>
        <w:t xml:space="preserve"> </w:t>
      </w:r>
      <w:r>
        <w:rPr>
          <w:rFonts w:cs="David" w:hint="eastAsia"/>
          <w:b/>
          <w:bCs/>
          <w:sz w:val="24"/>
          <w:szCs w:val="24"/>
          <w:rtl/>
        </w:rPr>
        <w:t>מכך</w:t>
      </w:r>
      <w:r>
        <w:rPr>
          <w:rFonts w:cs="David"/>
          <w:b/>
          <w:bCs/>
          <w:sz w:val="24"/>
          <w:szCs w:val="24"/>
          <w:rtl/>
        </w:rPr>
        <w:t xml:space="preserve">, </w:t>
      </w:r>
      <w:r>
        <w:rPr>
          <w:rFonts w:cs="David" w:hint="eastAsia"/>
          <w:b/>
          <w:bCs/>
          <w:sz w:val="24"/>
          <w:szCs w:val="24"/>
          <w:rtl/>
        </w:rPr>
        <w:t>לעיתים</w:t>
      </w:r>
      <w:r>
        <w:rPr>
          <w:rFonts w:cs="David"/>
          <w:b/>
          <w:bCs/>
          <w:sz w:val="24"/>
          <w:szCs w:val="24"/>
          <w:rtl/>
        </w:rPr>
        <w:t xml:space="preserve"> </w:t>
      </w:r>
      <w:r>
        <w:rPr>
          <w:rFonts w:cs="David" w:hint="eastAsia"/>
          <w:b/>
          <w:bCs/>
          <w:sz w:val="24"/>
          <w:szCs w:val="24"/>
          <w:rtl/>
        </w:rPr>
        <w:t>נדמה</w:t>
      </w:r>
      <w:r>
        <w:rPr>
          <w:rFonts w:cs="David"/>
          <w:b/>
          <w:bCs/>
          <w:sz w:val="24"/>
          <w:szCs w:val="24"/>
          <w:rtl/>
        </w:rPr>
        <w:t xml:space="preserve"> </w:t>
      </w:r>
      <w:r>
        <w:rPr>
          <w:rFonts w:cs="David" w:hint="eastAsia"/>
          <w:b/>
          <w:bCs/>
          <w:sz w:val="24"/>
          <w:szCs w:val="24"/>
          <w:rtl/>
        </w:rPr>
        <w:t>שחל</w:t>
      </w:r>
      <w:r>
        <w:rPr>
          <w:rFonts w:cs="David"/>
          <w:b/>
          <w:bCs/>
          <w:sz w:val="24"/>
          <w:szCs w:val="24"/>
          <w:rtl/>
        </w:rPr>
        <w:t xml:space="preserve"> </w:t>
      </w:r>
      <w:r>
        <w:rPr>
          <w:rFonts w:cs="David" w:hint="eastAsia"/>
          <w:b/>
          <w:bCs/>
          <w:sz w:val="24"/>
          <w:szCs w:val="24"/>
          <w:rtl/>
        </w:rPr>
        <w:t>פיחות</w:t>
      </w:r>
      <w:r>
        <w:rPr>
          <w:rFonts w:cs="David"/>
          <w:b/>
          <w:bCs/>
          <w:sz w:val="24"/>
          <w:szCs w:val="24"/>
          <w:rtl/>
        </w:rPr>
        <w:t xml:space="preserve"> </w:t>
      </w:r>
      <w:r>
        <w:rPr>
          <w:rFonts w:cs="David" w:hint="eastAsia"/>
          <w:b/>
          <w:bCs/>
          <w:sz w:val="24"/>
          <w:szCs w:val="24"/>
          <w:rtl/>
        </w:rPr>
        <w:t>בלתי</w:t>
      </w:r>
      <w:r>
        <w:rPr>
          <w:rFonts w:cs="David"/>
          <w:b/>
          <w:bCs/>
          <w:sz w:val="24"/>
          <w:szCs w:val="24"/>
          <w:rtl/>
        </w:rPr>
        <w:t xml:space="preserve"> </w:t>
      </w:r>
      <w:r>
        <w:rPr>
          <w:rFonts w:cs="David" w:hint="eastAsia"/>
          <w:b/>
          <w:bCs/>
          <w:sz w:val="24"/>
          <w:szCs w:val="24"/>
          <w:rtl/>
        </w:rPr>
        <w:t>נסלח</w:t>
      </w:r>
      <w:r>
        <w:rPr>
          <w:rFonts w:cs="David"/>
          <w:b/>
          <w:bCs/>
          <w:sz w:val="24"/>
          <w:szCs w:val="24"/>
          <w:rtl/>
        </w:rPr>
        <w:t xml:space="preserve"> </w:t>
      </w:r>
      <w:r>
        <w:rPr>
          <w:rFonts w:cs="David" w:hint="eastAsia"/>
          <w:b/>
          <w:bCs/>
          <w:sz w:val="24"/>
          <w:szCs w:val="24"/>
          <w:rtl/>
        </w:rPr>
        <w:t>ובלתי</w:t>
      </w:r>
      <w:r>
        <w:rPr>
          <w:rFonts w:cs="David"/>
          <w:b/>
          <w:bCs/>
          <w:sz w:val="24"/>
          <w:szCs w:val="24"/>
          <w:rtl/>
        </w:rPr>
        <w:t xml:space="preserve"> </w:t>
      </w:r>
      <w:r>
        <w:rPr>
          <w:rFonts w:cs="David" w:hint="eastAsia"/>
          <w:b/>
          <w:bCs/>
          <w:sz w:val="24"/>
          <w:szCs w:val="24"/>
          <w:rtl/>
        </w:rPr>
        <w:t>נסבל</w:t>
      </w:r>
      <w:r>
        <w:rPr>
          <w:rFonts w:cs="David"/>
          <w:b/>
          <w:bCs/>
          <w:sz w:val="24"/>
          <w:szCs w:val="24"/>
          <w:rtl/>
        </w:rPr>
        <w:t xml:space="preserve"> </w:t>
      </w:r>
      <w:r>
        <w:rPr>
          <w:rFonts w:cs="David" w:hint="eastAsia"/>
          <w:b/>
          <w:bCs/>
          <w:sz w:val="24"/>
          <w:szCs w:val="24"/>
          <w:rtl/>
        </w:rPr>
        <w:t>בערכם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חיי</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u w:val="single"/>
          <w:rtl/>
        </w:rPr>
        <w:t>בראש</w:t>
      </w:r>
      <w:r>
        <w:rPr>
          <w:rFonts w:cs="David"/>
          <w:b/>
          <w:bCs/>
          <w:sz w:val="24"/>
          <w:szCs w:val="24"/>
          <w:u w:val="single"/>
          <w:rtl/>
        </w:rPr>
        <w:t xml:space="preserve"> </w:t>
      </w:r>
      <w:r>
        <w:rPr>
          <w:rFonts w:cs="David" w:hint="eastAsia"/>
          <w:b/>
          <w:bCs/>
          <w:sz w:val="24"/>
          <w:szCs w:val="24"/>
          <w:u w:val="single"/>
          <w:rtl/>
        </w:rPr>
        <w:t>ובראשונה</w:t>
      </w:r>
      <w:r>
        <w:rPr>
          <w:rFonts w:cs="David"/>
          <w:b/>
          <w:bCs/>
          <w:sz w:val="24"/>
          <w:szCs w:val="24"/>
          <w:u w:val="single"/>
          <w:rtl/>
        </w:rPr>
        <w:t xml:space="preserve"> </w:t>
      </w:r>
      <w:r>
        <w:rPr>
          <w:rFonts w:cs="David" w:hint="eastAsia"/>
          <w:b/>
          <w:bCs/>
          <w:sz w:val="24"/>
          <w:szCs w:val="24"/>
          <w:u w:val="single"/>
          <w:rtl/>
        </w:rPr>
        <w:t>עלינו</w:t>
      </w:r>
      <w:r>
        <w:rPr>
          <w:rFonts w:cs="David"/>
          <w:b/>
          <w:bCs/>
          <w:sz w:val="24"/>
          <w:szCs w:val="24"/>
          <w:u w:val="single"/>
          <w:rtl/>
        </w:rPr>
        <w:t xml:space="preserve"> </w:t>
      </w:r>
      <w:r>
        <w:rPr>
          <w:rFonts w:cs="David" w:hint="eastAsia"/>
          <w:b/>
          <w:bCs/>
          <w:sz w:val="24"/>
          <w:szCs w:val="24"/>
          <w:u w:val="single"/>
          <w:rtl/>
        </w:rPr>
        <w:t>לשוות</w:t>
      </w:r>
      <w:r>
        <w:rPr>
          <w:rFonts w:cs="David"/>
          <w:b/>
          <w:bCs/>
          <w:sz w:val="24"/>
          <w:szCs w:val="24"/>
          <w:u w:val="single"/>
          <w:rtl/>
        </w:rPr>
        <w:t xml:space="preserve"> </w:t>
      </w:r>
      <w:r>
        <w:rPr>
          <w:rFonts w:cs="David" w:hint="eastAsia"/>
          <w:b/>
          <w:bCs/>
          <w:sz w:val="24"/>
          <w:szCs w:val="24"/>
          <w:u w:val="single"/>
          <w:rtl/>
        </w:rPr>
        <w:t>לנגד</w:t>
      </w:r>
      <w:r>
        <w:rPr>
          <w:rFonts w:cs="David"/>
          <w:b/>
          <w:bCs/>
          <w:sz w:val="24"/>
          <w:szCs w:val="24"/>
          <w:u w:val="single"/>
          <w:rtl/>
        </w:rPr>
        <w:t xml:space="preserve"> </w:t>
      </w:r>
      <w:r>
        <w:rPr>
          <w:rFonts w:cs="David" w:hint="eastAsia"/>
          <w:b/>
          <w:bCs/>
          <w:sz w:val="24"/>
          <w:szCs w:val="24"/>
          <w:u w:val="single"/>
          <w:rtl/>
        </w:rPr>
        <w:t>עיננו</w:t>
      </w:r>
      <w:r>
        <w:rPr>
          <w:rFonts w:cs="David"/>
          <w:b/>
          <w:bCs/>
          <w:sz w:val="24"/>
          <w:szCs w:val="24"/>
          <w:u w:val="single"/>
          <w:rtl/>
        </w:rPr>
        <w:t xml:space="preserve"> </w:t>
      </w:r>
      <w:r>
        <w:rPr>
          <w:rFonts w:cs="David" w:hint="eastAsia"/>
          <w:b/>
          <w:bCs/>
          <w:sz w:val="24"/>
          <w:szCs w:val="24"/>
          <w:u w:val="single"/>
          <w:rtl/>
        </w:rPr>
        <w:t>את</w:t>
      </w:r>
      <w:r>
        <w:rPr>
          <w:rFonts w:cs="David"/>
          <w:b/>
          <w:bCs/>
          <w:sz w:val="24"/>
          <w:szCs w:val="24"/>
          <w:u w:val="single"/>
          <w:rtl/>
        </w:rPr>
        <w:t xml:space="preserve"> </w:t>
      </w:r>
      <w:r>
        <w:rPr>
          <w:rFonts w:cs="David" w:hint="eastAsia"/>
          <w:b/>
          <w:bCs/>
          <w:sz w:val="24"/>
          <w:szCs w:val="24"/>
          <w:u w:val="single"/>
          <w:rtl/>
        </w:rPr>
        <w:t>המנוח</w:t>
      </w:r>
      <w:r>
        <w:rPr>
          <w:rFonts w:cs="David"/>
          <w:b/>
          <w:bCs/>
          <w:sz w:val="24"/>
          <w:szCs w:val="24"/>
          <w:u w:val="single"/>
          <w:rtl/>
        </w:rPr>
        <w:t xml:space="preserve"> </w:t>
      </w:r>
      <w:r>
        <w:rPr>
          <w:rFonts w:cs="David" w:hint="eastAsia"/>
          <w:b/>
          <w:bCs/>
          <w:sz w:val="24"/>
          <w:szCs w:val="24"/>
          <w:u w:val="single"/>
          <w:rtl/>
        </w:rPr>
        <w:t>שחייו</w:t>
      </w:r>
      <w:r>
        <w:rPr>
          <w:rFonts w:cs="David"/>
          <w:b/>
          <w:bCs/>
          <w:sz w:val="24"/>
          <w:szCs w:val="24"/>
          <w:u w:val="single"/>
          <w:rtl/>
        </w:rPr>
        <w:t xml:space="preserve"> </w:t>
      </w:r>
      <w:r>
        <w:rPr>
          <w:rFonts w:cs="David" w:hint="eastAsia"/>
          <w:b/>
          <w:bCs/>
          <w:sz w:val="24"/>
          <w:szCs w:val="24"/>
          <w:u w:val="single"/>
          <w:rtl/>
        </w:rPr>
        <w:t>קופדו</w:t>
      </w:r>
      <w:r>
        <w:rPr>
          <w:rFonts w:cs="David"/>
          <w:b/>
          <w:bCs/>
          <w:sz w:val="24"/>
          <w:szCs w:val="24"/>
          <w:u w:val="single"/>
          <w:rtl/>
        </w:rPr>
        <w:t xml:space="preserve"> </w:t>
      </w:r>
      <w:r>
        <w:rPr>
          <w:rFonts w:cs="David" w:hint="eastAsia"/>
          <w:b/>
          <w:bCs/>
          <w:sz w:val="24"/>
          <w:szCs w:val="24"/>
          <w:u w:val="single"/>
          <w:rtl/>
        </w:rPr>
        <w:t>בנסיבות</w:t>
      </w:r>
      <w:r>
        <w:rPr>
          <w:rFonts w:cs="David"/>
          <w:b/>
          <w:bCs/>
          <w:sz w:val="24"/>
          <w:szCs w:val="24"/>
          <w:u w:val="single"/>
          <w:rtl/>
        </w:rPr>
        <w:t xml:space="preserve"> </w:t>
      </w:r>
      <w:r>
        <w:rPr>
          <w:rFonts w:cs="David" w:hint="eastAsia"/>
          <w:b/>
          <w:bCs/>
          <w:sz w:val="24"/>
          <w:szCs w:val="24"/>
          <w:u w:val="single"/>
          <w:rtl/>
        </w:rPr>
        <w:t>שאין</w:t>
      </w:r>
      <w:r>
        <w:rPr>
          <w:rFonts w:cs="David"/>
          <w:b/>
          <w:bCs/>
          <w:sz w:val="24"/>
          <w:szCs w:val="24"/>
          <w:u w:val="single"/>
          <w:rtl/>
        </w:rPr>
        <w:t xml:space="preserve"> </w:t>
      </w:r>
      <w:r>
        <w:rPr>
          <w:rFonts w:cs="David" w:hint="eastAsia"/>
          <w:b/>
          <w:bCs/>
          <w:sz w:val="24"/>
          <w:szCs w:val="24"/>
          <w:u w:val="single"/>
          <w:rtl/>
        </w:rPr>
        <w:t>להשלים</w:t>
      </w:r>
      <w:r>
        <w:rPr>
          <w:rFonts w:cs="David"/>
          <w:b/>
          <w:bCs/>
          <w:sz w:val="24"/>
          <w:szCs w:val="24"/>
          <w:u w:val="single"/>
          <w:rtl/>
        </w:rPr>
        <w:t xml:space="preserve"> </w:t>
      </w:r>
      <w:r>
        <w:rPr>
          <w:rFonts w:cs="David" w:hint="eastAsia"/>
          <w:b/>
          <w:bCs/>
          <w:sz w:val="24"/>
          <w:szCs w:val="24"/>
          <w:u w:val="single"/>
          <w:rtl/>
        </w:rPr>
        <w:t>עימן</w:t>
      </w:r>
      <w:r>
        <w:rPr>
          <w:rFonts w:cs="David"/>
          <w:b/>
          <w:bCs/>
          <w:sz w:val="24"/>
          <w:szCs w:val="24"/>
          <w:u w:val="single"/>
          <w:rtl/>
        </w:rPr>
        <w:t xml:space="preserve">, </w:t>
      </w:r>
      <w:r>
        <w:rPr>
          <w:rFonts w:cs="David" w:hint="eastAsia"/>
          <w:b/>
          <w:bCs/>
          <w:sz w:val="24"/>
          <w:szCs w:val="24"/>
          <w:u w:val="single"/>
          <w:rtl/>
        </w:rPr>
        <w:t>ולהגנה</w:t>
      </w:r>
      <w:r>
        <w:rPr>
          <w:rFonts w:cs="David"/>
          <w:b/>
          <w:bCs/>
          <w:sz w:val="24"/>
          <w:szCs w:val="24"/>
          <w:u w:val="single"/>
          <w:rtl/>
        </w:rPr>
        <w:t xml:space="preserve"> </w:t>
      </w:r>
      <w:r>
        <w:rPr>
          <w:rFonts w:cs="David" w:hint="eastAsia"/>
          <w:b/>
          <w:bCs/>
          <w:sz w:val="24"/>
          <w:szCs w:val="24"/>
          <w:u w:val="single"/>
          <w:rtl/>
        </w:rPr>
        <w:t>על</w:t>
      </w:r>
      <w:r>
        <w:rPr>
          <w:rFonts w:cs="David"/>
          <w:b/>
          <w:bCs/>
          <w:sz w:val="24"/>
          <w:szCs w:val="24"/>
          <w:u w:val="single"/>
          <w:rtl/>
        </w:rPr>
        <w:t xml:space="preserve"> </w:t>
      </w:r>
      <w:r>
        <w:rPr>
          <w:rFonts w:cs="David" w:hint="eastAsia"/>
          <w:b/>
          <w:bCs/>
          <w:sz w:val="24"/>
          <w:szCs w:val="24"/>
          <w:u w:val="single"/>
          <w:rtl/>
        </w:rPr>
        <w:t>ערך</w:t>
      </w:r>
      <w:r>
        <w:rPr>
          <w:rFonts w:cs="David"/>
          <w:b/>
          <w:bCs/>
          <w:sz w:val="24"/>
          <w:szCs w:val="24"/>
          <w:u w:val="single"/>
          <w:rtl/>
        </w:rPr>
        <w:t xml:space="preserve"> </w:t>
      </w:r>
      <w:r>
        <w:rPr>
          <w:rFonts w:cs="David" w:hint="eastAsia"/>
          <w:b/>
          <w:bCs/>
          <w:sz w:val="24"/>
          <w:szCs w:val="24"/>
          <w:u w:val="single"/>
          <w:rtl/>
        </w:rPr>
        <w:t>החיים</w:t>
      </w:r>
      <w:r>
        <w:rPr>
          <w:rFonts w:cs="David"/>
          <w:b/>
          <w:bCs/>
          <w:sz w:val="24"/>
          <w:szCs w:val="24"/>
          <w:u w:val="single"/>
          <w:rtl/>
        </w:rPr>
        <w:t xml:space="preserve"> </w:t>
      </w:r>
      <w:r>
        <w:rPr>
          <w:rFonts w:cs="David" w:hint="eastAsia"/>
          <w:b/>
          <w:bCs/>
          <w:sz w:val="24"/>
          <w:szCs w:val="24"/>
          <w:u w:val="single"/>
          <w:rtl/>
        </w:rPr>
        <w:t>וקדושתם</w:t>
      </w:r>
      <w:r>
        <w:rPr>
          <w:rFonts w:cs="David"/>
          <w:b/>
          <w:bCs/>
          <w:sz w:val="24"/>
          <w:szCs w:val="24"/>
          <w:u w:val="single"/>
          <w:rtl/>
        </w:rPr>
        <w:t xml:space="preserve"> </w:t>
      </w:r>
      <w:r>
        <w:rPr>
          <w:rFonts w:cs="David" w:hint="eastAsia"/>
          <w:b/>
          <w:bCs/>
          <w:sz w:val="24"/>
          <w:szCs w:val="24"/>
          <w:u w:val="single"/>
          <w:rtl/>
        </w:rPr>
        <w:t>שמור</w:t>
      </w:r>
      <w:r>
        <w:rPr>
          <w:rFonts w:cs="David"/>
          <w:b/>
          <w:bCs/>
          <w:sz w:val="24"/>
          <w:szCs w:val="24"/>
          <w:u w:val="single"/>
          <w:rtl/>
        </w:rPr>
        <w:t xml:space="preserve"> </w:t>
      </w:r>
      <w:r>
        <w:rPr>
          <w:rFonts w:cs="David" w:hint="eastAsia"/>
          <w:b/>
          <w:bCs/>
          <w:sz w:val="24"/>
          <w:szCs w:val="24"/>
          <w:u w:val="single"/>
          <w:rtl/>
        </w:rPr>
        <w:t>משקל</w:t>
      </w:r>
      <w:r>
        <w:rPr>
          <w:rFonts w:cs="David"/>
          <w:b/>
          <w:bCs/>
          <w:sz w:val="24"/>
          <w:szCs w:val="24"/>
          <w:u w:val="single"/>
          <w:rtl/>
        </w:rPr>
        <w:t xml:space="preserve"> </w:t>
      </w:r>
      <w:r>
        <w:rPr>
          <w:rFonts w:cs="David" w:hint="eastAsia"/>
          <w:b/>
          <w:bCs/>
          <w:sz w:val="24"/>
          <w:szCs w:val="24"/>
          <w:u w:val="single"/>
          <w:rtl/>
        </w:rPr>
        <w:t>משמעותי</w:t>
      </w:r>
      <w:r>
        <w:rPr>
          <w:rFonts w:cs="David"/>
          <w:b/>
          <w:bCs/>
          <w:sz w:val="24"/>
          <w:szCs w:val="24"/>
          <w:u w:val="single"/>
          <w:rtl/>
        </w:rPr>
        <w:t xml:space="preserve"> </w:t>
      </w:r>
      <w:r>
        <w:rPr>
          <w:rFonts w:cs="David" w:hint="eastAsia"/>
          <w:b/>
          <w:bCs/>
          <w:sz w:val="24"/>
          <w:szCs w:val="24"/>
          <w:u w:val="single"/>
          <w:rtl/>
        </w:rPr>
        <w:t>ביותר</w:t>
      </w:r>
      <w:r>
        <w:rPr>
          <w:rFonts w:cs="David"/>
          <w:b/>
          <w:bCs/>
          <w:sz w:val="24"/>
          <w:szCs w:val="24"/>
          <w:u w:val="single"/>
          <w:rtl/>
        </w:rPr>
        <w:t xml:space="preserve"> </w:t>
      </w:r>
      <w:r>
        <w:rPr>
          <w:rFonts w:cs="David" w:hint="eastAsia"/>
          <w:b/>
          <w:bCs/>
          <w:sz w:val="24"/>
          <w:szCs w:val="24"/>
          <w:u w:val="single"/>
          <w:rtl/>
        </w:rPr>
        <w:t>במלאכת</w:t>
      </w:r>
      <w:r>
        <w:rPr>
          <w:rFonts w:cs="David"/>
          <w:b/>
          <w:bCs/>
          <w:sz w:val="24"/>
          <w:szCs w:val="24"/>
          <w:u w:val="single"/>
          <w:rtl/>
        </w:rPr>
        <w:t xml:space="preserve"> </w:t>
      </w:r>
      <w:r>
        <w:rPr>
          <w:rFonts w:cs="David" w:hint="eastAsia"/>
          <w:b/>
          <w:bCs/>
          <w:sz w:val="24"/>
          <w:szCs w:val="24"/>
          <w:u w:val="single"/>
          <w:rtl/>
        </w:rPr>
        <w:t>הענישה</w:t>
      </w:r>
      <w:r>
        <w:rPr>
          <w:rFonts w:cs="David"/>
          <w:sz w:val="24"/>
          <w:szCs w:val="24"/>
          <w:rtl/>
        </w:rPr>
        <w:t>". (</w:t>
      </w:r>
      <w:r>
        <w:rPr>
          <w:rFonts w:cs="David" w:hint="eastAsia"/>
          <w:sz w:val="24"/>
          <w:szCs w:val="24"/>
          <w:rtl/>
        </w:rPr>
        <w:t>ההדגשה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במקור</w:t>
      </w:r>
      <w:r>
        <w:rPr>
          <w:rFonts w:cs="David"/>
          <w:sz w:val="24"/>
          <w:szCs w:val="24"/>
          <w:rtl/>
        </w:rPr>
        <w:t xml:space="preserve"> – </w:t>
      </w:r>
      <w:r>
        <w:rPr>
          <w:rFonts w:cs="David" w:hint="eastAsia"/>
          <w:sz w:val="24"/>
          <w:szCs w:val="24"/>
          <w:rtl/>
        </w:rPr>
        <w:t>י</w:t>
      </w:r>
      <w:r>
        <w:rPr>
          <w:rFonts w:cs="David"/>
          <w:sz w:val="24"/>
          <w:szCs w:val="24"/>
          <w:rtl/>
        </w:rPr>
        <w:t>.</w:t>
      </w:r>
      <w:r>
        <w:rPr>
          <w:rFonts w:cs="David" w:hint="eastAsia"/>
          <w:sz w:val="24"/>
          <w:szCs w:val="24"/>
          <w:rtl/>
        </w:rPr>
        <w:t>ל</w:t>
      </w:r>
      <w:r>
        <w:rPr>
          <w:rFonts w:cs="David"/>
          <w:sz w:val="24"/>
          <w:szCs w:val="24"/>
          <w:rtl/>
        </w:rPr>
        <w:t>).</w:t>
      </w:r>
    </w:p>
    <w:p w14:paraId="604B34E6"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p>
    <w:p w14:paraId="40393ACA" w14:textId="77777777" w:rsidR="004C3216" w:rsidRDefault="004C3216" w:rsidP="005811E2">
      <w:pPr>
        <w:pStyle w:val="ListParagraph"/>
        <w:tabs>
          <w:tab w:val="left" w:pos="516"/>
          <w:tab w:val="left" w:pos="2125"/>
        </w:tabs>
        <w:spacing w:after="0" w:line="360" w:lineRule="auto"/>
        <w:ind w:left="516" w:right="426"/>
        <w:jc w:val="both"/>
        <w:rPr>
          <w:rFonts w:cs="David"/>
          <w:b/>
          <w:bCs/>
          <w:sz w:val="24"/>
          <w:szCs w:val="24"/>
          <w:u w:val="single"/>
          <w:rtl/>
        </w:rPr>
      </w:pPr>
      <w:r>
        <w:rPr>
          <w:rFonts w:cs="David" w:hint="eastAsia"/>
          <w:b/>
          <w:bCs/>
          <w:sz w:val="24"/>
          <w:szCs w:val="24"/>
          <w:u w:val="single"/>
          <w:rtl/>
        </w:rPr>
        <w:t>בשים</w:t>
      </w:r>
      <w:r>
        <w:rPr>
          <w:rFonts w:cs="David"/>
          <w:b/>
          <w:bCs/>
          <w:sz w:val="24"/>
          <w:szCs w:val="24"/>
          <w:u w:val="single"/>
          <w:rtl/>
        </w:rPr>
        <w:t xml:space="preserve"> </w:t>
      </w:r>
      <w:r>
        <w:rPr>
          <w:rFonts w:cs="David" w:hint="eastAsia"/>
          <w:b/>
          <w:bCs/>
          <w:sz w:val="24"/>
          <w:szCs w:val="24"/>
          <w:u w:val="single"/>
          <w:rtl/>
        </w:rPr>
        <w:t>לב</w:t>
      </w:r>
      <w:r>
        <w:rPr>
          <w:rFonts w:cs="David"/>
          <w:b/>
          <w:bCs/>
          <w:sz w:val="24"/>
          <w:szCs w:val="24"/>
          <w:u w:val="single"/>
          <w:rtl/>
        </w:rPr>
        <w:t xml:space="preserve"> </w:t>
      </w:r>
      <w:r>
        <w:rPr>
          <w:rFonts w:cs="David" w:hint="eastAsia"/>
          <w:b/>
          <w:bCs/>
          <w:sz w:val="24"/>
          <w:szCs w:val="24"/>
          <w:u w:val="single"/>
          <w:rtl/>
        </w:rPr>
        <w:t>לכלל</w:t>
      </w:r>
      <w:r>
        <w:rPr>
          <w:rFonts w:cs="David"/>
          <w:b/>
          <w:bCs/>
          <w:sz w:val="24"/>
          <w:szCs w:val="24"/>
          <w:u w:val="single"/>
          <w:rtl/>
        </w:rPr>
        <w:t xml:space="preserve"> </w:t>
      </w:r>
      <w:r>
        <w:rPr>
          <w:rFonts w:cs="David" w:hint="eastAsia"/>
          <w:b/>
          <w:bCs/>
          <w:sz w:val="24"/>
          <w:szCs w:val="24"/>
          <w:u w:val="single"/>
          <w:rtl/>
        </w:rPr>
        <w:t>האמור</w:t>
      </w:r>
      <w:r>
        <w:rPr>
          <w:rFonts w:cs="David"/>
          <w:b/>
          <w:bCs/>
          <w:sz w:val="24"/>
          <w:szCs w:val="24"/>
          <w:u w:val="single"/>
          <w:rtl/>
        </w:rPr>
        <w:t xml:space="preserve"> </w:t>
      </w:r>
      <w:r>
        <w:rPr>
          <w:rFonts w:cs="David" w:hint="eastAsia"/>
          <w:b/>
          <w:bCs/>
          <w:sz w:val="24"/>
          <w:szCs w:val="24"/>
          <w:u w:val="single"/>
          <w:rtl/>
        </w:rPr>
        <w:t>לעיל</w:t>
      </w:r>
      <w:r>
        <w:rPr>
          <w:rFonts w:cs="David"/>
          <w:b/>
          <w:bCs/>
          <w:sz w:val="24"/>
          <w:szCs w:val="24"/>
          <w:u w:val="single"/>
          <w:rtl/>
        </w:rPr>
        <w:t xml:space="preserve">, </w:t>
      </w:r>
      <w:r>
        <w:rPr>
          <w:rFonts w:cs="David" w:hint="eastAsia"/>
          <w:b/>
          <w:bCs/>
          <w:sz w:val="24"/>
          <w:szCs w:val="24"/>
          <w:u w:val="single"/>
          <w:rtl/>
        </w:rPr>
        <w:t>אני</w:t>
      </w:r>
      <w:r>
        <w:rPr>
          <w:rFonts w:cs="David"/>
          <w:b/>
          <w:bCs/>
          <w:sz w:val="24"/>
          <w:szCs w:val="24"/>
          <w:u w:val="single"/>
          <w:rtl/>
        </w:rPr>
        <w:t xml:space="preserve"> </w:t>
      </w:r>
      <w:r>
        <w:rPr>
          <w:rFonts w:cs="David" w:hint="eastAsia"/>
          <w:b/>
          <w:bCs/>
          <w:sz w:val="24"/>
          <w:szCs w:val="24"/>
          <w:u w:val="single"/>
          <w:rtl/>
        </w:rPr>
        <w:t>קובע</w:t>
      </w:r>
      <w:r>
        <w:rPr>
          <w:rFonts w:cs="David"/>
          <w:b/>
          <w:bCs/>
          <w:sz w:val="24"/>
          <w:szCs w:val="24"/>
          <w:u w:val="single"/>
          <w:rtl/>
        </w:rPr>
        <w:t xml:space="preserve"> </w:t>
      </w:r>
      <w:r>
        <w:rPr>
          <w:rFonts w:cs="David" w:hint="eastAsia"/>
          <w:b/>
          <w:bCs/>
          <w:sz w:val="24"/>
          <w:szCs w:val="24"/>
          <w:u w:val="single"/>
          <w:rtl/>
        </w:rPr>
        <w:t>את</w:t>
      </w:r>
      <w:r>
        <w:rPr>
          <w:rFonts w:cs="David"/>
          <w:b/>
          <w:bCs/>
          <w:sz w:val="24"/>
          <w:szCs w:val="24"/>
          <w:u w:val="single"/>
          <w:rtl/>
        </w:rPr>
        <w:t xml:space="preserve"> </w:t>
      </w:r>
      <w:r>
        <w:rPr>
          <w:rFonts w:cs="David" w:hint="eastAsia"/>
          <w:b/>
          <w:bCs/>
          <w:sz w:val="24"/>
          <w:szCs w:val="24"/>
          <w:u w:val="single"/>
          <w:rtl/>
        </w:rPr>
        <w:t>המתחם</w:t>
      </w:r>
      <w:r>
        <w:rPr>
          <w:rFonts w:cs="David"/>
          <w:b/>
          <w:bCs/>
          <w:sz w:val="24"/>
          <w:szCs w:val="24"/>
          <w:u w:val="single"/>
          <w:rtl/>
        </w:rPr>
        <w:t xml:space="preserve"> </w:t>
      </w:r>
      <w:r>
        <w:rPr>
          <w:rFonts w:cs="David" w:hint="eastAsia"/>
          <w:b/>
          <w:bCs/>
          <w:sz w:val="24"/>
          <w:szCs w:val="24"/>
          <w:u w:val="single"/>
          <w:rtl/>
        </w:rPr>
        <w:t>בעניינו</w:t>
      </w:r>
      <w:r>
        <w:rPr>
          <w:rFonts w:cs="David"/>
          <w:b/>
          <w:bCs/>
          <w:sz w:val="24"/>
          <w:szCs w:val="24"/>
          <w:u w:val="single"/>
          <w:rtl/>
        </w:rPr>
        <w:t xml:space="preserve"> </w:t>
      </w:r>
      <w:r>
        <w:rPr>
          <w:rFonts w:cs="David" w:hint="eastAsia"/>
          <w:b/>
          <w:bCs/>
          <w:sz w:val="24"/>
          <w:szCs w:val="24"/>
          <w:u w:val="single"/>
          <w:rtl/>
        </w:rPr>
        <w:t>בין</w:t>
      </w:r>
      <w:r>
        <w:rPr>
          <w:rFonts w:cs="David"/>
          <w:b/>
          <w:bCs/>
          <w:sz w:val="24"/>
          <w:szCs w:val="24"/>
          <w:u w:val="single"/>
          <w:rtl/>
        </w:rPr>
        <w:t xml:space="preserve"> 14 </w:t>
      </w:r>
      <w:r>
        <w:rPr>
          <w:rFonts w:cs="David" w:hint="eastAsia"/>
          <w:b/>
          <w:bCs/>
          <w:sz w:val="24"/>
          <w:szCs w:val="24"/>
          <w:u w:val="single"/>
          <w:rtl/>
        </w:rPr>
        <w:t>ל</w:t>
      </w:r>
      <w:r>
        <w:rPr>
          <w:rFonts w:cs="David"/>
          <w:b/>
          <w:bCs/>
          <w:sz w:val="24"/>
          <w:szCs w:val="24"/>
          <w:u w:val="single"/>
          <w:rtl/>
        </w:rPr>
        <w:t xml:space="preserve"> 20 </w:t>
      </w:r>
      <w:r>
        <w:rPr>
          <w:rFonts w:cs="David" w:hint="eastAsia"/>
          <w:b/>
          <w:bCs/>
          <w:sz w:val="24"/>
          <w:szCs w:val="24"/>
          <w:u w:val="single"/>
          <w:rtl/>
        </w:rPr>
        <w:t>שנות</w:t>
      </w:r>
      <w:r>
        <w:rPr>
          <w:rFonts w:cs="David"/>
          <w:b/>
          <w:bCs/>
          <w:sz w:val="24"/>
          <w:szCs w:val="24"/>
          <w:u w:val="single"/>
          <w:rtl/>
        </w:rPr>
        <w:t xml:space="preserve"> </w:t>
      </w:r>
      <w:r>
        <w:rPr>
          <w:rFonts w:cs="David" w:hint="eastAsia"/>
          <w:b/>
          <w:bCs/>
          <w:sz w:val="24"/>
          <w:szCs w:val="24"/>
          <w:u w:val="single"/>
          <w:rtl/>
        </w:rPr>
        <w:t>מאסר</w:t>
      </w:r>
      <w:r>
        <w:rPr>
          <w:rFonts w:cs="David"/>
          <w:b/>
          <w:bCs/>
          <w:sz w:val="24"/>
          <w:szCs w:val="24"/>
          <w:u w:val="single"/>
          <w:rtl/>
        </w:rPr>
        <w:t xml:space="preserve">. </w:t>
      </w:r>
    </w:p>
    <w:p w14:paraId="6E912C0D"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5253D24D"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tl/>
          <w:lang w:val="en-GB"/>
        </w:rPr>
      </w:pPr>
      <w:r>
        <w:rPr>
          <w:rFonts w:ascii="David" w:hAnsi="David" w:cs="David"/>
          <w:sz w:val="24"/>
          <w:szCs w:val="24"/>
          <w:rtl/>
        </w:rPr>
        <w:t xml:space="preserve"> </w:t>
      </w:r>
      <w:r>
        <w:rPr>
          <w:rFonts w:ascii="Times New Roman" w:hAnsi="Times New Roman" w:cs="David"/>
          <w:b/>
          <w:bCs/>
          <w:sz w:val="24"/>
          <w:szCs w:val="24"/>
          <w:u w:val="single"/>
          <w:rtl/>
          <w:lang w:val="en-GB"/>
        </w:rPr>
        <w:t>לגבי הנאשמים 4 ו 9</w:t>
      </w:r>
      <w:r>
        <w:rPr>
          <w:rFonts w:ascii="Times New Roman" w:hAnsi="Times New Roman" w:cs="David"/>
          <w:sz w:val="24"/>
          <w:szCs w:val="24"/>
          <w:rtl/>
          <w:lang w:val="en-GB"/>
        </w:rPr>
        <w:t xml:space="preserve"> – הללו הורשעו כאמור בעבירה של סיוע להחזקת נשק "בלבד". </w:t>
      </w:r>
    </w:p>
    <w:p w14:paraId="74B7BD3E"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lang w:val="en-GB"/>
        </w:rPr>
      </w:pPr>
    </w:p>
    <w:p w14:paraId="47E3FB98"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rtl/>
          <w:lang w:val="en-GB"/>
        </w:rPr>
        <w:t>הכלל הוא כי המתחם בעבירת סיוע יהיה – בהיעדר נסיבות חריגות - מחצית מהמתחם שהיה נקבע לעבירה המושלמת (</w:t>
      </w:r>
      <w:hyperlink r:id="rId157" w:history="1">
        <w:r w:rsidR="008B74B3" w:rsidRPr="008B74B3">
          <w:rPr>
            <w:rFonts w:ascii="Times New Roman" w:hAnsi="Times New Roman" w:cs="David"/>
            <w:color w:val="0000FF"/>
            <w:sz w:val="24"/>
            <w:szCs w:val="24"/>
            <w:u w:val="single"/>
            <w:rtl/>
            <w:lang w:val="en-GB"/>
          </w:rPr>
          <w:t>ע"פ 4592/15</w:t>
        </w:r>
      </w:hyperlink>
      <w:r>
        <w:rPr>
          <w:rFonts w:ascii="Times New Roman" w:hAnsi="Times New Roman" w:cs="David"/>
          <w:sz w:val="24"/>
          <w:szCs w:val="24"/>
          <w:rtl/>
          <w:lang w:val="en-GB"/>
        </w:rPr>
        <w:t xml:space="preserve"> </w:t>
      </w:r>
      <w:r>
        <w:rPr>
          <w:rFonts w:ascii="Miriam" w:hAnsi="Miriam" w:cs="Miriam"/>
          <w:sz w:val="24"/>
          <w:szCs w:val="24"/>
          <w:rtl/>
          <w:lang w:val="en-GB"/>
        </w:rPr>
        <w:t xml:space="preserve">פדידה נ' מדינת ישראל </w:t>
      </w:r>
      <w:r w:rsidR="00BB2098" w:rsidRPr="00BB2098">
        <w:rPr>
          <w:rFonts w:ascii="Times New Roman" w:hAnsi="Times New Roman" w:cs="David"/>
          <w:szCs w:val="24"/>
          <w:rtl/>
          <w:lang w:val="en-GB"/>
        </w:rPr>
        <w:t xml:space="preserve">[פורסם בנבו] </w:t>
      </w:r>
      <w:r>
        <w:rPr>
          <w:rFonts w:ascii="Times New Roman" w:hAnsi="Times New Roman" w:cs="David"/>
          <w:sz w:val="24"/>
          <w:szCs w:val="24"/>
          <w:rtl/>
          <w:lang w:val="en-GB"/>
        </w:rPr>
        <w:t xml:space="preserve">(8.2.16)). </w:t>
      </w:r>
    </w:p>
    <w:p w14:paraId="1037CAAB"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p>
    <w:p w14:paraId="4766AA6F"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tl/>
          <w:lang w:val="en-GB"/>
        </w:rPr>
      </w:pPr>
      <w:r>
        <w:rPr>
          <w:rFonts w:ascii="Times New Roman" w:hAnsi="Times New Roman" w:cs="David"/>
          <w:sz w:val="24"/>
          <w:szCs w:val="24"/>
          <w:rtl/>
          <w:lang w:val="en-GB"/>
        </w:rPr>
        <w:t xml:space="preserve">בשים לב לכלל נתוני ונסיבות האירוע, ולכך כי אין מדובר במי ש"סתם" היו במקום, והכל כפי שפורט לעיל, </w:t>
      </w:r>
      <w:r>
        <w:rPr>
          <w:rFonts w:ascii="Times New Roman" w:hAnsi="Times New Roman" w:cs="David"/>
          <w:b/>
          <w:bCs/>
          <w:sz w:val="24"/>
          <w:szCs w:val="24"/>
          <w:u w:val="single"/>
          <w:rtl/>
          <w:lang w:val="en-GB"/>
        </w:rPr>
        <w:t>ייקבע המתחם בעניינם בין 6 ל 24 חודשי מאסר</w:t>
      </w:r>
      <w:r>
        <w:rPr>
          <w:rFonts w:ascii="Times New Roman" w:hAnsi="Times New Roman" w:cs="David"/>
          <w:sz w:val="24"/>
          <w:szCs w:val="24"/>
          <w:rtl/>
          <w:lang w:val="en-GB"/>
        </w:rPr>
        <w:t xml:space="preserve">. </w:t>
      </w:r>
    </w:p>
    <w:p w14:paraId="48A53386" w14:textId="77777777" w:rsidR="004C3216" w:rsidRDefault="004C3216" w:rsidP="005811E2">
      <w:pPr>
        <w:tabs>
          <w:tab w:val="left" w:pos="516"/>
          <w:tab w:val="left" w:pos="2125"/>
        </w:tabs>
        <w:spacing w:line="360" w:lineRule="auto"/>
        <w:ind w:left="516" w:right="426"/>
        <w:jc w:val="both"/>
        <w:rPr>
          <w:rFonts w:ascii="David" w:hAnsi="David"/>
          <w:rtl/>
        </w:rPr>
      </w:pPr>
    </w:p>
    <w:p w14:paraId="04B6754C"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b/>
          <w:bCs/>
          <w:sz w:val="24"/>
          <w:szCs w:val="24"/>
          <w:u w:val="single"/>
          <w:rtl/>
        </w:rPr>
        <w:t xml:space="preserve">לגבי הנאשמים 7 ו 8 </w:t>
      </w:r>
      <w:r>
        <w:rPr>
          <w:rFonts w:ascii="David" w:hAnsi="David" w:cs="David"/>
          <w:sz w:val="24"/>
          <w:szCs w:val="24"/>
          <w:rtl/>
        </w:rPr>
        <w:t xml:space="preserve">– עניינם של נאשמים אלה פורט בהרחבה לעיל. חומרת מעשיהם שניה רק לזו של הנאשם 3. נאשמים אלה החזיקו בנשק שלא כדין וירו בו לעבר בתי המנוחה ובניה. לא בכדי הם הורשעו לא רק בעבירות נשק וירי "בלבד", כנאשמים 2 ו 6, אלא גם בניסיון לגרום לפציעה בנסיבות מחמירות. </w:t>
      </w:r>
      <w:r>
        <w:rPr>
          <w:rFonts w:ascii="David" w:hAnsi="David" w:cs="David"/>
          <w:b/>
          <w:bCs/>
          <w:sz w:val="24"/>
          <w:szCs w:val="24"/>
          <w:u w:val="single"/>
          <w:rtl/>
        </w:rPr>
        <w:t xml:space="preserve">משכך, ייקבע המתחם בעניינם בין 4 ל 7 שנות מאסר. </w:t>
      </w:r>
    </w:p>
    <w:p w14:paraId="66BEA160"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3A41C5A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b/>
          <w:bCs/>
          <w:sz w:val="24"/>
          <w:szCs w:val="24"/>
          <w:u w:val="single"/>
          <w:rtl/>
        </w:rPr>
        <w:t>גם בעניינו של הנאשם 5</w:t>
      </w:r>
      <w:r>
        <w:rPr>
          <w:rFonts w:ascii="David" w:hAnsi="David" w:cs="David"/>
          <w:sz w:val="24"/>
          <w:szCs w:val="24"/>
          <w:rtl/>
        </w:rPr>
        <w:t xml:space="preserve">, שהורשע בעבירת איומים "בלבד", אין חולק כי נסיבות ביצוע העבירה צובעות את מעשיו באור קודר. אין מדובר ב"סתם איום" המופנה כלפי אדם אחר, אלא באיומים שהופנו כאשר יתר שותפיו לכתב האישום יורים בצוותא (אם באוויר ואם לעבר בתים מאוכלסים). לכן, ניסיון באיתור "מדיניות הענישה הנהוגה" לגבי נסיבות כה חריגות העלה חרס. על פי רוב מתחמי העונש בעבירת איומים מתחילים ברף תחתון של מאסר על תנאי, אך במקרה דנן ומשום נסיבות החריגות שפורטו בהרחבה לעיל, הן בפסקה זו והן במעלה גזר הדין, הגעתי למסקנה כי את המתחם יש לקבוע </w:t>
      </w:r>
      <w:r>
        <w:rPr>
          <w:rFonts w:ascii="David" w:hAnsi="David" w:cs="David"/>
          <w:b/>
          <w:bCs/>
          <w:sz w:val="24"/>
          <w:szCs w:val="24"/>
          <w:u w:val="single"/>
          <w:rtl/>
        </w:rPr>
        <w:t xml:space="preserve">בין מספר חודשי מאסר ועד 8 חודשי מאסר. </w:t>
      </w:r>
    </w:p>
    <w:p w14:paraId="08477E98" w14:textId="77777777" w:rsidR="004C3216" w:rsidRDefault="004C3216" w:rsidP="005811E2">
      <w:pPr>
        <w:pStyle w:val="ListParagraph"/>
        <w:spacing w:after="0" w:line="360" w:lineRule="auto"/>
        <w:ind w:left="516" w:right="426"/>
        <w:rPr>
          <w:rFonts w:ascii="David" w:hAnsi="David" w:cs="David"/>
          <w:sz w:val="24"/>
          <w:szCs w:val="24"/>
        </w:rPr>
      </w:pPr>
    </w:p>
    <w:p w14:paraId="39D03D2C" w14:textId="77777777" w:rsidR="004C3216" w:rsidRDefault="004C3216" w:rsidP="001C1643">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לא</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לחרוג</w:t>
      </w:r>
      <w:r>
        <w:rPr>
          <w:rFonts w:cs="David"/>
          <w:sz w:val="24"/>
          <w:szCs w:val="24"/>
          <w:rtl/>
        </w:rPr>
        <w:t xml:space="preserve"> </w:t>
      </w:r>
      <w:r>
        <w:rPr>
          <w:rFonts w:cs="David" w:hint="eastAsia"/>
          <w:sz w:val="24"/>
          <w:szCs w:val="24"/>
          <w:rtl/>
        </w:rPr>
        <w:t>מהמתחמים</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מטעמי</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הציבור</w:t>
      </w:r>
      <w:r>
        <w:rPr>
          <w:rFonts w:cs="David"/>
          <w:sz w:val="24"/>
          <w:szCs w:val="24"/>
          <w:rtl/>
        </w:rPr>
        <w:t xml:space="preserve">. </w:t>
      </w:r>
    </w:p>
    <w:p w14:paraId="04C7A46B" w14:textId="77777777" w:rsidR="004C3216" w:rsidRDefault="004C3216" w:rsidP="005811E2">
      <w:pPr>
        <w:tabs>
          <w:tab w:val="left" w:pos="658"/>
        </w:tabs>
        <w:spacing w:line="360" w:lineRule="auto"/>
        <w:ind w:left="516" w:right="426"/>
        <w:jc w:val="both"/>
        <w:rPr>
          <w:rFonts w:ascii="Miriam" w:hAnsi="Miriam" w:cs="Miriam"/>
          <w:u w:val="single"/>
        </w:rPr>
      </w:pPr>
    </w:p>
    <w:p w14:paraId="79FB51C4" w14:textId="77777777" w:rsidR="004C3216" w:rsidRDefault="004C3216" w:rsidP="005811E2">
      <w:pPr>
        <w:tabs>
          <w:tab w:val="left" w:pos="658"/>
        </w:tabs>
        <w:spacing w:line="360" w:lineRule="auto"/>
        <w:ind w:left="516" w:right="426"/>
        <w:jc w:val="both"/>
        <w:rPr>
          <w:rFonts w:ascii="David" w:hAnsi="David"/>
          <w:b/>
          <w:bCs/>
          <w:sz w:val="28"/>
          <w:szCs w:val="28"/>
          <w:rtl/>
        </w:rPr>
      </w:pPr>
      <w:r>
        <w:rPr>
          <w:rFonts w:ascii="David" w:hAnsi="David"/>
          <w:b/>
          <w:bCs/>
          <w:sz w:val="28"/>
          <w:szCs w:val="28"/>
          <w:u w:val="single"/>
          <w:rtl/>
        </w:rPr>
        <w:t>נסיבות שאינן קשורות בביצוע העבירה</w:t>
      </w:r>
    </w:p>
    <w:p w14:paraId="397CD58C"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tl/>
        </w:rPr>
      </w:pPr>
      <w:r>
        <w:rPr>
          <w:rFonts w:ascii="David" w:hAnsi="David" w:cs="David"/>
          <w:sz w:val="24"/>
          <w:szCs w:val="24"/>
          <w:rtl/>
        </w:rPr>
        <w:t xml:space="preserve">לעניין העונשים שיש להשית בתוך המתחמים – בהקשר זה יש להתייחס לנסיבותיו האישיות של כל נאשם, לקולה ולחומרה, וכן לנתונים ונסיבות אחרות המנויות ברובן </w:t>
      </w:r>
      <w:hyperlink r:id="rId158" w:history="1">
        <w:r w:rsidR="005948C0" w:rsidRPr="005948C0">
          <w:rPr>
            <w:rStyle w:val="Hyperlink"/>
            <w:rFonts w:ascii="David" w:hAnsi="David" w:cs="David"/>
            <w:sz w:val="24"/>
            <w:szCs w:val="24"/>
            <w:rtl/>
          </w:rPr>
          <w:t>בס' 40 יא</w:t>
        </w:r>
      </w:hyperlink>
      <w:r>
        <w:rPr>
          <w:rFonts w:ascii="David" w:hAnsi="David" w:cs="David"/>
          <w:sz w:val="24"/>
          <w:szCs w:val="24"/>
          <w:rtl/>
        </w:rPr>
        <w:t>' לחוק. אסקור להלן את עיקר הנתונים בנדון.</w:t>
      </w:r>
    </w:p>
    <w:p w14:paraId="051933C1" w14:textId="77777777" w:rsidR="004C3216" w:rsidRDefault="004C3216" w:rsidP="005811E2">
      <w:pPr>
        <w:pStyle w:val="ListParagraph"/>
        <w:tabs>
          <w:tab w:val="left" w:pos="516"/>
          <w:tab w:val="left" w:pos="2125"/>
        </w:tabs>
        <w:spacing w:after="0" w:line="360" w:lineRule="auto"/>
        <w:ind w:left="516" w:right="426"/>
        <w:jc w:val="both"/>
        <w:rPr>
          <w:rFonts w:ascii="Times New Roman" w:hAnsi="Times New Roman" w:cs="David"/>
          <w:sz w:val="24"/>
          <w:szCs w:val="24"/>
        </w:rPr>
      </w:pPr>
    </w:p>
    <w:p w14:paraId="32E32910" w14:textId="77777777" w:rsidR="004C3216" w:rsidRDefault="004C3216" w:rsidP="00BA78C7">
      <w:pPr>
        <w:pStyle w:val="ListParagraph"/>
        <w:numPr>
          <w:ilvl w:val="0"/>
          <w:numId w:val="6"/>
        </w:numPr>
        <w:tabs>
          <w:tab w:val="left" w:pos="516"/>
          <w:tab w:val="left" w:pos="2125"/>
        </w:tabs>
        <w:spacing w:after="0" w:line="360" w:lineRule="auto"/>
        <w:ind w:left="516" w:right="426" w:hanging="720"/>
        <w:jc w:val="both"/>
        <w:rPr>
          <w:rFonts w:ascii="Times New Roman" w:hAnsi="Times New Roman" w:cs="David"/>
          <w:sz w:val="24"/>
          <w:szCs w:val="24"/>
        </w:rPr>
      </w:pPr>
      <w:r>
        <w:rPr>
          <w:rFonts w:ascii="Times New Roman" w:hAnsi="Times New Roman" w:cs="David"/>
          <w:sz w:val="24"/>
          <w:szCs w:val="24"/>
          <w:rtl/>
        </w:rPr>
        <w:t xml:space="preserve">עוד יש ליתן את הדעת בתת פרק זה לשיקול הרתעת הרבים. בהתאם </w:t>
      </w:r>
      <w:hyperlink r:id="rId159" w:history="1">
        <w:r w:rsidR="005948C0" w:rsidRPr="005948C0">
          <w:rPr>
            <w:rStyle w:val="Hyperlink"/>
            <w:rFonts w:ascii="Times New Roman" w:hAnsi="Times New Roman" w:cs="David"/>
            <w:sz w:val="24"/>
            <w:szCs w:val="24"/>
            <w:rtl/>
          </w:rPr>
          <w:t>לס' 40ז'</w:t>
        </w:r>
      </w:hyperlink>
      <w:r>
        <w:rPr>
          <w:rFonts w:ascii="Times New Roman" w:hAnsi="Times New Roman" w:cs="David"/>
          <w:sz w:val="24"/>
          <w:szCs w:val="24"/>
          <w:rtl/>
        </w:rPr>
        <w:t xml:space="preserve"> לחוק רשאי בית המשפט להתחשב בשיקול זה בתוך מתחם העונש ההולם, אם יש סיכוי של ממש שהחמרה בעונשו של הנאשם תביא להרתעת הרבים. עמדתי לעיל על הקריאה שיצאה לא פעם מבית המשפט העליון להחמרה בענישה בעבירות אלימות, בין היתר משיקולי הרתעת הרבים (ר' פסקה 120 לעיל). עוד צוין בפסיקה כי שיקול הרתעת הרבים רלוונטי במיוחד לגבי מי שאינם בעלי מאפיינים עברייניים או עבר פלילי (</w:t>
      </w:r>
      <w:hyperlink r:id="rId160" w:history="1">
        <w:r w:rsidR="008B74B3" w:rsidRPr="008B74B3">
          <w:rPr>
            <w:rFonts w:ascii="Times New Roman" w:hAnsi="Times New Roman" w:cs="David"/>
            <w:color w:val="0000FF"/>
            <w:sz w:val="24"/>
            <w:szCs w:val="24"/>
            <w:u w:val="single"/>
            <w:rtl/>
          </w:rPr>
          <w:t>ע"פ 2814/18</w:t>
        </w:r>
      </w:hyperlink>
      <w:r>
        <w:rPr>
          <w:rFonts w:ascii="Times New Roman" w:hAnsi="Times New Roman" w:cs="David"/>
          <w:sz w:val="24"/>
          <w:szCs w:val="24"/>
          <w:rtl/>
        </w:rPr>
        <w:t xml:space="preserve"> </w:t>
      </w:r>
      <w:r>
        <w:rPr>
          <w:rFonts w:ascii="Miriam" w:hAnsi="Miriam" w:cs="Miriam"/>
          <w:sz w:val="24"/>
          <w:szCs w:val="24"/>
          <w:rtl/>
        </w:rPr>
        <w:t>מנור נ' מדינת ישראל</w:t>
      </w:r>
      <w:r>
        <w:rPr>
          <w:rFonts w:ascii="Times New Roman" w:hAnsi="Times New Roman" w:cs="David"/>
          <w:sz w:val="24"/>
          <w:szCs w:val="24"/>
          <w:rtl/>
        </w:rPr>
        <w:t xml:space="preserve">, </w:t>
      </w:r>
      <w:r w:rsidR="00BB2098" w:rsidRPr="00BB2098">
        <w:rPr>
          <w:rFonts w:ascii="Times New Roman" w:hAnsi="Times New Roman" w:cs="David"/>
          <w:szCs w:val="24"/>
          <w:rtl/>
        </w:rPr>
        <w:t xml:space="preserve">[פורסם בנבו] </w:t>
      </w:r>
      <w:r>
        <w:rPr>
          <w:rFonts w:ascii="Times New Roman" w:hAnsi="Times New Roman" w:cs="David"/>
          <w:sz w:val="24"/>
          <w:szCs w:val="24"/>
          <w:rtl/>
        </w:rPr>
        <w:t xml:space="preserve">פסקה 30 (27.2.19)). משכך, סבורני שיש ליתן משקל גם לשיקול הרתעת הרבים הגם שהוא יהיה מוגבל שכן משמעות הדבר היא שעונשו של נאשם יקבע בתוך המתחם לא (רק) על בסיס נסיבותיו ונתוניו שלו, אלא גם משום שיקולים "חיצוניים". לכן, יישום שיקול זה  יהיה רלוונטי רק לגבי שלוש קבוצות הנאשמים שמעשיהם היו החמורים (נאשם 3; נאשמים 2 ו 6, ונאשמים 7 ו 8). </w:t>
      </w:r>
    </w:p>
    <w:p w14:paraId="4FAB1C42" w14:textId="77777777" w:rsidR="004C3216" w:rsidRDefault="004C3216" w:rsidP="005811E2">
      <w:pPr>
        <w:pStyle w:val="ListParagraph"/>
        <w:spacing w:after="0" w:line="360" w:lineRule="auto"/>
        <w:ind w:left="516" w:right="426"/>
        <w:rPr>
          <w:rFonts w:ascii="Times New Roman" w:hAnsi="Times New Roman" w:cs="David"/>
          <w:sz w:val="24"/>
          <w:szCs w:val="24"/>
        </w:rPr>
      </w:pPr>
    </w:p>
    <w:p w14:paraId="7267FAD2"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ascii="Times New Roman" w:hAnsi="Times New Roman" w:cs="David"/>
          <w:sz w:val="24"/>
          <w:szCs w:val="24"/>
          <w:rtl/>
        </w:rPr>
        <w:t xml:space="preserve">לגבי כלל הנאשמים יש לזקוף כמובן את הודייתם במעשים שיוחסו להם בכתב האישום המתוקן, כל אחד על פי חלקו. </w:t>
      </w:r>
    </w:p>
    <w:p w14:paraId="1A0E4B3E" w14:textId="77777777" w:rsidR="004C3216" w:rsidRDefault="004C3216" w:rsidP="005811E2">
      <w:pPr>
        <w:pStyle w:val="ListParagraph"/>
        <w:rPr>
          <w:rFonts w:ascii="Times New Roman" w:hAnsi="Times New Roman" w:cs="David"/>
          <w:sz w:val="24"/>
          <w:szCs w:val="24"/>
        </w:rPr>
      </w:pPr>
    </w:p>
    <w:p w14:paraId="3169543A"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r>
        <w:rPr>
          <w:rFonts w:ascii="Times New Roman" w:hAnsi="Times New Roman" w:cs="David"/>
          <w:sz w:val="24"/>
          <w:szCs w:val="24"/>
          <w:rtl/>
        </w:rPr>
        <w:t>מדובר בנתון מרכזי העומד לזכותם והביא לידי ביטוי קבלת אחריות של כל אחד מהם על מעשיו והכרה בפסול שבהם. חרף הסתייגויות כאלה ואחרות בחלק מהתסקירים, שייתכן ונבעו כתוצאה מקשיי תקשורת או אי הבנת ההליך אל מול שירות המבחן, נתתי להודיית כל אחד מהנאשמים משקל מלא.</w:t>
      </w:r>
    </w:p>
    <w:p w14:paraId="30D11295" w14:textId="77777777" w:rsidR="004C3216" w:rsidRDefault="004C3216" w:rsidP="005811E2">
      <w:pPr>
        <w:pStyle w:val="ListParagraph"/>
        <w:spacing w:after="0" w:line="360" w:lineRule="auto"/>
        <w:ind w:left="516" w:right="426"/>
        <w:rPr>
          <w:rFonts w:cs="David"/>
          <w:sz w:val="24"/>
          <w:szCs w:val="24"/>
        </w:rPr>
      </w:pPr>
    </w:p>
    <w:p w14:paraId="5FC2ABFA"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הודיית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הביאה</w:t>
      </w:r>
      <w:r>
        <w:rPr>
          <w:rFonts w:cs="David"/>
          <w:sz w:val="24"/>
          <w:szCs w:val="24"/>
          <w:rtl/>
        </w:rPr>
        <w:t xml:space="preserve"> </w:t>
      </w:r>
      <w:r>
        <w:rPr>
          <w:rFonts w:cs="David" w:hint="eastAsia"/>
          <w:sz w:val="24"/>
          <w:szCs w:val="24"/>
          <w:rtl/>
        </w:rPr>
        <w:t>לחסכון</w:t>
      </w:r>
      <w:r>
        <w:rPr>
          <w:rFonts w:cs="David"/>
          <w:sz w:val="24"/>
          <w:szCs w:val="24"/>
          <w:rtl/>
        </w:rPr>
        <w:t xml:space="preserve"> </w:t>
      </w:r>
      <w:r>
        <w:rPr>
          <w:rFonts w:cs="David" w:hint="eastAsia"/>
          <w:sz w:val="24"/>
          <w:szCs w:val="24"/>
          <w:rtl/>
        </w:rPr>
        <w:t>ניכר</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שיפוטי</w:t>
      </w:r>
      <w:r>
        <w:rPr>
          <w:rFonts w:cs="David"/>
          <w:sz w:val="24"/>
          <w:szCs w:val="24"/>
          <w:rtl/>
        </w:rPr>
        <w:t xml:space="preserve">. </w:t>
      </w:r>
      <w:r>
        <w:rPr>
          <w:rFonts w:cs="David" w:hint="eastAsia"/>
          <w:sz w:val="24"/>
          <w:szCs w:val="24"/>
          <w:rtl/>
        </w:rPr>
        <w:t>הגם</w:t>
      </w:r>
      <w:r>
        <w:rPr>
          <w:rFonts w:cs="David"/>
          <w:sz w:val="24"/>
          <w:szCs w:val="24"/>
          <w:rtl/>
        </w:rPr>
        <w:t xml:space="preserve"> </w:t>
      </w:r>
      <w:r>
        <w:rPr>
          <w:rFonts w:cs="David" w:hint="eastAsia"/>
          <w:sz w:val="24"/>
          <w:szCs w:val="24"/>
          <w:rtl/>
        </w:rPr>
        <w:t>שההסדר</w:t>
      </w:r>
      <w:r>
        <w:rPr>
          <w:rFonts w:cs="David"/>
          <w:sz w:val="24"/>
          <w:szCs w:val="24"/>
          <w:rtl/>
        </w:rPr>
        <w:t xml:space="preserve"> </w:t>
      </w:r>
      <w:r>
        <w:rPr>
          <w:rFonts w:cs="David" w:hint="eastAsia"/>
          <w:sz w:val="24"/>
          <w:szCs w:val="24"/>
          <w:rtl/>
        </w:rPr>
        <w:t>הוצג</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עשרות</w:t>
      </w:r>
      <w:r>
        <w:rPr>
          <w:rFonts w:cs="David"/>
          <w:sz w:val="24"/>
          <w:szCs w:val="24"/>
          <w:rtl/>
        </w:rPr>
        <w:t xml:space="preserve"> </w:t>
      </w:r>
      <w:r>
        <w:rPr>
          <w:rFonts w:cs="David" w:hint="eastAsia"/>
          <w:sz w:val="24"/>
          <w:szCs w:val="24"/>
          <w:rtl/>
        </w:rPr>
        <w:t>דיוני</w:t>
      </w:r>
      <w:r>
        <w:rPr>
          <w:rFonts w:cs="David"/>
          <w:sz w:val="24"/>
          <w:szCs w:val="24"/>
          <w:rtl/>
        </w:rPr>
        <w:t xml:space="preserve"> </w:t>
      </w:r>
      <w:r>
        <w:rPr>
          <w:rFonts w:cs="David" w:hint="eastAsia"/>
          <w:sz w:val="24"/>
          <w:szCs w:val="24"/>
          <w:rtl/>
        </w:rPr>
        <w:t>הוכחות</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חולק</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נוהל</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תום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אורך</w:t>
      </w:r>
      <w:r>
        <w:rPr>
          <w:rFonts w:cs="David"/>
          <w:sz w:val="24"/>
          <w:szCs w:val="24"/>
          <w:rtl/>
        </w:rPr>
        <w:t xml:space="preserve"> </w:t>
      </w:r>
      <w:r>
        <w:rPr>
          <w:rFonts w:cs="David" w:hint="eastAsia"/>
          <w:sz w:val="24"/>
          <w:szCs w:val="24"/>
          <w:rtl/>
        </w:rPr>
        <w:t>פרק</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לעניין</w:t>
      </w:r>
      <w:r>
        <w:rPr>
          <w:rFonts w:cs="David"/>
          <w:sz w:val="24"/>
          <w:szCs w:val="24"/>
          <w:rtl/>
        </w:rPr>
        <w:t xml:space="preserve"> </w:t>
      </w:r>
      <w:r>
        <w:rPr>
          <w:rFonts w:cs="David" w:hint="eastAsia"/>
          <w:sz w:val="24"/>
          <w:szCs w:val="24"/>
          <w:rtl/>
        </w:rPr>
        <w:t>אי</w:t>
      </w:r>
      <w:r>
        <w:rPr>
          <w:rFonts w:cs="David"/>
          <w:sz w:val="24"/>
          <w:szCs w:val="24"/>
          <w:rtl/>
        </w:rPr>
        <w:t xml:space="preserve"> </w:t>
      </w:r>
      <w:r>
        <w:rPr>
          <w:rFonts w:cs="David" w:hint="eastAsia"/>
          <w:sz w:val="24"/>
          <w:szCs w:val="24"/>
          <w:rtl/>
        </w:rPr>
        <w:t>העדת</w:t>
      </w:r>
      <w:r>
        <w:rPr>
          <w:rFonts w:cs="David"/>
          <w:sz w:val="24"/>
          <w:szCs w:val="24"/>
          <w:rtl/>
        </w:rPr>
        <w:t xml:space="preserve"> </w:t>
      </w:r>
      <w:r>
        <w:rPr>
          <w:rFonts w:cs="David" w:hint="eastAsia"/>
          <w:sz w:val="24"/>
          <w:szCs w:val="24"/>
          <w:rtl/>
        </w:rPr>
        <w:t>עדים</w:t>
      </w:r>
      <w:r>
        <w:rPr>
          <w:rFonts w:cs="David"/>
          <w:sz w:val="24"/>
          <w:szCs w:val="24"/>
          <w:rtl/>
        </w:rPr>
        <w:t xml:space="preserve"> </w:t>
      </w:r>
      <w:r>
        <w:rPr>
          <w:rFonts w:cs="David" w:hint="eastAsia"/>
          <w:sz w:val="24"/>
          <w:szCs w:val="24"/>
          <w:rtl/>
        </w:rPr>
        <w:t>רבים</w:t>
      </w:r>
      <w:r>
        <w:rPr>
          <w:rFonts w:cs="David"/>
          <w:sz w:val="24"/>
          <w:szCs w:val="24"/>
          <w:rtl/>
        </w:rPr>
        <w:t xml:space="preserve"> </w:t>
      </w:r>
      <w:r>
        <w:rPr>
          <w:rFonts w:cs="David" w:hint="eastAsia"/>
          <w:sz w:val="24"/>
          <w:szCs w:val="24"/>
          <w:rtl/>
        </w:rPr>
        <w:t>שעדותם</w:t>
      </w:r>
      <w:r>
        <w:rPr>
          <w:rFonts w:cs="David"/>
          <w:sz w:val="24"/>
          <w:szCs w:val="24"/>
          <w:rtl/>
        </w:rPr>
        <w:t xml:space="preserve"> </w:t>
      </w:r>
      <w:r>
        <w:rPr>
          <w:rFonts w:cs="David" w:hint="eastAsia"/>
          <w:sz w:val="24"/>
          <w:szCs w:val="24"/>
          <w:rtl/>
        </w:rPr>
        <w:t>נחסכה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נעלמה</w:t>
      </w:r>
      <w:r>
        <w:rPr>
          <w:rFonts w:cs="David"/>
          <w:sz w:val="24"/>
          <w:szCs w:val="24"/>
          <w:rtl/>
        </w:rPr>
        <w:t xml:space="preserve"> </w:t>
      </w:r>
      <w:r>
        <w:rPr>
          <w:rFonts w:cs="David" w:hint="eastAsia"/>
          <w:sz w:val="24"/>
          <w:szCs w:val="24"/>
          <w:rtl/>
        </w:rPr>
        <w:t>מעיני</w:t>
      </w:r>
      <w:r>
        <w:rPr>
          <w:rFonts w:cs="David"/>
          <w:sz w:val="24"/>
          <w:szCs w:val="24"/>
          <w:rtl/>
        </w:rPr>
        <w:t xml:space="preserve"> </w:t>
      </w:r>
      <w:r>
        <w:rPr>
          <w:rFonts w:cs="David" w:hint="eastAsia"/>
          <w:sz w:val="24"/>
          <w:szCs w:val="24"/>
          <w:rtl/>
        </w:rPr>
        <w:t>כמובן</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שפריד</w:t>
      </w:r>
      <w:r>
        <w:rPr>
          <w:rFonts w:cs="David"/>
          <w:sz w:val="24"/>
          <w:szCs w:val="24"/>
          <w:rtl/>
        </w:rPr>
        <w:t xml:space="preserve"> </w:t>
      </w:r>
      <w:r>
        <w:rPr>
          <w:rFonts w:cs="David" w:hint="eastAsia"/>
          <w:sz w:val="24"/>
          <w:szCs w:val="24"/>
          <w:rtl/>
        </w:rPr>
        <w:t>ואחרים</w:t>
      </w:r>
      <w:r>
        <w:rPr>
          <w:rFonts w:cs="David"/>
          <w:sz w:val="24"/>
          <w:szCs w:val="24"/>
          <w:rtl/>
        </w:rPr>
        <w:t xml:space="preserve">, </w:t>
      </w:r>
      <w:r>
        <w:rPr>
          <w:rFonts w:cs="David" w:hint="eastAsia"/>
          <w:sz w:val="24"/>
          <w:szCs w:val="24"/>
          <w:rtl/>
        </w:rPr>
        <w:t>כולל</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הקטין</w:t>
      </w:r>
      <w:r>
        <w:rPr>
          <w:rFonts w:cs="David"/>
          <w:sz w:val="24"/>
          <w:szCs w:val="24"/>
          <w:rtl/>
        </w:rPr>
        <w:t xml:space="preserve">, </w:t>
      </w:r>
      <w:r>
        <w:rPr>
          <w:rFonts w:cs="David" w:hint="eastAsia"/>
          <w:sz w:val="24"/>
          <w:szCs w:val="24"/>
          <w:rtl/>
        </w:rPr>
        <w:t>העידו</w:t>
      </w:r>
      <w:r>
        <w:rPr>
          <w:rFonts w:cs="David"/>
          <w:sz w:val="24"/>
          <w:szCs w:val="24"/>
          <w:rtl/>
        </w:rPr>
        <w:t xml:space="preserve"> </w:t>
      </w:r>
      <w:r>
        <w:rPr>
          <w:rFonts w:cs="David" w:hint="eastAsia"/>
          <w:sz w:val="24"/>
          <w:szCs w:val="24"/>
          <w:rtl/>
        </w:rPr>
        <w:t>טרם</w:t>
      </w:r>
      <w:r>
        <w:rPr>
          <w:rFonts w:cs="David"/>
          <w:sz w:val="24"/>
          <w:szCs w:val="24"/>
          <w:rtl/>
        </w:rPr>
        <w:t xml:space="preserve"> </w:t>
      </w:r>
      <w:r>
        <w:rPr>
          <w:rFonts w:cs="David" w:hint="eastAsia"/>
          <w:sz w:val="24"/>
          <w:szCs w:val="24"/>
          <w:rtl/>
        </w:rPr>
        <w:t>הצגת</w:t>
      </w:r>
      <w:r>
        <w:rPr>
          <w:rFonts w:cs="David"/>
          <w:sz w:val="24"/>
          <w:szCs w:val="24"/>
          <w:rtl/>
        </w:rPr>
        <w:t xml:space="preserve"> </w:t>
      </w:r>
      <w:r>
        <w:rPr>
          <w:rFonts w:cs="David" w:hint="eastAsia"/>
          <w:sz w:val="24"/>
          <w:szCs w:val="24"/>
          <w:rtl/>
        </w:rPr>
        <w:t>ההסדר</w:t>
      </w:r>
      <w:r>
        <w:rPr>
          <w:rFonts w:cs="David"/>
          <w:sz w:val="24"/>
          <w:szCs w:val="24"/>
          <w:rtl/>
        </w:rPr>
        <w:t>).</w:t>
      </w:r>
    </w:p>
    <w:p w14:paraId="4A4C8B75" w14:textId="77777777" w:rsidR="004C3216" w:rsidRDefault="004C3216" w:rsidP="005811E2">
      <w:pPr>
        <w:pStyle w:val="ListParagraph"/>
        <w:spacing w:after="0" w:line="360" w:lineRule="auto"/>
        <w:ind w:left="516" w:right="426"/>
        <w:rPr>
          <w:rFonts w:cs="David"/>
          <w:sz w:val="24"/>
          <w:szCs w:val="24"/>
        </w:rPr>
      </w:pPr>
    </w:p>
    <w:p w14:paraId="758EE815"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חרף</w:t>
      </w:r>
      <w:r>
        <w:rPr>
          <w:rFonts w:cs="David"/>
          <w:sz w:val="24"/>
          <w:szCs w:val="24"/>
          <w:rtl/>
        </w:rPr>
        <w:t xml:space="preserve"> </w:t>
      </w:r>
      <w:r>
        <w:rPr>
          <w:rFonts w:cs="David" w:hint="eastAsia"/>
          <w:sz w:val="24"/>
          <w:szCs w:val="24"/>
          <w:rtl/>
        </w:rPr>
        <w:t>ניהול</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דיוני</w:t>
      </w:r>
      <w:r>
        <w:rPr>
          <w:rFonts w:cs="David"/>
          <w:sz w:val="24"/>
          <w:szCs w:val="24"/>
          <w:rtl/>
        </w:rPr>
        <w:t xml:space="preserve"> </w:t>
      </w:r>
      <w:r>
        <w:rPr>
          <w:rFonts w:cs="David" w:hint="eastAsia"/>
          <w:sz w:val="24"/>
          <w:szCs w:val="24"/>
          <w:rtl/>
        </w:rPr>
        <w:t>הוכחות</w:t>
      </w:r>
      <w:r>
        <w:rPr>
          <w:rFonts w:cs="David"/>
          <w:sz w:val="24"/>
          <w:szCs w:val="24"/>
          <w:rtl/>
        </w:rPr>
        <w:t xml:space="preserve"> </w:t>
      </w:r>
      <w:r>
        <w:rPr>
          <w:rFonts w:cs="David" w:hint="eastAsia"/>
          <w:sz w:val="24"/>
          <w:szCs w:val="24"/>
          <w:rtl/>
        </w:rPr>
        <w:t>רבים</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עשו</w:t>
      </w:r>
      <w:r>
        <w:rPr>
          <w:rFonts w:cs="David"/>
          <w:sz w:val="24"/>
          <w:szCs w:val="24"/>
          <w:rtl/>
        </w:rPr>
        <w:t xml:space="preserve"> </w:t>
      </w:r>
      <w:r>
        <w:rPr>
          <w:rFonts w:cs="David" w:hint="eastAsia"/>
          <w:sz w:val="24"/>
          <w:szCs w:val="24"/>
          <w:rtl/>
        </w:rPr>
        <w:t>מאמץ</w:t>
      </w:r>
      <w:r>
        <w:rPr>
          <w:rFonts w:cs="David"/>
          <w:sz w:val="24"/>
          <w:szCs w:val="24"/>
          <w:rtl/>
        </w:rPr>
        <w:t xml:space="preserve"> </w:t>
      </w:r>
      <w:r>
        <w:rPr>
          <w:rFonts w:cs="David" w:hint="eastAsia"/>
          <w:sz w:val="24"/>
          <w:szCs w:val="24"/>
          <w:rtl/>
        </w:rPr>
        <w:t>שהניהול</w:t>
      </w:r>
      <w:r>
        <w:rPr>
          <w:rFonts w:cs="David"/>
          <w:sz w:val="24"/>
          <w:szCs w:val="24"/>
          <w:rtl/>
        </w:rPr>
        <w:t xml:space="preserve"> </w:t>
      </w:r>
      <w:r>
        <w:rPr>
          <w:rFonts w:cs="David" w:hint="eastAsia"/>
          <w:sz w:val="24"/>
          <w:szCs w:val="24"/>
          <w:rtl/>
        </w:rPr>
        <w:t>יהיה</w:t>
      </w:r>
      <w:r>
        <w:rPr>
          <w:rFonts w:cs="David"/>
          <w:sz w:val="24"/>
          <w:szCs w:val="24"/>
          <w:rtl/>
        </w:rPr>
        <w:t xml:space="preserve"> </w:t>
      </w:r>
      <w:r>
        <w:rPr>
          <w:rFonts w:cs="David" w:hint="eastAsia"/>
          <w:sz w:val="24"/>
          <w:szCs w:val="24"/>
          <w:rtl/>
        </w:rPr>
        <w:t>ענייני</w:t>
      </w:r>
      <w:r>
        <w:rPr>
          <w:rFonts w:cs="David"/>
          <w:sz w:val="24"/>
          <w:szCs w:val="24"/>
          <w:rtl/>
        </w:rPr>
        <w:t xml:space="preserve"> </w:t>
      </w:r>
      <w:r>
        <w:rPr>
          <w:rFonts w:cs="David" w:hint="eastAsia"/>
          <w:sz w:val="24"/>
          <w:szCs w:val="24"/>
          <w:rtl/>
        </w:rPr>
        <w:t>ויעיל</w:t>
      </w:r>
      <w:r>
        <w:rPr>
          <w:rFonts w:cs="David"/>
          <w:sz w:val="24"/>
          <w:szCs w:val="24"/>
          <w:rtl/>
        </w:rPr>
        <w:t xml:space="preserve">, </w:t>
      </w:r>
      <w:r>
        <w:rPr>
          <w:rFonts w:cs="David" w:hint="eastAsia"/>
          <w:sz w:val="24"/>
          <w:szCs w:val="24"/>
          <w:rtl/>
        </w:rPr>
        <w:t>וכך</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מכיוון</w:t>
      </w:r>
      <w:r>
        <w:rPr>
          <w:rFonts w:cs="David"/>
          <w:sz w:val="24"/>
          <w:szCs w:val="24"/>
          <w:rtl/>
        </w:rPr>
        <w:t xml:space="preserve"> </w:t>
      </w:r>
      <w:r>
        <w:rPr>
          <w:rFonts w:cs="David" w:hint="eastAsia"/>
          <w:sz w:val="24"/>
          <w:szCs w:val="24"/>
          <w:rtl/>
        </w:rPr>
        <w:t>שדנים</w:t>
      </w:r>
      <w:r>
        <w:rPr>
          <w:rFonts w:cs="David"/>
          <w:sz w:val="24"/>
          <w:szCs w:val="24"/>
          <w:rtl/>
        </w:rPr>
        <w:t xml:space="preserve"> </w:t>
      </w:r>
      <w:r>
        <w:rPr>
          <w:rFonts w:cs="David" w:hint="eastAsia"/>
          <w:sz w:val="24"/>
          <w:szCs w:val="24"/>
          <w:rtl/>
        </w:rPr>
        <w:t>אנו</w:t>
      </w:r>
      <w:r>
        <w:rPr>
          <w:rFonts w:cs="David"/>
          <w:sz w:val="24"/>
          <w:szCs w:val="24"/>
          <w:rtl/>
        </w:rPr>
        <w:t xml:space="preserve"> </w:t>
      </w:r>
      <w:r>
        <w:rPr>
          <w:rFonts w:cs="David" w:hint="eastAsia"/>
          <w:sz w:val="24"/>
          <w:szCs w:val="24"/>
          <w:rtl/>
        </w:rPr>
        <w:t>כעת</w:t>
      </w:r>
      <w:r>
        <w:rPr>
          <w:rFonts w:cs="David"/>
          <w:sz w:val="24"/>
          <w:szCs w:val="24"/>
          <w:rtl/>
        </w:rPr>
        <w:t xml:space="preserve"> </w:t>
      </w:r>
      <w:r>
        <w:rPr>
          <w:rFonts w:cs="David" w:hint="eastAsia"/>
          <w:sz w:val="24"/>
          <w:szCs w:val="24"/>
          <w:rtl/>
        </w:rPr>
        <w:t>בגזירת</w:t>
      </w:r>
      <w:r>
        <w:rPr>
          <w:rFonts w:cs="David"/>
          <w:sz w:val="24"/>
          <w:szCs w:val="24"/>
          <w:rtl/>
        </w:rPr>
        <w:t xml:space="preserve"> </w:t>
      </w:r>
      <w:r>
        <w:rPr>
          <w:rFonts w:cs="David" w:hint="eastAsia"/>
          <w:sz w:val="24"/>
          <w:szCs w:val="24"/>
          <w:rtl/>
        </w:rPr>
        <w:t>דינם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הדבר</w:t>
      </w:r>
      <w:r>
        <w:rPr>
          <w:rFonts w:cs="David"/>
          <w:sz w:val="24"/>
          <w:szCs w:val="24"/>
          <w:rtl/>
        </w:rPr>
        <w:t xml:space="preserve"> - </w:t>
      </w:r>
      <w:r>
        <w:rPr>
          <w:rFonts w:cs="David" w:hint="eastAsia"/>
          <w:sz w:val="24"/>
          <w:szCs w:val="24"/>
          <w:rtl/>
        </w:rPr>
        <w:t>מטבע</w:t>
      </w:r>
      <w:r>
        <w:rPr>
          <w:rFonts w:cs="David"/>
          <w:sz w:val="24"/>
          <w:szCs w:val="24"/>
          <w:rtl/>
        </w:rPr>
        <w:t xml:space="preserve"> </w:t>
      </w:r>
      <w:r>
        <w:rPr>
          <w:rFonts w:cs="David" w:hint="eastAsia"/>
          <w:sz w:val="24"/>
          <w:szCs w:val="24"/>
          <w:rtl/>
        </w:rPr>
        <w:t>הדברים</w:t>
      </w:r>
      <w:r>
        <w:rPr>
          <w:rFonts w:cs="David"/>
          <w:sz w:val="24"/>
          <w:szCs w:val="24"/>
          <w:rtl/>
        </w:rPr>
        <w:t xml:space="preserve"> - </w:t>
      </w:r>
      <w:r>
        <w:rPr>
          <w:rFonts w:cs="David" w:hint="eastAsia"/>
          <w:sz w:val="24"/>
          <w:szCs w:val="24"/>
          <w:rtl/>
        </w:rPr>
        <w:t>ייזקף</w:t>
      </w:r>
      <w:r>
        <w:rPr>
          <w:rFonts w:cs="David"/>
          <w:sz w:val="24"/>
          <w:szCs w:val="24"/>
          <w:rtl/>
        </w:rPr>
        <w:t xml:space="preserve"> </w:t>
      </w:r>
      <w:r>
        <w:rPr>
          <w:rFonts w:cs="David" w:hint="eastAsia"/>
          <w:sz w:val="24"/>
          <w:szCs w:val="24"/>
          <w:rtl/>
        </w:rPr>
        <w:t>לזכותם</w:t>
      </w:r>
      <w:r>
        <w:rPr>
          <w:rFonts w:cs="David"/>
          <w:sz w:val="24"/>
          <w:szCs w:val="24"/>
          <w:rtl/>
        </w:rPr>
        <w:t>.</w:t>
      </w:r>
    </w:p>
    <w:p w14:paraId="066A7301" w14:textId="77777777" w:rsidR="004C3216" w:rsidRDefault="004C3216" w:rsidP="005811E2">
      <w:pPr>
        <w:pStyle w:val="ListParagraph"/>
        <w:spacing w:after="0" w:line="360" w:lineRule="auto"/>
        <w:ind w:left="516" w:right="426"/>
        <w:rPr>
          <w:rFonts w:cs="David"/>
          <w:sz w:val="24"/>
          <w:szCs w:val="24"/>
        </w:rPr>
      </w:pPr>
    </w:p>
    <w:p w14:paraId="3CCAAD2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כלל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למעט</w:t>
      </w:r>
      <w:r>
        <w:rPr>
          <w:rFonts w:cs="David"/>
          <w:sz w:val="24"/>
          <w:szCs w:val="24"/>
          <w:rtl/>
        </w:rPr>
        <w:t xml:space="preserve"> </w:t>
      </w:r>
      <w:r>
        <w:rPr>
          <w:rFonts w:cs="David" w:hint="eastAsia"/>
          <w:sz w:val="24"/>
          <w:szCs w:val="24"/>
          <w:rtl/>
        </w:rPr>
        <w:t>הנאשמים</w:t>
      </w:r>
      <w:r>
        <w:rPr>
          <w:rFonts w:cs="David"/>
          <w:sz w:val="24"/>
          <w:szCs w:val="24"/>
          <w:rtl/>
        </w:rPr>
        <w:t xml:space="preserve"> 3 </w:t>
      </w:r>
      <w:r>
        <w:rPr>
          <w:rFonts w:cs="David" w:hint="eastAsia"/>
          <w:sz w:val="24"/>
          <w:szCs w:val="24"/>
          <w:rtl/>
        </w:rPr>
        <w:t>ו</w:t>
      </w:r>
      <w:r>
        <w:rPr>
          <w:rFonts w:cs="David"/>
          <w:sz w:val="24"/>
          <w:szCs w:val="24"/>
          <w:rtl/>
        </w:rPr>
        <w:t xml:space="preserve"> 8, </w:t>
      </w:r>
      <w:r>
        <w:rPr>
          <w:rFonts w:cs="David" w:hint="eastAsia"/>
          <w:sz w:val="24"/>
          <w:szCs w:val="24"/>
          <w:rtl/>
        </w:rPr>
        <w:t>היו</w:t>
      </w:r>
      <w:r>
        <w:rPr>
          <w:rFonts w:cs="David"/>
          <w:sz w:val="24"/>
          <w:szCs w:val="24"/>
          <w:rtl/>
        </w:rPr>
        <w:t xml:space="preserve"> </w:t>
      </w:r>
      <w:r>
        <w:rPr>
          <w:rFonts w:cs="David" w:hint="eastAsia"/>
          <w:sz w:val="24"/>
          <w:szCs w:val="24"/>
          <w:rtl/>
        </w:rPr>
        <w:t>עצורים</w:t>
      </w:r>
      <w:r>
        <w:rPr>
          <w:rFonts w:cs="David"/>
          <w:sz w:val="24"/>
          <w:szCs w:val="24"/>
          <w:rtl/>
        </w:rPr>
        <w:t xml:space="preserve"> </w:t>
      </w:r>
      <w:r>
        <w:rPr>
          <w:rFonts w:cs="David" w:hint="eastAsia"/>
          <w:sz w:val="24"/>
          <w:szCs w:val="24"/>
          <w:rtl/>
        </w:rPr>
        <w:t>באיזוק</w:t>
      </w:r>
      <w:r>
        <w:rPr>
          <w:rFonts w:cs="David"/>
          <w:sz w:val="24"/>
          <w:szCs w:val="24"/>
          <w:rtl/>
        </w:rPr>
        <w:t xml:space="preserve"> </w:t>
      </w:r>
      <w:r>
        <w:rPr>
          <w:rFonts w:cs="David" w:hint="eastAsia"/>
          <w:sz w:val="24"/>
          <w:szCs w:val="24"/>
          <w:rtl/>
        </w:rPr>
        <w:t>אלק</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שוחררו</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תקופות</w:t>
      </w:r>
      <w:r>
        <w:rPr>
          <w:rFonts w:cs="David"/>
          <w:sz w:val="24"/>
          <w:szCs w:val="24"/>
          <w:rtl/>
        </w:rPr>
        <w:t xml:space="preserve"> </w:t>
      </w:r>
      <w:r>
        <w:rPr>
          <w:rFonts w:cs="David" w:hint="eastAsia"/>
          <w:sz w:val="24"/>
          <w:szCs w:val="24"/>
          <w:rtl/>
        </w:rPr>
        <w:t>משמעותיות</w:t>
      </w:r>
      <w:r>
        <w:rPr>
          <w:rFonts w:cs="David"/>
          <w:sz w:val="24"/>
          <w:szCs w:val="24"/>
          <w:rtl/>
        </w:rPr>
        <w:t xml:space="preserve"> (</w:t>
      </w:r>
      <w:r>
        <w:rPr>
          <w:rFonts w:cs="David" w:hint="eastAsia"/>
          <w:sz w:val="24"/>
          <w:szCs w:val="24"/>
          <w:rtl/>
        </w:rPr>
        <w:t>לפירוט</w:t>
      </w:r>
      <w:r>
        <w:rPr>
          <w:rFonts w:cs="David"/>
          <w:sz w:val="24"/>
          <w:szCs w:val="24"/>
          <w:rtl/>
        </w:rPr>
        <w:t xml:space="preserve">, </w:t>
      </w:r>
      <w:r>
        <w:rPr>
          <w:rFonts w:cs="David" w:hint="eastAsia"/>
          <w:sz w:val="24"/>
          <w:szCs w:val="24"/>
          <w:rtl/>
        </w:rPr>
        <w:t>ר</w:t>
      </w:r>
      <w:r>
        <w:rPr>
          <w:rFonts w:cs="David"/>
          <w:sz w:val="24"/>
          <w:szCs w:val="24"/>
          <w:rtl/>
        </w:rPr>
        <w:t xml:space="preserve">' </w:t>
      </w:r>
      <w:r>
        <w:rPr>
          <w:rFonts w:cs="David" w:hint="eastAsia"/>
          <w:sz w:val="24"/>
          <w:szCs w:val="24"/>
          <w:rtl/>
        </w:rPr>
        <w:t>עמ</w:t>
      </w:r>
      <w:r>
        <w:rPr>
          <w:rFonts w:cs="David"/>
          <w:sz w:val="24"/>
          <w:szCs w:val="24"/>
          <w:rtl/>
        </w:rPr>
        <w:t xml:space="preserve">' 6 </w:t>
      </w:r>
      <w:r>
        <w:rPr>
          <w:rFonts w:cs="David" w:hint="eastAsia"/>
          <w:sz w:val="24"/>
          <w:szCs w:val="24"/>
          <w:rtl/>
        </w:rPr>
        <w:t>לטיעוני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הורשו</w:t>
      </w:r>
      <w:r>
        <w:rPr>
          <w:rFonts w:cs="David"/>
          <w:sz w:val="24"/>
          <w:szCs w:val="24"/>
          <w:rtl/>
        </w:rPr>
        <w:t xml:space="preserve"> </w:t>
      </w:r>
      <w:r>
        <w:rPr>
          <w:rFonts w:cs="David" w:hint="eastAsia"/>
          <w:sz w:val="24"/>
          <w:szCs w:val="24"/>
          <w:rtl/>
        </w:rPr>
        <w:t>לשוב</w:t>
      </w:r>
      <w:r>
        <w:rPr>
          <w:rFonts w:cs="David"/>
          <w:sz w:val="24"/>
          <w:szCs w:val="24"/>
          <w:rtl/>
        </w:rPr>
        <w:t xml:space="preserve"> </w:t>
      </w:r>
      <w:r>
        <w:rPr>
          <w:rFonts w:cs="David" w:hint="eastAsia"/>
          <w:sz w:val="24"/>
          <w:szCs w:val="24"/>
          <w:rtl/>
        </w:rPr>
        <w:t>לביתם</w:t>
      </w:r>
      <w:r>
        <w:rPr>
          <w:rFonts w:cs="David"/>
          <w:sz w:val="24"/>
          <w:szCs w:val="24"/>
          <w:rtl/>
        </w:rPr>
        <w:t xml:space="preserve"> </w:t>
      </w:r>
      <w:r>
        <w:rPr>
          <w:rFonts w:cs="David" w:hint="eastAsia"/>
          <w:sz w:val="24"/>
          <w:szCs w:val="24"/>
          <w:rtl/>
        </w:rPr>
        <w:t>בכפר</w:t>
      </w:r>
      <w:r>
        <w:rPr>
          <w:rFonts w:cs="David"/>
          <w:sz w:val="24"/>
          <w:szCs w:val="24"/>
          <w:rtl/>
        </w:rPr>
        <w:t xml:space="preserve"> </w:t>
      </w:r>
      <w:r>
        <w:rPr>
          <w:rFonts w:cs="David" w:hint="eastAsia"/>
          <w:sz w:val="24"/>
          <w:szCs w:val="24"/>
          <w:rtl/>
        </w:rPr>
        <w:t>קרע</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נתתי</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טענת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הוביל</w:t>
      </w:r>
      <w:r>
        <w:rPr>
          <w:rFonts w:cs="David"/>
          <w:sz w:val="24"/>
          <w:szCs w:val="24"/>
          <w:rtl/>
        </w:rPr>
        <w:t xml:space="preserve"> </w:t>
      </w:r>
      <w:r>
        <w:rPr>
          <w:rFonts w:cs="David" w:hint="eastAsia"/>
          <w:sz w:val="24"/>
          <w:szCs w:val="24"/>
          <w:rtl/>
        </w:rPr>
        <w:t>להיקלעותם</w:t>
      </w:r>
      <w:r>
        <w:rPr>
          <w:rFonts w:cs="David"/>
          <w:sz w:val="24"/>
          <w:szCs w:val="24"/>
          <w:rtl/>
        </w:rPr>
        <w:t xml:space="preserve"> </w:t>
      </w:r>
      <w:r>
        <w:rPr>
          <w:rFonts w:cs="David" w:hint="eastAsia"/>
          <w:sz w:val="24"/>
          <w:szCs w:val="24"/>
          <w:rtl/>
        </w:rPr>
        <w:t>לבעיות</w:t>
      </w:r>
      <w:r>
        <w:rPr>
          <w:rFonts w:cs="David"/>
          <w:sz w:val="24"/>
          <w:szCs w:val="24"/>
          <w:rtl/>
        </w:rPr>
        <w:t xml:space="preserve"> </w:t>
      </w:r>
      <w:r>
        <w:rPr>
          <w:rFonts w:cs="David" w:hint="eastAsia"/>
          <w:sz w:val="24"/>
          <w:szCs w:val="24"/>
          <w:rtl/>
        </w:rPr>
        <w:t>כלכליות</w:t>
      </w:r>
      <w:r>
        <w:rPr>
          <w:rFonts w:cs="David"/>
          <w:sz w:val="24"/>
          <w:szCs w:val="24"/>
          <w:rtl/>
        </w:rPr>
        <w:t xml:space="preserve"> </w:t>
      </w:r>
      <w:r>
        <w:rPr>
          <w:rFonts w:cs="David" w:hint="eastAsia"/>
          <w:sz w:val="24"/>
          <w:szCs w:val="24"/>
          <w:rtl/>
        </w:rPr>
        <w:t>ממשיות</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אחרות</w:t>
      </w:r>
      <w:r>
        <w:rPr>
          <w:rFonts w:cs="David"/>
          <w:sz w:val="24"/>
          <w:szCs w:val="24"/>
          <w:rtl/>
        </w:rPr>
        <w:t xml:space="preserve"> (</w:t>
      </w:r>
      <w:r>
        <w:rPr>
          <w:rFonts w:cs="David" w:hint="eastAsia"/>
          <w:sz w:val="24"/>
          <w:szCs w:val="24"/>
          <w:rtl/>
        </w:rPr>
        <w:t>מגורים</w:t>
      </w:r>
      <w:r>
        <w:rPr>
          <w:rFonts w:cs="David"/>
          <w:sz w:val="24"/>
          <w:szCs w:val="24"/>
          <w:rtl/>
        </w:rPr>
        <w:t xml:space="preserve">, </w:t>
      </w:r>
      <w:r>
        <w:rPr>
          <w:rFonts w:cs="David" w:hint="eastAsia"/>
          <w:sz w:val="24"/>
          <w:szCs w:val="24"/>
          <w:rtl/>
        </w:rPr>
        <w:t>פרנסה</w:t>
      </w:r>
      <w:r>
        <w:rPr>
          <w:rFonts w:cs="David"/>
          <w:sz w:val="24"/>
          <w:szCs w:val="24"/>
          <w:rtl/>
        </w:rPr>
        <w:t xml:space="preserve"> </w:t>
      </w:r>
      <w:r>
        <w:rPr>
          <w:rFonts w:cs="David" w:hint="eastAsia"/>
          <w:sz w:val="24"/>
          <w:szCs w:val="24"/>
          <w:rtl/>
        </w:rPr>
        <w:t>וכיוב</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הכוונה</w:t>
      </w:r>
      <w:r>
        <w:rPr>
          <w:rFonts w:cs="David"/>
          <w:sz w:val="24"/>
          <w:szCs w:val="24"/>
          <w:rtl/>
        </w:rPr>
        <w:t xml:space="preserve"> </w:t>
      </w:r>
      <w:r>
        <w:rPr>
          <w:rFonts w:cs="David" w:hint="eastAsia"/>
          <w:sz w:val="24"/>
          <w:szCs w:val="24"/>
          <w:rtl/>
        </w:rPr>
        <w:t>בהיפוך</w:t>
      </w:r>
      <w:r>
        <w:rPr>
          <w:rFonts w:cs="David"/>
          <w:sz w:val="24"/>
          <w:szCs w:val="24"/>
          <w:rtl/>
        </w:rPr>
        <w:t xml:space="preserve"> </w:t>
      </w:r>
      <w:r>
        <w:rPr>
          <w:rFonts w:cs="David" w:hint="eastAsia"/>
          <w:sz w:val="24"/>
          <w:szCs w:val="24"/>
          <w:rtl/>
        </w:rPr>
        <w:t>היוצרות</w:t>
      </w:r>
      <w:r>
        <w:rPr>
          <w:rFonts w:cs="David"/>
          <w:sz w:val="24"/>
          <w:szCs w:val="24"/>
          <w:rtl/>
        </w:rPr>
        <w:t xml:space="preserve"> </w:t>
      </w:r>
      <w:r>
        <w:rPr>
          <w:rFonts w:cs="David" w:hint="eastAsia"/>
          <w:sz w:val="24"/>
          <w:szCs w:val="24"/>
          <w:rtl/>
        </w:rPr>
        <w:t>והפיכת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לקורבנות</w:t>
      </w:r>
      <w:r>
        <w:rPr>
          <w:rFonts w:cs="David"/>
          <w:sz w:val="24"/>
          <w:szCs w:val="24"/>
          <w:rtl/>
        </w:rPr>
        <w:t xml:space="preserve"> </w:t>
      </w:r>
      <w:r>
        <w:rPr>
          <w:rFonts w:cs="David" w:hint="eastAsia"/>
          <w:sz w:val="24"/>
          <w:szCs w:val="24"/>
          <w:rtl/>
        </w:rPr>
        <w:t>הסיטואציה</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גזירת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לנתון</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ולכך</w:t>
      </w:r>
      <w:r>
        <w:rPr>
          <w:rFonts w:cs="David"/>
          <w:sz w:val="24"/>
          <w:szCs w:val="24"/>
          <w:rtl/>
        </w:rPr>
        <w:t xml:space="preserve"> </w:t>
      </w:r>
      <w:r>
        <w:rPr>
          <w:rFonts w:cs="David" w:hint="eastAsia"/>
          <w:sz w:val="24"/>
          <w:szCs w:val="24"/>
          <w:rtl/>
        </w:rPr>
        <w:t>שההליך</w:t>
      </w:r>
      <w:r>
        <w:rPr>
          <w:rFonts w:cs="David"/>
          <w:sz w:val="24"/>
          <w:szCs w:val="24"/>
          <w:rtl/>
        </w:rPr>
        <w:t xml:space="preserve"> </w:t>
      </w:r>
      <w:r>
        <w:rPr>
          <w:rFonts w:cs="David" w:hint="eastAsia"/>
          <w:sz w:val="24"/>
          <w:szCs w:val="24"/>
          <w:rtl/>
        </w:rPr>
        <w:t>בכללותו</w:t>
      </w:r>
      <w:r>
        <w:rPr>
          <w:rFonts w:cs="David"/>
          <w:sz w:val="24"/>
          <w:szCs w:val="24"/>
          <w:rtl/>
        </w:rPr>
        <w:t xml:space="preserve"> </w:t>
      </w:r>
      <w:r>
        <w:rPr>
          <w:rFonts w:cs="David" w:hint="eastAsia"/>
          <w:sz w:val="24"/>
          <w:szCs w:val="24"/>
          <w:rtl/>
        </w:rPr>
        <w:t>נמשך</w:t>
      </w:r>
      <w:r>
        <w:rPr>
          <w:rFonts w:cs="David"/>
          <w:sz w:val="24"/>
          <w:szCs w:val="24"/>
          <w:rtl/>
        </w:rPr>
        <w:t xml:space="preserve"> </w:t>
      </w:r>
      <w:r>
        <w:rPr>
          <w:rFonts w:cs="David" w:hint="eastAsia"/>
          <w:sz w:val="24"/>
          <w:szCs w:val="24"/>
          <w:rtl/>
        </w:rPr>
        <w:t>למעלה</w:t>
      </w:r>
      <w:r>
        <w:rPr>
          <w:rFonts w:cs="David"/>
          <w:sz w:val="24"/>
          <w:szCs w:val="24"/>
          <w:rtl/>
        </w:rPr>
        <w:t xml:space="preserve"> </w:t>
      </w:r>
      <w:r>
        <w:rPr>
          <w:rFonts w:cs="David" w:hint="eastAsia"/>
          <w:sz w:val="24"/>
          <w:szCs w:val="24"/>
          <w:rtl/>
        </w:rPr>
        <w:t>משנתיים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הכרוך</w:t>
      </w:r>
      <w:r>
        <w:rPr>
          <w:rFonts w:cs="David"/>
          <w:sz w:val="24"/>
          <w:szCs w:val="24"/>
          <w:rtl/>
        </w:rPr>
        <w:t xml:space="preserve"> </w:t>
      </w:r>
      <w:r>
        <w:rPr>
          <w:rFonts w:cs="David" w:hint="eastAsia"/>
          <w:sz w:val="24"/>
          <w:szCs w:val="24"/>
          <w:rtl/>
        </w:rPr>
        <w:t>בכך</w:t>
      </w:r>
      <w:r>
        <w:rPr>
          <w:rFonts w:cs="David"/>
          <w:sz w:val="24"/>
          <w:szCs w:val="24"/>
          <w:rtl/>
        </w:rPr>
        <w:t xml:space="preserve">. </w:t>
      </w:r>
    </w:p>
    <w:p w14:paraId="46609491" w14:textId="77777777" w:rsidR="004C3216" w:rsidRDefault="004C3216" w:rsidP="005811E2">
      <w:pPr>
        <w:pStyle w:val="ListParagraph"/>
        <w:spacing w:after="0" w:line="360" w:lineRule="auto"/>
        <w:ind w:left="516" w:right="426"/>
        <w:rPr>
          <w:rFonts w:cs="David"/>
          <w:sz w:val="24"/>
          <w:szCs w:val="24"/>
        </w:rPr>
      </w:pPr>
    </w:p>
    <w:p w14:paraId="023066C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ציינתי</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התרשמותי</w:t>
      </w:r>
      <w:r>
        <w:rPr>
          <w:rFonts w:cs="David"/>
          <w:sz w:val="24"/>
          <w:szCs w:val="24"/>
          <w:rtl/>
        </w:rPr>
        <w:t xml:space="preserve"> </w:t>
      </w:r>
      <w:r>
        <w:rPr>
          <w:rFonts w:cs="David" w:hint="eastAsia"/>
          <w:sz w:val="24"/>
          <w:szCs w:val="24"/>
          <w:rtl/>
        </w:rPr>
        <w:t>הכללית</w:t>
      </w:r>
      <w:r>
        <w:rPr>
          <w:rFonts w:cs="David"/>
          <w:sz w:val="24"/>
          <w:szCs w:val="24"/>
          <w:rtl/>
        </w:rPr>
        <w:t xml:space="preserve"> </w:t>
      </w:r>
      <w:r>
        <w:rPr>
          <w:rFonts w:cs="David" w:hint="eastAsia"/>
          <w:sz w:val="24"/>
          <w:szCs w:val="24"/>
          <w:rtl/>
        </w:rPr>
        <w:t>ממרבית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היתה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במי</w:t>
      </w:r>
      <w:r>
        <w:rPr>
          <w:rFonts w:cs="David"/>
          <w:sz w:val="24"/>
          <w:szCs w:val="24"/>
          <w:rtl/>
        </w:rPr>
        <w:t xml:space="preserve"> </w:t>
      </w:r>
      <w:r>
        <w:rPr>
          <w:rFonts w:cs="David" w:hint="eastAsia"/>
          <w:sz w:val="24"/>
          <w:szCs w:val="24"/>
          <w:rtl/>
        </w:rPr>
        <w:t>שמאופיינים</w:t>
      </w:r>
      <w:r>
        <w:rPr>
          <w:rFonts w:cs="David"/>
          <w:sz w:val="24"/>
          <w:szCs w:val="24"/>
          <w:rtl/>
        </w:rPr>
        <w:t xml:space="preserve"> </w:t>
      </w:r>
      <w:r>
        <w:rPr>
          <w:rFonts w:cs="David" w:hint="eastAsia"/>
          <w:sz w:val="24"/>
          <w:szCs w:val="24"/>
          <w:rtl/>
        </w:rPr>
        <w:t>בנורמות</w:t>
      </w:r>
      <w:r>
        <w:rPr>
          <w:rFonts w:cs="David"/>
          <w:sz w:val="24"/>
          <w:szCs w:val="24"/>
          <w:rtl/>
        </w:rPr>
        <w:t xml:space="preserve"> </w:t>
      </w:r>
      <w:r>
        <w:rPr>
          <w:rFonts w:cs="David" w:hint="eastAsia"/>
          <w:sz w:val="24"/>
          <w:szCs w:val="24"/>
          <w:rtl/>
        </w:rPr>
        <w:t>עברייניות</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החמור</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מעורבים</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מייצג</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התנהלותם</w:t>
      </w:r>
      <w:r>
        <w:rPr>
          <w:rFonts w:cs="David"/>
          <w:sz w:val="24"/>
          <w:szCs w:val="24"/>
          <w:rtl/>
        </w:rPr>
        <w:t xml:space="preserve"> </w:t>
      </w:r>
      <w:r>
        <w:rPr>
          <w:rFonts w:cs="David" w:hint="eastAsia"/>
          <w:sz w:val="24"/>
          <w:szCs w:val="24"/>
          <w:rtl/>
        </w:rPr>
        <w:t>הכללית</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מהתסקירים</w:t>
      </w:r>
      <w:r>
        <w:rPr>
          <w:rFonts w:cs="David"/>
          <w:sz w:val="24"/>
          <w:szCs w:val="24"/>
          <w:rtl/>
        </w:rPr>
        <w:t xml:space="preserve"> </w:t>
      </w:r>
      <w:r>
        <w:rPr>
          <w:rFonts w:cs="David" w:hint="eastAsia"/>
          <w:sz w:val="24"/>
          <w:szCs w:val="24"/>
          <w:rtl/>
        </w:rPr>
        <w:t>ומכך</w:t>
      </w:r>
      <w:r>
        <w:rPr>
          <w:rFonts w:cs="David"/>
          <w:sz w:val="24"/>
          <w:szCs w:val="24"/>
          <w:rtl/>
        </w:rPr>
        <w:t xml:space="preserve"> </w:t>
      </w:r>
      <w:r>
        <w:rPr>
          <w:rFonts w:cs="David" w:hint="eastAsia"/>
          <w:sz w:val="24"/>
          <w:szCs w:val="24"/>
          <w:rtl/>
        </w:rPr>
        <w:t>שרובם</w:t>
      </w:r>
      <w:r>
        <w:rPr>
          <w:rFonts w:cs="David"/>
          <w:sz w:val="24"/>
          <w:szCs w:val="24"/>
          <w:rtl/>
        </w:rPr>
        <w:t xml:space="preserve"> </w:t>
      </w:r>
      <w:r>
        <w:rPr>
          <w:rFonts w:cs="David" w:hint="eastAsia"/>
          <w:sz w:val="24"/>
          <w:szCs w:val="24"/>
          <w:rtl/>
        </w:rPr>
        <w:t>בעלי</w:t>
      </w:r>
      <w:r>
        <w:rPr>
          <w:rFonts w:cs="David"/>
          <w:sz w:val="24"/>
          <w:szCs w:val="24"/>
          <w:rtl/>
        </w:rPr>
        <w:t xml:space="preserve"> </w:t>
      </w:r>
      <w:r>
        <w:rPr>
          <w:rFonts w:cs="David" w:hint="eastAsia"/>
          <w:sz w:val="24"/>
          <w:szCs w:val="24"/>
          <w:rtl/>
        </w:rPr>
        <w:t>משפחות</w:t>
      </w:r>
      <w:r>
        <w:rPr>
          <w:rFonts w:cs="David"/>
          <w:sz w:val="24"/>
          <w:szCs w:val="24"/>
          <w:rtl/>
        </w:rPr>
        <w:t xml:space="preserve"> </w:t>
      </w:r>
      <w:r>
        <w:rPr>
          <w:rFonts w:cs="David" w:hint="eastAsia"/>
          <w:sz w:val="24"/>
          <w:szCs w:val="24"/>
          <w:rtl/>
        </w:rPr>
        <w:t>שעבדו</w:t>
      </w:r>
      <w:r>
        <w:rPr>
          <w:rFonts w:cs="David"/>
          <w:sz w:val="24"/>
          <w:szCs w:val="24"/>
          <w:rtl/>
        </w:rPr>
        <w:t xml:space="preserve"> </w:t>
      </w:r>
      <w:r>
        <w:rPr>
          <w:rFonts w:cs="David" w:hint="eastAsia"/>
          <w:sz w:val="24"/>
          <w:szCs w:val="24"/>
          <w:rtl/>
        </w:rPr>
        <w:t>לפרנסתם</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סדיר</w:t>
      </w:r>
      <w:r>
        <w:rPr>
          <w:rFonts w:cs="David"/>
          <w:sz w:val="24"/>
          <w:szCs w:val="24"/>
          <w:rtl/>
        </w:rPr>
        <w:t xml:space="preserve">. </w:t>
      </w:r>
      <w:r>
        <w:rPr>
          <w:rFonts w:cs="David" w:hint="eastAsia"/>
          <w:sz w:val="24"/>
          <w:szCs w:val="24"/>
          <w:rtl/>
        </w:rPr>
        <w:t>מרבית</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נעדרי</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התומך</w:t>
      </w:r>
      <w:r>
        <w:rPr>
          <w:rFonts w:cs="David"/>
          <w:sz w:val="24"/>
          <w:szCs w:val="24"/>
          <w:rtl/>
        </w:rPr>
        <w:t xml:space="preserve"> </w:t>
      </w:r>
      <w:r>
        <w:rPr>
          <w:rFonts w:cs="David" w:hint="eastAsia"/>
          <w:sz w:val="24"/>
          <w:szCs w:val="24"/>
          <w:rtl/>
        </w:rPr>
        <w:t>באמור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שלחובתם</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מכביד</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אתייחס</w:t>
      </w:r>
      <w:r>
        <w:rPr>
          <w:rFonts w:cs="David"/>
          <w:sz w:val="24"/>
          <w:szCs w:val="24"/>
          <w:rtl/>
        </w:rPr>
        <w:t xml:space="preserve"> </w:t>
      </w:r>
      <w:r>
        <w:rPr>
          <w:rFonts w:cs="David" w:hint="eastAsia"/>
          <w:sz w:val="24"/>
          <w:szCs w:val="24"/>
          <w:rtl/>
        </w:rPr>
        <w:t>לחריגים</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להלן</w:t>
      </w:r>
      <w:r>
        <w:rPr>
          <w:rFonts w:cs="David"/>
          <w:sz w:val="24"/>
          <w:szCs w:val="24"/>
          <w:rtl/>
        </w:rPr>
        <w:t>.</w:t>
      </w:r>
    </w:p>
    <w:p w14:paraId="15E2B90E" w14:textId="77777777" w:rsidR="004C3216" w:rsidRDefault="004C3216" w:rsidP="005811E2">
      <w:pPr>
        <w:pStyle w:val="ListParagraph"/>
        <w:spacing w:after="0" w:line="360" w:lineRule="auto"/>
        <w:ind w:left="516" w:right="426"/>
        <w:rPr>
          <w:rFonts w:cs="David"/>
          <w:sz w:val="24"/>
          <w:szCs w:val="24"/>
        </w:rPr>
      </w:pPr>
    </w:p>
    <w:p w14:paraId="35E217BE"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בנוגע</w:t>
      </w:r>
      <w:r>
        <w:rPr>
          <w:rFonts w:cs="David"/>
          <w:sz w:val="24"/>
          <w:szCs w:val="24"/>
          <w:rtl/>
        </w:rPr>
        <w:t xml:space="preserve"> </w:t>
      </w:r>
      <w:r>
        <w:rPr>
          <w:rFonts w:cs="David" w:hint="eastAsia"/>
          <w:sz w:val="24"/>
          <w:szCs w:val="24"/>
          <w:rtl/>
        </w:rPr>
        <w:t>לרכיב</w:t>
      </w:r>
      <w:r>
        <w:rPr>
          <w:rFonts w:cs="David"/>
          <w:sz w:val="24"/>
          <w:szCs w:val="24"/>
          <w:rtl/>
        </w:rPr>
        <w:t xml:space="preserve"> </w:t>
      </w:r>
      <w:r>
        <w:rPr>
          <w:rFonts w:cs="David" w:hint="eastAsia"/>
          <w:sz w:val="24"/>
          <w:szCs w:val="24"/>
          <w:rtl/>
        </w:rPr>
        <w:t>הפיצויים</w:t>
      </w:r>
      <w:r>
        <w:rPr>
          <w:rFonts w:cs="David"/>
          <w:sz w:val="24"/>
          <w:szCs w:val="24"/>
          <w:rtl/>
        </w:rPr>
        <w:t xml:space="preserve"> </w:t>
      </w:r>
      <w:r>
        <w:rPr>
          <w:rFonts w:cs="David" w:hint="eastAsia"/>
          <w:sz w:val="24"/>
          <w:szCs w:val="24"/>
          <w:rtl/>
        </w:rPr>
        <w:t>לנפגעי</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לפסוק</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לטובת</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ולטובת</w:t>
      </w:r>
      <w:r>
        <w:rPr>
          <w:rFonts w:cs="David"/>
          <w:sz w:val="24"/>
          <w:szCs w:val="24"/>
          <w:rtl/>
        </w:rPr>
        <w:t xml:space="preserve"> </w:t>
      </w:r>
      <w:r>
        <w:rPr>
          <w:rFonts w:cs="David" w:hint="eastAsia"/>
          <w:sz w:val="24"/>
          <w:szCs w:val="24"/>
          <w:rtl/>
        </w:rPr>
        <w:t>עזבון</w:t>
      </w:r>
      <w:r>
        <w:rPr>
          <w:rFonts w:cs="David"/>
          <w:sz w:val="24"/>
          <w:szCs w:val="24"/>
          <w:rtl/>
        </w:rPr>
        <w:t xml:space="preserve"> </w:t>
      </w:r>
      <w:r>
        <w:rPr>
          <w:rFonts w:cs="David" w:hint="eastAsia"/>
          <w:sz w:val="24"/>
          <w:szCs w:val="24"/>
          <w:rtl/>
        </w:rPr>
        <w:t>המנוחה</w:t>
      </w:r>
      <w:r>
        <w:rPr>
          <w:rFonts w:cs="David"/>
          <w:sz w:val="24"/>
          <w:szCs w:val="24"/>
          <w:rtl/>
        </w:rPr>
        <w:t xml:space="preserve">. </w:t>
      </w:r>
    </w:p>
    <w:p w14:paraId="3DB5B3B5" w14:textId="77777777" w:rsidR="004C3216" w:rsidRDefault="004C3216" w:rsidP="005811E2">
      <w:pPr>
        <w:pStyle w:val="ListParagraph"/>
        <w:rPr>
          <w:rFonts w:cs="David"/>
          <w:sz w:val="24"/>
          <w:szCs w:val="24"/>
        </w:rPr>
      </w:pPr>
    </w:p>
    <w:p w14:paraId="7EBBFEDE"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r>
        <w:rPr>
          <w:rFonts w:cs="David" w:hint="eastAsia"/>
          <w:sz w:val="24"/>
          <w:szCs w:val="24"/>
          <w:rtl/>
        </w:rPr>
        <w:t>עשויות</w:t>
      </w:r>
      <w:r>
        <w:rPr>
          <w:rFonts w:cs="David"/>
          <w:sz w:val="24"/>
          <w:szCs w:val="24"/>
          <w:rtl/>
        </w:rPr>
        <w:t xml:space="preserve"> </w:t>
      </w:r>
      <w:r>
        <w:rPr>
          <w:rFonts w:cs="David" w:hint="eastAsia"/>
          <w:sz w:val="24"/>
          <w:szCs w:val="24"/>
          <w:rtl/>
        </w:rPr>
        <w:t>לעלות</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שאלות</w:t>
      </w:r>
      <w:r>
        <w:rPr>
          <w:rFonts w:cs="David"/>
          <w:sz w:val="24"/>
          <w:szCs w:val="24"/>
          <w:rtl/>
        </w:rPr>
        <w:t xml:space="preserve"> </w:t>
      </w:r>
      <w:r>
        <w:rPr>
          <w:rFonts w:cs="David" w:hint="eastAsia"/>
          <w:sz w:val="24"/>
          <w:szCs w:val="24"/>
          <w:rtl/>
        </w:rPr>
        <w:t>שהתשובות</w:t>
      </w:r>
      <w:r>
        <w:rPr>
          <w:rFonts w:cs="David"/>
          <w:sz w:val="24"/>
          <w:szCs w:val="24"/>
          <w:rtl/>
        </w:rPr>
        <w:t xml:space="preserve"> </w:t>
      </w:r>
      <w:r>
        <w:rPr>
          <w:rFonts w:cs="David" w:hint="eastAsia"/>
          <w:sz w:val="24"/>
          <w:szCs w:val="24"/>
          <w:rtl/>
        </w:rPr>
        <w:t>עליהן</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חד</w:t>
      </w:r>
      <w:r>
        <w:rPr>
          <w:rFonts w:cs="David"/>
          <w:sz w:val="24"/>
          <w:szCs w:val="24"/>
          <w:rtl/>
        </w:rPr>
        <w:t xml:space="preserve"> </w:t>
      </w:r>
      <w:r>
        <w:rPr>
          <w:rFonts w:cs="David" w:hint="eastAsia"/>
          <w:sz w:val="24"/>
          <w:szCs w:val="24"/>
          <w:rtl/>
        </w:rPr>
        <w:t>משמעיות</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מי</w:t>
      </w:r>
      <w:r>
        <w:rPr>
          <w:rFonts w:cs="David"/>
          <w:sz w:val="24"/>
          <w:szCs w:val="24"/>
          <w:rtl/>
        </w:rPr>
        <w:t xml:space="preserve"> </w:t>
      </w:r>
      <w:r>
        <w:rPr>
          <w:rFonts w:cs="David" w:hint="eastAsia"/>
          <w:sz w:val="24"/>
          <w:szCs w:val="24"/>
          <w:rtl/>
        </w:rPr>
        <w:t>שירה</w:t>
      </w:r>
      <w:r>
        <w:rPr>
          <w:rFonts w:cs="David"/>
          <w:sz w:val="24"/>
          <w:szCs w:val="24"/>
          <w:rtl/>
        </w:rPr>
        <w:t xml:space="preserve"> </w:t>
      </w:r>
      <w:r>
        <w:rPr>
          <w:rFonts w:cs="David" w:hint="eastAsia"/>
          <w:sz w:val="24"/>
          <w:szCs w:val="24"/>
          <w:rtl/>
        </w:rPr>
        <w:t>לעבר</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הנאשם</w:t>
      </w:r>
      <w:r>
        <w:rPr>
          <w:rFonts w:cs="David"/>
          <w:sz w:val="24"/>
          <w:szCs w:val="24"/>
          <w:rtl/>
        </w:rPr>
        <w:t xml:space="preserve"> 3 </w:t>
      </w:r>
      <w:r>
        <w:rPr>
          <w:rFonts w:cs="David" w:hint="eastAsia"/>
          <w:sz w:val="24"/>
          <w:szCs w:val="24"/>
          <w:rtl/>
        </w:rPr>
        <w:t>והוא</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שהרג</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המנוחה</w:t>
      </w:r>
      <w:r>
        <w:rPr>
          <w:rFonts w:cs="David"/>
          <w:sz w:val="24"/>
          <w:szCs w:val="24"/>
          <w:rtl/>
        </w:rPr>
        <w:t xml:space="preserve">. </w:t>
      </w:r>
      <w:r>
        <w:rPr>
          <w:rFonts w:cs="David" w:hint="eastAsia"/>
          <w:sz w:val="24"/>
          <w:szCs w:val="24"/>
          <w:rtl/>
        </w:rPr>
        <w:t>נשאלת</w:t>
      </w:r>
      <w:r>
        <w:rPr>
          <w:rFonts w:cs="David"/>
          <w:sz w:val="24"/>
          <w:szCs w:val="24"/>
          <w:rtl/>
        </w:rPr>
        <w:t xml:space="preserve"> </w:t>
      </w:r>
      <w:r>
        <w:rPr>
          <w:rFonts w:cs="David" w:hint="eastAsia"/>
          <w:sz w:val="24"/>
          <w:szCs w:val="24"/>
          <w:rtl/>
        </w:rPr>
        <w:t>השאלה</w:t>
      </w:r>
      <w:r>
        <w:rPr>
          <w:rFonts w:cs="David"/>
          <w:sz w:val="24"/>
          <w:szCs w:val="24"/>
          <w:rtl/>
        </w:rPr>
        <w:t xml:space="preserve"> </w:t>
      </w:r>
      <w:r>
        <w:rPr>
          <w:rFonts w:cs="David" w:hint="eastAsia"/>
          <w:sz w:val="24"/>
          <w:szCs w:val="24"/>
          <w:rtl/>
        </w:rPr>
        <w:t>האם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אמורים</w:t>
      </w:r>
      <w:r>
        <w:rPr>
          <w:rFonts w:cs="David"/>
          <w:sz w:val="24"/>
          <w:szCs w:val="24"/>
          <w:rtl/>
        </w:rPr>
        <w:t xml:space="preserve"> </w:t>
      </w:r>
      <w:r>
        <w:rPr>
          <w:rFonts w:cs="David" w:hint="eastAsia"/>
          <w:sz w:val="24"/>
          <w:szCs w:val="24"/>
          <w:rtl/>
        </w:rPr>
        <w:t>לשאת</w:t>
      </w:r>
      <w:r>
        <w:rPr>
          <w:rFonts w:cs="David"/>
          <w:sz w:val="24"/>
          <w:szCs w:val="24"/>
          <w:rtl/>
        </w:rPr>
        <w:t xml:space="preserve"> </w:t>
      </w:r>
      <w:r>
        <w:rPr>
          <w:rFonts w:cs="David" w:hint="eastAsia"/>
          <w:sz w:val="24"/>
          <w:szCs w:val="24"/>
          <w:rtl/>
        </w:rPr>
        <w:t>בפיצוי</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והעיזבון</w:t>
      </w:r>
      <w:r>
        <w:rPr>
          <w:rFonts w:cs="David"/>
          <w:sz w:val="24"/>
          <w:szCs w:val="24"/>
          <w:rtl/>
        </w:rPr>
        <w:t xml:space="preserve">. </w:t>
      </w:r>
      <w:r>
        <w:rPr>
          <w:rFonts w:cs="David" w:hint="eastAsia"/>
          <w:sz w:val="24"/>
          <w:szCs w:val="24"/>
          <w:rtl/>
        </w:rPr>
        <w:t>התשובה</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לטעמי</w:t>
      </w:r>
      <w:r>
        <w:rPr>
          <w:rFonts w:cs="David"/>
          <w:sz w:val="24"/>
          <w:szCs w:val="24"/>
          <w:rtl/>
        </w:rPr>
        <w:t xml:space="preserve">, </w:t>
      </w:r>
      <w:r>
        <w:rPr>
          <w:rFonts w:cs="David" w:hint="eastAsia"/>
          <w:sz w:val="24"/>
          <w:szCs w:val="24"/>
          <w:rtl/>
        </w:rPr>
        <w:t>חיובית</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חלקם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באירוע</w:t>
      </w:r>
      <w:r>
        <w:rPr>
          <w:rFonts w:cs="David"/>
          <w:sz w:val="24"/>
          <w:szCs w:val="24"/>
          <w:rtl/>
        </w:rPr>
        <w:t xml:space="preserve"> – </w:t>
      </w:r>
      <w:r>
        <w:rPr>
          <w:rFonts w:cs="David" w:hint="eastAsia"/>
          <w:sz w:val="24"/>
          <w:szCs w:val="24"/>
          <w:rtl/>
        </w:rPr>
        <w:t>בהקשר</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בפריד</w:t>
      </w:r>
      <w:r>
        <w:rPr>
          <w:rFonts w:cs="David"/>
          <w:sz w:val="24"/>
          <w:szCs w:val="24"/>
          <w:rtl/>
        </w:rPr>
        <w:t xml:space="preserve"> </w:t>
      </w:r>
      <w:r>
        <w:rPr>
          <w:rFonts w:cs="David" w:hint="eastAsia"/>
          <w:sz w:val="24"/>
          <w:szCs w:val="24"/>
          <w:rtl/>
        </w:rPr>
        <w:t>ובמנוחה</w:t>
      </w:r>
      <w:r>
        <w:rPr>
          <w:rFonts w:cs="David"/>
          <w:sz w:val="24"/>
          <w:szCs w:val="24"/>
          <w:rtl/>
        </w:rPr>
        <w:t xml:space="preserve"> – </w:t>
      </w:r>
      <w:r>
        <w:rPr>
          <w:rFonts w:cs="David" w:hint="eastAsia"/>
          <w:sz w:val="24"/>
          <w:szCs w:val="24"/>
          <w:rtl/>
        </w:rPr>
        <w:t>לא</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פלילית</w:t>
      </w:r>
      <w:r>
        <w:rPr>
          <w:rFonts w:cs="David"/>
          <w:sz w:val="24"/>
          <w:szCs w:val="24"/>
          <w:rtl/>
        </w:rPr>
        <w:t xml:space="preserve"> </w:t>
      </w:r>
      <w:r>
        <w:rPr>
          <w:rFonts w:cs="David" w:hint="eastAsia"/>
          <w:sz w:val="24"/>
          <w:szCs w:val="24"/>
          <w:rtl/>
        </w:rPr>
        <w:t>ישירה</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הפיצוי</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61" w:history="1">
        <w:r w:rsidR="005948C0" w:rsidRPr="005948C0">
          <w:rPr>
            <w:rStyle w:val="Hyperlink"/>
            <w:rFonts w:cs="David" w:hint="eastAsia"/>
            <w:sz w:val="24"/>
            <w:szCs w:val="24"/>
            <w:rtl/>
          </w:rPr>
          <w:t>ס</w:t>
        </w:r>
        <w:r w:rsidR="005948C0" w:rsidRPr="005948C0">
          <w:rPr>
            <w:rStyle w:val="Hyperlink"/>
            <w:rFonts w:cs="David"/>
            <w:sz w:val="24"/>
            <w:szCs w:val="24"/>
            <w:rtl/>
          </w:rPr>
          <w:t>' 77</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מאפיינים</w:t>
      </w:r>
      <w:r>
        <w:rPr>
          <w:rFonts w:cs="David"/>
          <w:sz w:val="24"/>
          <w:szCs w:val="24"/>
          <w:rtl/>
        </w:rPr>
        <w:t xml:space="preserve"> </w:t>
      </w:r>
      <w:r>
        <w:rPr>
          <w:rFonts w:cs="David" w:hint="eastAsia"/>
          <w:sz w:val="24"/>
          <w:szCs w:val="24"/>
          <w:rtl/>
        </w:rPr>
        <w:t>אזרחיים</w:t>
      </w:r>
      <w:r>
        <w:rPr>
          <w:rFonts w:cs="David"/>
          <w:sz w:val="24"/>
          <w:szCs w:val="24"/>
          <w:rtl/>
        </w:rPr>
        <w:t xml:space="preserve"> </w:t>
      </w:r>
      <w:r>
        <w:rPr>
          <w:rFonts w:cs="David" w:hint="eastAsia"/>
          <w:sz w:val="24"/>
          <w:szCs w:val="24"/>
          <w:rtl/>
        </w:rPr>
        <w:t>ובהקשר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לכלל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חלקית</w:t>
      </w:r>
      <w:r>
        <w:rPr>
          <w:rFonts w:cs="David"/>
          <w:sz w:val="24"/>
          <w:szCs w:val="24"/>
          <w:rtl/>
        </w:rPr>
        <w:t xml:space="preserve">. </w:t>
      </w:r>
      <w:r>
        <w:rPr>
          <w:rFonts w:cs="David" w:hint="eastAsia"/>
          <w:sz w:val="24"/>
          <w:szCs w:val="24"/>
          <w:rtl/>
        </w:rPr>
        <w:t>הנאשם</w:t>
      </w:r>
      <w:r>
        <w:rPr>
          <w:rFonts w:cs="David"/>
          <w:sz w:val="24"/>
          <w:szCs w:val="24"/>
          <w:rtl/>
        </w:rPr>
        <w:t xml:space="preserve"> 3 </w:t>
      </w:r>
      <w:r>
        <w:rPr>
          <w:rFonts w:cs="David" w:hint="eastAsia"/>
          <w:sz w:val="24"/>
          <w:szCs w:val="24"/>
          <w:rtl/>
        </w:rPr>
        <w:t>פעל</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לסוגיה</w:t>
      </w:r>
      <w:r>
        <w:rPr>
          <w:rFonts w:cs="David"/>
          <w:sz w:val="24"/>
          <w:szCs w:val="24"/>
          <w:rtl/>
        </w:rPr>
        <w:t xml:space="preserve"> </w:t>
      </w:r>
      <w:r>
        <w:rPr>
          <w:rFonts w:cs="David" w:hint="eastAsia"/>
          <w:sz w:val="24"/>
          <w:szCs w:val="24"/>
          <w:rtl/>
        </w:rPr>
        <w:t>העומדת</w:t>
      </w:r>
      <w:r>
        <w:rPr>
          <w:rFonts w:cs="David"/>
          <w:sz w:val="24"/>
          <w:szCs w:val="24"/>
          <w:rtl/>
        </w:rPr>
        <w:t xml:space="preserve"> </w:t>
      </w:r>
      <w:r>
        <w:rPr>
          <w:rFonts w:cs="David" w:hint="eastAsia"/>
          <w:sz w:val="24"/>
          <w:szCs w:val="24"/>
          <w:rtl/>
        </w:rPr>
        <w:t>כעת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הפרק</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והאחרונים</w:t>
      </w:r>
      <w:r>
        <w:rPr>
          <w:rFonts w:cs="David"/>
          <w:sz w:val="24"/>
          <w:szCs w:val="24"/>
          <w:rtl/>
        </w:rPr>
        <w:t xml:space="preserve"> </w:t>
      </w:r>
      <w:r>
        <w:rPr>
          <w:rFonts w:cs="David" w:hint="eastAsia"/>
          <w:sz w:val="24"/>
          <w:szCs w:val="24"/>
          <w:rtl/>
        </w:rPr>
        <w:t>אפשרו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לפעול</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שפעל</w:t>
      </w:r>
      <w:r>
        <w:rPr>
          <w:rFonts w:cs="David"/>
          <w:sz w:val="24"/>
          <w:szCs w:val="24"/>
          <w:rtl/>
        </w:rPr>
        <w:t xml:space="preserve">. </w:t>
      </w:r>
      <w:r>
        <w:rPr>
          <w:rFonts w:cs="David" w:hint="eastAsia"/>
          <w:sz w:val="24"/>
          <w:szCs w:val="24"/>
          <w:rtl/>
        </w:rPr>
        <w:t>משכך</w:t>
      </w:r>
      <w:r>
        <w:rPr>
          <w:rFonts w:cs="David"/>
          <w:sz w:val="24"/>
          <w:szCs w:val="24"/>
          <w:rtl/>
        </w:rPr>
        <w:t xml:space="preserve">, </w:t>
      </w:r>
      <w:r>
        <w:rPr>
          <w:rFonts w:cs="David" w:hint="eastAsia"/>
          <w:sz w:val="24"/>
          <w:szCs w:val="24"/>
          <w:rtl/>
        </w:rPr>
        <w:t>לכלל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ולו</w:t>
      </w:r>
      <w:r>
        <w:rPr>
          <w:rFonts w:cs="David"/>
          <w:sz w:val="24"/>
          <w:szCs w:val="24"/>
          <w:rtl/>
        </w:rPr>
        <w:t xml:space="preserve"> </w:t>
      </w:r>
      <w:r>
        <w:rPr>
          <w:rFonts w:cs="David" w:hint="eastAsia"/>
          <w:sz w:val="24"/>
          <w:szCs w:val="24"/>
          <w:rtl/>
        </w:rPr>
        <w:t>ברמה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מאזן</w:t>
      </w:r>
      <w:r>
        <w:rPr>
          <w:rFonts w:cs="David"/>
          <w:sz w:val="24"/>
          <w:szCs w:val="24"/>
          <w:rtl/>
        </w:rPr>
        <w:t xml:space="preserve"> </w:t>
      </w:r>
      <w:r>
        <w:rPr>
          <w:rFonts w:cs="David" w:hint="eastAsia"/>
          <w:sz w:val="24"/>
          <w:szCs w:val="24"/>
          <w:rtl/>
        </w:rPr>
        <w:t>ההסתברויות</w:t>
      </w:r>
      <w:r>
        <w:rPr>
          <w:rFonts w:cs="David"/>
          <w:sz w:val="24"/>
          <w:szCs w:val="24"/>
          <w:rtl/>
        </w:rPr>
        <w:t xml:space="preserve">", </w:t>
      </w:r>
      <w:r>
        <w:rPr>
          <w:rFonts w:cs="David" w:hint="eastAsia"/>
          <w:sz w:val="24"/>
          <w:szCs w:val="24"/>
          <w:rtl/>
        </w:rPr>
        <w:t>המצדיקה</w:t>
      </w:r>
      <w:r>
        <w:rPr>
          <w:rFonts w:cs="David"/>
          <w:sz w:val="24"/>
          <w:szCs w:val="24"/>
          <w:rtl/>
        </w:rPr>
        <w:t xml:space="preserve"> </w:t>
      </w:r>
      <w:r>
        <w:rPr>
          <w:rFonts w:cs="David" w:hint="eastAsia"/>
          <w:sz w:val="24"/>
          <w:szCs w:val="24"/>
          <w:rtl/>
        </w:rPr>
        <w:t>חיובם</w:t>
      </w:r>
      <w:r>
        <w:rPr>
          <w:rFonts w:cs="David"/>
          <w:sz w:val="24"/>
          <w:szCs w:val="24"/>
          <w:rtl/>
        </w:rPr>
        <w:t xml:space="preserve"> </w:t>
      </w:r>
      <w:r>
        <w:rPr>
          <w:rFonts w:cs="David" w:hint="eastAsia"/>
          <w:sz w:val="24"/>
          <w:szCs w:val="24"/>
          <w:rtl/>
        </w:rPr>
        <w:t>בפיצוי</w:t>
      </w:r>
      <w:r>
        <w:rPr>
          <w:rFonts w:cs="David"/>
          <w:sz w:val="24"/>
          <w:szCs w:val="24"/>
          <w:rtl/>
        </w:rPr>
        <w:t xml:space="preserve"> </w:t>
      </w:r>
      <w:r>
        <w:rPr>
          <w:rFonts w:cs="David" w:hint="eastAsia"/>
          <w:sz w:val="24"/>
          <w:szCs w:val="24"/>
          <w:rtl/>
        </w:rPr>
        <w:t>לטובת</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ועזבון</w:t>
      </w:r>
      <w:r>
        <w:rPr>
          <w:rFonts w:cs="David"/>
          <w:sz w:val="24"/>
          <w:szCs w:val="24"/>
          <w:rtl/>
        </w:rPr>
        <w:t xml:space="preserve"> </w:t>
      </w:r>
      <w:r>
        <w:rPr>
          <w:rFonts w:cs="David" w:hint="eastAsia"/>
          <w:sz w:val="24"/>
          <w:szCs w:val="24"/>
          <w:rtl/>
        </w:rPr>
        <w:t>המנוחה</w:t>
      </w:r>
      <w:r>
        <w:rPr>
          <w:rFonts w:cs="David"/>
          <w:sz w:val="24"/>
          <w:szCs w:val="24"/>
          <w:rtl/>
        </w:rPr>
        <w:t xml:space="preserve"> (</w:t>
      </w:r>
      <w:r>
        <w:rPr>
          <w:rFonts w:cs="David" w:hint="eastAsia"/>
          <w:sz w:val="24"/>
          <w:szCs w:val="24"/>
          <w:rtl/>
        </w:rPr>
        <w:t>והשווה</w:t>
      </w:r>
      <w:r>
        <w:rPr>
          <w:rFonts w:cs="David"/>
          <w:sz w:val="24"/>
          <w:szCs w:val="24"/>
          <w:rtl/>
        </w:rPr>
        <w:t xml:space="preserve"> </w:t>
      </w:r>
      <w:r>
        <w:rPr>
          <w:rFonts w:cs="David" w:hint="eastAsia"/>
          <w:sz w:val="24"/>
          <w:szCs w:val="24"/>
          <w:rtl/>
        </w:rPr>
        <w:t>בנדון</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w:t>
      </w:r>
      <w:hyperlink r:id="rId162"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961/16</w:t>
        </w:r>
      </w:hyperlink>
      <w:r>
        <w:rPr>
          <w:rFonts w:cs="David"/>
          <w:sz w:val="24"/>
          <w:szCs w:val="24"/>
          <w:rtl/>
        </w:rPr>
        <w:t xml:space="preserve"> </w:t>
      </w:r>
      <w:r>
        <w:rPr>
          <w:rFonts w:ascii="Miriam" w:hAnsi="Miriam" w:cs="Miriam"/>
          <w:sz w:val="24"/>
          <w:szCs w:val="24"/>
          <w:rtl/>
        </w:rPr>
        <w:t>אלהרוש נ' מדינת ישראל</w:t>
      </w:r>
      <w:r>
        <w:rPr>
          <w:rFonts w:cs="David"/>
          <w:sz w:val="24"/>
          <w:szCs w:val="24"/>
          <w:rtl/>
        </w:rPr>
        <w:t xml:space="preserve"> </w:t>
      </w:r>
      <w:r w:rsidR="00BB2098" w:rsidRPr="00BB2098">
        <w:rPr>
          <w:rFonts w:ascii="Times New Roman" w:hAnsi="Times New Roman" w:cs="David"/>
          <w:szCs w:val="24"/>
          <w:rtl/>
        </w:rPr>
        <w:t>[</w:t>
      </w:r>
      <w:r w:rsidR="00BB2098" w:rsidRPr="00BB2098">
        <w:rPr>
          <w:rFonts w:ascii="Times New Roman" w:hAnsi="Times New Roman" w:cs="David" w:hint="eastAsia"/>
          <w:szCs w:val="24"/>
          <w:rtl/>
        </w:rPr>
        <w:t>פורסם</w:t>
      </w:r>
      <w:r w:rsidR="00BB2098" w:rsidRPr="00BB2098">
        <w:rPr>
          <w:rFonts w:ascii="Times New Roman" w:hAnsi="Times New Roman" w:cs="David"/>
          <w:szCs w:val="24"/>
          <w:rtl/>
        </w:rPr>
        <w:t xml:space="preserve"> </w:t>
      </w:r>
      <w:r w:rsidR="00BB2098" w:rsidRPr="00BB2098">
        <w:rPr>
          <w:rFonts w:ascii="Times New Roman" w:hAnsi="Times New Roman" w:cs="David" w:hint="eastAsia"/>
          <w:szCs w:val="24"/>
          <w:rtl/>
        </w:rPr>
        <w:t>בנבו</w:t>
      </w:r>
      <w:r w:rsidR="00BB2098" w:rsidRPr="00BB2098">
        <w:rPr>
          <w:rFonts w:ascii="Times New Roman" w:hAnsi="Times New Roman" w:cs="David"/>
          <w:szCs w:val="24"/>
          <w:rtl/>
        </w:rPr>
        <w:t xml:space="preserve">] </w:t>
      </w:r>
      <w:r>
        <w:rPr>
          <w:rFonts w:cs="David"/>
          <w:sz w:val="24"/>
          <w:szCs w:val="24"/>
          <w:rtl/>
        </w:rPr>
        <w:t xml:space="preserve">(25.11.18)). </w:t>
      </w:r>
    </w:p>
    <w:p w14:paraId="0D2D7BDE"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p>
    <w:p w14:paraId="24F5B8CF"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Pr>
      </w:pPr>
      <w:r>
        <w:rPr>
          <w:rFonts w:cs="David" w:hint="eastAsia"/>
          <w:sz w:val="24"/>
          <w:szCs w:val="24"/>
          <w:rtl/>
        </w:rPr>
        <w:t>ניתן</w:t>
      </w:r>
      <w:r>
        <w:rPr>
          <w:rFonts w:cs="David"/>
          <w:sz w:val="24"/>
          <w:szCs w:val="24"/>
          <w:rtl/>
        </w:rPr>
        <w:t xml:space="preserve"> </w:t>
      </w:r>
      <w:r>
        <w:rPr>
          <w:rFonts w:cs="David" w:hint="eastAsia"/>
          <w:sz w:val="24"/>
          <w:szCs w:val="24"/>
          <w:rtl/>
        </w:rPr>
        <w:t>להעלות</w:t>
      </w:r>
      <w:r>
        <w:rPr>
          <w:rFonts w:cs="David"/>
          <w:sz w:val="24"/>
          <w:szCs w:val="24"/>
          <w:rtl/>
        </w:rPr>
        <w:t xml:space="preserve"> </w:t>
      </w:r>
      <w:r>
        <w:rPr>
          <w:rFonts w:cs="David" w:hint="eastAsia"/>
          <w:sz w:val="24"/>
          <w:szCs w:val="24"/>
          <w:rtl/>
        </w:rPr>
        <w:t>סוגיות</w:t>
      </w:r>
      <w:r>
        <w:rPr>
          <w:rFonts w:cs="David"/>
          <w:sz w:val="24"/>
          <w:szCs w:val="24"/>
          <w:rtl/>
        </w:rPr>
        <w:t xml:space="preserve"> </w:t>
      </w:r>
      <w:r>
        <w:rPr>
          <w:rFonts w:cs="David" w:hint="eastAsia"/>
          <w:sz w:val="24"/>
          <w:szCs w:val="24"/>
          <w:rtl/>
        </w:rPr>
        <w:t>נוספות</w:t>
      </w:r>
      <w:r>
        <w:rPr>
          <w:rFonts w:cs="David"/>
          <w:sz w:val="24"/>
          <w:szCs w:val="24"/>
          <w:rtl/>
        </w:rPr>
        <w:t xml:space="preserve">, </w:t>
      </w:r>
      <w:r>
        <w:rPr>
          <w:rFonts w:cs="David" w:hint="eastAsia"/>
          <w:sz w:val="24"/>
          <w:szCs w:val="24"/>
          <w:rtl/>
        </w:rPr>
        <w:t>כגון</w:t>
      </w:r>
      <w:r>
        <w:rPr>
          <w:rFonts w:cs="David"/>
          <w:sz w:val="24"/>
          <w:szCs w:val="24"/>
          <w:rtl/>
        </w:rPr>
        <w:t xml:space="preserve"> </w:t>
      </w:r>
      <w:r>
        <w:rPr>
          <w:rFonts w:cs="David" w:hint="eastAsia"/>
          <w:sz w:val="24"/>
          <w:szCs w:val="24"/>
          <w:rtl/>
        </w:rPr>
        <w:t>האם</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לפסוק</w:t>
      </w:r>
      <w:r>
        <w:rPr>
          <w:rFonts w:cs="David"/>
          <w:sz w:val="24"/>
          <w:szCs w:val="24"/>
          <w:rtl/>
        </w:rPr>
        <w:t xml:space="preserve"> </w:t>
      </w:r>
      <w:r>
        <w:rPr>
          <w:rFonts w:cs="David" w:hint="eastAsia"/>
          <w:sz w:val="24"/>
          <w:szCs w:val="24"/>
          <w:rtl/>
        </w:rPr>
        <w:t>פיצויים</w:t>
      </w:r>
      <w:r>
        <w:rPr>
          <w:rFonts w:cs="David"/>
          <w:sz w:val="24"/>
          <w:szCs w:val="24"/>
          <w:rtl/>
        </w:rPr>
        <w:t xml:space="preserve"> </w:t>
      </w:r>
      <w:r>
        <w:rPr>
          <w:rFonts w:cs="David" w:hint="eastAsia"/>
          <w:sz w:val="24"/>
          <w:szCs w:val="24"/>
          <w:rtl/>
        </w:rPr>
        <w:t>לבני</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למשפחת</w:t>
      </w:r>
      <w:r>
        <w:rPr>
          <w:rFonts w:cs="David"/>
          <w:sz w:val="24"/>
          <w:szCs w:val="24"/>
          <w:rtl/>
        </w:rPr>
        <w:t xml:space="preserve"> </w:t>
      </w:r>
      <w:r>
        <w:rPr>
          <w:rFonts w:cs="David" w:hint="eastAsia"/>
          <w:sz w:val="24"/>
          <w:szCs w:val="24"/>
          <w:rtl/>
        </w:rPr>
        <w:t>אחיו</w:t>
      </w:r>
      <w:r>
        <w:rPr>
          <w:rFonts w:cs="David"/>
          <w:sz w:val="24"/>
          <w:szCs w:val="24"/>
          <w:rtl/>
        </w:rPr>
        <w:t xml:space="preserve"> </w:t>
      </w:r>
      <w:r>
        <w:rPr>
          <w:rFonts w:cs="David" w:hint="eastAsia"/>
          <w:sz w:val="24"/>
          <w:szCs w:val="24"/>
          <w:rtl/>
        </w:rPr>
        <w:t>מוסטפא</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החוויה</w:t>
      </w:r>
      <w:r>
        <w:rPr>
          <w:rFonts w:cs="David"/>
          <w:sz w:val="24"/>
          <w:szCs w:val="24"/>
          <w:rtl/>
        </w:rPr>
        <w:t xml:space="preserve"> </w:t>
      </w:r>
      <w:r>
        <w:rPr>
          <w:rFonts w:cs="David" w:hint="eastAsia"/>
          <w:sz w:val="24"/>
          <w:szCs w:val="24"/>
          <w:rtl/>
        </w:rPr>
        <w:t>הטראומטית</w:t>
      </w:r>
      <w:r>
        <w:rPr>
          <w:rFonts w:cs="David"/>
          <w:sz w:val="24"/>
          <w:szCs w:val="24"/>
          <w:rtl/>
        </w:rPr>
        <w:t xml:space="preserve"> </w:t>
      </w:r>
      <w:r>
        <w:rPr>
          <w:rFonts w:cs="David" w:hint="eastAsia"/>
          <w:sz w:val="24"/>
          <w:szCs w:val="24"/>
          <w:rtl/>
        </w:rPr>
        <w:t>שעברו</w:t>
      </w:r>
      <w:r>
        <w:rPr>
          <w:rFonts w:cs="David"/>
          <w:sz w:val="24"/>
          <w:szCs w:val="24"/>
          <w:rtl/>
        </w:rPr>
        <w:t xml:space="preserve">, </w:t>
      </w:r>
      <w:r>
        <w:rPr>
          <w:rFonts w:cs="David" w:hint="eastAsia"/>
          <w:sz w:val="24"/>
          <w:szCs w:val="24"/>
          <w:rtl/>
        </w:rPr>
        <w:t>הגם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נפגעו</w:t>
      </w:r>
      <w:r>
        <w:rPr>
          <w:rFonts w:cs="David"/>
          <w:sz w:val="24"/>
          <w:szCs w:val="24"/>
          <w:rtl/>
        </w:rPr>
        <w:t xml:space="preserve"> </w:t>
      </w:r>
      <w:r>
        <w:rPr>
          <w:rFonts w:cs="David" w:hint="eastAsia"/>
          <w:sz w:val="24"/>
          <w:szCs w:val="24"/>
          <w:rtl/>
        </w:rPr>
        <w:t>פיזית</w:t>
      </w:r>
      <w:r>
        <w:rPr>
          <w:rFonts w:cs="David"/>
          <w:sz w:val="24"/>
          <w:szCs w:val="24"/>
          <w:rtl/>
        </w:rPr>
        <w:t xml:space="preserve">. </w:t>
      </w:r>
      <w:r>
        <w:rPr>
          <w:rFonts w:cs="David" w:hint="eastAsia"/>
          <w:sz w:val="24"/>
          <w:szCs w:val="24"/>
          <w:rtl/>
        </w:rPr>
        <w:t>ואולם</w:t>
      </w:r>
      <w:r>
        <w:rPr>
          <w:rFonts w:cs="David"/>
          <w:sz w:val="24"/>
          <w:szCs w:val="24"/>
          <w:rtl/>
        </w:rPr>
        <w:t xml:space="preserve">, </w:t>
      </w:r>
      <w:r>
        <w:rPr>
          <w:rFonts w:cs="David" w:hint="eastAsia"/>
          <w:sz w:val="24"/>
          <w:szCs w:val="24"/>
          <w:rtl/>
        </w:rPr>
        <w:t>משום</w:t>
      </w:r>
      <w:r>
        <w:rPr>
          <w:rFonts w:cs="David"/>
          <w:sz w:val="24"/>
          <w:szCs w:val="24"/>
          <w:rtl/>
        </w:rPr>
        <w:t xml:space="preserve"> </w:t>
      </w:r>
      <w:r>
        <w:rPr>
          <w:rFonts w:cs="David" w:hint="eastAsia"/>
          <w:sz w:val="24"/>
          <w:szCs w:val="24"/>
          <w:rtl/>
        </w:rPr>
        <w:t>ריבוי</w:t>
      </w:r>
      <w:r>
        <w:rPr>
          <w:rFonts w:cs="David"/>
          <w:sz w:val="24"/>
          <w:szCs w:val="24"/>
          <w:rtl/>
        </w:rPr>
        <w:t xml:space="preserve"> </w:t>
      </w:r>
      <w:r>
        <w:rPr>
          <w:rFonts w:cs="David" w:hint="eastAsia"/>
          <w:sz w:val="24"/>
          <w:szCs w:val="24"/>
          <w:rtl/>
        </w:rPr>
        <w:t>המעורבים</w:t>
      </w:r>
      <w:r>
        <w:rPr>
          <w:rFonts w:cs="David"/>
          <w:sz w:val="24"/>
          <w:szCs w:val="24"/>
          <w:rtl/>
        </w:rPr>
        <w:t xml:space="preserve"> </w:t>
      </w:r>
      <w:r>
        <w:rPr>
          <w:rFonts w:cs="David" w:hint="eastAsia"/>
          <w:sz w:val="24"/>
          <w:szCs w:val="24"/>
          <w:rtl/>
        </w:rPr>
        <w:t>ומיעוט</w:t>
      </w:r>
      <w:r>
        <w:rPr>
          <w:rFonts w:cs="David"/>
          <w:sz w:val="24"/>
          <w:szCs w:val="24"/>
          <w:rtl/>
        </w:rPr>
        <w:t xml:space="preserve"> </w:t>
      </w:r>
      <w:r>
        <w:rPr>
          <w:rFonts w:cs="David" w:hint="eastAsia"/>
          <w:sz w:val="24"/>
          <w:szCs w:val="24"/>
          <w:rtl/>
        </w:rPr>
        <w:t>הפרטים</w:t>
      </w:r>
      <w:r>
        <w:rPr>
          <w:rFonts w:cs="David"/>
          <w:sz w:val="24"/>
          <w:szCs w:val="24"/>
          <w:rtl/>
        </w:rPr>
        <w:t xml:space="preserve"> </w:t>
      </w:r>
      <w:r>
        <w:rPr>
          <w:rFonts w:cs="David" w:hint="eastAsia"/>
          <w:sz w:val="24"/>
          <w:szCs w:val="24"/>
          <w:rtl/>
        </w:rPr>
        <w:t>בנדון</w:t>
      </w:r>
      <w:r>
        <w:rPr>
          <w:rFonts w:cs="David"/>
          <w:sz w:val="24"/>
          <w:szCs w:val="24"/>
          <w:rtl/>
        </w:rPr>
        <w:t xml:space="preserve"> </w:t>
      </w:r>
      <w:r>
        <w:rPr>
          <w:rFonts w:cs="David" w:hint="eastAsia"/>
          <w:sz w:val="24"/>
          <w:szCs w:val="24"/>
          <w:rtl/>
        </w:rPr>
        <w:t>איני</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שיהיה</w:t>
      </w:r>
      <w:r>
        <w:rPr>
          <w:rFonts w:cs="David"/>
          <w:sz w:val="24"/>
          <w:szCs w:val="24"/>
          <w:rtl/>
        </w:rPr>
        <w:t xml:space="preserve"> </w:t>
      </w:r>
      <w:r>
        <w:rPr>
          <w:rFonts w:cs="David" w:hint="eastAsia"/>
          <w:sz w:val="24"/>
          <w:szCs w:val="24"/>
          <w:rtl/>
        </w:rPr>
        <w:t>נכון</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הובאו</w:t>
      </w:r>
      <w:r>
        <w:rPr>
          <w:rFonts w:cs="David"/>
          <w:sz w:val="24"/>
          <w:szCs w:val="24"/>
          <w:rtl/>
        </w:rPr>
        <w:t xml:space="preserve"> </w:t>
      </w:r>
      <w:r>
        <w:rPr>
          <w:rFonts w:cs="David" w:hint="eastAsia"/>
          <w:sz w:val="24"/>
          <w:szCs w:val="24"/>
          <w:rtl/>
        </w:rPr>
        <w:t>די</w:t>
      </w:r>
      <w:r>
        <w:rPr>
          <w:rFonts w:cs="David"/>
          <w:sz w:val="24"/>
          <w:szCs w:val="24"/>
          <w:rtl/>
        </w:rPr>
        <w:t xml:space="preserve"> </w:t>
      </w:r>
      <w:r>
        <w:rPr>
          <w:rFonts w:cs="David" w:hint="eastAsia"/>
          <w:sz w:val="24"/>
          <w:szCs w:val="24"/>
          <w:rtl/>
        </w:rPr>
        <w:t>פרטים</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ילדיה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המנוחה</w:t>
      </w:r>
      <w:r>
        <w:rPr>
          <w:rFonts w:cs="David"/>
          <w:sz w:val="24"/>
          <w:szCs w:val="24"/>
          <w:rtl/>
        </w:rPr>
        <w:t xml:space="preserve"> </w:t>
      </w:r>
      <w:r>
        <w:rPr>
          <w:rFonts w:cs="David" w:hint="eastAsia"/>
          <w:sz w:val="24"/>
          <w:szCs w:val="24"/>
          <w:rtl/>
        </w:rPr>
        <w:t>והנזקים</w:t>
      </w:r>
      <w:r>
        <w:rPr>
          <w:rFonts w:cs="David"/>
          <w:sz w:val="24"/>
          <w:szCs w:val="24"/>
          <w:rtl/>
        </w:rPr>
        <w:t xml:space="preserve"> </w:t>
      </w:r>
      <w:r>
        <w:rPr>
          <w:rFonts w:cs="David" w:hint="eastAsia"/>
          <w:sz w:val="24"/>
          <w:szCs w:val="24"/>
          <w:rtl/>
        </w:rPr>
        <w:t>שנגרמו</w:t>
      </w:r>
      <w:r>
        <w:rPr>
          <w:rFonts w:cs="David"/>
          <w:sz w:val="24"/>
          <w:szCs w:val="24"/>
          <w:rtl/>
        </w:rPr>
        <w:t xml:space="preserve"> </w:t>
      </w:r>
      <w:r>
        <w:rPr>
          <w:rFonts w:cs="David" w:hint="eastAsia"/>
          <w:sz w:val="24"/>
          <w:szCs w:val="24"/>
          <w:rtl/>
        </w:rPr>
        <w:t>להם</w:t>
      </w:r>
      <w:r>
        <w:rPr>
          <w:rFonts w:cs="David"/>
          <w:sz w:val="24"/>
          <w:szCs w:val="24"/>
          <w:rtl/>
        </w:rPr>
        <w:t xml:space="preserve"> (</w:t>
      </w:r>
      <w:r>
        <w:rPr>
          <w:rFonts w:cs="David" w:hint="eastAsia"/>
          <w:sz w:val="24"/>
          <w:szCs w:val="24"/>
          <w:rtl/>
        </w:rPr>
        <w:t>ולהרחבה</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האבחנה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יורשים</w:t>
      </w:r>
      <w:r>
        <w:rPr>
          <w:rFonts w:cs="David"/>
          <w:sz w:val="24"/>
          <w:szCs w:val="24"/>
          <w:rtl/>
        </w:rPr>
        <w:t xml:space="preserve"> </w:t>
      </w:r>
      <w:r>
        <w:rPr>
          <w:rFonts w:cs="David" w:hint="eastAsia"/>
          <w:sz w:val="24"/>
          <w:szCs w:val="24"/>
          <w:rtl/>
        </w:rPr>
        <w:t>פורמאליים</w:t>
      </w:r>
      <w:r>
        <w:rPr>
          <w:rFonts w:cs="David"/>
          <w:sz w:val="24"/>
          <w:szCs w:val="24"/>
          <w:rtl/>
        </w:rPr>
        <w:t xml:space="preserve"> </w:t>
      </w:r>
      <w:r>
        <w:rPr>
          <w:rFonts w:cs="David" w:hint="eastAsia"/>
          <w:sz w:val="24"/>
          <w:szCs w:val="24"/>
          <w:rtl/>
        </w:rPr>
        <w:t>ועזבון</w:t>
      </w:r>
      <w:r>
        <w:rPr>
          <w:rFonts w:cs="David"/>
          <w:sz w:val="24"/>
          <w:szCs w:val="24"/>
          <w:rtl/>
        </w:rPr>
        <w:t xml:space="preserve">, </w:t>
      </w:r>
      <w:r>
        <w:rPr>
          <w:rFonts w:cs="David" w:hint="eastAsia"/>
          <w:sz w:val="24"/>
          <w:szCs w:val="24"/>
          <w:rtl/>
        </w:rPr>
        <w:t>לבין</w:t>
      </w:r>
      <w:r>
        <w:rPr>
          <w:rFonts w:cs="David"/>
          <w:sz w:val="24"/>
          <w:szCs w:val="24"/>
          <w:rtl/>
        </w:rPr>
        <w:t xml:space="preserve"> </w:t>
      </w:r>
      <w:r>
        <w:rPr>
          <w:rFonts w:cs="David" w:hint="eastAsia"/>
          <w:sz w:val="24"/>
          <w:szCs w:val="24"/>
          <w:rtl/>
        </w:rPr>
        <w:t>מי</w:t>
      </w:r>
      <w:r>
        <w:rPr>
          <w:rFonts w:cs="David"/>
          <w:sz w:val="24"/>
          <w:szCs w:val="24"/>
          <w:rtl/>
        </w:rPr>
        <w:t xml:space="preserve"> </w:t>
      </w:r>
      <w:r>
        <w:rPr>
          <w:rFonts w:cs="David" w:hint="eastAsia"/>
          <w:sz w:val="24"/>
          <w:szCs w:val="24"/>
          <w:rtl/>
        </w:rPr>
        <w:t>שהאובדן</w:t>
      </w:r>
      <w:r>
        <w:rPr>
          <w:rFonts w:cs="David"/>
          <w:sz w:val="24"/>
          <w:szCs w:val="24"/>
          <w:rtl/>
        </w:rPr>
        <w:t xml:space="preserve"> </w:t>
      </w:r>
      <w:r>
        <w:rPr>
          <w:rFonts w:cs="David" w:hint="eastAsia"/>
          <w:sz w:val="24"/>
          <w:szCs w:val="24"/>
          <w:rtl/>
        </w:rPr>
        <w:t>השליך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מהלך</w:t>
      </w:r>
      <w:r>
        <w:rPr>
          <w:rFonts w:cs="David"/>
          <w:sz w:val="24"/>
          <w:szCs w:val="24"/>
          <w:rtl/>
        </w:rPr>
        <w:t xml:space="preserve"> </w:t>
      </w:r>
      <w:r>
        <w:rPr>
          <w:rFonts w:cs="David" w:hint="eastAsia"/>
          <w:sz w:val="24"/>
          <w:szCs w:val="24"/>
          <w:rtl/>
        </w:rPr>
        <w:t>חייהם</w:t>
      </w:r>
      <w:r>
        <w:rPr>
          <w:rFonts w:cs="David"/>
          <w:sz w:val="24"/>
          <w:szCs w:val="24"/>
          <w:rtl/>
        </w:rPr>
        <w:t xml:space="preserve"> - </w:t>
      </w:r>
      <w:r>
        <w:rPr>
          <w:rFonts w:cs="David" w:hint="eastAsia"/>
          <w:sz w:val="24"/>
          <w:szCs w:val="24"/>
          <w:rtl/>
        </w:rPr>
        <w:t>ר</w:t>
      </w:r>
      <w:r>
        <w:rPr>
          <w:rFonts w:cs="David"/>
          <w:sz w:val="24"/>
          <w:szCs w:val="24"/>
          <w:rtl/>
        </w:rPr>
        <w:t xml:space="preserve">' </w:t>
      </w:r>
      <w:hyperlink r:id="rId163" w:history="1">
        <w:r w:rsidR="008B74B3" w:rsidRPr="008B74B3">
          <w:rPr>
            <w:rFonts w:cs="David" w:hint="eastAsia"/>
            <w:color w:val="0000FF"/>
            <w:sz w:val="24"/>
            <w:szCs w:val="24"/>
            <w:u w:val="single"/>
            <w:rtl/>
          </w:rPr>
          <w:t>ע</w:t>
        </w:r>
        <w:r w:rsidR="008B74B3" w:rsidRPr="008B74B3">
          <w:rPr>
            <w:rFonts w:cs="David"/>
            <w:color w:val="0000FF"/>
            <w:sz w:val="24"/>
            <w:szCs w:val="24"/>
            <w:u w:val="single"/>
            <w:rtl/>
          </w:rPr>
          <w:t>"</w:t>
        </w:r>
        <w:r w:rsidR="008B74B3" w:rsidRPr="008B74B3">
          <w:rPr>
            <w:rFonts w:cs="David" w:hint="eastAsia"/>
            <w:color w:val="0000FF"/>
            <w:sz w:val="24"/>
            <w:szCs w:val="24"/>
            <w:u w:val="single"/>
            <w:rtl/>
          </w:rPr>
          <w:t>פ</w:t>
        </w:r>
        <w:r w:rsidR="008B74B3" w:rsidRPr="008B74B3">
          <w:rPr>
            <w:rFonts w:cs="David"/>
            <w:color w:val="0000FF"/>
            <w:sz w:val="24"/>
            <w:szCs w:val="24"/>
            <w:u w:val="single"/>
            <w:rtl/>
          </w:rPr>
          <w:t xml:space="preserve"> 6925/16</w:t>
        </w:r>
      </w:hyperlink>
      <w:r>
        <w:rPr>
          <w:rFonts w:cs="David"/>
          <w:sz w:val="24"/>
          <w:szCs w:val="24"/>
          <w:rtl/>
        </w:rPr>
        <w:t xml:space="preserve"> </w:t>
      </w:r>
      <w:r>
        <w:rPr>
          <w:rFonts w:ascii="Miriam" w:hAnsi="Miriam" w:cs="Miriam"/>
          <w:sz w:val="24"/>
          <w:szCs w:val="24"/>
          <w:rtl/>
        </w:rPr>
        <w:t xml:space="preserve">מדינת ישראל נ' ג'רחי </w:t>
      </w:r>
      <w:r w:rsidR="00BB2098" w:rsidRPr="00BB2098">
        <w:rPr>
          <w:rFonts w:ascii="Times New Roman" w:hAnsi="Times New Roman" w:cs="David"/>
          <w:szCs w:val="24"/>
          <w:rtl/>
        </w:rPr>
        <w:t xml:space="preserve">[פורסם בנבו] </w:t>
      </w:r>
      <w:r>
        <w:rPr>
          <w:rFonts w:cs="David"/>
          <w:sz w:val="24"/>
          <w:szCs w:val="24"/>
          <w:rtl/>
        </w:rPr>
        <w:t xml:space="preserve">(12.5.19)). </w:t>
      </w:r>
      <w:r>
        <w:rPr>
          <w:rFonts w:cs="David" w:hint="eastAsia"/>
          <w:sz w:val="24"/>
          <w:szCs w:val="24"/>
          <w:rtl/>
        </w:rPr>
        <w:t>בעניין</w:t>
      </w:r>
      <w:r>
        <w:rPr>
          <w:rFonts w:cs="David"/>
          <w:sz w:val="24"/>
          <w:szCs w:val="24"/>
          <w:rtl/>
        </w:rPr>
        <w:t xml:space="preserve"> </w:t>
      </w:r>
      <w:r>
        <w:rPr>
          <w:rFonts w:cs="David" w:hint="eastAsia"/>
          <w:sz w:val="24"/>
          <w:szCs w:val="24"/>
          <w:rtl/>
        </w:rPr>
        <w:t>ג</w:t>
      </w:r>
      <w:r>
        <w:rPr>
          <w:rFonts w:cs="David"/>
          <w:sz w:val="24"/>
          <w:szCs w:val="24"/>
          <w:rtl/>
        </w:rPr>
        <w:t>'</w:t>
      </w:r>
      <w:r>
        <w:rPr>
          <w:rFonts w:cs="David" w:hint="eastAsia"/>
          <w:sz w:val="24"/>
          <w:szCs w:val="24"/>
          <w:rtl/>
        </w:rPr>
        <w:t>רחי</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צוין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העדיפות</w:t>
      </w:r>
      <w:r>
        <w:rPr>
          <w:rFonts w:cs="David"/>
          <w:sz w:val="24"/>
          <w:szCs w:val="24"/>
          <w:rtl/>
        </w:rPr>
        <w:t xml:space="preserve"> </w:t>
      </w:r>
      <w:r>
        <w:rPr>
          <w:rFonts w:cs="David" w:hint="eastAsia"/>
          <w:sz w:val="24"/>
          <w:szCs w:val="24"/>
          <w:rtl/>
        </w:rPr>
        <w:t>הינה</w:t>
      </w:r>
      <w:r>
        <w:rPr>
          <w:rFonts w:cs="David"/>
          <w:sz w:val="24"/>
          <w:szCs w:val="24"/>
          <w:rtl/>
        </w:rPr>
        <w:t xml:space="preserve"> </w:t>
      </w:r>
      <w:r>
        <w:rPr>
          <w:rFonts w:cs="David" w:hint="eastAsia"/>
          <w:sz w:val="24"/>
          <w:szCs w:val="24"/>
          <w:rtl/>
        </w:rPr>
        <w:t>לפסוק</w:t>
      </w:r>
      <w:r>
        <w:rPr>
          <w:rFonts w:cs="David"/>
          <w:sz w:val="24"/>
          <w:szCs w:val="24"/>
          <w:rtl/>
        </w:rPr>
        <w:t xml:space="preserve"> </w:t>
      </w:r>
      <w:r>
        <w:rPr>
          <w:rFonts w:cs="David" w:hint="eastAsia"/>
          <w:sz w:val="24"/>
          <w:szCs w:val="24"/>
          <w:rtl/>
        </w:rPr>
        <w:t>פיצויים</w:t>
      </w:r>
      <w:r>
        <w:rPr>
          <w:rFonts w:cs="David"/>
          <w:sz w:val="24"/>
          <w:szCs w:val="24"/>
          <w:rtl/>
        </w:rPr>
        <w:t xml:space="preserve"> </w:t>
      </w:r>
      <w:r>
        <w:rPr>
          <w:rFonts w:cs="David" w:hint="eastAsia"/>
          <w:sz w:val="24"/>
          <w:szCs w:val="24"/>
          <w:rtl/>
        </w:rPr>
        <w:t>ישירות</w:t>
      </w:r>
      <w:r>
        <w:rPr>
          <w:rFonts w:cs="David"/>
          <w:sz w:val="24"/>
          <w:szCs w:val="24"/>
          <w:rtl/>
        </w:rPr>
        <w:t xml:space="preserve"> </w:t>
      </w:r>
      <w:r>
        <w:rPr>
          <w:rFonts w:cs="David" w:hint="eastAsia"/>
          <w:sz w:val="24"/>
          <w:szCs w:val="24"/>
          <w:rtl/>
        </w:rPr>
        <w:t>לניזוקים</w:t>
      </w:r>
      <w:r>
        <w:rPr>
          <w:rFonts w:cs="David"/>
          <w:sz w:val="24"/>
          <w:szCs w:val="24"/>
          <w:rtl/>
        </w:rPr>
        <w:t xml:space="preserve"> </w:t>
      </w:r>
      <w:r>
        <w:rPr>
          <w:rFonts w:cs="David" w:hint="eastAsia"/>
          <w:sz w:val="24"/>
          <w:szCs w:val="24"/>
          <w:rtl/>
        </w:rPr>
        <w:t>העקיפים</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לעיזבון</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ומשום</w:t>
      </w:r>
      <w:r>
        <w:rPr>
          <w:rFonts w:cs="David"/>
          <w:sz w:val="24"/>
          <w:szCs w:val="24"/>
          <w:rtl/>
        </w:rPr>
        <w:t xml:space="preserve"> </w:t>
      </w:r>
      <w:r>
        <w:rPr>
          <w:rFonts w:cs="David" w:hint="eastAsia"/>
          <w:sz w:val="24"/>
          <w:szCs w:val="24"/>
          <w:rtl/>
        </w:rPr>
        <w:t>מיעוט</w:t>
      </w:r>
      <w:r>
        <w:rPr>
          <w:rFonts w:cs="David"/>
          <w:sz w:val="24"/>
          <w:szCs w:val="24"/>
          <w:rtl/>
        </w:rPr>
        <w:t xml:space="preserve"> </w:t>
      </w:r>
      <w:r>
        <w:rPr>
          <w:rFonts w:cs="David" w:hint="eastAsia"/>
          <w:sz w:val="24"/>
          <w:szCs w:val="24"/>
          <w:rtl/>
        </w:rPr>
        <w:t>הפרטים</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יהיה</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נכון</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כן</w:t>
      </w:r>
      <w:r>
        <w:rPr>
          <w:rFonts w:cs="David"/>
          <w:sz w:val="24"/>
          <w:szCs w:val="24"/>
          <w:rtl/>
        </w:rPr>
        <w:t xml:space="preserve">. </w:t>
      </w:r>
    </w:p>
    <w:p w14:paraId="01BFA9C8"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tl/>
        </w:rPr>
      </w:pPr>
    </w:p>
    <w:p w14:paraId="30E10332" w14:textId="77777777" w:rsidR="004C3216" w:rsidRDefault="004C3216" w:rsidP="001C1643">
      <w:pPr>
        <w:pStyle w:val="ListParagraph"/>
        <w:tabs>
          <w:tab w:val="left" w:pos="516"/>
          <w:tab w:val="left" w:pos="2125"/>
        </w:tabs>
        <w:spacing w:after="0" w:line="360" w:lineRule="auto"/>
        <w:ind w:left="516" w:right="426"/>
        <w:jc w:val="both"/>
        <w:rPr>
          <w:rFonts w:cs="David"/>
          <w:sz w:val="24"/>
          <w:szCs w:val="24"/>
          <w:rtl/>
        </w:rPr>
      </w:pPr>
      <w:r>
        <w:rPr>
          <w:rFonts w:cs="David" w:hint="eastAsia"/>
          <w:sz w:val="24"/>
          <w:szCs w:val="24"/>
          <w:rtl/>
        </w:rPr>
        <w:t>סיכומו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קבעתי</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לטובת</w:t>
      </w:r>
      <w:r>
        <w:rPr>
          <w:rFonts w:cs="David"/>
          <w:sz w:val="24"/>
          <w:szCs w:val="24"/>
          <w:rtl/>
        </w:rPr>
        <w:t xml:space="preserve"> </w:t>
      </w:r>
      <w:r>
        <w:rPr>
          <w:rFonts w:cs="David" w:hint="eastAsia"/>
          <w:sz w:val="24"/>
          <w:szCs w:val="24"/>
          <w:rtl/>
        </w:rPr>
        <w:t>פריד</w:t>
      </w:r>
      <w:r>
        <w:rPr>
          <w:rFonts w:cs="David"/>
          <w:sz w:val="24"/>
          <w:szCs w:val="24"/>
          <w:rtl/>
        </w:rPr>
        <w:t xml:space="preserve"> </w:t>
      </w:r>
      <w:r>
        <w:rPr>
          <w:rFonts w:cs="David" w:hint="eastAsia"/>
          <w:sz w:val="24"/>
          <w:szCs w:val="24"/>
          <w:rtl/>
        </w:rPr>
        <w:t>בסכום</w:t>
      </w:r>
      <w:r>
        <w:rPr>
          <w:rFonts w:cs="David"/>
          <w:sz w:val="24"/>
          <w:szCs w:val="24"/>
          <w:rtl/>
        </w:rPr>
        <w:t xml:space="preserve"> </w:t>
      </w:r>
      <w:r>
        <w:rPr>
          <w:rFonts w:cs="David" w:hint="eastAsia"/>
          <w:sz w:val="24"/>
          <w:szCs w:val="24"/>
          <w:rtl/>
        </w:rPr>
        <w:t>של</w:t>
      </w:r>
      <w:r>
        <w:rPr>
          <w:rFonts w:cs="David"/>
          <w:sz w:val="24"/>
          <w:szCs w:val="24"/>
          <w:rtl/>
        </w:rPr>
        <w:t xml:space="preserve"> 80,000 </w:t>
      </w:r>
      <w:r>
        <w:rPr>
          <w:rFonts w:cs="David" w:hint="eastAsia"/>
          <w:sz w:val="24"/>
          <w:szCs w:val="24"/>
          <w:rtl/>
        </w:rPr>
        <w:t>₪</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הנאשם</w:t>
      </w:r>
      <w:r>
        <w:rPr>
          <w:rFonts w:cs="David"/>
          <w:sz w:val="24"/>
          <w:szCs w:val="24"/>
          <w:rtl/>
        </w:rPr>
        <w:t xml:space="preserve"> 3 </w:t>
      </w:r>
      <w:r>
        <w:rPr>
          <w:rFonts w:cs="David" w:hint="eastAsia"/>
          <w:sz w:val="24"/>
          <w:szCs w:val="24"/>
          <w:rtl/>
        </w:rPr>
        <w:t>יישא</w:t>
      </w:r>
      <w:r>
        <w:rPr>
          <w:rFonts w:cs="David"/>
          <w:sz w:val="24"/>
          <w:szCs w:val="24"/>
          <w:rtl/>
        </w:rPr>
        <w:t xml:space="preserve"> </w:t>
      </w:r>
      <w:r>
        <w:rPr>
          <w:rFonts w:cs="David" w:hint="eastAsia"/>
          <w:sz w:val="24"/>
          <w:szCs w:val="24"/>
          <w:rtl/>
        </w:rPr>
        <w:t>במחצית</w:t>
      </w:r>
      <w:r>
        <w:rPr>
          <w:rFonts w:cs="David"/>
          <w:sz w:val="24"/>
          <w:szCs w:val="24"/>
          <w:rtl/>
        </w:rPr>
        <w:t xml:space="preserve"> </w:t>
      </w:r>
      <w:r>
        <w:rPr>
          <w:rFonts w:cs="David" w:hint="eastAsia"/>
          <w:sz w:val="24"/>
          <w:szCs w:val="24"/>
          <w:rtl/>
        </w:rPr>
        <w:t>הפיצוי</w:t>
      </w:r>
      <w:r>
        <w:rPr>
          <w:rFonts w:cs="David"/>
          <w:sz w:val="24"/>
          <w:szCs w:val="24"/>
          <w:rtl/>
        </w:rPr>
        <w:t xml:space="preserve"> </w:t>
      </w:r>
      <w:r>
        <w:rPr>
          <w:rFonts w:cs="David" w:hint="eastAsia"/>
          <w:sz w:val="24"/>
          <w:szCs w:val="24"/>
          <w:rtl/>
        </w:rPr>
        <w:t>ויתר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במחצית</w:t>
      </w:r>
      <w:r>
        <w:rPr>
          <w:rFonts w:cs="David"/>
          <w:sz w:val="24"/>
          <w:szCs w:val="24"/>
          <w:rtl/>
        </w:rPr>
        <w:t xml:space="preserve"> </w:t>
      </w:r>
      <w:r>
        <w:rPr>
          <w:rFonts w:cs="David" w:hint="eastAsia"/>
          <w:sz w:val="24"/>
          <w:szCs w:val="24"/>
          <w:rtl/>
        </w:rPr>
        <w:t>השניה</w:t>
      </w:r>
      <w:r>
        <w:rPr>
          <w:rFonts w:cs="David"/>
          <w:sz w:val="24"/>
          <w:szCs w:val="24"/>
          <w:rtl/>
        </w:rPr>
        <w:t xml:space="preserve">; </w:t>
      </w:r>
      <w:r>
        <w:rPr>
          <w:rFonts w:cs="David" w:hint="eastAsia"/>
          <w:sz w:val="24"/>
          <w:szCs w:val="24"/>
          <w:rtl/>
        </w:rPr>
        <w:t>ולעיזבון</w:t>
      </w:r>
      <w:r>
        <w:rPr>
          <w:rFonts w:cs="David"/>
          <w:sz w:val="24"/>
          <w:szCs w:val="24"/>
          <w:rtl/>
        </w:rPr>
        <w:t xml:space="preserve"> </w:t>
      </w:r>
      <w:r>
        <w:rPr>
          <w:rFonts w:cs="David" w:hint="eastAsia"/>
          <w:sz w:val="24"/>
          <w:szCs w:val="24"/>
          <w:rtl/>
        </w:rPr>
        <w:t>המנוחה</w:t>
      </w:r>
      <w:r>
        <w:rPr>
          <w:rFonts w:cs="David"/>
          <w:sz w:val="24"/>
          <w:szCs w:val="24"/>
          <w:rtl/>
        </w:rPr>
        <w:t xml:space="preserve"> </w:t>
      </w:r>
      <w:r>
        <w:rPr>
          <w:rFonts w:cs="David" w:hint="eastAsia"/>
          <w:sz w:val="24"/>
          <w:szCs w:val="24"/>
          <w:rtl/>
        </w:rPr>
        <w:t>קבעתי</w:t>
      </w:r>
      <w:r>
        <w:rPr>
          <w:rFonts w:cs="David"/>
          <w:sz w:val="24"/>
          <w:szCs w:val="24"/>
          <w:rtl/>
        </w:rPr>
        <w:t xml:space="preserve"> </w:t>
      </w:r>
      <w:r>
        <w:rPr>
          <w:rFonts w:cs="David" w:hint="eastAsia"/>
          <w:sz w:val="24"/>
          <w:szCs w:val="24"/>
          <w:rtl/>
        </w:rPr>
        <w:t>פיצוי</w:t>
      </w:r>
      <w:r>
        <w:rPr>
          <w:rFonts w:cs="David"/>
          <w:sz w:val="24"/>
          <w:szCs w:val="24"/>
          <w:rtl/>
        </w:rPr>
        <w:t xml:space="preserve"> </w:t>
      </w:r>
      <w:r>
        <w:rPr>
          <w:rFonts w:cs="David" w:hint="eastAsia"/>
          <w:sz w:val="24"/>
          <w:szCs w:val="24"/>
          <w:rtl/>
        </w:rPr>
        <w:t>בסכום</w:t>
      </w:r>
      <w:r>
        <w:rPr>
          <w:rFonts w:cs="David"/>
          <w:sz w:val="24"/>
          <w:szCs w:val="24"/>
          <w:rtl/>
        </w:rPr>
        <w:t xml:space="preserve"> </w:t>
      </w:r>
      <w:r>
        <w:rPr>
          <w:rFonts w:cs="David" w:hint="eastAsia"/>
          <w:sz w:val="24"/>
          <w:szCs w:val="24"/>
          <w:rtl/>
        </w:rPr>
        <w:t>של</w:t>
      </w:r>
      <w:r>
        <w:rPr>
          <w:rFonts w:cs="David"/>
          <w:sz w:val="24"/>
          <w:szCs w:val="24"/>
          <w:rtl/>
        </w:rPr>
        <w:t xml:space="preserve"> 160,000 </w:t>
      </w:r>
      <w:r>
        <w:rPr>
          <w:rFonts w:cs="David" w:hint="eastAsia"/>
          <w:sz w:val="24"/>
          <w:szCs w:val="24"/>
          <w:rtl/>
        </w:rPr>
        <w:t>₪</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הנאשם</w:t>
      </w:r>
      <w:r>
        <w:rPr>
          <w:rFonts w:cs="David"/>
          <w:sz w:val="24"/>
          <w:szCs w:val="24"/>
          <w:rtl/>
        </w:rPr>
        <w:t xml:space="preserve"> 3 </w:t>
      </w:r>
      <w:r>
        <w:rPr>
          <w:rFonts w:cs="David" w:hint="eastAsia"/>
          <w:sz w:val="24"/>
          <w:szCs w:val="24"/>
          <w:rtl/>
        </w:rPr>
        <w:t>יישא</w:t>
      </w:r>
      <w:r>
        <w:rPr>
          <w:rFonts w:cs="David"/>
          <w:sz w:val="24"/>
          <w:szCs w:val="24"/>
          <w:rtl/>
        </w:rPr>
        <w:t xml:space="preserve"> </w:t>
      </w:r>
      <w:r>
        <w:rPr>
          <w:rFonts w:cs="David" w:hint="eastAsia"/>
          <w:sz w:val="24"/>
          <w:szCs w:val="24"/>
          <w:rtl/>
        </w:rPr>
        <w:t>במחצית</w:t>
      </w:r>
      <w:r>
        <w:rPr>
          <w:rFonts w:cs="David"/>
          <w:sz w:val="24"/>
          <w:szCs w:val="24"/>
          <w:rtl/>
        </w:rPr>
        <w:t xml:space="preserve"> </w:t>
      </w:r>
      <w:r>
        <w:rPr>
          <w:rFonts w:cs="David" w:hint="eastAsia"/>
          <w:sz w:val="24"/>
          <w:szCs w:val="24"/>
          <w:rtl/>
        </w:rPr>
        <w:t>הפיצוי</w:t>
      </w:r>
      <w:r>
        <w:rPr>
          <w:rFonts w:cs="David"/>
          <w:sz w:val="24"/>
          <w:szCs w:val="24"/>
          <w:rtl/>
        </w:rPr>
        <w:t xml:space="preserve"> </w:t>
      </w:r>
      <w:r>
        <w:rPr>
          <w:rFonts w:cs="David" w:hint="eastAsia"/>
          <w:sz w:val="24"/>
          <w:szCs w:val="24"/>
          <w:rtl/>
        </w:rPr>
        <w:t>ויתר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במחצית</w:t>
      </w:r>
      <w:r>
        <w:rPr>
          <w:rFonts w:cs="David"/>
          <w:sz w:val="24"/>
          <w:szCs w:val="24"/>
          <w:rtl/>
        </w:rPr>
        <w:t xml:space="preserve"> </w:t>
      </w:r>
      <w:r>
        <w:rPr>
          <w:rFonts w:cs="David" w:hint="eastAsia"/>
          <w:sz w:val="24"/>
          <w:szCs w:val="24"/>
          <w:rtl/>
        </w:rPr>
        <w:t>השניה</w:t>
      </w:r>
      <w:r>
        <w:rPr>
          <w:rFonts w:cs="David"/>
          <w:sz w:val="24"/>
          <w:szCs w:val="24"/>
          <w:rtl/>
        </w:rPr>
        <w:t xml:space="preserve">. </w:t>
      </w:r>
    </w:p>
    <w:p w14:paraId="43446F15" w14:textId="77777777" w:rsidR="004C3216" w:rsidRDefault="004C3216" w:rsidP="005811E2">
      <w:pPr>
        <w:pStyle w:val="ListParagraph"/>
        <w:tabs>
          <w:tab w:val="left" w:pos="516"/>
          <w:tab w:val="left" w:pos="2125"/>
        </w:tabs>
        <w:spacing w:after="0" w:line="360" w:lineRule="auto"/>
        <w:ind w:left="516" w:right="426"/>
        <w:jc w:val="both"/>
        <w:rPr>
          <w:rFonts w:cs="David"/>
          <w:sz w:val="24"/>
          <w:szCs w:val="24"/>
        </w:rPr>
      </w:pPr>
    </w:p>
    <w:p w14:paraId="336641E9"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Pr>
      </w:pPr>
      <w:r>
        <w:rPr>
          <w:rFonts w:cs="David" w:hint="eastAsia"/>
          <w:sz w:val="24"/>
          <w:szCs w:val="24"/>
          <w:rtl/>
        </w:rPr>
        <w:t>משום</w:t>
      </w:r>
      <w:r>
        <w:rPr>
          <w:rFonts w:cs="David"/>
          <w:sz w:val="24"/>
          <w:szCs w:val="24"/>
          <w:rtl/>
        </w:rPr>
        <w:t xml:space="preserve"> </w:t>
      </w:r>
      <w:r>
        <w:rPr>
          <w:rFonts w:cs="David" w:hint="eastAsia"/>
          <w:sz w:val="24"/>
          <w:szCs w:val="24"/>
          <w:rtl/>
        </w:rPr>
        <w:t>מצבם</w:t>
      </w:r>
      <w:r>
        <w:rPr>
          <w:rFonts w:cs="David"/>
          <w:sz w:val="24"/>
          <w:szCs w:val="24"/>
          <w:rtl/>
        </w:rPr>
        <w:t xml:space="preserve"> </w:t>
      </w:r>
      <w:r>
        <w:rPr>
          <w:rFonts w:cs="David" w:hint="eastAsia"/>
          <w:sz w:val="24"/>
          <w:szCs w:val="24"/>
          <w:rtl/>
        </w:rPr>
        <w:t>הכלכלי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סברתי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מי</w:t>
      </w:r>
      <w:r>
        <w:rPr>
          <w:rFonts w:cs="David"/>
          <w:sz w:val="24"/>
          <w:szCs w:val="24"/>
          <w:rtl/>
        </w:rPr>
        <w:t xml:space="preserve"> </w:t>
      </w:r>
      <w:r>
        <w:rPr>
          <w:rFonts w:cs="David" w:hint="eastAsia"/>
          <w:sz w:val="24"/>
          <w:szCs w:val="24"/>
          <w:rtl/>
        </w:rPr>
        <w:t>מהם</w:t>
      </w:r>
      <w:r>
        <w:rPr>
          <w:rFonts w:cs="David"/>
          <w:sz w:val="24"/>
          <w:szCs w:val="24"/>
          <w:rtl/>
        </w:rPr>
        <w:t>.</w:t>
      </w:r>
    </w:p>
    <w:p w14:paraId="74FB53D8" w14:textId="77777777" w:rsidR="004C3216" w:rsidRDefault="004C3216" w:rsidP="005811E2">
      <w:pPr>
        <w:pStyle w:val="ListParagraph"/>
        <w:spacing w:after="0" w:line="360" w:lineRule="auto"/>
        <w:ind w:left="516" w:right="426"/>
        <w:rPr>
          <w:rFonts w:cs="David"/>
          <w:sz w:val="24"/>
          <w:szCs w:val="24"/>
        </w:rPr>
      </w:pPr>
    </w:p>
    <w:p w14:paraId="68CC7B4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rtl/>
        </w:rPr>
        <w:t>אתייחס</w:t>
      </w:r>
      <w:r>
        <w:rPr>
          <w:rFonts w:cs="David"/>
          <w:sz w:val="24"/>
          <w:szCs w:val="24"/>
          <w:rtl/>
        </w:rPr>
        <w:t xml:space="preserve"> </w:t>
      </w:r>
      <w:r>
        <w:rPr>
          <w:rFonts w:cs="David" w:hint="eastAsia"/>
          <w:sz w:val="24"/>
          <w:szCs w:val="24"/>
          <w:rtl/>
        </w:rPr>
        <w:t>כעת</w:t>
      </w:r>
      <w:r>
        <w:rPr>
          <w:rFonts w:cs="David"/>
          <w:sz w:val="24"/>
          <w:szCs w:val="24"/>
          <w:rtl/>
        </w:rPr>
        <w:t xml:space="preserve"> </w:t>
      </w:r>
      <w:r>
        <w:rPr>
          <w:rFonts w:cs="David" w:hint="eastAsia"/>
          <w:sz w:val="24"/>
          <w:szCs w:val="24"/>
          <w:rtl/>
        </w:rPr>
        <w:t>לנתונים</w:t>
      </w:r>
      <w:r>
        <w:rPr>
          <w:rFonts w:cs="David"/>
          <w:sz w:val="24"/>
          <w:szCs w:val="24"/>
          <w:rtl/>
        </w:rPr>
        <w:t xml:space="preserve"> </w:t>
      </w:r>
      <w:r>
        <w:rPr>
          <w:rFonts w:cs="David" w:hint="eastAsia"/>
          <w:sz w:val="24"/>
          <w:szCs w:val="24"/>
          <w:rtl/>
        </w:rPr>
        <w:t>המרכזיים</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אעיר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שקלתי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נתוני</w:t>
      </w:r>
      <w:r>
        <w:rPr>
          <w:rFonts w:cs="David"/>
          <w:sz w:val="24"/>
          <w:szCs w:val="24"/>
          <w:rtl/>
        </w:rPr>
        <w:t xml:space="preserve"> </w:t>
      </w:r>
      <w:r>
        <w:rPr>
          <w:rFonts w:cs="David" w:hint="eastAsia"/>
          <w:sz w:val="24"/>
          <w:szCs w:val="24"/>
          <w:rtl/>
        </w:rPr>
        <w:t>התסקירים</w:t>
      </w:r>
      <w:r>
        <w:rPr>
          <w:rFonts w:cs="David"/>
          <w:sz w:val="24"/>
          <w:szCs w:val="24"/>
          <w:rtl/>
        </w:rPr>
        <w:t xml:space="preserve"> </w:t>
      </w:r>
      <w:r>
        <w:rPr>
          <w:rFonts w:cs="David" w:hint="eastAsia"/>
          <w:sz w:val="24"/>
          <w:szCs w:val="24"/>
          <w:rtl/>
        </w:rPr>
        <w:t>וטיעוני</w:t>
      </w:r>
      <w:r>
        <w:rPr>
          <w:rFonts w:cs="David"/>
          <w:sz w:val="24"/>
          <w:szCs w:val="24"/>
          <w:rtl/>
        </w:rPr>
        <w:t xml:space="preserve"> </w:t>
      </w:r>
      <w:r>
        <w:rPr>
          <w:rFonts w:cs="David" w:hint="eastAsia"/>
          <w:sz w:val="24"/>
          <w:szCs w:val="24"/>
          <w:rtl/>
        </w:rPr>
        <w:t>באי</w:t>
      </w:r>
      <w:r>
        <w:rPr>
          <w:rFonts w:cs="David"/>
          <w:sz w:val="24"/>
          <w:szCs w:val="24"/>
          <w:rtl/>
        </w:rPr>
        <w:t xml:space="preserve"> </w:t>
      </w:r>
      <w:r>
        <w:rPr>
          <w:rFonts w:cs="David" w:hint="eastAsia"/>
          <w:sz w:val="24"/>
          <w:szCs w:val="24"/>
          <w:rtl/>
        </w:rPr>
        <w:t>כוחם</w:t>
      </w:r>
      <w:r>
        <w:rPr>
          <w:rFonts w:cs="David"/>
          <w:sz w:val="24"/>
          <w:szCs w:val="24"/>
          <w:rtl/>
        </w:rPr>
        <w:t xml:space="preserve"> </w:t>
      </w:r>
      <w:r>
        <w:rPr>
          <w:rFonts w:cs="David" w:hint="eastAsia"/>
          <w:sz w:val="24"/>
          <w:szCs w:val="24"/>
          <w:rtl/>
        </w:rPr>
        <w:t>ובפרק</w:t>
      </w:r>
      <w:r>
        <w:rPr>
          <w:rFonts w:cs="David"/>
          <w:sz w:val="24"/>
          <w:szCs w:val="24"/>
          <w:rtl/>
        </w:rPr>
        <w:t xml:space="preserve"> </w:t>
      </w:r>
      <w:r>
        <w:rPr>
          <w:rFonts w:cs="David" w:hint="eastAsia"/>
          <w:sz w:val="24"/>
          <w:szCs w:val="24"/>
          <w:rtl/>
        </w:rPr>
        <w:t>שלהלן</w:t>
      </w:r>
      <w:r>
        <w:rPr>
          <w:rFonts w:cs="David"/>
          <w:sz w:val="24"/>
          <w:szCs w:val="24"/>
          <w:rtl/>
        </w:rPr>
        <w:t xml:space="preserve"> </w:t>
      </w:r>
      <w:r>
        <w:rPr>
          <w:rFonts w:cs="David" w:hint="eastAsia"/>
          <w:sz w:val="24"/>
          <w:szCs w:val="24"/>
          <w:rtl/>
        </w:rPr>
        <w:t>אביא</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בתמצית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עיקרי</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החלטתי</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הקונקרטית</w:t>
      </w:r>
      <w:r>
        <w:rPr>
          <w:rFonts w:cs="David"/>
          <w:sz w:val="24"/>
          <w:szCs w:val="24"/>
          <w:rtl/>
        </w:rPr>
        <w:t>.</w:t>
      </w:r>
    </w:p>
    <w:p w14:paraId="07A15B23" w14:textId="77777777" w:rsidR="004C3216" w:rsidRDefault="004C3216" w:rsidP="005811E2">
      <w:pPr>
        <w:pStyle w:val="ListParagraph"/>
        <w:spacing w:after="0" w:line="360" w:lineRule="auto"/>
        <w:ind w:left="516" w:right="426"/>
        <w:rPr>
          <w:rFonts w:cs="David"/>
          <w:sz w:val="24"/>
          <w:szCs w:val="24"/>
        </w:rPr>
      </w:pPr>
    </w:p>
    <w:p w14:paraId="5431FE1E" w14:textId="77777777" w:rsidR="004C3216" w:rsidRDefault="004C3216" w:rsidP="005811E2">
      <w:pPr>
        <w:pStyle w:val="ListParagraph"/>
        <w:numPr>
          <w:ilvl w:val="0"/>
          <w:numId w:val="6"/>
        </w:numPr>
        <w:tabs>
          <w:tab w:val="left" w:pos="516"/>
          <w:tab w:val="left" w:pos="2125"/>
        </w:tabs>
        <w:overflowPunct w:val="0"/>
        <w:autoSpaceDE w:val="0"/>
        <w:autoSpaceDN w:val="0"/>
        <w:adjustRightInd w:val="0"/>
        <w:spacing w:after="0" w:line="360" w:lineRule="auto"/>
        <w:ind w:left="516" w:right="426" w:hanging="720"/>
        <w:jc w:val="both"/>
        <w:textAlignment w:val="baseline"/>
        <w:rPr>
          <w:rFonts w:ascii="David" w:hAnsi="David" w:cs="David"/>
          <w:sz w:val="24"/>
          <w:szCs w:val="24"/>
          <w:rtl/>
        </w:rPr>
      </w:pPr>
      <w:r>
        <w:rPr>
          <w:rFonts w:cs="David" w:hint="eastAsia"/>
          <w:sz w:val="24"/>
          <w:szCs w:val="24"/>
          <w:u w:val="single"/>
          <w:rtl/>
        </w:rPr>
        <w:t>בעניינו</w:t>
      </w:r>
      <w:r>
        <w:rPr>
          <w:rFonts w:cs="David"/>
          <w:sz w:val="24"/>
          <w:szCs w:val="24"/>
          <w:u w:val="single"/>
          <w:rtl/>
        </w:rPr>
        <w:t xml:space="preserve"> </w:t>
      </w:r>
      <w:r>
        <w:rPr>
          <w:rFonts w:cs="David" w:hint="eastAsia"/>
          <w:sz w:val="24"/>
          <w:szCs w:val="24"/>
          <w:u w:val="single"/>
          <w:rtl/>
        </w:rPr>
        <w:t>של</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1</w:t>
      </w:r>
      <w:r>
        <w:rPr>
          <w:rFonts w:cs="David"/>
          <w:sz w:val="24"/>
          <w:szCs w:val="24"/>
          <w:rtl/>
        </w:rPr>
        <w:t xml:space="preserve"> </w:t>
      </w:r>
      <w:r>
        <w:rPr>
          <w:rFonts w:cs="David" w:hint="eastAsia"/>
          <w:sz w:val="24"/>
          <w:szCs w:val="24"/>
          <w:rtl/>
        </w:rPr>
        <w:t>נתתי</w:t>
      </w:r>
      <w:r>
        <w:rPr>
          <w:rFonts w:cs="David"/>
          <w:sz w:val="24"/>
          <w:szCs w:val="24"/>
          <w:rtl/>
        </w:rPr>
        <w:t xml:space="preserve"> </w:t>
      </w:r>
      <w:r>
        <w:rPr>
          <w:rFonts w:cs="David" w:hint="eastAsia"/>
          <w:sz w:val="24"/>
          <w:szCs w:val="24"/>
          <w:rtl/>
        </w:rPr>
        <w:t>דעתי</w:t>
      </w:r>
      <w:r>
        <w:rPr>
          <w:rFonts w:cs="David"/>
          <w:sz w:val="24"/>
          <w:szCs w:val="24"/>
          <w:rtl/>
        </w:rPr>
        <w:t xml:space="preserve"> </w:t>
      </w:r>
      <w:r>
        <w:rPr>
          <w:rFonts w:cs="David" w:hint="eastAsia"/>
          <w:sz w:val="24"/>
          <w:szCs w:val="24"/>
          <w:rtl/>
        </w:rPr>
        <w:t>לעברו</w:t>
      </w:r>
      <w:r>
        <w:rPr>
          <w:rFonts w:cs="David"/>
          <w:sz w:val="24"/>
          <w:szCs w:val="24"/>
          <w:rtl/>
        </w:rPr>
        <w:t xml:space="preserve"> </w:t>
      </w:r>
      <w:r>
        <w:rPr>
          <w:rFonts w:cs="David" w:hint="eastAsia"/>
          <w:sz w:val="24"/>
          <w:szCs w:val="24"/>
          <w:rtl/>
        </w:rPr>
        <w:t>הפלילי</w:t>
      </w:r>
      <w:r>
        <w:rPr>
          <w:rFonts w:cs="David"/>
          <w:sz w:val="24"/>
          <w:szCs w:val="24"/>
          <w:rtl/>
        </w:rPr>
        <w:t xml:space="preserve">. </w:t>
      </w:r>
      <w:r>
        <w:rPr>
          <w:rFonts w:cs="David" w:hint="eastAsia"/>
          <w:sz w:val="24"/>
          <w:szCs w:val="24"/>
          <w:rtl/>
        </w:rPr>
        <w:t>הלה</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מעורב</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תקיפת</w:t>
      </w:r>
      <w:r>
        <w:rPr>
          <w:rFonts w:cs="David"/>
          <w:sz w:val="24"/>
          <w:szCs w:val="24"/>
          <w:rtl/>
        </w:rPr>
        <w:t xml:space="preserve"> </w:t>
      </w:r>
      <w:r>
        <w:rPr>
          <w:rFonts w:cs="David" w:hint="eastAsia"/>
          <w:sz w:val="24"/>
          <w:szCs w:val="24"/>
          <w:rtl/>
        </w:rPr>
        <w:t>בת</w:t>
      </w:r>
      <w:r>
        <w:rPr>
          <w:rFonts w:cs="David"/>
          <w:sz w:val="24"/>
          <w:szCs w:val="24"/>
          <w:rtl/>
        </w:rPr>
        <w:t xml:space="preserve"> </w:t>
      </w:r>
      <w:r>
        <w:rPr>
          <w:rFonts w:cs="David" w:hint="eastAsia"/>
          <w:sz w:val="24"/>
          <w:szCs w:val="24"/>
          <w:rtl/>
        </w:rPr>
        <w:t>זוג</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נדון</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מנגד</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בעבר</w:t>
      </w:r>
      <w:r>
        <w:rPr>
          <w:rFonts w:cs="David"/>
          <w:sz w:val="24"/>
          <w:szCs w:val="24"/>
          <w:rtl/>
        </w:rPr>
        <w:t xml:space="preserve"> "</w:t>
      </w:r>
      <w:r>
        <w:rPr>
          <w:rFonts w:cs="David" w:hint="eastAsia"/>
          <w:sz w:val="24"/>
          <w:szCs w:val="24"/>
          <w:rtl/>
        </w:rPr>
        <w:t>ישן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בן</w:t>
      </w:r>
      <w:r>
        <w:rPr>
          <w:rFonts w:cs="David"/>
          <w:sz w:val="24"/>
          <w:szCs w:val="24"/>
          <w:rtl/>
        </w:rPr>
        <w:t xml:space="preserve"> 59 </w:t>
      </w:r>
      <w:r>
        <w:rPr>
          <w:rFonts w:cs="David" w:hint="eastAsia"/>
          <w:sz w:val="24"/>
          <w:szCs w:val="24"/>
          <w:rtl/>
        </w:rPr>
        <w:t>שנים</w:t>
      </w:r>
      <w:r>
        <w:rPr>
          <w:rFonts w:cs="David"/>
          <w:sz w:val="24"/>
          <w:szCs w:val="24"/>
          <w:rtl/>
        </w:rPr>
        <w:t xml:space="preserve">, </w:t>
      </w:r>
      <w:r>
        <w:rPr>
          <w:rFonts w:cs="David" w:hint="eastAsia"/>
          <w:sz w:val="24"/>
          <w:szCs w:val="24"/>
          <w:rtl/>
        </w:rPr>
        <w:t>אבי</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שעל</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בפרשה</w:t>
      </w:r>
      <w:r>
        <w:rPr>
          <w:rFonts w:cs="David"/>
          <w:sz w:val="24"/>
          <w:szCs w:val="24"/>
          <w:rtl/>
        </w:rPr>
        <w:t xml:space="preserve"> </w:t>
      </w:r>
      <w:r>
        <w:rPr>
          <w:rFonts w:cs="David" w:hint="eastAsia"/>
          <w:sz w:val="24"/>
          <w:szCs w:val="24"/>
          <w:rtl/>
        </w:rPr>
        <w:t>עמדתי</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ascii="David" w:hAnsi="David" w:cs="David"/>
          <w:sz w:val="24"/>
          <w:szCs w:val="24"/>
          <w:rtl/>
        </w:rPr>
        <w:t xml:space="preserve">שירות המבחן הפנה לצורך שלו בשליטה וכן לקשייו בשליטה בכעסים במצבי כעס או פגיעה בכבודו. יחד עם זאת, הנאשם הביע צער על התנהגותו וכן גילה אמפתיה למות המנוחה. עוד אפנה להתנהלות המכובדת והעניינית של הנאשם 1, כמו גם של יתר הנאשמים, במהלך כל הדיונים (גם כאשר ההליך כלל את הנאשמים 10 עד 12). בשים לב לכלל השיקולים הנוגעים לנאשם 1 קבעתי כי </w:t>
      </w:r>
      <w:r>
        <w:rPr>
          <w:rFonts w:ascii="David" w:hAnsi="David" w:cs="David"/>
          <w:b/>
          <w:bCs/>
          <w:sz w:val="24"/>
          <w:szCs w:val="24"/>
          <w:u w:val="single"/>
          <w:rtl/>
        </w:rPr>
        <w:t>יושתו על נאשם זה 8 חודשי מאסר בפועל, לריצוי בעבודות שירות</w:t>
      </w:r>
      <w:r>
        <w:rPr>
          <w:rFonts w:ascii="David" w:hAnsi="David" w:cs="David"/>
          <w:sz w:val="24"/>
          <w:szCs w:val="24"/>
          <w:rtl/>
        </w:rPr>
        <w:t>, בנוסף לרכיבי ענישה נוספים. בשים לב לכלל נסיבותיו ובכלל זאת עברו והעובדה שאין זו הפעם הראשונה שהוא ירצה מאסר בעבודות שירות, לא ניכיתי את תקופת מעצרו.</w:t>
      </w:r>
    </w:p>
    <w:p w14:paraId="1CEEABC7" w14:textId="77777777" w:rsidR="004C3216" w:rsidRDefault="004C3216" w:rsidP="005811E2">
      <w:pPr>
        <w:pStyle w:val="ListParagraph"/>
        <w:spacing w:after="0" w:line="360" w:lineRule="auto"/>
        <w:ind w:left="516" w:right="426"/>
        <w:rPr>
          <w:rFonts w:ascii="David" w:hAnsi="David" w:cs="David"/>
          <w:sz w:val="24"/>
          <w:szCs w:val="24"/>
        </w:rPr>
      </w:pPr>
    </w:p>
    <w:p w14:paraId="0B40B3D5"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 xml:space="preserve">בעניינו של הנאשם 2 </w:t>
      </w:r>
      <w:r>
        <w:rPr>
          <w:rFonts w:ascii="David" w:hAnsi="David" w:cs="David"/>
          <w:sz w:val="24"/>
          <w:szCs w:val="24"/>
          <w:rtl/>
        </w:rPr>
        <w:t xml:space="preserve">נתתי דעתי, כפי שעשיתי לגבי כלל הנאשמים, לכלל נתוניו האישים ובכלל זאת לכך כי הוא אב ל 4 ילדים, נעדר עבר פלילי שעבד עד לאירוע באופן סדיר. חרף התרשמות שירות המבחן מהנאשם כי הוא אינו מתחרט, התרשמתי ממנו אחרת וניתן לתלות את התרשמות שירות המבחן מאי רצונו לחשוף פרטים לגבי אחרים מעבר למתואר בכתב האישום המתוקן. משכך לא אזקוף לחובתו את התרשמות שירות המבחן ממנו. הנאשם היה עצור מאחורי סורג ובריח תקופה של כחודשיים ולאחר מכן היה עצור באיזוק תקופה משמעותית. כלל הנתונים מוליכים למסקנה שיש להעמיד את עונשו קרוב לרף המינימאלי של המתחם ולכן ייקבע עונשו על </w:t>
      </w:r>
      <w:r>
        <w:rPr>
          <w:rFonts w:ascii="David" w:hAnsi="David" w:cs="David"/>
          <w:b/>
          <w:bCs/>
          <w:sz w:val="24"/>
          <w:szCs w:val="24"/>
          <w:u w:val="single"/>
          <w:rtl/>
        </w:rPr>
        <w:t xml:space="preserve">3 שנות מאסר בפועל, </w:t>
      </w:r>
      <w:r>
        <w:rPr>
          <w:rFonts w:ascii="David" w:hAnsi="David" w:cs="David"/>
          <w:sz w:val="24"/>
          <w:szCs w:val="24"/>
          <w:rtl/>
        </w:rPr>
        <w:t>בנוסף לרכיבי ענישה נוספים.</w:t>
      </w:r>
    </w:p>
    <w:p w14:paraId="4C3FB13E" w14:textId="77777777" w:rsidR="004C3216" w:rsidRDefault="004C3216" w:rsidP="005811E2">
      <w:pPr>
        <w:pStyle w:val="ListParagraph"/>
        <w:spacing w:after="0" w:line="360" w:lineRule="auto"/>
        <w:ind w:left="516" w:right="426"/>
        <w:rPr>
          <w:rFonts w:ascii="David" w:hAnsi="David" w:cs="David"/>
          <w:sz w:val="24"/>
          <w:szCs w:val="24"/>
        </w:rPr>
      </w:pPr>
    </w:p>
    <w:p w14:paraId="427F8093"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ascii="David" w:hAnsi="David" w:cs="David"/>
          <w:sz w:val="24"/>
          <w:szCs w:val="24"/>
          <w:u w:val="single"/>
          <w:rtl/>
        </w:rPr>
        <w:t>לגבי הנאשם 3</w:t>
      </w:r>
      <w:r>
        <w:rPr>
          <w:rFonts w:ascii="David" w:hAnsi="David" w:cs="David"/>
          <w:sz w:val="24"/>
          <w:szCs w:val="24"/>
          <w:rtl/>
        </w:rPr>
        <w:t xml:space="preserve"> – חלקו של נאשם זה נדון ארוכות לעיל וכעת דנים במכלול נתוניו ונסיבותיו הנוגעים לעונש בתוך המתחם. הגם שעברו הפלילי אינו מכביד (נדון פעמיים למאסרים על תנאי), ניתן לטעון כי במקום שינצל את ה"אזהרות" שניתנו לו בעבר (האחרונה בשנת 2015) הוא התעלם מהן. לא בכדי העריך שירות המבחן את מסוכנותו כגבוהה, במיוחד באם מופעלים עליו לחצים על רקע משפחתי. מנגד, אפנה לכך שהנאשם גדל בתנאים שאינם קלים וללא יד מכוונת. עוד יצוין, כי הנאשם קיבל אחריות על מעשיו ובהקשר זה מקובלים עלי טיעוני בא כוחו כי קבלת האחריות המשמעותית אינה רק בפני בית המשפט, אלא גם בפני משפחתו המורחבת. שירות המבחן ציין בהקשר האחרון כי הנאשם הביע אמפתיה למנוחה ומשפחתה וכן צער. עוד אזקוף לזכותו כי הוא שימש כ"עציר-תומך", כפי שצוין בתסקיר. בניגוד לנתונים המבוססים בעיקרם על דברי נאשמים (בפני שירות המבחן או בבית המשפט) ועל רושם רגעי שהם מותירים, תפקוד כ"עציר-תומך" מחייב התנהלות חיובית וממושכת ומצביע על יכולתו של הנאשם לתרום לאחרים. בשים לב לאמור לעיל, העונש שייגזר עליו יהיה קרוב לרף התחתון של המתחם, ולכן הוא יועמד על </w:t>
      </w:r>
      <w:r>
        <w:rPr>
          <w:rFonts w:ascii="David" w:hAnsi="David" w:cs="David"/>
          <w:b/>
          <w:bCs/>
          <w:sz w:val="24"/>
          <w:szCs w:val="24"/>
          <w:u w:val="single"/>
          <w:rtl/>
        </w:rPr>
        <w:t>14.5 שנות מאסר בפועל</w:t>
      </w:r>
      <w:r>
        <w:rPr>
          <w:rFonts w:ascii="David" w:hAnsi="David" w:cs="David"/>
          <w:sz w:val="24"/>
          <w:szCs w:val="24"/>
          <w:rtl/>
        </w:rPr>
        <w:t>, בנוסף לרכיבי ענישה נוספים.</w:t>
      </w:r>
    </w:p>
    <w:p w14:paraId="30745435" w14:textId="77777777" w:rsidR="004C3216" w:rsidRDefault="004C3216" w:rsidP="005811E2">
      <w:pPr>
        <w:pStyle w:val="ListParagraph"/>
        <w:spacing w:after="0" w:line="360" w:lineRule="auto"/>
        <w:ind w:left="516" w:right="426"/>
        <w:rPr>
          <w:rFonts w:cs="David"/>
          <w:sz w:val="24"/>
          <w:szCs w:val="24"/>
        </w:rPr>
      </w:pPr>
    </w:p>
    <w:p w14:paraId="79CF2FB2"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b/>
          <w:bCs/>
          <w:sz w:val="24"/>
          <w:szCs w:val="24"/>
          <w:u w:val="single"/>
          <w:rtl/>
        </w:rPr>
      </w:pPr>
      <w:r>
        <w:rPr>
          <w:rFonts w:cs="David" w:hint="eastAsia"/>
          <w:sz w:val="24"/>
          <w:szCs w:val="24"/>
          <w:u w:val="single"/>
          <w:rtl/>
        </w:rPr>
        <w:t>לגבי</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4</w:t>
      </w:r>
      <w:r>
        <w:rPr>
          <w:rFonts w:cs="David"/>
          <w:sz w:val="24"/>
          <w:szCs w:val="24"/>
          <w:rtl/>
        </w:rPr>
        <w:t xml:space="preserve"> – </w:t>
      </w:r>
      <w:r>
        <w:rPr>
          <w:rFonts w:cs="David" w:hint="eastAsia"/>
          <w:sz w:val="24"/>
          <w:szCs w:val="24"/>
          <w:rtl/>
        </w:rPr>
        <w:t>נתוניו</w:t>
      </w:r>
      <w:r>
        <w:rPr>
          <w:rFonts w:cs="David"/>
          <w:sz w:val="24"/>
          <w:szCs w:val="24"/>
          <w:rtl/>
        </w:rPr>
        <w:t xml:space="preserve">, </w:t>
      </w:r>
      <w:r>
        <w:rPr>
          <w:rFonts w:cs="David" w:hint="eastAsia"/>
          <w:sz w:val="24"/>
          <w:szCs w:val="24"/>
          <w:rtl/>
        </w:rPr>
        <w:t>רובם</w:t>
      </w:r>
      <w:r>
        <w:rPr>
          <w:rFonts w:cs="David"/>
          <w:sz w:val="24"/>
          <w:szCs w:val="24"/>
          <w:rtl/>
        </w:rPr>
        <w:t xml:space="preserve"> </w:t>
      </w:r>
      <w:r>
        <w:rPr>
          <w:rFonts w:cs="David" w:hint="eastAsia"/>
          <w:sz w:val="24"/>
          <w:szCs w:val="24"/>
          <w:rtl/>
        </w:rPr>
        <w:t>ככולם</w:t>
      </w:r>
      <w:r>
        <w:rPr>
          <w:rFonts w:cs="David"/>
          <w:sz w:val="24"/>
          <w:szCs w:val="24"/>
          <w:rtl/>
        </w:rPr>
        <w:t xml:space="preserve">, </w:t>
      </w:r>
      <w:r>
        <w:rPr>
          <w:rFonts w:cs="David" w:hint="eastAsia"/>
          <w:sz w:val="24"/>
          <w:szCs w:val="24"/>
          <w:rtl/>
        </w:rPr>
        <w:t>חיוביים</w:t>
      </w:r>
      <w:r>
        <w:rPr>
          <w:rFonts w:cs="David"/>
          <w:sz w:val="24"/>
          <w:szCs w:val="24"/>
          <w:rtl/>
        </w:rPr>
        <w:t xml:space="preserve">. </w:t>
      </w:r>
      <w:r>
        <w:rPr>
          <w:rFonts w:cs="David" w:hint="eastAsia"/>
          <w:sz w:val="24"/>
          <w:szCs w:val="24"/>
          <w:rtl/>
        </w:rPr>
        <w:t>מצופה</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לגילו</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בגילאי</w:t>
      </w:r>
      <w:r>
        <w:rPr>
          <w:rFonts w:cs="David"/>
          <w:sz w:val="24"/>
          <w:szCs w:val="24"/>
          <w:rtl/>
        </w:rPr>
        <w:t xml:space="preserve"> </w:t>
      </w:r>
      <w:r>
        <w:rPr>
          <w:rFonts w:cs="David" w:hint="eastAsia"/>
          <w:sz w:val="24"/>
          <w:szCs w:val="24"/>
          <w:rtl/>
        </w:rPr>
        <w:t>ה</w:t>
      </w:r>
      <w:r>
        <w:rPr>
          <w:rFonts w:cs="David"/>
          <w:sz w:val="24"/>
          <w:szCs w:val="24"/>
          <w:rtl/>
        </w:rPr>
        <w:t xml:space="preserve"> 20 </w:t>
      </w:r>
      <w:r>
        <w:rPr>
          <w:rFonts w:cs="David" w:hint="eastAsia"/>
          <w:sz w:val="24"/>
          <w:szCs w:val="24"/>
          <w:rtl/>
        </w:rPr>
        <w:t>כחלק</w:t>
      </w:r>
      <w:r>
        <w:rPr>
          <w:rFonts w:cs="David"/>
          <w:sz w:val="24"/>
          <w:szCs w:val="24"/>
          <w:rtl/>
        </w:rPr>
        <w:t xml:space="preserve"> </w:t>
      </w:r>
      <w:r>
        <w:rPr>
          <w:rFonts w:cs="David" w:hint="eastAsia"/>
          <w:sz w:val="24"/>
          <w:szCs w:val="24"/>
          <w:rtl/>
        </w:rPr>
        <w:t>מהנאשמים</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בן</w:t>
      </w:r>
      <w:r>
        <w:rPr>
          <w:rFonts w:cs="David"/>
          <w:sz w:val="24"/>
          <w:szCs w:val="24"/>
          <w:rtl/>
        </w:rPr>
        <w:t xml:space="preserve"> 34 </w:t>
      </w:r>
      <w:r>
        <w:rPr>
          <w:rFonts w:cs="David" w:hint="eastAsia"/>
          <w:sz w:val="24"/>
          <w:szCs w:val="24"/>
          <w:rtl/>
        </w:rPr>
        <w:t>ובעל</w:t>
      </w:r>
      <w:r>
        <w:rPr>
          <w:rFonts w:cs="David"/>
          <w:sz w:val="24"/>
          <w:szCs w:val="24"/>
          <w:rtl/>
        </w:rPr>
        <w:t xml:space="preserve"> </w:t>
      </w:r>
      <w:r>
        <w:rPr>
          <w:rFonts w:cs="David" w:hint="eastAsia"/>
          <w:sz w:val="24"/>
          <w:szCs w:val="24"/>
          <w:rtl/>
        </w:rPr>
        <w:t>משפחה</w:t>
      </w:r>
      <w:r>
        <w:rPr>
          <w:rFonts w:cs="David"/>
          <w:sz w:val="24"/>
          <w:szCs w:val="24"/>
          <w:rtl/>
        </w:rPr>
        <w:t xml:space="preserve">, </w:t>
      </w:r>
      <w:r>
        <w:rPr>
          <w:rFonts w:cs="David" w:hint="eastAsia"/>
          <w:sz w:val="24"/>
          <w:szCs w:val="24"/>
          <w:rtl/>
        </w:rPr>
        <w:t>שידע</w:t>
      </w:r>
      <w:r>
        <w:rPr>
          <w:rFonts w:cs="David"/>
          <w:sz w:val="24"/>
          <w:szCs w:val="24"/>
          <w:rtl/>
        </w:rPr>
        <w:t xml:space="preserve"> </w:t>
      </w:r>
      <w:r>
        <w:rPr>
          <w:rFonts w:cs="David" w:hint="eastAsia"/>
          <w:sz w:val="24"/>
          <w:szCs w:val="24"/>
          <w:rtl/>
        </w:rPr>
        <w:t>לרסן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הנאשמים</w:t>
      </w:r>
      <w:r>
        <w:rPr>
          <w:rFonts w:cs="David"/>
          <w:sz w:val="24"/>
          <w:szCs w:val="24"/>
          <w:rtl/>
        </w:rPr>
        <w:t xml:space="preserve">. </w:t>
      </w:r>
      <w:r>
        <w:rPr>
          <w:rFonts w:cs="David" w:hint="eastAsia"/>
          <w:sz w:val="24"/>
          <w:szCs w:val="24"/>
          <w:rtl/>
        </w:rPr>
        <w:t>מנגד</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קטן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אחז</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ומסוכנותו</w:t>
      </w:r>
      <w:r>
        <w:rPr>
          <w:rFonts w:cs="David"/>
          <w:sz w:val="24"/>
          <w:szCs w:val="24"/>
          <w:rtl/>
        </w:rPr>
        <w:t xml:space="preserve"> </w:t>
      </w:r>
      <w:r>
        <w:rPr>
          <w:rFonts w:cs="David" w:hint="eastAsia"/>
          <w:sz w:val="24"/>
          <w:szCs w:val="24"/>
          <w:rtl/>
        </w:rPr>
        <w:t>נמוכה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עצור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פחות</w:t>
      </w:r>
      <w:r>
        <w:rPr>
          <w:rFonts w:cs="David"/>
          <w:sz w:val="24"/>
          <w:szCs w:val="24"/>
          <w:rtl/>
        </w:rPr>
        <w:t xml:space="preserve"> </w:t>
      </w:r>
      <w:r>
        <w:rPr>
          <w:rFonts w:cs="David" w:hint="eastAsia"/>
          <w:sz w:val="24"/>
          <w:szCs w:val="24"/>
          <w:rtl/>
        </w:rPr>
        <w:t>מ</w:t>
      </w:r>
      <w:r>
        <w:rPr>
          <w:rFonts w:cs="David"/>
          <w:sz w:val="24"/>
          <w:szCs w:val="24"/>
          <w:rtl/>
        </w:rPr>
        <w:t xml:space="preserve"> 4 </w:t>
      </w:r>
      <w:r>
        <w:rPr>
          <w:rFonts w:cs="David" w:hint="eastAsia"/>
          <w:sz w:val="24"/>
          <w:szCs w:val="24"/>
          <w:rtl/>
        </w:rPr>
        <w:t>חודשים</w:t>
      </w:r>
      <w:r>
        <w:rPr>
          <w:rFonts w:cs="David"/>
          <w:sz w:val="24"/>
          <w:szCs w:val="24"/>
          <w:rtl/>
        </w:rPr>
        <w:t xml:space="preserve"> (</w:t>
      </w:r>
      <w:r>
        <w:rPr>
          <w:rFonts w:cs="David" w:hint="eastAsia"/>
          <w:sz w:val="24"/>
          <w:szCs w:val="24"/>
          <w:rtl/>
        </w:rPr>
        <w:t>מיום</w:t>
      </w:r>
      <w:r>
        <w:rPr>
          <w:rFonts w:cs="David"/>
          <w:sz w:val="24"/>
          <w:szCs w:val="24"/>
          <w:rtl/>
        </w:rPr>
        <w:t xml:space="preserve"> 18.7.17 </w:t>
      </w:r>
      <w:r>
        <w:rPr>
          <w:rFonts w:cs="David" w:hint="eastAsia"/>
          <w:sz w:val="24"/>
          <w:szCs w:val="24"/>
          <w:rtl/>
        </w:rPr>
        <w:t>ועד</w:t>
      </w:r>
      <w:r>
        <w:rPr>
          <w:rFonts w:cs="David"/>
          <w:sz w:val="24"/>
          <w:szCs w:val="24"/>
          <w:rtl/>
        </w:rPr>
        <w:t xml:space="preserve"> </w:t>
      </w:r>
      <w:r>
        <w:rPr>
          <w:rFonts w:cs="David" w:hint="eastAsia"/>
          <w:sz w:val="24"/>
          <w:szCs w:val="24"/>
          <w:rtl/>
        </w:rPr>
        <w:t>ליום</w:t>
      </w:r>
      <w:r>
        <w:rPr>
          <w:rFonts w:cs="David"/>
          <w:sz w:val="24"/>
          <w:szCs w:val="24"/>
          <w:rtl/>
        </w:rPr>
        <w:t xml:space="preserve"> 23.11.17), </w:t>
      </w:r>
      <w:r>
        <w:rPr>
          <w:rFonts w:cs="David" w:hint="eastAsia"/>
          <w:sz w:val="24"/>
          <w:szCs w:val="24"/>
          <w:rtl/>
        </w:rPr>
        <w:t>מדובר</w:t>
      </w:r>
      <w:r>
        <w:rPr>
          <w:rFonts w:cs="David"/>
          <w:sz w:val="24"/>
          <w:szCs w:val="24"/>
          <w:rtl/>
        </w:rPr>
        <w:t xml:space="preserve"> </w:t>
      </w:r>
      <w:r>
        <w:rPr>
          <w:rFonts w:cs="David" w:hint="eastAsia"/>
          <w:sz w:val="24"/>
          <w:szCs w:val="24"/>
          <w:rtl/>
        </w:rPr>
        <w:t>בתקופה</w:t>
      </w:r>
      <w:r>
        <w:rPr>
          <w:rFonts w:cs="David"/>
          <w:sz w:val="24"/>
          <w:szCs w:val="24"/>
          <w:rtl/>
        </w:rPr>
        <w:t xml:space="preserve"> </w:t>
      </w:r>
      <w:r>
        <w:rPr>
          <w:rFonts w:cs="David" w:hint="eastAsia"/>
          <w:sz w:val="24"/>
          <w:szCs w:val="24"/>
          <w:rtl/>
        </w:rPr>
        <w:t>משמעותית</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באיזוק</w:t>
      </w:r>
      <w:r>
        <w:rPr>
          <w:rFonts w:cs="David"/>
          <w:sz w:val="24"/>
          <w:szCs w:val="24"/>
          <w:rtl/>
        </w:rPr>
        <w:t xml:space="preserve"> </w:t>
      </w:r>
      <w:r>
        <w:rPr>
          <w:rFonts w:cs="David" w:hint="eastAsia"/>
          <w:sz w:val="24"/>
          <w:szCs w:val="24"/>
          <w:rtl/>
        </w:rPr>
        <w:t>אלק</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לשל</w:t>
      </w:r>
      <w:r>
        <w:rPr>
          <w:rFonts w:cs="David"/>
          <w:sz w:val="24"/>
          <w:szCs w:val="24"/>
          <w:rtl/>
        </w:rPr>
        <w:t>"</w:t>
      </w:r>
      <w:r>
        <w:rPr>
          <w:rFonts w:cs="David" w:hint="eastAsia"/>
          <w:sz w:val="24"/>
          <w:szCs w:val="24"/>
          <w:rtl/>
        </w:rPr>
        <w:t>צ</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וכלל</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לכלל</w:t>
      </w:r>
      <w:r>
        <w:rPr>
          <w:rFonts w:cs="David"/>
          <w:sz w:val="24"/>
          <w:szCs w:val="24"/>
          <w:rtl/>
        </w:rPr>
        <w:t xml:space="preserve"> </w:t>
      </w:r>
      <w:r>
        <w:rPr>
          <w:rFonts w:cs="David" w:hint="eastAsia"/>
          <w:sz w:val="24"/>
          <w:szCs w:val="24"/>
          <w:rtl/>
        </w:rPr>
        <w:t>הנתונים</w:t>
      </w:r>
      <w:r>
        <w:rPr>
          <w:rFonts w:cs="David"/>
          <w:sz w:val="24"/>
          <w:szCs w:val="24"/>
          <w:rtl/>
        </w:rPr>
        <w:t xml:space="preserve"> </w:t>
      </w:r>
      <w:r>
        <w:rPr>
          <w:rFonts w:cs="David" w:hint="eastAsia"/>
          <w:sz w:val="24"/>
          <w:szCs w:val="24"/>
          <w:rtl/>
        </w:rPr>
        <w:t>והמתחם</w:t>
      </w:r>
      <w:r>
        <w:rPr>
          <w:rFonts w:cs="David"/>
          <w:sz w:val="24"/>
          <w:szCs w:val="24"/>
          <w:rtl/>
        </w:rPr>
        <w:t xml:space="preserve"> </w:t>
      </w:r>
      <w:r>
        <w:rPr>
          <w:rFonts w:cs="David" w:hint="eastAsia"/>
          <w:sz w:val="24"/>
          <w:szCs w:val="24"/>
          <w:rtl/>
        </w:rPr>
        <w:t>שנקבע</w:t>
      </w:r>
      <w:r>
        <w:rPr>
          <w:rFonts w:cs="David"/>
          <w:sz w:val="24"/>
          <w:szCs w:val="24"/>
          <w:rtl/>
        </w:rPr>
        <w:t xml:space="preserve">, </w:t>
      </w:r>
      <w:r>
        <w:rPr>
          <w:rFonts w:cs="David" w:hint="eastAsia"/>
          <w:b/>
          <w:bCs/>
          <w:sz w:val="24"/>
          <w:szCs w:val="24"/>
          <w:u w:val="single"/>
          <w:rtl/>
        </w:rPr>
        <w:t>ייקבע</w:t>
      </w:r>
      <w:r>
        <w:rPr>
          <w:rFonts w:cs="David"/>
          <w:b/>
          <w:bCs/>
          <w:sz w:val="24"/>
          <w:szCs w:val="24"/>
          <w:u w:val="single"/>
          <w:rtl/>
        </w:rPr>
        <w:t xml:space="preserve"> </w:t>
      </w:r>
      <w:r>
        <w:rPr>
          <w:rFonts w:cs="David" w:hint="eastAsia"/>
          <w:b/>
          <w:bCs/>
          <w:sz w:val="24"/>
          <w:szCs w:val="24"/>
          <w:u w:val="single"/>
          <w:rtl/>
        </w:rPr>
        <w:t>עונשו</w:t>
      </w:r>
      <w:r>
        <w:rPr>
          <w:rFonts w:cs="David"/>
          <w:b/>
          <w:bCs/>
          <w:sz w:val="24"/>
          <w:szCs w:val="24"/>
          <w:u w:val="single"/>
          <w:rtl/>
        </w:rPr>
        <w:t xml:space="preserve"> </w:t>
      </w:r>
      <w:r>
        <w:rPr>
          <w:rFonts w:cs="David" w:hint="eastAsia"/>
          <w:b/>
          <w:bCs/>
          <w:sz w:val="24"/>
          <w:szCs w:val="24"/>
          <w:u w:val="single"/>
          <w:rtl/>
        </w:rPr>
        <w:t>על</w:t>
      </w:r>
      <w:r>
        <w:rPr>
          <w:rFonts w:cs="David"/>
          <w:b/>
          <w:bCs/>
          <w:sz w:val="24"/>
          <w:szCs w:val="24"/>
          <w:u w:val="single"/>
          <w:rtl/>
        </w:rPr>
        <w:t xml:space="preserve"> 7 </w:t>
      </w:r>
      <w:r>
        <w:rPr>
          <w:rFonts w:cs="David" w:hint="eastAsia"/>
          <w:b/>
          <w:bCs/>
          <w:sz w:val="24"/>
          <w:szCs w:val="24"/>
          <w:u w:val="single"/>
          <w:rtl/>
        </w:rPr>
        <w:t>חודשי</w:t>
      </w:r>
      <w:r>
        <w:rPr>
          <w:rFonts w:cs="David"/>
          <w:b/>
          <w:bCs/>
          <w:sz w:val="24"/>
          <w:szCs w:val="24"/>
          <w:u w:val="single"/>
          <w:rtl/>
        </w:rPr>
        <w:t xml:space="preserve"> </w:t>
      </w:r>
      <w:r>
        <w:rPr>
          <w:rFonts w:cs="David" w:hint="eastAsia"/>
          <w:b/>
          <w:bCs/>
          <w:sz w:val="24"/>
          <w:szCs w:val="24"/>
          <w:u w:val="single"/>
          <w:rtl/>
        </w:rPr>
        <w:t>מאסר</w:t>
      </w:r>
      <w:r>
        <w:rPr>
          <w:rFonts w:cs="David"/>
          <w:b/>
          <w:bCs/>
          <w:sz w:val="24"/>
          <w:szCs w:val="24"/>
          <w:u w:val="single"/>
          <w:rtl/>
        </w:rPr>
        <w:t xml:space="preserve"> </w:t>
      </w:r>
      <w:r>
        <w:rPr>
          <w:rFonts w:cs="David" w:hint="eastAsia"/>
          <w:b/>
          <w:bCs/>
          <w:sz w:val="24"/>
          <w:szCs w:val="24"/>
          <w:u w:val="single"/>
          <w:rtl/>
        </w:rPr>
        <w:t>בפועל</w:t>
      </w:r>
      <w:r>
        <w:rPr>
          <w:rFonts w:cs="David"/>
          <w:b/>
          <w:bCs/>
          <w:sz w:val="24"/>
          <w:szCs w:val="24"/>
          <w:u w:val="single"/>
          <w:rtl/>
        </w:rPr>
        <w:t xml:space="preserve">, </w:t>
      </w:r>
      <w:r>
        <w:rPr>
          <w:rFonts w:cs="David" w:hint="eastAsia"/>
          <w:b/>
          <w:bCs/>
          <w:sz w:val="24"/>
          <w:szCs w:val="24"/>
          <w:u w:val="single"/>
          <w:rtl/>
        </w:rPr>
        <w:t>בניכוי</w:t>
      </w:r>
      <w:r>
        <w:rPr>
          <w:rFonts w:cs="David"/>
          <w:b/>
          <w:bCs/>
          <w:sz w:val="24"/>
          <w:szCs w:val="24"/>
          <w:u w:val="single"/>
          <w:rtl/>
        </w:rPr>
        <w:t xml:space="preserve"> </w:t>
      </w:r>
      <w:r>
        <w:rPr>
          <w:rFonts w:cs="David" w:hint="eastAsia"/>
          <w:b/>
          <w:bCs/>
          <w:sz w:val="24"/>
          <w:szCs w:val="24"/>
          <w:u w:val="single"/>
          <w:rtl/>
        </w:rPr>
        <w:t>תקופת</w:t>
      </w:r>
      <w:r>
        <w:rPr>
          <w:rFonts w:cs="David"/>
          <w:b/>
          <w:bCs/>
          <w:sz w:val="24"/>
          <w:szCs w:val="24"/>
          <w:u w:val="single"/>
          <w:rtl/>
        </w:rPr>
        <w:t xml:space="preserve"> </w:t>
      </w:r>
      <w:r>
        <w:rPr>
          <w:rFonts w:cs="David" w:hint="eastAsia"/>
          <w:b/>
          <w:bCs/>
          <w:sz w:val="24"/>
          <w:szCs w:val="24"/>
          <w:u w:val="single"/>
          <w:rtl/>
        </w:rPr>
        <w:t>מעצרו</w:t>
      </w:r>
      <w:r>
        <w:rPr>
          <w:rFonts w:cs="David"/>
          <w:b/>
          <w:bCs/>
          <w:sz w:val="24"/>
          <w:szCs w:val="24"/>
          <w:u w:val="single"/>
          <w:rtl/>
        </w:rPr>
        <w:t xml:space="preserve">, </w:t>
      </w:r>
      <w:r>
        <w:rPr>
          <w:rFonts w:cs="David" w:hint="eastAsia"/>
          <w:b/>
          <w:bCs/>
          <w:sz w:val="24"/>
          <w:szCs w:val="24"/>
          <w:u w:val="single"/>
          <w:rtl/>
        </w:rPr>
        <w:t>כאשר</w:t>
      </w:r>
      <w:r>
        <w:rPr>
          <w:rFonts w:cs="David"/>
          <w:b/>
          <w:bCs/>
          <w:sz w:val="24"/>
          <w:szCs w:val="24"/>
          <w:u w:val="single"/>
          <w:rtl/>
        </w:rPr>
        <w:t xml:space="preserve"> </w:t>
      </w:r>
      <w:r>
        <w:rPr>
          <w:rFonts w:cs="David" w:hint="eastAsia"/>
          <w:b/>
          <w:bCs/>
          <w:sz w:val="24"/>
          <w:szCs w:val="24"/>
          <w:u w:val="single"/>
          <w:rtl/>
        </w:rPr>
        <w:t>היתרה</w:t>
      </w:r>
      <w:r>
        <w:rPr>
          <w:rFonts w:cs="David"/>
          <w:b/>
          <w:bCs/>
          <w:sz w:val="24"/>
          <w:szCs w:val="24"/>
          <w:u w:val="single"/>
          <w:rtl/>
        </w:rPr>
        <w:t xml:space="preserve"> </w:t>
      </w:r>
      <w:r>
        <w:rPr>
          <w:rFonts w:cs="David" w:hint="eastAsia"/>
          <w:b/>
          <w:bCs/>
          <w:sz w:val="24"/>
          <w:szCs w:val="24"/>
          <w:u w:val="single"/>
          <w:rtl/>
        </w:rPr>
        <w:t>תרוצה</w:t>
      </w:r>
      <w:r>
        <w:rPr>
          <w:rFonts w:cs="David"/>
          <w:b/>
          <w:bCs/>
          <w:sz w:val="24"/>
          <w:szCs w:val="24"/>
          <w:u w:val="single"/>
          <w:rtl/>
        </w:rPr>
        <w:t xml:space="preserve"> </w:t>
      </w:r>
      <w:r>
        <w:rPr>
          <w:rFonts w:cs="David" w:hint="eastAsia"/>
          <w:b/>
          <w:bCs/>
          <w:sz w:val="24"/>
          <w:szCs w:val="24"/>
          <w:u w:val="single"/>
          <w:rtl/>
        </w:rPr>
        <w:t>בע</w:t>
      </w:r>
      <w:r>
        <w:rPr>
          <w:rFonts w:cs="David"/>
          <w:b/>
          <w:bCs/>
          <w:sz w:val="24"/>
          <w:szCs w:val="24"/>
          <w:u w:val="single"/>
          <w:rtl/>
        </w:rPr>
        <w:t>"</w:t>
      </w:r>
      <w:r>
        <w:rPr>
          <w:rFonts w:cs="David" w:hint="eastAsia"/>
          <w:b/>
          <w:bCs/>
          <w:sz w:val="24"/>
          <w:szCs w:val="24"/>
          <w:u w:val="single"/>
          <w:rtl/>
        </w:rPr>
        <w:t>ש</w:t>
      </w:r>
      <w:r>
        <w:rPr>
          <w:rFonts w:cs="David"/>
          <w:sz w:val="24"/>
          <w:szCs w:val="24"/>
          <w:rtl/>
        </w:rPr>
        <w:t xml:space="preserve">, </w:t>
      </w:r>
      <w:r>
        <w:rPr>
          <w:rFonts w:ascii="David" w:hAnsi="David" w:cs="David"/>
          <w:sz w:val="24"/>
          <w:szCs w:val="24"/>
          <w:rtl/>
        </w:rPr>
        <w:t>בנוסף לרכיבי ענישה נוספים.</w:t>
      </w:r>
    </w:p>
    <w:p w14:paraId="1C65B395" w14:textId="77777777" w:rsidR="004C3216" w:rsidRDefault="004C3216" w:rsidP="005811E2">
      <w:pPr>
        <w:pStyle w:val="ListParagraph"/>
        <w:spacing w:after="0" w:line="360" w:lineRule="auto"/>
        <w:ind w:left="516" w:right="426"/>
        <w:rPr>
          <w:rFonts w:cs="David"/>
          <w:b/>
          <w:bCs/>
          <w:sz w:val="24"/>
          <w:szCs w:val="24"/>
          <w:u w:val="single"/>
        </w:rPr>
      </w:pPr>
    </w:p>
    <w:p w14:paraId="04A70E9C"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cs="David" w:hint="eastAsia"/>
          <w:sz w:val="24"/>
          <w:szCs w:val="24"/>
          <w:u w:val="single"/>
          <w:rtl/>
        </w:rPr>
        <w:t>לגבי</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5</w:t>
      </w:r>
      <w:r>
        <w:rPr>
          <w:rFonts w:cs="David"/>
          <w:sz w:val="24"/>
          <w:szCs w:val="24"/>
          <w:rtl/>
        </w:rPr>
        <w:t xml:space="preserve"> - </w:t>
      </w:r>
      <w:r>
        <w:rPr>
          <w:rFonts w:cs="David" w:hint="eastAsia"/>
          <w:sz w:val="24"/>
          <w:szCs w:val="24"/>
          <w:rtl/>
        </w:rPr>
        <w:t>הלה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איומים</w:t>
      </w:r>
      <w:r>
        <w:rPr>
          <w:rFonts w:cs="David"/>
          <w:sz w:val="24"/>
          <w:szCs w:val="24"/>
          <w:rtl/>
        </w:rPr>
        <w:t xml:space="preserve"> </w:t>
      </w:r>
      <w:r>
        <w:rPr>
          <w:rFonts w:cs="David" w:hint="eastAsia"/>
          <w:sz w:val="24"/>
          <w:szCs w:val="24"/>
          <w:rtl/>
        </w:rPr>
        <w:t>והמתחם</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ועד</w:t>
      </w:r>
      <w:r>
        <w:rPr>
          <w:rFonts w:cs="David"/>
          <w:sz w:val="24"/>
          <w:szCs w:val="24"/>
          <w:rtl/>
        </w:rPr>
        <w:t xml:space="preserve"> 18 </w:t>
      </w:r>
      <w:r>
        <w:rPr>
          <w:rFonts w:cs="David" w:hint="eastAsia"/>
          <w:sz w:val="24"/>
          <w:szCs w:val="24"/>
          <w:rtl/>
        </w:rPr>
        <w:t>חודשים</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בבחור</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נעדר</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גדל</w:t>
      </w:r>
      <w:r>
        <w:rPr>
          <w:rFonts w:cs="David"/>
          <w:sz w:val="24"/>
          <w:szCs w:val="24"/>
          <w:rtl/>
        </w:rPr>
        <w:t xml:space="preserve"> </w:t>
      </w:r>
      <w:r>
        <w:rPr>
          <w:rFonts w:cs="David" w:hint="eastAsia"/>
          <w:sz w:val="24"/>
          <w:szCs w:val="24"/>
          <w:rtl/>
        </w:rPr>
        <w:t>במשפחה</w:t>
      </w:r>
      <w:r>
        <w:rPr>
          <w:rFonts w:cs="David"/>
          <w:sz w:val="24"/>
          <w:szCs w:val="24"/>
          <w:rtl/>
        </w:rPr>
        <w:t xml:space="preserve"> </w:t>
      </w:r>
      <w:r>
        <w:rPr>
          <w:rFonts w:cs="David" w:hint="eastAsia"/>
          <w:sz w:val="24"/>
          <w:szCs w:val="24"/>
          <w:rtl/>
        </w:rPr>
        <w:t>נורמטיבית</w:t>
      </w:r>
      <w:r>
        <w:rPr>
          <w:rFonts w:cs="David"/>
          <w:sz w:val="24"/>
          <w:szCs w:val="24"/>
          <w:rtl/>
        </w:rPr>
        <w:t xml:space="preserve">, </w:t>
      </w:r>
      <w:r>
        <w:rPr>
          <w:rFonts w:cs="David" w:hint="eastAsia"/>
          <w:sz w:val="24"/>
          <w:szCs w:val="24"/>
          <w:rtl/>
        </w:rPr>
        <w:t>סיים</w:t>
      </w:r>
      <w:r>
        <w:rPr>
          <w:rFonts w:cs="David"/>
          <w:sz w:val="24"/>
          <w:szCs w:val="24"/>
          <w:rtl/>
        </w:rPr>
        <w:t xml:space="preserve"> 12 </w:t>
      </w:r>
      <w:r>
        <w:rPr>
          <w:rFonts w:cs="David" w:hint="eastAsia"/>
          <w:sz w:val="24"/>
          <w:szCs w:val="24"/>
          <w:rtl/>
        </w:rPr>
        <w:t>שנות</w:t>
      </w:r>
      <w:r>
        <w:rPr>
          <w:rFonts w:cs="David"/>
          <w:sz w:val="24"/>
          <w:szCs w:val="24"/>
          <w:rtl/>
        </w:rPr>
        <w:t xml:space="preserve"> </w:t>
      </w:r>
      <w:r>
        <w:rPr>
          <w:rFonts w:cs="David" w:hint="eastAsia"/>
          <w:sz w:val="24"/>
          <w:szCs w:val="24"/>
          <w:rtl/>
        </w:rPr>
        <w:t>לימוד</w:t>
      </w:r>
      <w:r>
        <w:rPr>
          <w:rFonts w:cs="David"/>
          <w:sz w:val="24"/>
          <w:szCs w:val="24"/>
          <w:rtl/>
        </w:rPr>
        <w:t xml:space="preserve"> </w:t>
      </w:r>
      <w:r>
        <w:rPr>
          <w:rFonts w:cs="David" w:hint="eastAsia"/>
          <w:sz w:val="24"/>
          <w:szCs w:val="24"/>
          <w:rtl/>
        </w:rPr>
        <w:t>והתעתד</w:t>
      </w:r>
      <w:r>
        <w:rPr>
          <w:rFonts w:cs="David"/>
          <w:sz w:val="24"/>
          <w:szCs w:val="24"/>
          <w:rtl/>
        </w:rPr>
        <w:t xml:space="preserve"> </w:t>
      </w:r>
      <w:r>
        <w:rPr>
          <w:rFonts w:cs="David" w:hint="eastAsia"/>
          <w:sz w:val="24"/>
          <w:szCs w:val="24"/>
          <w:rtl/>
        </w:rPr>
        <w:t>להמשיך</w:t>
      </w:r>
      <w:r>
        <w:rPr>
          <w:rFonts w:cs="David"/>
          <w:sz w:val="24"/>
          <w:szCs w:val="24"/>
          <w:rtl/>
        </w:rPr>
        <w:t xml:space="preserve"> </w:t>
      </w:r>
      <w:r>
        <w:rPr>
          <w:rFonts w:cs="David" w:hint="eastAsia"/>
          <w:sz w:val="24"/>
          <w:szCs w:val="24"/>
          <w:rtl/>
        </w:rPr>
        <w:t>בלימודים</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קטע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תכניותיו</w:t>
      </w:r>
      <w:r>
        <w:rPr>
          <w:rFonts w:cs="David"/>
          <w:sz w:val="24"/>
          <w:szCs w:val="24"/>
          <w:rtl/>
        </w:rPr>
        <w:t xml:space="preserve"> </w:t>
      </w:r>
      <w:r>
        <w:rPr>
          <w:rFonts w:cs="David" w:hint="eastAsia"/>
          <w:sz w:val="24"/>
          <w:szCs w:val="24"/>
          <w:rtl/>
        </w:rPr>
        <w:t>ויש</w:t>
      </w:r>
      <w:r>
        <w:rPr>
          <w:rFonts w:cs="David"/>
          <w:sz w:val="24"/>
          <w:szCs w:val="24"/>
          <w:rtl/>
        </w:rPr>
        <w:t xml:space="preserve"> </w:t>
      </w:r>
      <w:r>
        <w:rPr>
          <w:rFonts w:cs="David" w:hint="eastAsia"/>
          <w:sz w:val="24"/>
          <w:szCs w:val="24"/>
          <w:rtl/>
        </w:rPr>
        <w:t>לקוות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בהליך</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ראשון</w:t>
      </w:r>
      <w:r>
        <w:rPr>
          <w:rFonts w:cs="David"/>
          <w:sz w:val="24"/>
          <w:szCs w:val="24"/>
          <w:rtl/>
        </w:rPr>
        <w:t xml:space="preserve"> </w:t>
      </w:r>
      <w:r>
        <w:rPr>
          <w:rFonts w:cs="David" w:hint="eastAsia"/>
          <w:sz w:val="24"/>
          <w:szCs w:val="24"/>
          <w:rtl/>
        </w:rPr>
        <w:t>ואחרון</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ועם</w:t>
      </w:r>
      <w:r>
        <w:rPr>
          <w:rFonts w:cs="David"/>
          <w:sz w:val="24"/>
          <w:szCs w:val="24"/>
          <w:rtl/>
        </w:rPr>
        <w:t xml:space="preserve"> </w:t>
      </w:r>
      <w:r>
        <w:rPr>
          <w:rFonts w:cs="David" w:hint="eastAsia"/>
          <w:sz w:val="24"/>
          <w:szCs w:val="24"/>
          <w:rtl/>
        </w:rPr>
        <w:t>סיומו</w:t>
      </w:r>
      <w:r>
        <w:rPr>
          <w:rFonts w:cs="David"/>
          <w:sz w:val="24"/>
          <w:szCs w:val="24"/>
          <w:rtl/>
        </w:rPr>
        <w:t xml:space="preserve"> </w:t>
      </w:r>
      <w:r>
        <w:rPr>
          <w:rFonts w:cs="David" w:hint="eastAsia"/>
          <w:sz w:val="24"/>
          <w:szCs w:val="24"/>
          <w:rtl/>
        </w:rPr>
        <w:t>ישוב</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למסלול</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תקין</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שהה</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מיום</w:t>
      </w:r>
      <w:r>
        <w:rPr>
          <w:rFonts w:cs="David"/>
          <w:sz w:val="24"/>
          <w:szCs w:val="24"/>
          <w:rtl/>
        </w:rPr>
        <w:t xml:space="preserve"> 18.7.17 </w:t>
      </w:r>
      <w:r>
        <w:rPr>
          <w:rFonts w:cs="David" w:hint="eastAsia"/>
          <w:sz w:val="24"/>
          <w:szCs w:val="24"/>
          <w:rtl/>
        </w:rPr>
        <w:t>ועד</w:t>
      </w:r>
      <w:r>
        <w:rPr>
          <w:rFonts w:cs="David"/>
          <w:sz w:val="24"/>
          <w:szCs w:val="24"/>
          <w:rtl/>
        </w:rPr>
        <w:t xml:space="preserve"> </w:t>
      </w:r>
      <w:r>
        <w:rPr>
          <w:rFonts w:cs="David" w:hint="eastAsia"/>
          <w:sz w:val="24"/>
          <w:szCs w:val="24"/>
          <w:rtl/>
        </w:rPr>
        <w:t>יום</w:t>
      </w:r>
      <w:r>
        <w:rPr>
          <w:rFonts w:cs="David"/>
          <w:sz w:val="24"/>
          <w:szCs w:val="24"/>
          <w:rtl/>
        </w:rPr>
        <w:t xml:space="preserve"> 3.10.17), </w:t>
      </w:r>
      <w:r>
        <w:rPr>
          <w:rFonts w:cs="David" w:hint="eastAsia"/>
          <w:sz w:val="24"/>
          <w:szCs w:val="24"/>
          <w:rtl/>
        </w:rPr>
        <w:t>לכך</w:t>
      </w:r>
      <w:r>
        <w:rPr>
          <w:rFonts w:cs="David"/>
          <w:sz w:val="24"/>
          <w:szCs w:val="24"/>
          <w:rtl/>
        </w:rPr>
        <w:t xml:space="preserve"> </w:t>
      </w:r>
      <w:r>
        <w:rPr>
          <w:rFonts w:cs="David" w:hint="eastAsia"/>
          <w:sz w:val="24"/>
          <w:szCs w:val="24"/>
          <w:rtl/>
        </w:rPr>
        <w:t>שגם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ולכלל</w:t>
      </w:r>
      <w:r>
        <w:rPr>
          <w:rFonts w:cs="David"/>
          <w:sz w:val="24"/>
          <w:szCs w:val="24"/>
          <w:rtl/>
        </w:rPr>
        <w:t xml:space="preserve"> </w:t>
      </w:r>
      <w:r>
        <w:rPr>
          <w:rFonts w:cs="David" w:hint="eastAsia"/>
          <w:sz w:val="24"/>
          <w:szCs w:val="24"/>
          <w:rtl/>
        </w:rPr>
        <w:t>נתוניו</w:t>
      </w:r>
      <w:r>
        <w:rPr>
          <w:rFonts w:cs="David"/>
          <w:sz w:val="24"/>
          <w:szCs w:val="24"/>
          <w:rtl/>
        </w:rPr>
        <w:t xml:space="preserve">, </w:t>
      </w:r>
      <w:r>
        <w:rPr>
          <w:rFonts w:cs="David" w:hint="eastAsia"/>
          <w:b/>
          <w:bCs/>
          <w:sz w:val="24"/>
          <w:szCs w:val="24"/>
          <w:u w:val="single"/>
          <w:rtl/>
        </w:rPr>
        <w:t>יושתו</w:t>
      </w:r>
      <w:r>
        <w:rPr>
          <w:rFonts w:cs="David"/>
          <w:b/>
          <w:bCs/>
          <w:sz w:val="24"/>
          <w:szCs w:val="24"/>
          <w:u w:val="single"/>
          <w:rtl/>
        </w:rPr>
        <w:t xml:space="preserve"> </w:t>
      </w:r>
      <w:r>
        <w:rPr>
          <w:rFonts w:cs="David" w:hint="eastAsia"/>
          <w:b/>
          <w:bCs/>
          <w:sz w:val="24"/>
          <w:szCs w:val="24"/>
          <w:u w:val="single"/>
          <w:rtl/>
        </w:rPr>
        <w:t>עליו</w:t>
      </w:r>
      <w:r>
        <w:rPr>
          <w:rFonts w:cs="David"/>
          <w:b/>
          <w:bCs/>
          <w:sz w:val="24"/>
          <w:szCs w:val="24"/>
          <w:u w:val="single"/>
          <w:rtl/>
        </w:rPr>
        <w:t xml:space="preserve"> 5 </w:t>
      </w:r>
      <w:r>
        <w:rPr>
          <w:rFonts w:cs="David" w:hint="eastAsia"/>
          <w:b/>
          <w:bCs/>
          <w:sz w:val="24"/>
          <w:szCs w:val="24"/>
          <w:u w:val="single"/>
          <w:rtl/>
        </w:rPr>
        <w:t>חודשי</w:t>
      </w:r>
      <w:r>
        <w:rPr>
          <w:rFonts w:cs="David"/>
          <w:b/>
          <w:bCs/>
          <w:sz w:val="24"/>
          <w:szCs w:val="24"/>
          <w:u w:val="single"/>
          <w:rtl/>
        </w:rPr>
        <w:t xml:space="preserve"> </w:t>
      </w:r>
      <w:r>
        <w:rPr>
          <w:rFonts w:cs="David" w:hint="eastAsia"/>
          <w:b/>
          <w:bCs/>
          <w:sz w:val="24"/>
          <w:szCs w:val="24"/>
          <w:u w:val="single"/>
          <w:rtl/>
        </w:rPr>
        <w:t>מאסר</w:t>
      </w:r>
      <w:r>
        <w:rPr>
          <w:rFonts w:cs="David"/>
          <w:b/>
          <w:bCs/>
          <w:sz w:val="24"/>
          <w:szCs w:val="24"/>
          <w:u w:val="single"/>
          <w:rtl/>
        </w:rPr>
        <w:t xml:space="preserve"> </w:t>
      </w:r>
      <w:r>
        <w:rPr>
          <w:rFonts w:cs="David" w:hint="eastAsia"/>
          <w:b/>
          <w:bCs/>
          <w:sz w:val="24"/>
          <w:szCs w:val="24"/>
          <w:u w:val="single"/>
          <w:rtl/>
        </w:rPr>
        <w:t>בפועל</w:t>
      </w:r>
      <w:r>
        <w:rPr>
          <w:rFonts w:cs="David"/>
          <w:b/>
          <w:bCs/>
          <w:sz w:val="24"/>
          <w:szCs w:val="24"/>
          <w:u w:val="single"/>
          <w:rtl/>
        </w:rPr>
        <w:t xml:space="preserve">, </w:t>
      </w:r>
      <w:r>
        <w:rPr>
          <w:rFonts w:cs="David" w:hint="eastAsia"/>
          <w:b/>
          <w:bCs/>
          <w:sz w:val="24"/>
          <w:szCs w:val="24"/>
          <w:u w:val="single"/>
          <w:rtl/>
        </w:rPr>
        <w:t>בניכוי</w:t>
      </w:r>
      <w:r>
        <w:rPr>
          <w:rFonts w:cs="David"/>
          <w:b/>
          <w:bCs/>
          <w:sz w:val="24"/>
          <w:szCs w:val="24"/>
          <w:u w:val="single"/>
          <w:rtl/>
        </w:rPr>
        <w:t xml:space="preserve"> </w:t>
      </w:r>
      <w:r>
        <w:rPr>
          <w:rFonts w:cs="David" w:hint="eastAsia"/>
          <w:b/>
          <w:bCs/>
          <w:sz w:val="24"/>
          <w:szCs w:val="24"/>
          <w:u w:val="single"/>
          <w:rtl/>
        </w:rPr>
        <w:t>תקופת</w:t>
      </w:r>
      <w:r>
        <w:rPr>
          <w:rFonts w:cs="David"/>
          <w:b/>
          <w:bCs/>
          <w:sz w:val="24"/>
          <w:szCs w:val="24"/>
          <w:u w:val="single"/>
          <w:rtl/>
        </w:rPr>
        <w:t xml:space="preserve"> </w:t>
      </w:r>
      <w:r>
        <w:rPr>
          <w:rFonts w:cs="David" w:hint="eastAsia"/>
          <w:b/>
          <w:bCs/>
          <w:sz w:val="24"/>
          <w:szCs w:val="24"/>
          <w:u w:val="single"/>
          <w:rtl/>
        </w:rPr>
        <w:t>מעצרו</w:t>
      </w:r>
      <w:r>
        <w:rPr>
          <w:rFonts w:cs="David"/>
          <w:b/>
          <w:bCs/>
          <w:sz w:val="24"/>
          <w:szCs w:val="24"/>
          <w:u w:val="single"/>
          <w:rtl/>
        </w:rPr>
        <w:t xml:space="preserve">, </w:t>
      </w:r>
      <w:r>
        <w:rPr>
          <w:rFonts w:cs="David" w:hint="eastAsia"/>
          <w:b/>
          <w:bCs/>
          <w:sz w:val="24"/>
          <w:szCs w:val="24"/>
          <w:u w:val="single"/>
          <w:rtl/>
        </w:rPr>
        <w:t>כאשר</w:t>
      </w:r>
      <w:r>
        <w:rPr>
          <w:rFonts w:cs="David"/>
          <w:b/>
          <w:bCs/>
          <w:sz w:val="24"/>
          <w:szCs w:val="24"/>
          <w:u w:val="single"/>
          <w:rtl/>
        </w:rPr>
        <w:t xml:space="preserve"> </w:t>
      </w:r>
      <w:r>
        <w:rPr>
          <w:rFonts w:cs="David" w:hint="eastAsia"/>
          <w:b/>
          <w:bCs/>
          <w:sz w:val="24"/>
          <w:szCs w:val="24"/>
          <w:u w:val="single"/>
          <w:rtl/>
        </w:rPr>
        <w:t>היתרה</w:t>
      </w:r>
      <w:r>
        <w:rPr>
          <w:rFonts w:cs="David"/>
          <w:b/>
          <w:bCs/>
          <w:sz w:val="24"/>
          <w:szCs w:val="24"/>
          <w:u w:val="single"/>
          <w:rtl/>
        </w:rPr>
        <w:t xml:space="preserve"> </w:t>
      </w:r>
      <w:r>
        <w:rPr>
          <w:rFonts w:cs="David" w:hint="eastAsia"/>
          <w:b/>
          <w:bCs/>
          <w:sz w:val="24"/>
          <w:szCs w:val="24"/>
          <w:u w:val="single"/>
          <w:rtl/>
        </w:rPr>
        <w:t>תרוצה</w:t>
      </w:r>
      <w:r>
        <w:rPr>
          <w:rFonts w:cs="David"/>
          <w:b/>
          <w:bCs/>
          <w:sz w:val="24"/>
          <w:szCs w:val="24"/>
          <w:u w:val="single"/>
          <w:rtl/>
        </w:rPr>
        <w:t xml:space="preserve"> </w:t>
      </w:r>
      <w:r>
        <w:rPr>
          <w:rFonts w:cs="David" w:hint="eastAsia"/>
          <w:b/>
          <w:bCs/>
          <w:sz w:val="24"/>
          <w:szCs w:val="24"/>
          <w:u w:val="single"/>
          <w:rtl/>
        </w:rPr>
        <w:t>בע</w:t>
      </w:r>
      <w:r>
        <w:rPr>
          <w:rFonts w:cs="David"/>
          <w:b/>
          <w:bCs/>
          <w:sz w:val="24"/>
          <w:szCs w:val="24"/>
          <w:u w:val="single"/>
          <w:rtl/>
        </w:rPr>
        <w:t>"</w:t>
      </w:r>
      <w:r>
        <w:rPr>
          <w:rFonts w:cs="David" w:hint="eastAsia"/>
          <w:b/>
          <w:bCs/>
          <w:sz w:val="24"/>
          <w:szCs w:val="24"/>
          <w:u w:val="single"/>
          <w:rtl/>
        </w:rPr>
        <w:t>ש</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ל</w:t>
      </w:r>
      <w:r>
        <w:rPr>
          <w:rFonts w:ascii="David" w:hAnsi="David" w:cs="David"/>
          <w:sz w:val="24"/>
          <w:szCs w:val="24"/>
          <w:rtl/>
        </w:rPr>
        <w:t>רכיבי ענישה נוספים.</w:t>
      </w:r>
    </w:p>
    <w:p w14:paraId="17E821FC" w14:textId="77777777" w:rsidR="004C3216" w:rsidRDefault="004C3216" w:rsidP="005811E2">
      <w:pPr>
        <w:pStyle w:val="ListParagraph"/>
        <w:spacing w:after="0" w:line="360" w:lineRule="auto"/>
        <w:ind w:left="516" w:right="426"/>
        <w:rPr>
          <w:rFonts w:cs="David"/>
          <w:sz w:val="24"/>
          <w:szCs w:val="24"/>
        </w:rPr>
      </w:pPr>
    </w:p>
    <w:p w14:paraId="3F6C7393"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cs="David" w:hint="eastAsia"/>
          <w:sz w:val="24"/>
          <w:szCs w:val="24"/>
          <w:u w:val="single"/>
          <w:rtl/>
        </w:rPr>
        <w:t>לגבי</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6</w:t>
      </w:r>
      <w:r>
        <w:rPr>
          <w:rFonts w:cs="David"/>
          <w:sz w:val="24"/>
          <w:szCs w:val="24"/>
          <w:rtl/>
        </w:rPr>
        <w:t xml:space="preserve"> - </w:t>
      </w:r>
      <w:r>
        <w:rPr>
          <w:rFonts w:cs="David" w:hint="eastAsia"/>
          <w:sz w:val="24"/>
          <w:szCs w:val="24"/>
          <w:rtl/>
        </w:rPr>
        <w:t>עניינו</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לזה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2, </w:t>
      </w:r>
      <w:r>
        <w:rPr>
          <w:rFonts w:cs="David" w:hint="eastAsia"/>
          <w:sz w:val="24"/>
          <w:szCs w:val="24"/>
          <w:rtl/>
        </w:rPr>
        <w:t>הן</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והן</w:t>
      </w:r>
      <w:r>
        <w:rPr>
          <w:rFonts w:cs="David"/>
          <w:sz w:val="24"/>
          <w:szCs w:val="24"/>
          <w:rtl/>
        </w:rPr>
        <w:t xml:space="preserve"> </w:t>
      </w:r>
      <w:r>
        <w:rPr>
          <w:rFonts w:cs="David" w:hint="eastAsia"/>
          <w:sz w:val="24"/>
          <w:szCs w:val="24"/>
          <w:rtl/>
        </w:rPr>
        <w:t>בנתוניו</w:t>
      </w:r>
      <w:r>
        <w:rPr>
          <w:rFonts w:cs="David"/>
          <w:sz w:val="24"/>
          <w:szCs w:val="24"/>
          <w:rtl/>
        </w:rPr>
        <w:t xml:space="preserve"> </w:t>
      </w:r>
      <w:r>
        <w:rPr>
          <w:rFonts w:cs="David" w:hint="eastAsia"/>
          <w:sz w:val="24"/>
          <w:szCs w:val="24"/>
          <w:rtl/>
        </w:rPr>
        <w:t>האישיים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שיתף</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חלקי</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מכלול</w:t>
      </w:r>
      <w:r>
        <w:rPr>
          <w:rFonts w:cs="David"/>
          <w:sz w:val="24"/>
          <w:szCs w:val="24"/>
          <w:rtl/>
        </w:rPr>
        <w:t xml:space="preserve"> </w:t>
      </w:r>
      <w:r>
        <w:rPr>
          <w:rFonts w:cs="David" w:hint="eastAsia"/>
          <w:sz w:val="24"/>
          <w:szCs w:val="24"/>
          <w:rtl/>
        </w:rPr>
        <w:t>נתוניו</w:t>
      </w:r>
      <w:r>
        <w:rPr>
          <w:rFonts w:cs="David"/>
          <w:sz w:val="24"/>
          <w:szCs w:val="24"/>
          <w:rtl/>
        </w:rPr>
        <w:t xml:space="preserve"> (</w:t>
      </w:r>
      <w:r>
        <w:rPr>
          <w:rFonts w:cs="David" w:hint="eastAsia"/>
          <w:sz w:val="24"/>
          <w:szCs w:val="24"/>
          <w:rtl/>
        </w:rPr>
        <w:t>בן</w:t>
      </w:r>
      <w:r>
        <w:rPr>
          <w:rFonts w:cs="David"/>
          <w:sz w:val="24"/>
          <w:szCs w:val="24"/>
          <w:rtl/>
        </w:rPr>
        <w:t xml:space="preserve"> 33, </w:t>
      </w:r>
      <w:r>
        <w:rPr>
          <w:rFonts w:cs="David" w:hint="eastAsia"/>
          <w:sz w:val="24"/>
          <w:szCs w:val="24"/>
          <w:rtl/>
        </w:rPr>
        <w:t>נעדר</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אב</w:t>
      </w:r>
      <w:r>
        <w:rPr>
          <w:rFonts w:cs="David"/>
          <w:sz w:val="24"/>
          <w:szCs w:val="24"/>
          <w:rtl/>
        </w:rPr>
        <w:t xml:space="preserve"> </w:t>
      </w:r>
      <w:r>
        <w:rPr>
          <w:rFonts w:cs="David" w:hint="eastAsia"/>
          <w:sz w:val="24"/>
          <w:szCs w:val="24"/>
          <w:rtl/>
        </w:rPr>
        <w:t>לילדים</w:t>
      </w:r>
      <w:r>
        <w:rPr>
          <w:rFonts w:cs="David"/>
          <w:sz w:val="24"/>
          <w:szCs w:val="24"/>
          <w:rtl/>
        </w:rPr>
        <w:t xml:space="preserve"> </w:t>
      </w:r>
      <w:r>
        <w:rPr>
          <w:rFonts w:cs="David" w:hint="eastAsia"/>
          <w:sz w:val="24"/>
          <w:szCs w:val="24"/>
          <w:rtl/>
        </w:rPr>
        <w:t>ועבד</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למעצרו</w:t>
      </w:r>
      <w:r>
        <w:rPr>
          <w:rFonts w:cs="David"/>
          <w:sz w:val="24"/>
          <w:szCs w:val="24"/>
          <w:rtl/>
        </w:rPr>
        <w:t xml:space="preserve">), </w:t>
      </w:r>
      <w:r>
        <w:rPr>
          <w:rFonts w:cs="David" w:hint="eastAsia"/>
          <w:sz w:val="24"/>
          <w:szCs w:val="24"/>
          <w:rtl/>
        </w:rPr>
        <w:t>מוליך</w:t>
      </w:r>
      <w:r>
        <w:rPr>
          <w:rFonts w:cs="David"/>
          <w:sz w:val="24"/>
          <w:szCs w:val="24"/>
          <w:rtl/>
        </w:rPr>
        <w:t xml:space="preserve"> </w:t>
      </w:r>
      <w:r>
        <w:rPr>
          <w:rFonts w:cs="David" w:hint="eastAsia"/>
          <w:sz w:val="24"/>
          <w:szCs w:val="24"/>
          <w:rtl/>
        </w:rPr>
        <w:t>למסקנה</w:t>
      </w:r>
      <w:r>
        <w:rPr>
          <w:rFonts w:cs="David"/>
          <w:sz w:val="24"/>
          <w:szCs w:val="24"/>
          <w:rtl/>
        </w:rPr>
        <w:t xml:space="preserve"> –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ליתר</w:t>
      </w:r>
      <w:r>
        <w:rPr>
          <w:rFonts w:cs="David"/>
          <w:sz w:val="24"/>
          <w:szCs w:val="24"/>
          <w:rtl/>
        </w:rPr>
        <w:t xml:space="preserve"> </w:t>
      </w:r>
      <w:r>
        <w:rPr>
          <w:rFonts w:cs="David" w:hint="eastAsia"/>
          <w:sz w:val="24"/>
          <w:szCs w:val="24"/>
          <w:rtl/>
        </w:rPr>
        <w:t>נתוניו</w:t>
      </w:r>
      <w:r>
        <w:rPr>
          <w:rFonts w:cs="David"/>
          <w:sz w:val="24"/>
          <w:szCs w:val="24"/>
          <w:rtl/>
        </w:rPr>
        <w:t xml:space="preserve"> </w:t>
      </w:r>
      <w:r>
        <w:rPr>
          <w:rFonts w:cs="David" w:hint="eastAsia"/>
          <w:sz w:val="24"/>
          <w:szCs w:val="24"/>
          <w:rtl/>
        </w:rPr>
        <w:t>העומדים</w:t>
      </w:r>
      <w:r>
        <w:rPr>
          <w:rFonts w:cs="David"/>
          <w:sz w:val="24"/>
          <w:szCs w:val="24"/>
          <w:rtl/>
        </w:rPr>
        <w:t xml:space="preserve"> </w:t>
      </w:r>
      <w:r>
        <w:rPr>
          <w:rFonts w:cs="David" w:hint="eastAsia"/>
          <w:sz w:val="24"/>
          <w:szCs w:val="24"/>
          <w:rtl/>
        </w:rPr>
        <w:t>לזכותו</w:t>
      </w:r>
      <w:r>
        <w:rPr>
          <w:rFonts w:cs="David"/>
          <w:sz w:val="24"/>
          <w:szCs w:val="24"/>
          <w:rtl/>
        </w:rPr>
        <w:t xml:space="preserve"> (</w:t>
      </w:r>
      <w:r>
        <w:rPr>
          <w:rFonts w:cs="David" w:hint="eastAsia"/>
          <w:sz w:val="24"/>
          <w:szCs w:val="24"/>
          <w:rtl/>
        </w:rPr>
        <w:t>הודייתו</w:t>
      </w:r>
      <w:r>
        <w:rPr>
          <w:rFonts w:cs="David"/>
          <w:sz w:val="24"/>
          <w:szCs w:val="24"/>
          <w:rtl/>
        </w:rPr>
        <w:t xml:space="preserve"> </w:t>
      </w:r>
      <w:r>
        <w:rPr>
          <w:rFonts w:cs="David" w:hint="eastAsia"/>
          <w:sz w:val="24"/>
          <w:szCs w:val="24"/>
          <w:rtl/>
        </w:rPr>
        <w:t>וכיוב</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באזור</w:t>
      </w:r>
      <w:r>
        <w:rPr>
          <w:rFonts w:cs="David"/>
          <w:sz w:val="24"/>
          <w:szCs w:val="24"/>
          <w:rtl/>
        </w:rPr>
        <w:t xml:space="preserve"> </w:t>
      </w:r>
      <w:r>
        <w:rPr>
          <w:rFonts w:cs="David" w:hint="eastAsia"/>
          <w:sz w:val="24"/>
          <w:szCs w:val="24"/>
          <w:rtl/>
        </w:rPr>
        <w:t>הרף</w:t>
      </w:r>
      <w:r>
        <w:rPr>
          <w:rFonts w:cs="David"/>
          <w:sz w:val="24"/>
          <w:szCs w:val="24"/>
          <w:rtl/>
        </w:rPr>
        <w:t xml:space="preserve"> </w:t>
      </w:r>
      <w:r>
        <w:rPr>
          <w:rFonts w:cs="David" w:hint="eastAsia"/>
          <w:sz w:val="24"/>
          <w:szCs w:val="24"/>
          <w:rtl/>
        </w:rPr>
        <w:t>התחתון</w:t>
      </w:r>
      <w:r>
        <w:rPr>
          <w:rFonts w:cs="David"/>
          <w:sz w:val="24"/>
          <w:szCs w:val="24"/>
          <w:rtl/>
        </w:rPr>
        <w:t xml:space="preserve"> </w:t>
      </w:r>
      <w:r>
        <w:rPr>
          <w:rFonts w:cs="David" w:hint="eastAsia"/>
          <w:sz w:val="24"/>
          <w:szCs w:val="24"/>
          <w:rtl/>
        </w:rPr>
        <w:t>ולכן</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ascii="David" w:hAnsi="David" w:cs="David"/>
          <w:b/>
          <w:bCs/>
          <w:sz w:val="24"/>
          <w:szCs w:val="24"/>
          <w:u w:val="single"/>
          <w:rtl/>
        </w:rPr>
        <w:t>שייגזר עליו יהיה 3 שנות מאסר בפועל</w:t>
      </w:r>
      <w:r>
        <w:rPr>
          <w:rFonts w:ascii="David" w:hAnsi="David" w:cs="David"/>
          <w:sz w:val="24"/>
          <w:szCs w:val="24"/>
          <w:rtl/>
        </w:rPr>
        <w:t>, בנוסף לרכיבי ענישה נוספים.</w:t>
      </w:r>
    </w:p>
    <w:p w14:paraId="3E9A9CA1" w14:textId="77777777" w:rsidR="004C3216" w:rsidRDefault="004C3216" w:rsidP="005811E2">
      <w:pPr>
        <w:pStyle w:val="ListParagraph"/>
        <w:spacing w:after="0" w:line="360" w:lineRule="auto"/>
        <w:ind w:left="516" w:right="426"/>
        <w:rPr>
          <w:rFonts w:ascii="David" w:hAnsi="David" w:cs="David"/>
          <w:b/>
          <w:bCs/>
          <w:sz w:val="24"/>
          <w:szCs w:val="24"/>
          <w:u w:val="single"/>
        </w:rPr>
      </w:pPr>
    </w:p>
    <w:p w14:paraId="4C77983E"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cs="David"/>
          <w:sz w:val="24"/>
          <w:szCs w:val="24"/>
          <w:rtl/>
        </w:rPr>
      </w:pPr>
      <w:r>
        <w:rPr>
          <w:rFonts w:ascii="David" w:hAnsi="David" w:cs="David"/>
          <w:sz w:val="24"/>
          <w:szCs w:val="24"/>
          <w:u w:val="single"/>
          <w:rtl/>
        </w:rPr>
        <w:t>לגבי הנאשם 7</w:t>
      </w:r>
      <w:r>
        <w:rPr>
          <w:rFonts w:ascii="David" w:hAnsi="David" w:cs="David"/>
          <w:sz w:val="24"/>
          <w:szCs w:val="24"/>
          <w:rtl/>
        </w:rPr>
        <w:t xml:space="preserve">  – כאמור, נסיבות מעשיו של נאשם זה הובילו לקביעת מתחם של בין 4 ל 7 שנות מאסר. הנאשם עצמו צעיר, בן 27 כיום, אב לשני ילדים ונעדר עבר פלילי. שירות המבחן סקר את נתוניו והגם שלא ניתן להגדיר את התסקיר כחיובי ביותר, גם לא ניתן להגדירו, מאידך גיסא, כשלילי. נתוניו אם כן עומדים לזכותו ובהם היעדר עבר פלילי, ניהול אורח חיים תקין, היותו בעל משפחה שעבד לפרנסתו, הודייתו ויתר הנתונים לעיל. לכן, ייגזר עונשו סמוך באופן יחסי לרף התחתון של המתחם שנקבע ומשכך דינו ייגזר על</w:t>
      </w:r>
      <w:r>
        <w:rPr>
          <w:rFonts w:ascii="David" w:hAnsi="David" w:cs="David"/>
          <w:b/>
          <w:bCs/>
          <w:sz w:val="24"/>
          <w:szCs w:val="24"/>
          <w:u w:val="single"/>
          <w:rtl/>
        </w:rPr>
        <w:t xml:space="preserve"> 4.5 שנות מאסר בפועל</w:t>
      </w:r>
      <w:r>
        <w:rPr>
          <w:rFonts w:ascii="David" w:hAnsi="David" w:cs="David"/>
          <w:sz w:val="24"/>
          <w:szCs w:val="24"/>
          <w:rtl/>
        </w:rPr>
        <w:t xml:space="preserve"> וכן </w:t>
      </w:r>
      <w:r>
        <w:rPr>
          <w:rFonts w:cs="David" w:hint="eastAsia"/>
          <w:sz w:val="24"/>
          <w:szCs w:val="24"/>
          <w:rtl/>
        </w:rPr>
        <w:t>רכיבי</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נוספים</w:t>
      </w:r>
      <w:r>
        <w:rPr>
          <w:rFonts w:cs="David"/>
          <w:sz w:val="24"/>
          <w:szCs w:val="24"/>
          <w:rtl/>
        </w:rPr>
        <w:t>.</w:t>
      </w:r>
    </w:p>
    <w:p w14:paraId="23184E81" w14:textId="77777777" w:rsidR="004C3216" w:rsidRDefault="004C3216" w:rsidP="005811E2">
      <w:pPr>
        <w:pStyle w:val="ListParagraph"/>
        <w:spacing w:after="0" w:line="360" w:lineRule="auto"/>
        <w:ind w:left="516" w:right="426"/>
        <w:rPr>
          <w:rFonts w:cs="David"/>
          <w:sz w:val="24"/>
          <w:szCs w:val="24"/>
          <w:rtl/>
        </w:rPr>
      </w:pPr>
    </w:p>
    <w:p w14:paraId="7688656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לגבי הנאשם 8</w:t>
      </w:r>
      <w:r>
        <w:rPr>
          <w:rFonts w:ascii="David" w:hAnsi="David" w:cs="David"/>
          <w:sz w:val="24"/>
          <w:szCs w:val="24"/>
          <w:rtl/>
        </w:rPr>
        <w:t xml:space="preserve"> – נאשם זה הינו היחיד מבין כלל הנאשמים שלחובתו עבר פלילי משמעותי, נתון המצדיק החמרה ביחס לנאשם 7. הנאשם 8 נדון בעבר לעונש מאסר לתקופה של 28 חודשי מאסר בגין עבירות נשק וכן למאסר על תנאי לתקופה של 15 חודשים שיש להפעילו. חרף המאסר על תנאי שב הנאשם וביצע בתקופת התנאי עבירות חמורות. אלמלא הסדר הטיעון, שהחלטתי לכבדו, יש להניח שתקופת התנאי היתה מצטברת באופן מלא לתקופת המאסר, בשים לב שמדובר ב"עליית מדרגה" מבחינת חומרת מעשיו (ור' בנדון </w:t>
      </w:r>
      <w:hyperlink r:id="rId164" w:history="1">
        <w:r w:rsidR="005948C0" w:rsidRPr="005948C0">
          <w:rPr>
            <w:rStyle w:val="Hyperlink"/>
            <w:rFonts w:ascii="David" w:hAnsi="David" w:cs="David"/>
            <w:sz w:val="24"/>
            <w:szCs w:val="24"/>
            <w:rtl/>
          </w:rPr>
          <w:t>ס' 58</w:t>
        </w:r>
      </w:hyperlink>
      <w:r>
        <w:rPr>
          <w:rFonts w:ascii="David" w:hAnsi="David" w:cs="David"/>
          <w:sz w:val="24"/>
          <w:szCs w:val="24"/>
          <w:rtl/>
        </w:rPr>
        <w:t xml:space="preserve"> לחוק, וכן </w:t>
      </w:r>
      <w:hyperlink r:id="rId165" w:history="1">
        <w:r w:rsidR="008B74B3" w:rsidRPr="008B74B3">
          <w:rPr>
            <w:rFonts w:ascii="David" w:hAnsi="David" w:cs="David"/>
            <w:color w:val="0000FF"/>
            <w:sz w:val="24"/>
            <w:szCs w:val="24"/>
            <w:u w:val="single"/>
            <w:rtl/>
          </w:rPr>
          <w:t>ע"פ 3869/09</w:t>
        </w:r>
      </w:hyperlink>
      <w:r>
        <w:rPr>
          <w:rFonts w:ascii="David" w:hAnsi="David" w:cs="David"/>
          <w:sz w:val="24"/>
          <w:szCs w:val="24"/>
          <w:rtl/>
        </w:rPr>
        <w:t xml:space="preserve"> </w:t>
      </w:r>
      <w:r>
        <w:rPr>
          <w:rFonts w:ascii="Miriam" w:hAnsi="Miriam" w:cs="Miriam"/>
          <w:sz w:val="24"/>
          <w:szCs w:val="24"/>
          <w:rtl/>
        </w:rPr>
        <w:t xml:space="preserve">סלימן נ' מדינת ישראל </w:t>
      </w:r>
      <w:r w:rsidR="00BB2098" w:rsidRPr="00BB2098">
        <w:rPr>
          <w:rFonts w:ascii="Times New Roman" w:hAnsi="Times New Roman" w:cs="David"/>
          <w:szCs w:val="24"/>
          <w:rtl/>
        </w:rPr>
        <w:t xml:space="preserve">[פורסם בנבו] </w:t>
      </w:r>
      <w:r>
        <w:rPr>
          <w:rFonts w:ascii="David" w:hAnsi="David" w:cs="David"/>
          <w:sz w:val="24"/>
          <w:szCs w:val="24"/>
          <w:rtl/>
        </w:rPr>
        <w:t xml:space="preserve">(28/12/09); </w:t>
      </w:r>
      <w:hyperlink r:id="rId166" w:history="1">
        <w:r w:rsidR="008B74B3" w:rsidRPr="008B74B3">
          <w:rPr>
            <w:rFonts w:ascii="David" w:hAnsi="David" w:cs="David"/>
            <w:color w:val="0000FF"/>
            <w:sz w:val="24"/>
            <w:szCs w:val="24"/>
            <w:u w:val="single"/>
            <w:rtl/>
          </w:rPr>
          <w:t>רע"פ 7314/15</w:t>
        </w:r>
      </w:hyperlink>
      <w:r>
        <w:rPr>
          <w:rFonts w:ascii="David" w:hAnsi="David" w:cs="David"/>
          <w:sz w:val="24"/>
          <w:szCs w:val="24"/>
          <w:rtl/>
        </w:rPr>
        <w:t xml:space="preserve"> </w:t>
      </w:r>
      <w:r>
        <w:rPr>
          <w:rFonts w:ascii="Miriam" w:hAnsi="Miriam" w:cs="Miriam"/>
          <w:sz w:val="24"/>
          <w:szCs w:val="24"/>
          <w:rtl/>
        </w:rPr>
        <w:t>אבו ריא נ' מדינת ישראל</w:t>
      </w:r>
      <w:r>
        <w:rPr>
          <w:rFonts w:ascii="David" w:hAnsi="David" w:cs="David"/>
          <w:sz w:val="24"/>
          <w:szCs w:val="24"/>
          <w:rtl/>
        </w:rPr>
        <w:t xml:space="preserve"> </w:t>
      </w:r>
      <w:r w:rsidR="00BB2098" w:rsidRPr="00BB2098">
        <w:rPr>
          <w:rFonts w:ascii="Times New Roman" w:hAnsi="Times New Roman" w:cs="David"/>
          <w:szCs w:val="24"/>
          <w:rtl/>
        </w:rPr>
        <w:t xml:space="preserve">[פורסם בנבו] </w:t>
      </w:r>
      <w:r>
        <w:rPr>
          <w:rFonts w:ascii="David" w:hAnsi="David" w:cs="David"/>
          <w:sz w:val="24"/>
          <w:szCs w:val="24"/>
          <w:rtl/>
        </w:rPr>
        <w:t>(17.11.15)]. מנגד, עומדים לזכות הנאשם הודייתו וגילו הצעיר.</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הנתונים</w:t>
      </w:r>
      <w:r>
        <w:rPr>
          <w:rFonts w:cs="David"/>
          <w:sz w:val="24"/>
          <w:szCs w:val="24"/>
          <w:rtl/>
        </w:rPr>
        <w:t xml:space="preserve"> </w:t>
      </w:r>
      <w:r>
        <w:rPr>
          <w:rFonts w:cs="David" w:hint="eastAsia"/>
          <w:sz w:val="24"/>
          <w:szCs w:val="24"/>
          <w:rtl/>
        </w:rPr>
        <w:t>הובילו</w:t>
      </w:r>
      <w:r>
        <w:rPr>
          <w:rFonts w:cs="David"/>
          <w:sz w:val="24"/>
          <w:szCs w:val="24"/>
          <w:rtl/>
        </w:rPr>
        <w:t xml:space="preserve"> </w:t>
      </w:r>
      <w:r>
        <w:rPr>
          <w:rFonts w:cs="David" w:hint="eastAsia"/>
          <w:sz w:val="24"/>
          <w:szCs w:val="24"/>
          <w:rtl/>
        </w:rPr>
        <w:t>לקביעת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נאשם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על</w:t>
      </w:r>
      <w:r>
        <w:rPr>
          <w:rFonts w:cs="David"/>
          <w:b/>
          <w:bCs/>
          <w:sz w:val="24"/>
          <w:szCs w:val="24"/>
          <w:u w:val="single"/>
          <w:rtl/>
        </w:rPr>
        <w:t xml:space="preserve"> 5 </w:t>
      </w:r>
      <w:r>
        <w:rPr>
          <w:rFonts w:cs="David" w:hint="eastAsia"/>
          <w:b/>
          <w:bCs/>
          <w:sz w:val="24"/>
          <w:szCs w:val="24"/>
          <w:u w:val="single"/>
          <w:rtl/>
        </w:rPr>
        <w:t>שנות</w:t>
      </w:r>
      <w:r>
        <w:rPr>
          <w:rFonts w:cs="David"/>
          <w:b/>
          <w:bCs/>
          <w:sz w:val="24"/>
          <w:szCs w:val="24"/>
          <w:u w:val="single"/>
          <w:rtl/>
        </w:rPr>
        <w:t xml:space="preserve"> </w:t>
      </w:r>
      <w:r>
        <w:rPr>
          <w:rFonts w:cs="David" w:hint="eastAsia"/>
          <w:b/>
          <w:bCs/>
          <w:sz w:val="24"/>
          <w:szCs w:val="24"/>
          <w:u w:val="single"/>
          <w:rtl/>
        </w:rPr>
        <w:t>מאסר</w:t>
      </w:r>
      <w:r>
        <w:rPr>
          <w:rFonts w:cs="David"/>
          <w:b/>
          <w:bCs/>
          <w:sz w:val="24"/>
          <w:szCs w:val="24"/>
          <w:u w:val="single"/>
          <w:rtl/>
        </w:rPr>
        <w:t xml:space="preserve"> </w:t>
      </w:r>
      <w:r>
        <w:rPr>
          <w:rFonts w:cs="David" w:hint="eastAsia"/>
          <w:b/>
          <w:bCs/>
          <w:sz w:val="24"/>
          <w:szCs w:val="24"/>
          <w:u w:val="single"/>
          <w:rtl/>
        </w:rPr>
        <w:t>בפועל</w:t>
      </w:r>
      <w:r>
        <w:rPr>
          <w:rFonts w:cs="David"/>
          <w:b/>
          <w:bCs/>
          <w:sz w:val="24"/>
          <w:szCs w:val="24"/>
          <w:u w:val="single"/>
          <w:rtl/>
        </w:rPr>
        <w:t xml:space="preserve"> </w:t>
      </w:r>
      <w:r>
        <w:rPr>
          <w:rFonts w:cs="David" w:hint="eastAsia"/>
          <w:b/>
          <w:bCs/>
          <w:sz w:val="24"/>
          <w:szCs w:val="24"/>
          <w:u w:val="single"/>
          <w:rtl/>
        </w:rPr>
        <w:t>וכן</w:t>
      </w:r>
      <w:r>
        <w:rPr>
          <w:rFonts w:cs="David"/>
          <w:b/>
          <w:bCs/>
          <w:sz w:val="24"/>
          <w:szCs w:val="24"/>
          <w:u w:val="single"/>
          <w:rtl/>
        </w:rPr>
        <w:t xml:space="preserve"> </w:t>
      </w:r>
      <w:r>
        <w:rPr>
          <w:rFonts w:cs="David" w:hint="eastAsia"/>
          <w:b/>
          <w:bCs/>
          <w:sz w:val="24"/>
          <w:szCs w:val="24"/>
          <w:u w:val="single"/>
          <w:rtl/>
        </w:rPr>
        <w:t>הפעלה</w:t>
      </w:r>
      <w:r>
        <w:rPr>
          <w:rFonts w:cs="David"/>
          <w:b/>
          <w:bCs/>
          <w:sz w:val="24"/>
          <w:szCs w:val="24"/>
          <w:u w:val="single"/>
          <w:rtl/>
        </w:rPr>
        <w:t xml:space="preserve"> </w:t>
      </w:r>
      <w:r>
        <w:rPr>
          <w:rFonts w:cs="David" w:hint="eastAsia"/>
          <w:b/>
          <w:bCs/>
          <w:sz w:val="24"/>
          <w:szCs w:val="24"/>
          <w:u w:val="single"/>
          <w:rtl/>
        </w:rPr>
        <w:t>במצטבר</w:t>
      </w:r>
      <w:r>
        <w:rPr>
          <w:rFonts w:cs="David"/>
          <w:b/>
          <w:bCs/>
          <w:sz w:val="24"/>
          <w:szCs w:val="24"/>
          <w:u w:val="single"/>
          <w:rtl/>
        </w:rPr>
        <w:t xml:space="preserve"> </w:t>
      </w:r>
      <w:r>
        <w:rPr>
          <w:rFonts w:cs="David" w:hint="eastAsia"/>
          <w:b/>
          <w:bCs/>
          <w:sz w:val="24"/>
          <w:szCs w:val="24"/>
          <w:u w:val="single"/>
          <w:rtl/>
        </w:rPr>
        <w:t>של</w:t>
      </w:r>
      <w:r>
        <w:rPr>
          <w:rFonts w:cs="David"/>
          <w:b/>
          <w:bCs/>
          <w:sz w:val="24"/>
          <w:szCs w:val="24"/>
          <w:u w:val="single"/>
          <w:rtl/>
        </w:rPr>
        <w:t xml:space="preserve"> 7 </w:t>
      </w:r>
      <w:r>
        <w:rPr>
          <w:rFonts w:cs="David" w:hint="eastAsia"/>
          <w:b/>
          <w:bCs/>
          <w:sz w:val="24"/>
          <w:szCs w:val="24"/>
          <w:u w:val="single"/>
          <w:rtl/>
        </w:rPr>
        <w:t>חודשים</w:t>
      </w:r>
      <w:r>
        <w:rPr>
          <w:rFonts w:cs="David"/>
          <w:b/>
          <w:bCs/>
          <w:sz w:val="24"/>
          <w:szCs w:val="24"/>
          <w:u w:val="single"/>
          <w:rtl/>
        </w:rPr>
        <w:t xml:space="preserve"> </w:t>
      </w:r>
      <w:r>
        <w:rPr>
          <w:rFonts w:cs="David" w:hint="eastAsia"/>
          <w:b/>
          <w:bCs/>
          <w:sz w:val="24"/>
          <w:szCs w:val="24"/>
          <w:u w:val="single"/>
          <w:rtl/>
        </w:rPr>
        <w:t>מתוך</w:t>
      </w:r>
      <w:r>
        <w:rPr>
          <w:rFonts w:cs="David"/>
          <w:b/>
          <w:bCs/>
          <w:sz w:val="24"/>
          <w:szCs w:val="24"/>
          <w:u w:val="single"/>
          <w:rtl/>
        </w:rPr>
        <w:t xml:space="preserve"> </w:t>
      </w:r>
      <w:r>
        <w:rPr>
          <w:rFonts w:cs="David" w:hint="eastAsia"/>
          <w:b/>
          <w:bCs/>
          <w:sz w:val="24"/>
          <w:szCs w:val="24"/>
          <w:u w:val="single"/>
          <w:rtl/>
        </w:rPr>
        <w:t>המאסר</w:t>
      </w:r>
      <w:r>
        <w:rPr>
          <w:rFonts w:cs="David"/>
          <w:b/>
          <w:bCs/>
          <w:sz w:val="24"/>
          <w:szCs w:val="24"/>
          <w:u w:val="single"/>
          <w:rtl/>
        </w:rPr>
        <w:t xml:space="preserve"> </w:t>
      </w:r>
      <w:r>
        <w:rPr>
          <w:rFonts w:cs="David" w:hint="eastAsia"/>
          <w:b/>
          <w:bCs/>
          <w:sz w:val="24"/>
          <w:szCs w:val="24"/>
          <w:u w:val="single"/>
          <w:rtl/>
        </w:rPr>
        <w:t>על</w:t>
      </w:r>
      <w:r>
        <w:rPr>
          <w:rFonts w:cs="David"/>
          <w:b/>
          <w:bCs/>
          <w:sz w:val="24"/>
          <w:szCs w:val="24"/>
          <w:u w:val="single"/>
          <w:rtl/>
        </w:rPr>
        <w:t xml:space="preserve"> </w:t>
      </w:r>
      <w:r>
        <w:rPr>
          <w:rFonts w:cs="David" w:hint="eastAsia"/>
          <w:b/>
          <w:bCs/>
          <w:sz w:val="24"/>
          <w:szCs w:val="24"/>
          <w:u w:val="single"/>
          <w:rtl/>
        </w:rPr>
        <w:t>תנאי</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ייקבעו</w:t>
      </w:r>
      <w:r>
        <w:rPr>
          <w:rFonts w:cs="David"/>
          <w:sz w:val="24"/>
          <w:szCs w:val="24"/>
          <w:rtl/>
        </w:rPr>
        <w:t xml:space="preserve"> </w:t>
      </w:r>
      <w:r>
        <w:rPr>
          <w:rFonts w:cs="David" w:hint="eastAsia"/>
          <w:sz w:val="24"/>
          <w:szCs w:val="24"/>
          <w:rtl/>
        </w:rPr>
        <w:t>רכיבי</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נוספים</w:t>
      </w:r>
      <w:r>
        <w:rPr>
          <w:rFonts w:cs="David"/>
          <w:sz w:val="24"/>
          <w:szCs w:val="24"/>
          <w:rtl/>
        </w:rPr>
        <w:t xml:space="preserve">. </w:t>
      </w:r>
    </w:p>
    <w:p w14:paraId="69A6351E" w14:textId="77777777" w:rsidR="004C3216" w:rsidRDefault="004C3216" w:rsidP="005811E2">
      <w:pPr>
        <w:pStyle w:val="ListParagraph"/>
        <w:spacing w:after="0" w:line="360" w:lineRule="auto"/>
        <w:ind w:left="516" w:right="426"/>
        <w:rPr>
          <w:rFonts w:ascii="David" w:hAnsi="David" w:cs="David"/>
          <w:sz w:val="24"/>
          <w:szCs w:val="24"/>
        </w:rPr>
      </w:pPr>
    </w:p>
    <w:p w14:paraId="2850BBE8"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u w:val="single"/>
          <w:rtl/>
        </w:rPr>
        <w:t>הנאשם 9</w:t>
      </w:r>
      <w:r>
        <w:rPr>
          <w:rFonts w:ascii="David" w:hAnsi="David" w:cs="David"/>
          <w:sz w:val="24"/>
          <w:szCs w:val="24"/>
          <w:rtl/>
        </w:rPr>
        <w:t xml:space="preserve"> – מדובר בבחור צעיר, בן 24 כיום נשוי ואב לשני ילדים. כעולה מדבריו טרם גזר הדין הוא נושא בעול פרנסת ביתו וכן מסייע בפרנסת אחיו. האחים כאמור גדלו ללא אב וסבורני כי יש ליתן משקל למעמדו הנוכחי של הנאשם כמי שעוזר בפרנסת משפחתו המורחבת - כולל הנאשם 8 שנדון למאסר ממושך וכן ילדיו של האחרון. עוד אזכיר, כי נאשם זה הותקף על ידי הנאשמים 10 עד 12 במהלך האירוע המקדים וגם לנתון זה יהיה משקל מסוים. עברו אינו מכביד כלל ועיקר ויתר נתוניו עומדים גם הם לזכותו ובהם הודייתו וקבלת האחריות (גם אם לא היתה מלאה בפני שירות המבחן). לכן, </w:t>
      </w:r>
      <w:r>
        <w:rPr>
          <w:rFonts w:ascii="David" w:hAnsi="David" w:cs="David"/>
          <w:b/>
          <w:bCs/>
          <w:sz w:val="24"/>
          <w:szCs w:val="24"/>
          <w:u w:val="single"/>
          <w:rtl/>
        </w:rPr>
        <w:t>ייקבע עונשו על 6 חודשי מאסר, כאשר תנוכה התקופה בה היה נתון במעצר מאחורי סורג ובריח והיתרה תרוצה בעבודות שירות</w:t>
      </w:r>
      <w:r>
        <w:rPr>
          <w:rFonts w:ascii="David" w:hAnsi="David" w:cs="David"/>
          <w:sz w:val="24"/>
          <w:szCs w:val="24"/>
          <w:rtl/>
        </w:rPr>
        <w:t xml:space="preserve">. בנוסף, ייקבעו רכיבי ענישה נוספים. </w:t>
      </w:r>
    </w:p>
    <w:p w14:paraId="3C457E5C" w14:textId="77777777" w:rsidR="004C3216" w:rsidRDefault="004C3216" w:rsidP="005811E2">
      <w:pPr>
        <w:pStyle w:val="ListParagraph"/>
        <w:rPr>
          <w:rFonts w:ascii="David" w:hAnsi="David" w:cs="David"/>
          <w:sz w:val="24"/>
          <w:szCs w:val="24"/>
        </w:rPr>
      </w:pPr>
    </w:p>
    <w:p w14:paraId="510D6969" w14:textId="77777777" w:rsidR="004C3216" w:rsidRDefault="004C3216" w:rsidP="004D0F0A">
      <w:pPr>
        <w:pStyle w:val="ListParagraph"/>
        <w:numPr>
          <w:ilvl w:val="0"/>
          <w:numId w:val="6"/>
        </w:numPr>
        <w:tabs>
          <w:tab w:val="left" w:pos="516"/>
          <w:tab w:val="left" w:pos="2125"/>
        </w:tabs>
        <w:spacing w:after="0" w:line="360" w:lineRule="auto"/>
        <w:ind w:left="516" w:right="426" w:hanging="720"/>
        <w:jc w:val="both"/>
        <w:rPr>
          <w:rFonts w:ascii="David" w:hAnsi="David" w:cs="David"/>
          <w:sz w:val="24"/>
          <w:szCs w:val="24"/>
          <w:rtl/>
        </w:rPr>
      </w:pPr>
      <w:r>
        <w:rPr>
          <w:rFonts w:ascii="David" w:hAnsi="David" w:cs="David"/>
          <w:sz w:val="24"/>
          <w:szCs w:val="24"/>
          <w:rtl/>
        </w:rPr>
        <w:t>טרם סיום, אתייחס לעמדת הממונה על עבודות שירות בנוגע לנאשמים 1, 4, 5 ו 9 שבעניינם קבעתי מאסר בפועל לריצוי בעבודות שירות (להלן: הנאשמים בפסקה זו). הממונה על עבודות שירות שלח בעניין הנאשמים חוות דעת שלא המליצו על ריצוי המאסרים בעבודות שירות, משום מידע מודיעיני שהתקבל ממשטרת ישראל. על פי מידע זה - משום הסכסוך הקיים בחמולת אבו שנדי "קיימת מסוכנות מצד הנדון כלפי אחרים וכן מסוכנות גם לחייו" - כך נכתב לגבי כל אחד מהנאשמים. ביום 9.9.19 קיימתי דיון בסוגיה אליו התייצבו גורמי המודיעין של שב"ס ומשטרת ישראל. בנוסף, הוצגו לעיוני המידעים הרלוונטיים וכן הוצגו אירועים שהרקע להם, לשיטת המאשימה, הוא הסכסוך בין פלגי החמולה. עולה, ולו על פני הדברים, כי חששה העיקרי של המאשימה הוא שמא מאן דהוא יבקש לפגוע בנאשמים. ואולם, איני סבור כי חשש זה, שהביסוס שהובא לו היה דל, יכול להצדיק את המלצת שב"ס. אפנה לכך כי הנאשמים נמצאים בתנאי שחרור מקלים למדי תקופה ממושכת ולרובם הותר לצאת לעבודה. משכך, הגעתי למסקנה כי ניתן להשית על הנאשמים לעיל מאסר שירוצה בעבודות שירות, בכפוף לכך כי מקום ריצוי המאסר בעבודות שירות יהיה מחוץ לוואדי ערה.</w:t>
      </w:r>
    </w:p>
    <w:p w14:paraId="0A91C0C2" w14:textId="77777777" w:rsidR="004C3216" w:rsidRDefault="004C3216" w:rsidP="005811E2">
      <w:pPr>
        <w:pStyle w:val="ListParagraph"/>
        <w:spacing w:after="0" w:line="360" w:lineRule="auto"/>
        <w:ind w:left="516" w:right="426"/>
        <w:rPr>
          <w:rFonts w:ascii="David" w:hAnsi="David" w:cs="David"/>
          <w:sz w:val="24"/>
          <w:szCs w:val="24"/>
        </w:rPr>
      </w:pPr>
    </w:p>
    <w:p w14:paraId="149C7D43"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סוף דבר, אני גוזר על הנאשמים את העונשים הבאים:</w:t>
      </w:r>
    </w:p>
    <w:p w14:paraId="527E4250" w14:textId="77777777" w:rsidR="004C3216" w:rsidRDefault="004C3216" w:rsidP="005811E2">
      <w:pPr>
        <w:pStyle w:val="ListParagraph"/>
        <w:spacing w:after="0" w:line="360" w:lineRule="auto"/>
        <w:ind w:left="516" w:right="426"/>
        <w:rPr>
          <w:rFonts w:ascii="David" w:hAnsi="David" w:cs="David"/>
          <w:sz w:val="24"/>
          <w:szCs w:val="24"/>
        </w:rPr>
      </w:pPr>
    </w:p>
    <w:p w14:paraId="50C2E222"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1</w:t>
      </w:r>
    </w:p>
    <w:p w14:paraId="5F6A21D8" w14:textId="77777777" w:rsidR="004C3216" w:rsidRDefault="004C3216" w:rsidP="005811E2">
      <w:pPr>
        <w:pStyle w:val="ListParagraph"/>
        <w:spacing w:after="0" w:line="360" w:lineRule="auto"/>
        <w:ind w:left="516" w:right="426"/>
        <w:rPr>
          <w:rFonts w:ascii="David" w:hAnsi="David" w:cs="David"/>
          <w:sz w:val="24"/>
          <w:szCs w:val="24"/>
        </w:rPr>
      </w:pPr>
    </w:p>
    <w:p w14:paraId="05A1401A" w14:textId="77777777" w:rsidR="004C3216" w:rsidRDefault="004C3216" w:rsidP="005811E2">
      <w:pPr>
        <w:spacing w:line="360" w:lineRule="auto"/>
        <w:ind w:right="426" w:firstLine="516"/>
        <w:jc w:val="both"/>
        <w:rPr>
          <w:rFonts w:ascii="Calibri" w:hAnsi="Calibri"/>
          <w:b/>
          <w:bCs/>
          <w:u w:val="single"/>
          <w:rtl/>
        </w:rPr>
      </w:pPr>
      <w:r>
        <w:rPr>
          <w:rFonts w:ascii="David" w:hAnsi="David"/>
          <w:b/>
          <w:bCs/>
          <w:rtl/>
        </w:rPr>
        <w:t xml:space="preserve">8 (שמונה) חודשי מאסר בפועל. </w:t>
      </w:r>
    </w:p>
    <w:p w14:paraId="1624D6C0" w14:textId="77777777" w:rsidR="004C3216" w:rsidRDefault="004C3216" w:rsidP="005811E2">
      <w:pPr>
        <w:spacing w:line="360" w:lineRule="auto"/>
        <w:ind w:left="516" w:right="426" w:firstLine="233"/>
        <w:jc w:val="both"/>
        <w:rPr>
          <w:rFonts w:ascii="Calibri" w:hAnsi="Calibri"/>
          <w:b/>
          <w:bCs/>
          <w:u w:val="single"/>
          <w:rtl/>
        </w:rPr>
      </w:pPr>
    </w:p>
    <w:p w14:paraId="1E4F4B29" w14:textId="77777777" w:rsidR="004C3216" w:rsidRDefault="004C3216" w:rsidP="005811E2">
      <w:pPr>
        <w:spacing w:line="360" w:lineRule="auto"/>
        <w:ind w:left="516" w:right="426"/>
        <w:jc w:val="both"/>
        <w:rPr>
          <w:rFonts w:ascii="Calibri" w:hAnsi="Calibri"/>
          <w:rtl/>
        </w:rPr>
      </w:pPr>
      <w:r>
        <w:rPr>
          <w:rFonts w:ascii="Calibri" w:hAnsi="Calibri" w:hint="eastAsia"/>
          <w:b/>
          <w:bCs/>
          <w:u w:val="single"/>
          <w:rtl/>
        </w:rPr>
        <w:t>המאסר</w:t>
      </w:r>
      <w:r>
        <w:rPr>
          <w:rFonts w:ascii="Calibri" w:hAnsi="Calibri"/>
          <w:b/>
          <w:bCs/>
          <w:u w:val="single"/>
          <w:rtl/>
        </w:rPr>
        <w:t xml:space="preserve"> </w:t>
      </w:r>
      <w:r>
        <w:rPr>
          <w:rFonts w:ascii="Calibri" w:hAnsi="Calibri" w:hint="eastAsia"/>
          <w:b/>
          <w:bCs/>
          <w:u w:val="single"/>
          <w:rtl/>
        </w:rPr>
        <w:t>ירוצה</w:t>
      </w:r>
      <w:r>
        <w:rPr>
          <w:rFonts w:ascii="Calibri" w:hAnsi="Calibri"/>
          <w:b/>
          <w:bCs/>
          <w:u w:val="single"/>
          <w:rtl/>
        </w:rPr>
        <w:t xml:space="preserve"> </w:t>
      </w:r>
      <w:r>
        <w:rPr>
          <w:rFonts w:ascii="Calibri" w:hAnsi="Calibri" w:hint="eastAsia"/>
          <w:b/>
          <w:bCs/>
          <w:u w:val="single"/>
          <w:rtl/>
        </w:rPr>
        <w:t>בעבודות</w:t>
      </w:r>
      <w:r>
        <w:rPr>
          <w:rFonts w:ascii="Calibri" w:hAnsi="Calibri"/>
          <w:b/>
          <w:bCs/>
          <w:u w:val="single"/>
          <w:rtl/>
        </w:rPr>
        <w:t xml:space="preserve"> </w:t>
      </w:r>
      <w:r>
        <w:rPr>
          <w:rFonts w:ascii="Calibri" w:hAnsi="Calibri" w:hint="eastAsia"/>
          <w:b/>
          <w:bCs/>
          <w:u w:val="single"/>
          <w:rtl/>
        </w:rPr>
        <w:t>שירות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מיום</w:t>
      </w:r>
      <w:r>
        <w:rPr>
          <w:rFonts w:ascii="Calibri" w:hAnsi="Calibri"/>
          <w:rtl/>
        </w:rPr>
        <w:t xml:space="preserve"> 18.9.19.  </w:t>
      </w:r>
      <w:r>
        <w:rPr>
          <w:rFonts w:ascii="Calibri" w:hAnsi="Calibri" w:hint="eastAsia"/>
          <w:b/>
          <w:bCs/>
          <w:u w:val="single"/>
          <w:rtl/>
        </w:rPr>
        <w:t>תחילת</w:t>
      </w:r>
      <w:r>
        <w:rPr>
          <w:rFonts w:ascii="Calibri" w:hAnsi="Calibri"/>
          <w:b/>
          <w:bCs/>
          <w:u w:val="single"/>
          <w:rtl/>
        </w:rPr>
        <w:t xml:space="preserve"> </w:t>
      </w:r>
      <w:r>
        <w:rPr>
          <w:rFonts w:ascii="Calibri" w:hAnsi="Calibri" w:hint="eastAsia"/>
          <w:b/>
          <w:bCs/>
          <w:u w:val="single"/>
          <w:rtl/>
        </w:rPr>
        <w:t>ריצוי</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השירות</w:t>
      </w:r>
      <w:r>
        <w:rPr>
          <w:rFonts w:ascii="Calibri" w:hAnsi="Calibri"/>
          <w:b/>
          <w:bCs/>
          <w:u w:val="single"/>
          <w:rtl/>
        </w:rPr>
        <w:t xml:space="preserve"> </w:t>
      </w:r>
      <w:r>
        <w:rPr>
          <w:rFonts w:ascii="Calibri" w:hAnsi="Calibri" w:hint="eastAsia"/>
          <w:b/>
          <w:bCs/>
          <w:u w:val="single"/>
          <w:rtl/>
        </w:rPr>
        <w:t>ביום</w:t>
      </w:r>
      <w:r>
        <w:rPr>
          <w:rFonts w:ascii="Calibri" w:hAnsi="Calibri"/>
          <w:b/>
          <w:bCs/>
          <w:u w:val="single"/>
          <w:rtl/>
        </w:rPr>
        <w:t xml:space="preserve"> 9.12.19.</w:t>
      </w:r>
    </w:p>
    <w:p w14:paraId="63031B57" w14:textId="77777777" w:rsidR="004C3216" w:rsidRDefault="004C3216" w:rsidP="005811E2">
      <w:pPr>
        <w:spacing w:line="360" w:lineRule="auto"/>
        <w:ind w:left="516" w:right="426"/>
        <w:jc w:val="both"/>
        <w:rPr>
          <w:rFonts w:ascii="Calibri" w:hAnsi="Calibri"/>
          <w:rtl/>
        </w:rPr>
      </w:pPr>
    </w:p>
    <w:p w14:paraId="093CC255" w14:textId="77777777" w:rsidR="004C3216" w:rsidRDefault="004C3216" w:rsidP="005811E2">
      <w:pPr>
        <w:spacing w:line="360" w:lineRule="auto"/>
        <w:ind w:left="516" w:right="426"/>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יתייצב</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בשעה</w:t>
      </w:r>
      <w:r>
        <w:rPr>
          <w:rFonts w:ascii="Calibri" w:hAnsi="Calibri"/>
          <w:rtl/>
        </w:rPr>
        <w:t xml:space="preserve"> 09:00 </w:t>
      </w:r>
      <w:r>
        <w:rPr>
          <w:rFonts w:ascii="Calibri" w:hAnsi="Calibri" w:hint="eastAsia"/>
          <w:rtl/>
        </w:rPr>
        <w:t>במפקדת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בימ</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עמקים</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טבריה</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הציונות</w:t>
      </w:r>
      <w:r>
        <w:rPr>
          <w:rFonts w:ascii="Calibri" w:hAnsi="Calibri"/>
          <w:rtl/>
        </w:rPr>
        <w:t xml:space="preserve"> 14 </w:t>
      </w:r>
      <w:r>
        <w:rPr>
          <w:rFonts w:ascii="Calibri" w:hAnsi="Calibri" w:hint="eastAsia"/>
          <w:rtl/>
        </w:rPr>
        <w:t>טבריה</w:t>
      </w:r>
      <w:r>
        <w:rPr>
          <w:rFonts w:ascii="Calibri" w:hAnsi="Calibri"/>
          <w:rtl/>
        </w:rPr>
        <w:t xml:space="preserve">. </w:t>
      </w:r>
      <w:r>
        <w:rPr>
          <w:rFonts w:ascii="Calibri" w:hAnsi="Calibri" w:hint="eastAsia"/>
          <w:rtl/>
        </w:rPr>
        <w:t>טלפונים</w:t>
      </w:r>
      <w:r>
        <w:rPr>
          <w:rFonts w:ascii="Calibri" w:hAnsi="Calibri"/>
          <w:rtl/>
        </w:rPr>
        <w:t xml:space="preserve">: 04-6728405, 04-6728421, 08-9775099. </w:t>
      </w:r>
      <w:r>
        <w:rPr>
          <w:rFonts w:ascii="Calibri" w:hAnsi="Calibri" w:hint="eastAsia"/>
          <w:rtl/>
        </w:rPr>
        <w:t>מובהר</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שעליו</w:t>
      </w:r>
      <w:r>
        <w:rPr>
          <w:rFonts w:ascii="Calibri" w:hAnsi="Calibri"/>
          <w:rtl/>
        </w:rPr>
        <w:t xml:space="preserve"> </w:t>
      </w:r>
      <w:r>
        <w:rPr>
          <w:rFonts w:ascii="Calibri" w:hAnsi="Calibri" w:hint="eastAsia"/>
          <w:rtl/>
        </w:rPr>
        <w:t>לדווח</w:t>
      </w:r>
      <w:r>
        <w:rPr>
          <w:rFonts w:ascii="Calibri" w:hAnsi="Calibri"/>
          <w:rtl/>
        </w:rPr>
        <w:t xml:space="preserve"> </w:t>
      </w:r>
      <w:r>
        <w:rPr>
          <w:rFonts w:ascii="Calibri" w:hAnsi="Calibri" w:hint="eastAsia"/>
          <w:rtl/>
        </w:rPr>
        <w:t>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במספרי</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בשינוי</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ביקורות</w:t>
      </w:r>
      <w:r>
        <w:rPr>
          <w:rFonts w:ascii="Calibri" w:hAnsi="Calibri"/>
          <w:rtl/>
        </w:rPr>
        <w:t xml:space="preserve"> </w:t>
      </w:r>
      <w:r>
        <w:rPr>
          <w:rFonts w:ascii="Calibri" w:hAnsi="Calibri" w:hint="eastAsia"/>
          <w:rtl/>
        </w:rPr>
        <w:t>פתע</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 </w:t>
      </w:r>
      <w:r>
        <w:rPr>
          <w:rFonts w:ascii="Calibri" w:hAnsi="Calibri" w:hint="eastAsia"/>
          <w:rtl/>
        </w:rPr>
        <w:t>ובכלל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שתיית</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הגעה</w:t>
      </w:r>
      <w:r>
        <w:rPr>
          <w:rFonts w:ascii="Calibri" w:hAnsi="Calibri"/>
          <w:rtl/>
        </w:rPr>
        <w:t xml:space="preserve"> </w:t>
      </w:r>
      <w:r>
        <w:rPr>
          <w:rFonts w:ascii="Calibri" w:hAnsi="Calibri" w:hint="eastAsia"/>
          <w:rtl/>
        </w:rPr>
        <w:t>בגילופין</w:t>
      </w:r>
      <w:r>
        <w:rPr>
          <w:rFonts w:ascii="Calibri" w:hAnsi="Calibri"/>
          <w:rtl/>
        </w:rPr>
        <w:t xml:space="preserve"> - </w:t>
      </w:r>
      <w:r>
        <w:rPr>
          <w:rFonts w:ascii="Calibri" w:hAnsi="Calibri" w:hint="eastAsia"/>
          <w:rtl/>
        </w:rPr>
        <w:t>עשויה</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להפסקה</w:t>
      </w:r>
      <w:r>
        <w:rPr>
          <w:rFonts w:ascii="Calibri" w:hAnsi="Calibri"/>
          <w:rtl/>
        </w:rPr>
        <w:t xml:space="preserve"> </w:t>
      </w:r>
      <w:r>
        <w:rPr>
          <w:rFonts w:ascii="Calibri" w:hAnsi="Calibri" w:hint="eastAsia"/>
          <w:rtl/>
        </w:rPr>
        <w:t>מינהלית</w:t>
      </w:r>
      <w:r>
        <w:rPr>
          <w:rFonts w:ascii="Calibri" w:hAnsi="Calibri"/>
          <w:rtl/>
        </w:rPr>
        <w:t xml:space="preserve"> </w:t>
      </w:r>
      <w:r>
        <w:rPr>
          <w:rFonts w:ascii="Calibri" w:hAnsi="Calibri" w:hint="eastAsia"/>
          <w:rtl/>
        </w:rPr>
        <w:t>ולריצוי</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ממש</w:t>
      </w:r>
      <w:r>
        <w:rPr>
          <w:rFonts w:ascii="Calibri" w:hAnsi="Calibri"/>
          <w:rtl/>
        </w:rPr>
        <w:t>.</w:t>
      </w:r>
    </w:p>
    <w:p w14:paraId="7AF7F5AA" w14:textId="77777777" w:rsidR="004C3216" w:rsidRDefault="004C3216" w:rsidP="005811E2">
      <w:pPr>
        <w:spacing w:line="360" w:lineRule="auto"/>
        <w:ind w:left="516" w:right="426"/>
        <w:jc w:val="both"/>
        <w:rPr>
          <w:rFonts w:ascii="Calibri" w:hAnsi="Calibri"/>
          <w:rtl/>
        </w:rPr>
      </w:pPr>
    </w:p>
    <w:p w14:paraId="15988335"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8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16EE32E4" w14:textId="77777777" w:rsidR="004C3216" w:rsidRDefault="004C3216" w:rsidP="005811E2">
      <w:pPr>
        <w:shd w:val="clear" w:color="auto" w:fill="FFFFFF"/>
        <w:spacing w:line="360" w:lineRule="auto"/>
        <w:ind w:left="516" w:right="426"/>
        <w:jc w:val="both"/>
        <w:rPr>
          <w:rFonts w:ascii="Calibri" w:hAnsi="Calibri"/>
          <w:rtl/>
        </w:rPr>
      </w:pPr>
    </w:p>
    <w:p w14:paraId="4B2315DE"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4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1C0AB29A" w14:textId="77777777" w:rsidR="004C3216" w:rsidRDefault="004C3216" w:rsidP="005811E2">
      <w:pPr>
        <w:spacing w:line="360" w:lineRule="auto"/>
        <w:ind w:left="516" w:right="426"/>
        <w:jc w:val="both"/>
        <w:rPr>
          <w:rFonts w:ascii="Calibri" w:hAnsi="Calibri" w:cs="Arial"/>
          <w:sz w:val="22"/>
          <w:szCs w:val="22"/>
        </w:rPr>
      </w:pPr>
    </w:p>
    <w:p w14:paraId="61728653"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019809D4" w14:textId="77777777" w:rsidR="004C3216" w:rsidRDefault="004C3216" w:rsidP="005811E2">
      <w:pPr>
        <w:pStyle w:val="ListParagraph"/>
        <w:spacing w:after="0" w:line="360" w:lineRule="auto"/>
        <w:ind w:left="516" w:right="426"/>
        <w:rPr>
          <w:rFonts w:ascii="David" w:hAnsi="David" w:cs="David"/>
          <w:sz w:val="24"/>
          <w:szCs w:val="24"/>
        </w:rPr>
      </w:pPr>
    </w:p>
    <w:p w14:paraId="40BDBE2A"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2</w:t>
      </w:r>
    </w:p>
    <w:p w14:paraId="4A353B48"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Pr>
      </w:pPr>
    </w:p>
    <w:p w14:paraId="77301F48"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3 (שלוש)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24.9.17 ועד ליום 23.11.17. </w:t>
      </w:r>
    </w:p>
    <w:p w14:paraId="0C2CFD1A"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34F6904F"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720AF393" w14:textId="77777777" w:rsidR="004C3216" w:rsidRDefault="004C3216" w:rsidP="005811E2">
      <w:pPr>
        <w:shd w:val="clear" w:color="auto" w:fill="FFFFFF"/>
        <w:spacing w:line="360" w:lineRule="auto"/>
        <w:ind w:left="516" w:right="426"/>
        <w:jc w:val="both"/>
        <w:rPr>
          <w:rFonts w:ascii="Calibri" w:hAnsi="Calibri"/>
          <w:rtl/>
        </w:rPr>
      </w:pPr>
    </w:p>
    <w:p w14:paraId="292F362E"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133E4C38" w14:textId="77777777" w:rsidR="004C3216" w:rsidRDefault="004C3216" w:rsidP="005811E2">
      <w:pPr>
        <w:shd w:val="clear" w:color="auto" w:fill="FFFFFF"/>
        <w:spacing w:line="360" w:lineRule="auto"/>
        <w:ind w:left="516" w:right="426"/>
        <w:jc w:val="both"/>
        <w:rPr>
          <w:rFonts w:ascii="Arial" w:hAnsi="Arial"/>
          <w:b/>
          <w:bCs/>
          <w:rtl/>
        </w:rPr>
      </w:pPr>
    </w:p>
    <w:p w14:paraId="57FEBB16" w14:textId="77777777" w:rsidR="004C3216" w:rsidRDefault="004C3216" w:rsidP="003E0A4D">
      <w:pPr>
        <w:shd w:val="clear" w:color="auto" w:fill="FFFFFF"/>
        <w:spacing w:line="360" w:lineRule="auto"/>
        <w:ind w:left="516" w:right="426"/>
        <w:jc w:val="both"/>
        <w:rPr>
          <w:rFonts w:ascii="Arial" w:hAnsi="Arial"/>
          <w:rtl/>
        </w:rPr>
      </w:pPr>
      <w:r>
        <w:rPr>
          <w:rFonts w:ascii="Arial" w:hAnsi="Arial"/>
          <w:u w:val="single"/>
          <w:rtl/>
        </w:rPr>
        <w:t>הנאשם 2 יתייצב</w:t>
      </w:r>
      <w:r>
        <w:rPr>
          <w:rFonts w:ascii="Arial" w:hAnsi="Arial"/>
          <w:rtl/>
        </w:rPr>
        <w:t xml:space="preserve"> לריצוי מאסרו בבית מעצר קישון ביום </w:t>
      </w:r>
      <w:r w:rsidRPr="003A0637">
        <w:rPr>
          <w:rFonts w:ascii="Arial" w:hAnsi="Arial"/>
          <w:b/>
          <w:bCs/>
          <w:rtl/>
        </w:rPr>
        <w:t>1.12.19</w:t>
      </w:r>
      <w:r>
        <w:rPr>
          <w:rFonts w:ascii="Arial" w:hAnsi="Arial"/>
          <w:rtl/>
        </w:rPr>
        <w:t xml:space="preserve"> עד השעה 10:00, או על פי החלטת שב"ס, כשברשותו תעודת זהות או דרכון. על הנאשם לתאם את הכניסה למאסר, כולל האפשרות למיון מוקדם, עם ענף אבחון ומיון של שב"ס, טלפונים: 08-9787377, 08-9787336. </w:t>
      </w:r>
      <w:r>
        <w:rPr>
          <w:rFonts w:ascii="Arial" w:hAnsi="Arial"/>
          <w:u w:val="single"/>
          <w:rtl/>
        </w:rPr>
        <w:t>תנאי השחרור או המעצר באיזוק בהם היה נתון הנאשם עד כה, ימשיכו לחול עד להתייצבותו לתחילת ריצוי עונשו.</w:t>
      </w:r>
    </w:p>
    <w:p w14:paraId="625C246A" w14:textId="77777777" w:rsidR="004C3216" w:rsidRDefault="004C3216" w:rsidP="005811E2">
      <w:pPr>
        <w:shd w:val="clear" w:color="auto" w:fill="FFFFFF"/>
        <w:spacing w:line="360" w:lineRule="auto"/>
        <w:ind w:left="516" w:right="426"/>
        <w:jc w:val="both"/>
        <w:rPr>
          <w:rFonts w:ascii="Arial" w:hAnsi="Arial"/>
          <w:rtl/>
        </w:rPr>
      </w:pPr>
    </w:p>
    <w:p w14:paraId="03EDE628"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58A3325E" w14:textId="77777777" w:rsidR="004C3216" w:rsidRDefault="004C3216" w:rsidP="005811E2">
      <w:pPr>
        <w:shd w:val="clear" w:color="auto" w:fill="FFFFFF"/>
        <w:spacing w:line="360" w:lineRule="auto"/>
        <w:ind w:left="516" w:right="426"/>
        <w:jc w:val="both"/>
        <w:rPr>
          <w:rFonts w:ascii="Calibri" w:hAnsi="Calibri"/>
          <w:u w:val="single"/>
        </w:rPr>
      </w:pPr>
    </w:p>
    <w:p w14:paraId="07D035F1"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3</w:t>
      </w:r>
    </w:p>
    <w:p w14:paraId="59B20058"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1CC406BD"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14.5 (ארבע עשרה וחצי)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18.7.17 ועד היום.</w:t>
      </w:r>
    </w:p>
    <w:p w14:paraId="2743412D"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5A281DE2"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500F4C54" w14:textId="77777777" w:rsidR="004C3216" w:rsidRDefault="004C3216" w:rsidP="005811E2">
      <w:pPr>
        <w:shd w:val="clear" w:color="auto" w:fill="FFFFFF"/>
        <w:spacing w:line="360" w:lineRule="auto"/>
        <w:ind w:left="516" w:right="426"/>
        <w:jc w:val="both"/>
        <w:rPr>
          <w:rFonts w:ascii="Calibri" w:hAnsi="Calibri"/>
          <w:rtl/>
        </w:rPr>
      </w:pPr>
    </w:p>
    <w:p w14:paraId="75F01B90"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175E567B" w14:textId="77777777" w:rsidR="004C3216" w:rsidRDefault="004C3216" w:rsidP="005811E2">
      <w:pPr>
        <w:shd w:val="clear" w:color="auto" w:fill="FFFFFF"/>
        <w:spacing w:line="360" w:lineRule="auto"/>
        <w:ind w:left="516" w:right="426"/>
        <w:jc w:val="both"/>
        <w:rPr>
          <w:rFonts w:ascii="Arial" w:hAnsi="Arial"/>
          <w:b/>
          <w:bCs/>
          <w:rtl/>
        </w:rPr>
      </w:pPr>
    </w:p>
    <w:p w14:paraId="19286735"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40,000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80,000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10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3E0C0A69" w14:textId="77777777" w:rsidR="004C3216" w:rsidRDefault="004C3216" w:rsidP="005811E2">
      <w:pPr>
        <w:shd w:val="clear" w:color="auto" w:fill="FFFFFF"/>
        <w:spacing w:line="360" w:lineRule="auto"/>
        <w:ind w:left="516" w:right="426"/>
        <w:jc w:val="both"/>
        <w:rPr>
          <w:rFonts w:ascii="Calibri" w:hAnsi="Calibri" w:cs="Arial"/>
          <w:sz w:val="22"/>
          <w:szCs w:val="22"/>
        </w:rPr>
      </w:pPr>
    </w:p>
    <w:p w14:paraId="6EF833C9"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4</w:t>
      </w:r>
    </w:p>
    <w:p w14:paraId="42E79776"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49AA6401" w14:textId="77777777" w:rsidR="004C3216" w:rsidRDefault="004C3216" w:rsidP="005811E2">
      <w:pPr>
        <w:spacing w:line="360" w:lineRule="auto"/>
        <w:ind w:left="516" w:right="426"/>
        <w:jc w:val="both"/>
        <w:rPr>
          <w:rFonts w:ascii="Calibri" w:hAnsi="Calibri"/>
          <w:b/>
          <w:bCs/>
          <w:u w:val="single"/>
        </w:rPr>
      </w:pPr>
      <w:r>
        <w:rPr>
          <w:rFonts w:ascii="David" w:hAnsi="David"/>
          <w:b/>
          <w:bCs/>
          <w:rtl/>
        </w:rPr>
        <w:t xml:space="preserve">7 (שבעה) חודשי מאסר בפועל. </w:t>
      </w:r>
      <w:r>
        <w:rPr>
          <w:rFonts w:ascii="David" w:hAnsi="David"/>
          <w:rtl/>
        </w:rPr>
        <w:t xml:space="preserve">מתקופה זו </w:t>
      </w:r>
      <w:r>
        <w:rPr>
          <w:rFonts w:ascii="David" w:hAnsi="David"/>
          <w:u w:val="single"/>
          <w:rtl/>
        </w:rPr>
        <w:t>יש לנכות</w:t>
      </w:r>
      <w:r>
        <w:rPr>
          <w:rFonts w:ascii="David" w:hAnsi="David"/>
          <w:rtl/>
        </w:rPr>
        <w:t xml:space="preserve"> את התקופה בה היה הנאשם עצור בתיק זה מאחורי סורג ובריח – מיום 18.7.17 ועד ליום 23.11.17.</w:t>
      </w:r>
    </w:p>
    <w:p w14:paraId="28CB67E9" w14:textId="77777777" w:rsidR="004C3216" w:rsidRDefault="004C3216" w:rsidP="005811E2">
      <w:pPr>
        <w:spacing w:line="360" w:lineRule="auto"/>
        <w:ind w:left="516" w:right="426" w:firstLine="233"/>
        <w:jc w:val="both"/>
        <w:rPr>
          <w:rFonts w:ascii="Calibri" w:hAnsi="Calibri"/>
          <w:b/>
          <w:bCs/>
          <w:u w:val="single"/>
          <w:rtl/>
        </w:rPr>
      </w:pPr>
    </w:p>
    <w:p w14:paraId="1E5E1E8D" w14:textId="77777777" w:rsidR="004C3216" w:rsidRDefault="004C3216" w:rsidP="005811E2">
      <w:pPr>
        <w:spacing w:line="360" w:lineRule="auto"/>
        <w:ind w:left="516" w:right="426"/>
        <w:jc w:val="both"/>
        <w:rPr>
          <w:rFonts w:ascii="Calibri" w:hAnsi="Calibri"/>
          <w:rtl/>
        </w:rPr>
      </w:pP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היתרה</w:t>
      </w:r>
      <w:r>
        <w:rPr>
          <w:rFonts w:ascii="Calibri" w:hAnsi="Calibri"/>
          <w:b/>
          <w:bCs/>
          <w:u w:val="single"/>
          <w:rtl/>
        </w:rPr>
        <w:t xml:space="preserve"> </w:t>
      </w:r>
      <w:r>
        <w:rPr>
          <w:rFonts w:ascii="Calibri" w:hAnsi="Calibri" w:hint="eastAsia"/>
          <w:b/>
          <w:bCs/>
          <w:u w:val="single"/>
          <w:rtl/>
        </w:rPr>
        <w:t>ירצה</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בעבודות</w:t>
      </w:r>
      <w:r>
        <w:rPr>
          <w:rFonts w:ascii="Calibri" w:hAnsi="Calibri"/>
          <w:b/>
          <w:bCs/>
          <w:u w:val="single"/>
          <w:rtl/>
        </w:rPr>
        <w:t xml:space="preserve"> </w:t>
      </w:r>
      <w:r>
        <w:rPr>
          <w:rFonts w:ascii="Calibri" w:hAnsi="Calibri" w:hint="eastAsia"/>
          <w:b/>
          <w:bCs/>
          <w:u w:val="single"/>
          <w:rtl/>
        </w:rPr>
        <w:t>שירות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מיום</w:t>
      </w:r>
      <w:r>
        <w:rPr>
          <w:rFonts w:ascii="Calibri" w:hAnsi="Calibri"/>
          <w:rtl/>
        </w:rPr>
        <w:t xml:space="preserve"> 23.9.19; </w:t>
      </w:r>
      <w:r>
        <w:rPr>
          <w:rFonts w:ascii="Calibri" w:hAnsi="Calibri" w:hint="eastAsia"/>
          <w:b/>
          <w:bCs/>
          <w:u w:val="single"/>
          <w:rtl/>
        </w:rPr>
        <w:t>תחילת</w:t>
      </w:r>
      <w:r>
        <w:rPr>
          <w:rFonts w:ascii="Calibri" w:hAnsi="Calibri"/>
          <w:b/>
          <w:bCs/>
          <w:u w:val="single"/>
          <w:rtl/>
        </w:rPr>
        <w:t xml:space="preserve"> </w:t>
      </w:r>
      <w:r>
        <w:rPr>
          <w:rFonts w:ascii="Calibri" w:hAnsi="Calibri" w:hint="eastAsia"/>
          <w:b/>
          <w:bCs/>
          <w:u w:val="single"/>
          <w:rtl/>
        </w:rPr>
        <w:t>ריצוי</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השירות</w:t>
      </w:r>
      <w:r>
        <w:rPr>
          <w:rFonts w:ascii="Calibri" w:hAnsi="Calibri"/>
          <w:b/>
          <w:bCs/>
          <w:u w:val="single"/>
          <w:rtl/>
        </w:rPr>
        <w:t xml:space="preserve"> </w:t>
      </w:r>
      <w:r>
        <w:rPr>
          <w:rFonts w:ascii="Calibri" w:hAnsi="Calibri" w:hint="eastAsia"/>
          <w:b/>
          <w:bCs/>
          <w:u w:val="single"/>
          <w:rtl/>
        </w:rPr>
        <w:t>ביום</w:t>
      </w:r>
      <w:r>
        <w:rPr>
          <w:rFonts w:ascii="Calibri" w:hAnsi="Calibri"/>
          <w:b/>
          <w:bCs/>
          <w:u w:val="single"/>
          <w:rtl/>
        </w:rPr>
        <w:t xml:space="preserve"> 18.11.19.</w:t>
      </w:r>
    </w:p>
    <w:p w14:paraId="1BC6D6F3" w14:textId="77777777" w:rsidR="004C3216" w:rsidRDefault="004C3216" w:rsidP="005811E2">
      <w:pPr>
        <w:spacing w:line="360" w:lineRule="auto"/>
        <w:ind w:left="516" w:right="426"/>
        <w:jc w:val="both"/>
        <w:rPr>
          <w:rFonts w:ascii="Calibri" w:hAnsi="Calibri"/>
          <w:rtl/>
        </w:rPr>
      </w:pPr>
    </w:p>
    <w:p w14:paraId="3630E5F2" w14:textId="77777777" w:rsidR="004C3216" w:rsidRDefault="004C3216" w:rsidP="005811E2">
      <w:pPr>
        <w:spacing w:line="360" w:lineRule="auto"/>
        <w:ind w:left="516" w:right="426"/>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יתייצב</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בשעה</w:t>
      </w:r>
      <w:r>
        <w:rPr>
          <w:rFonts w:ascii="Calibri" w:hAnsi="Calibri"/>
          <w:rtl/>
        </w:rPr>
        <w:t xml:space="preserve"> 09:00 </w:t>
      </w:r>
      <w:r>
        <w:rPr>
          <w:rFonts w:ascii="Calibri" w:hAnsi="Calibri" w:hint="eastAsia"/>
          <w:rtl/>
        </w:rPr>
        <w:t>במפקדת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בימ</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עמקים</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טבריה</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הציונות</w:t>
      </w:r>
      <w:r>
        <w:rPr>
          <w:rFonts w:ascii="Calibri" w:hAnsi="Calibri"/>
          <w:rtl/>
        </w:rPr>
        <w:t xml:space="preserve"> 14 </w:t>
      </w:r>
      <w:r>
        <w:rPr>
          <w:rFonts w:ascii="Calibri" w:hAnsi="Calibri" w:hint="eastAsia"/>
          <w:rtl/>
        </w:rPr>
        <w:t>טבריה</w:t>
      </w:r>
      <w:r>
        <w:rPr>
          <w:rFonts w:ascii="Calibri" w:hAnsi="Calibri"/>
          <w:rtl/>
        </w:rPr>
        <w:t xml:space="preserve">. </w:t>
      </w:r>
      <w:r>
        <w:rPr>
          <w:rFonts w:ascii="Calibri" w:hAnsi="Calibri" w:hint="eastAsia"/>
          <w:rtl/>
        </w:rPr>
        <w:t>טלפונים</w:t>
      </w:r>
      <w:r>
        <w:rPr>
          <w:rFonts w:ascii="Calibri" w:hAnsi="Calibri"/>
          <w:rtl/>
        </w:rPr>
        <w:t xml:space="preserve">: 04-6728405, 04-6728421, 08-9775099. </w:t>
      </w:r>
      <w:r>
        <w:rPr>
          <w:rFonts w:ascii="Calibri" w:hAnsi="Calibri" w:hint="eastAsia"/>
          <w:rtl/>
        </w:rPr>
        <w:t>מובהר</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שעליו</w:t>
      </w:r>
      <w:r>
        <w:rPr>
          <w:rFonts w:ascii="Calibri" w:hAnsi="Calibri"/>
          <w:rtl/>
        </w:rPr>
        <w:t xml:space="preserve"> </w:t>
      </w:r>
      <w:r>
        <w:rPr>
          <w:rFonts w:ascii="Calibri" w:hAnsi="Calibri" w:hint="eastAsia"/>
          <w:rtl/>
        </w:rPr>
        <w:t>לדווח</w:t>
      </w:r>
      <w:r>
        <w:rPr>
          <w:rFonts w:ascii="Calibri" w:hAnsi="Calibri"/>
          <w:rtl/>
        </w:rPr>
        <w:t xml:space="preserve"> </w:t>
      </w:r>
      <w:r>
        <w:rPr>
          <w:rFonts w:ascii="Calibri" w:hAnsi="Calibri" w:hint="eastAsia"/>
          <w:rtl/>
        </w:rPr>
        <w:t>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במספרי</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בשינוי</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ביקורות</w:t>
      </w:r>
      <w:r>
        <w:rPr>
          <w:rFonts w:ascii="Calibri" w:hAnsi="Calibri"/>
          <w:rtl/>
        </w:rPr>
        <w:t xml:space="preserve"> </w:t>
      </w:r>
      <w:r>
        <w:rPr>
          <w:rFonts w:ascii="Calibri" w:hAnsi="Calibri" w:hint="eastAsia"/>
          <w:rtl/>
        </w:rPr>
        <w:t>פתע</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 </w:t>
      </w:r>
      <w:r>
        <w:rPr>
          <w:rFonts w:ascii="Calibri" w:hAnsi="Calibri" w:hint="eastAsia"/>
          <w:rtl/>
        </w:rPr>
        <w:t>ובכלל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שתיית</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הגעה</w:t>
      </w:r>
      <w:r>
        <w:rPr>
          <w:rFonts w:ascii="Calibri" w:hAnsi="Calibri"/>
          <w:rtl/>
        </w:rPr>
        <w:t xml:space="preserve"> </w:t>
      </w:r>
      <w:r>
        <w:rPr>
          <w:rFonts w:ascii="Calibri" w:hAnsi="Calibri" w:hint="eastAsia"/>
          <w:rtl/>
        </w:rPr>
        <w:t>בגילופין</w:t>
      </w:r>
      <w:r>
        <w:rPr>
          <w:rFonts w:ascii="Calibri" w:hAnsi="Calibri"/>
          <w:rtl/>
        </w:rPr>
        <w:t xml:space="preserve"> - </w:t>
      </w:r>
      <w:r>
        <w:rPr>
          <w:rFonts w:ascii="Calibri" w:hAnsi="Calibri" w:hint="eastAsia"/>
          <w:rtl/>
        </w:rPr>
        <w:t>עשויה</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להפסקה</w:t>
      </w:r>
      <w:r>
        <w:rPr>
          <w:rFonts w:ascii="Calibri" w:hAnsi="Calibri"/>
          <w:rtl/>
        </w:rPr>
        <w:t xml:space="preserve"> </w:t>
      </w:r>
      <w:r>
        <w:rPr>
          <w:rFonts w:ascii="Calibri" w:hAnsi="Calibri" w:hint="eastAsia"/>
          <w:rtl/>
        </w:rPr>
        <w:t>מינהלית</w:t>
      </w:r>
      <w:r>
        <w:rPr>
          <w:rFonts w:ascii="Calibri" w:hAnsi="Calibri"/>
          <w:rtl/>
        </w:rPr>
        <w:t xml:space="preserve"> </w:t>
      </w:r>
      <w:r>
        <w:rPr>
          <w:rFonts w:ascii="Calibri" w:hAnsi="Calibri" w:hint="eastAsia"/>
          <w:rtl/>
        </w:rPr>
        <w:t>ולריצוי</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ממש</w:t>
      </w:r>
      <w:r>
        <w:rPr>
          <w:rFonts w:ascii="Calibri" w:hAnsi="Calibri"/>
          <w:rtl/>
        </w:rPr>
        <w:t>.</w:t>
      </w:r>
    </w:p>
    <w:p w14:paraId="0CF23B33" w14:textId="77777777" w:rsidR="004C3216" w:rsidRDefault="004C3216" w:rsidP="005811E2">
      <w:pPr>
        <w:spacing w:line="360" w:lineRule="auto"/>
        <w:ind w:left="516" w:right="426"/>
        <w:jc w:val="both"/>
        <w:rPr>
          <w:rFonts w:ascii="Calibri" w:hAnsi="Calibri"/>
          <w:rtl/>
        </w:rPr>
      </w:pPr>
    </w:p>
    <w:p w14:paraId="43D5D58A"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8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7D6DE9F1" w14:textId="77777777" w:rsidR="004C3216" w:rsidRDefault="004C3216" w:rsidP="005811E2">
      <w:pPr>
        <w:shd w:val="clear" w:color="auto" w:fill="FFFFFF"/>
        <w:spacing w:line="360" w:lineRule="auto"/>
        <w:ind w:left="516" w:right="426"/>
        <w:jc w:val="both"/>
        <w:rPr>
          <w:rFonts w:ascii="Calibri" w:hAnsi="Calibri"/>
          <w:rtl/>
        </w:rPr>
      </w:pPr>
    </w:p>
    <w:p w14:paraId="7CB4C872"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4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3E7AAE08" w14:textId="77777777" w:rsidR="004C3216" w:rsidRDefault="004C3216" w:rsidP="005811E2">
      <w:pPr>
        <w:spacing w:line="360" w:lineRule="auto"/>
        <w:ind w:left="516" w:right="426"/>
        <w:jc w:val="both"/>
        <w:rPr>
          <w:rFonts w:ascii="Calibri" w:hAnsi="Calibri" w:cs="Arial"/>
          <w:sz w:val="22"/>
          <w:szCs w:val="22"/>
        </w:rPr>
      </w:pPr>
    </w:p>
    <w:p w14:paraId="0373430D"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77DFEA8A"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Pr>
      </w:pPr>
    </w:p>
    <w:p w14:paraId="64359F6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b/>
          <w:bCs/>
          <w:sz w:val="24"/>
          <w:szCs w:val="24"/>
          <w:u w:val="single"/>
          <w:rtl/>
        </w:rPr>
        <w:t>על הנאשם 5</w:t>
      </w:r>
    </w:p>
    <w:p w14:paraId="78310237" w14:textId="77777777" w:rsidR="004C3216" w:rsidRDefault="004C3216" w:rsidP="005811E2">
      <w:pPr>
        <w:spacing w:line="360" w:lineRule="auto"/>
        <w:ind w:left="516" w:right="426"/>
        <w:rPr>
          <w:rFonts w:ascii="David" w:hAnsi="David"/>
        </w:rPr>
      </w:pPr>
    </w:p>
    <w:p w14:paraId="0B2EE2FB" w14:textId="77777777" w:rsidR="004C3216" w:rsidRDefault="004C3216" w:rsidP="005811E2">
      <w:pPr>
        <w:spacing w:line="360" w:lineRule="auto"/>
        <w:ind w:left="516" w:right="426"/>
        <w:jc w:val="both"/>
        <w:rPr>
          <w:rFonts w:ascii="Calibri" w:hAnsi="Calibri"/>
          <w:b/>
          <w:bCs/>
          <w:u w:val="single"/>
          <w:rtl/>
        </w:rPr>
      </w:pPr>
      <w:r>
        <w:rPr>
          <w:rFonts w:ascii="David" w:hAnsi="David"/>
          <w:b/>
          <w:bCs/>
          <w:rtl/>
        </w:rPr>
        <w:t xml:space="preserve">5 (חמישה) חודשי מאסר בפועל. </w:t>
      </w:r>
      <w:r>
        <w:rPr>
          <w:rFonts w:ascii="David" w:hAnsi="David"/>
          <w:rtl/>
        </w:rPr>
        <w:t xml:space="preserve">מתקופה זו </w:t>
      </w:r>
      <w:r>
        <w:rPr>
          <w:rFonts w:ascii="David" w:hAnsi="David"/>
          <w:u w:val="single"/>
          <w:rtl/>
        </w:rPr>
        <w:t>יש לנכות</w:t>
      </w:r>
      <w:r>
        <w:rPr>
          <w:rFonts w:ascii="David" w:hAnsi="David"/>
          <w:rtl/>
        </w:rPr>
        <w:t xml:space="preserve"> את התקופה בה היה הנאשם עצור בתיק זה מאחורי סורג ובריח – מיום 18.7.17 ועד ליום 3.10.17.</w:t>
      </w:r>
    </w:p>
    <w:p w14:paraId="20C67959" w14:textId="77777777" w:rsidR="004C3216" w:rsidRDefault="004C3216" w:rsidP="005811E2">
      <w:pPr>
        <w:spacing w:line="360" w:lineRule="auto"/>
        <w:ind w:left="516" w:right="426" w:firstLine="233"/>
        <w:jc w:val="both"/>
        <w:rPr>
          <w:rFonts w:ascii="Calibri" w:hAnsi="Calibri"/>
          <w:b/>
          <w:bCs/>
          <w:u w:val="single"/>
          <w:rtl/>
        </w:rPr>
      </w:pPr>
    </w:p>
    <w:p w14:paraId="792A0DB7" w14:textId="77777777" w:rsidR="004C3216" w:rsidRDefault="004C3216" w:rsidP="005811E2">
      <w:pPr>
        <w:spacing w:line="360" w:lineRule="auto"/>
        <w:ind w:left="516" w:right="426"/>
        <w:jc w:val="both"/>
        <w:rPr>
          <w:rFonts w:ascii="Calibri" w:hAnsi="Calibri"/>
          <w:rtl/>
        </w:rPr>
      </w:pP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היתרה</w:t>
      </w:r>
      <w:r>
        <w:rPr>
          <w:rFonts w:ascii="Calibri" w:hAnsi="Calibri"/>
          <w:b/>
          <w:bCs/>
          <w:u w:val="single"/>
          <w:rtl/>
        </w:rPr>
        <w:t xml:space="preserve"> </w:t>
      </w:r>
      <w:r>
        <w:rPr>
          <w:rFonts w:ascii="Calibri" w:hAnsi="Calibri" w:hint="eastAsia"/>
          <w:b/>
          <w:bCs/>
          <w:u w:val="single"/>
          <w:rtl/>
        </w:rPr>
        <w:t>ירצה</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בעבודות</w:t>
      </w:r>
      <w:r>
        <w:rPr>
          <w:rFonts w:ascii="Calibri" w:hAnsi="Calibri"/>
          <w:b/>
          <w:bCs/>
          <w:u w:val="single"/>
          <w:rtl/>
        </w:rPr>
        <w:t xml:space="preserve"> </w:t>
      </w:r>
      <w:r>
        <w:rPr>
          <w:rFonts w:ascii="Calibri" w:hAnsi="Calibri" w:hint="eastAsia"/>
          <w:b/>
          <w:bCs/>
          <w:u w:val="single"/>
          <w:rtl/>
        </w:rPr>
        <w:t>שירות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מיום</w:t>
      </w:r>
      <w:r>
        <w:rPr>
          <w:rFonts w:ascii="Calibri" w:hAnsi="Calibri"/>
          <w:rtl/>
        </w:rPr>
        <w:t xml:space="preserve"> 16.9.19. </w:t>
      </w:r>
      <w:r>
        <w:rPr>
          <w:rFonts w:ascii="Calibri" w:hAnsi="Calibri" w:hint="eastAsia"/>
          <w:b/>
          <w:bCs/>
          <w:u w:val="single"/>
          <w:rtl/>
        </w:rPr>
        <w:t>תחילת</w:t>
      </w:r>
      <w:r>
        <w:rPr>
          <w:rFonts w:ascii="Calibri" w:hAnsi="Calibri"/>
          <w:b/>
          <w:bCs/>
          <w:u w:val="single"/>
          <w:rtl/>
        </w:rPr>
        <w:t xml:space="preserve"> </w:t>
      </w:r>
      <w:r>
        <w:rPr>
          <w:rFonts w:ascii="Calibri" w:hAnsi="Calibri" w:hint="eastAsia"/>
          <w:b/>
          <w:bCs/>
          <w:u w:val="single"/>
          <w:rtl/>
        </w:rPr>
        <w:t>ריצוי</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השירות</w:t>
      </w:r>
      <w:r>
        <w:rPr>
          <w:rFonts w:ascii="Calibri" w:hAnsi="Calibri"/>
          <w:b/>
          <w:bCs/>
          <w:u w:val="single"/>
          <w:rtl/>
        </w:rPr>
        <w:t xml:space="preserve"> </w:t>
      </w:r>
      <w:r>
        <w:rPr>
          <w:rFonts w:ascii="Calibri" w:hAnsi="Calibri" w:hint="eastAsia"/>
          <w:b/>
          <w:bCs/>
          <w:u w:val="single"/>
          <w:rtl/>
        </w:rPr>
        <w:t>ביום</w:t>
      </w:r>
      <w:r>
        <w:rPr>
          <w:rFonts w:ascii="Calibri" w:hAnsi="Calibri"/>
          <w:b/>
          <w:bCs/>
          <w:u w:val="single"/>
          <w:rtl/>
        </w:rPr>
        <w:t xml:space="preserve"> 25.11.19.</w:t>
      </w:r>
    </w:p>
    <w:p w14:paraId="5D5D2322" w14:textId="77777777" w:rsidR="004C3216" w:rsidRDefault="004C3216" w:rsidP="005811E2">
      <w:pPr>
        <w:spacing w:line="360" w:lineRule="auto"/>
        <w:ind w:left="516" w:right="426"/>
        <w:jc w:val="both"/>
        <w:rPr>
          <w:rFonts w:ascii="Calibri" w:hAnsi="Calibri"/>
          <w:rtl/>
        </w:rPr>
      </w:pPr>
    </w:p>
    <w:p w14:paraId="5919C0B8" w14:textId="77777777" w:rsidR="004C3216" w:rsidRDefault="004C3216" w:rsidP="005811E2">
      <w:pPr>
        <w:spacing w:line="360" w:lineRule="auto"/>
        <w:ind w:left="516" w:right="426"/>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יתייצב</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בשעה</w:t>
      </w:r>
      <w:r>
        <w:rPr>
          <w:rFonts w:ascii="Calibri" w:hAnsi="Calibri"/>
          <w:rtl/>
        </w:rPr>
        <w:t xml:space="preserve"> 09:00 </w:t>
      </w:r>
      <w:r>
        <w:rPr>
          <w:rFonts w:ascii="Calibri" w:hAnsi="Calibri" w:hint="eastAsia"/>
          <w:rtl/>
        </w:rPr>
        <w:t>במפקדת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בימ</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עמקים</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טבריה</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הציונות</w:t>
      </w:r>
      <w:r>
        <w:rPr>
          <w:rFonts w:ascii="Calibri" w:hAnsi="Calibri"/>
          <w:rtl/>
        </w:rPr>
        <w:t xml:space="preserve"> 14 </w:t>
      </w:r>
      <w:r>
        <w:rPr>
          <w:rFonts w:ascii="Calibri" w:hAnsi="Calibri" w:hint="eastAsia"/>
          <w:rtl/>
        </w:rPr>
        <w:t>טבריה</w:t>
      </w:r>
      <w:r>
        <w:rPr>
          <w:rFonts w:ascii="Calibri" w:hAnsi="Calibri"/>
          <w:rtl/>
        </w:rPr>
        <w:t xml:space="preserve">. </w:t>
      </w:r>
      <w:r>
        <w:rPr>
          <w:rFonts w:ascii="Calibri" w:hAnsi="Calibri" w:hint="eastAsia"/>
          <w:rtl/>
        </w:rPr>
        <w:t>טלפונים</w:t>
      </w:r>
      <w:r>
        <w:rPr>
          <w:rFonts w:ascii="Calibri" w:hAnsi="Calibri"/>
          <w:rtl/>
        </w:rPr>
        <w:t xml:space="preserve">: 04-6728405, 04-6728421, 08-9775099. </w:t>
      </w:r>
      <w:r>
        <w:rPr>
          <w:rFonts w:ascii="Calibri" w:hAnsi="Calibri" w:hint="eastAsia"/>
          <w:rtl/>
        </w:rPr>
        <w:t>מובהר</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שעליו</w:t>
      </w:r>
      <w:r>
        <w:rPr>
          <w:rFonts w:ascii="Calibri" w:hAnsi="Calibri"/>
          <w:rtl/>
        </w:rPr>
        <w:t xml:space="preserve"> </w:t>
      </w:r>
      <w:r>
        <w:rPr>
          <w:rFonts w:ascii="Calibri" w:hAnsi="Calibri" w:hint="eastAsia"/>
          <w:rtl/>
        </w:rPr>
        <w:t>לדווח</w:t>
      </w:r>
      <w:r>
        <w:rPr>
          <w:rFonts w:ascii="Calibri" w:hAnsi="Calibri"/>
          <w:rtl/>
        </w:rPr>
        <w:t xml:space="preserve"> </w:t>
      </w:r>
      <w:r>
        <w:rPr>
          <w:rFonts w:ascii="Calibri" w:hAnsi="Calibri" w:hint="eastAsia"/>
          <w:rtl/>
        </w:rPr>
        <w:t>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במספרי</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בשינוי</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ביקורות</w:t>
      </w:r>
      <w:r>
        <w:rPr>
          <w:rFonts w:ascii="Calibri" w:hAnsi="Calibri"/>
          <w:rtl/>
        </w:rPr>
        <w:t xml:space="preserve"> </w:t>
      </w:r>
      <w:r>
        <w:rPr>
          <w:rFonts w:ascii="Calibri" w:hAnsi="Calibri" w:hint="eastAsia"/>
          <w:rtl/>
        </w:rPr>
        <w:t>פתע</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 </w:t>
      </w:r>
      <w:r>
        <w:rPr>
          <w:rFonts w:ascii="Calibri" w:hAnsi="Calibri" w:hint="eastAsia"/>
          <w:rtl/>
        </w:rPr>
        <w:t>ובכלל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שתיית</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הגעה</w:t>
      </w:r>
      <w:r>
        <w:rPr>
          <w:rFonts w:ascii="Calibri" w:hAnsi="Calibri"/>
          <w:rtl/>
        </w:rPr>
        <w:t xml:space="preserve"> </w:t>
      </w:r>
      <w:r>
        <w:rPr>
          <w:rFonts w:ascii="Calibri" w:hAnsi="Calibri" w:hint="eastAsia"/>
          <w:rtl/>
        </w:rPr>
        <w:t>בגילופין</w:t>
      </w:r>
      <w:r>
        <w:rPr>
          <w:rFonts w:ascii="Calibri" w:hAnsi="Calibri"/>
          <w:rtl/>
        </w:rPr>
        <w:t xml:space="preserve"> - </w:t>
      </w:r>
      <w:r>
        <w:rPr>
          <w:rFonts w:ascii="Calibri" w:hAnsi="Calibri" w:hint="eastAsia"/>
          <w:rtl/>
        </w:rPr>
        <w:t>עשויה</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להפסקה</w:t>
      </w:r>
      <w:r>
        <w:rPr>
          <w:rFonts w:ascii="Calibri" w:hAnsi="Calibri"/>
          <w:rtl/>
        </w:rPr>
        <w:t xml:space="preserve"> </w:t>
      </w:r>
      <w:r>
        <w:rPr>
          <w:rFonts w:ascii="Calibri" w:hAnsi="Calibri" w:hint="eastAsia"/>
          <w:rtl/>
        </w:rPr>
        <w:t>מינהלית</w:t>
      </w:r>
      <w:r>
        <w:rPr>
          <w:rFonts w:ascii="Calibri" w:hAnsi="Calibri"/>
          <w:rtl/>
        </w:rPr>
        <w:t xml:space="preserve"> </w:t>
      </w:r>
      <w:r>
        <w:rPr>
          <w:rFonts w:ascii="Calibri" w:hAnsi="Calibri" w:hint="eastAsia"/>
          <w:rtl/>
        </w:rPr>
        <w:t>ולריצוי</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ממש</w:t>
      </w:r>
      <w:r>
        <w:rPr>
          <w:rFonts w:ascii="Calibri" w:hAnsi="Calibri"/>
          <w:rtl/>
        </w:rPr>
        <w:t>.</w:t>
      </w:r>
    </w:p>
    <w:p w14:paraId="4C0325DD" w14:textId="77777777" w:rsidR="004C3216" w:rsidRDefault="004C3216" w:rsidP="005811E2">
      <w:pPr>
        <w:spacing w:line="360" w:lineRule="auto"/>
        <w:ind w:left="516" w:right="426"/>
        <w:jc w:val="both"/>
        <w:rPr>
          <w:rFonts w:ascii="Calibri" w:hAnsi="Calibri"/>
          <w:rtl/>
        </w:rPr>
      </w:pPr>
    </w:p>
    <w:p w14:paraId="2FD07304"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6AD93139" w14:textId="77777777" w:rsidR="004C3216" w:rsidRDefault="004C3216" w:rsidP="005811E2">
      <w:pPr>
        <w:shd w:val="clear" w:color="auto" w:fill="FFFFFF"/>
        <w:spacing w:line="360" w:lineRule="auto"/>
        <w:ind w:left="516" w:right="426"/>
        <w:jc w:val="both"/>
        <w:rPr>
          <w:rFonts w:ascii="Calibri" w:hAnsi="Calibri"/>
          <w:rtl/>
        </w:rPr>
      </w:pPr>
    </w:p>
    <w:p w14:paraId="29425091"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3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זה</w:t>
      </w:r>
      <w:r>
        <w:rPr>
          <w:rFonts w:ascii="Calibri" w:hAnsi="Calibri"/>
          <w:rtl/>
        </w:rPr>
        <w:t xml:space="preserve">).  </w:t>
      </w:r>
    </w:p>
    <w:p w14:paraId="7019A410" w14:textId="77777777" w:rsidR="004C3216" w:rsidRDefault="004C3216" w:rsidP="005811E2">
      <w:pPr>
        <w:spacing w:line="360" w:lineRule="auto"/>
        <w:ind w:left="516" w:right="426"/>
        <w:jc w:val="both"/>
        <w:rPr>
          <w:rFonts w:ascii="Calibri" w:hAnsi="Calibri" w:cs="Arial"/>
          <w:sz w:val="22"/>
          <w:szCs w:val="22"/>
        </w:rPr>
      </w:pPr>
    </w:p>
    <w:p w14:paraId="22B7EE67"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0541B12D" w14:textId="77777777" w:rsidR="004C3216" w:rsidRDefault="004C3216" w:rsidP="005811E2">
      <w:pPr>
        <w:spacing w:line="360" w:lineRule="auto"/>
        <w:ind w:left="516" w:right="426"/>
        <w:jc w:val="both"/>
        <w:rPr>
          <w:rFonts w:ascii="Calibri" w:hAnsi="Calibri" w:cs="Arial"/>
          <w:sz w:val="22"/>
          <w:szCs w:val="22"/>
        </w:rPr>
      </w:pPr>
    </w:p>
    <w:p w14:paraId="4436B0F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6</w:t>
      </w:r>
    </w:p>
    <w:p w14:paraId="012FAE41" w14:textId="77777777" w:rsidR="004C3216" w:rsidRDefault="004C3216" w:rsidP="005811E2">
      <w:pPr>
        <w:spacing w:line="360" w:lineRule="auto"/>
        <w:ind w:left="516" w:right="426"/>
        <w:rPr>
          <w:rFonts w:ascii="David" w:hAnsi="David"/>
        </w:rPr>
      </w:pPr>
    </w:p>
    <w:p w14:paraId="1D3CA1C6" w14:textId="77777777" w:rsidR="004C3216" w:rsidRDefault="004C3216" w:rsidP="00D01F44">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3 (שלוש)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22.8.17 ועד ליום 23.11.17.</w:t>
      </w:r>
    </w:p>
    <w:p w14:paraId="3A16D836"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19716633"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2E6A74C4" w14:textId="77777777" w:rsidR="004C3216" w:rsidRDefault="004C3216" w:rsidP="005811E2">
      <w:pPr>
        <w:shd w:val="clear" w:color="auto" w:fill="FFFFFF"/>
        <w:spacing w:line="360" w:lineRule="auto"/>
        <w:ind w:left="516" w:right="426"/>
        <w:jc w:val="both"/>
        <w:rPr>
          <w:rFonts w:ascii="Calibri" w:hAnsi="Calibri"/>
          <w:rtl/>
        </w:rPr>
      </w:pPr>
    </w:p>
    <w:p w14:paraId="450E4C8F"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509BDD1E" w14:textId="77777777" w:rsidR="004C3216" w:rsidRDefault="004C3216" w:rsidP="005811E2">
      <w:pPr>
        <w:shd w:val="clear" w:color="auto" w:fill="FFFFFF"/>
        <w:spacing w:line="360" w:lineRule="auto"/>
        <w:ind w:left="516" w:right="426"/>
        <w:jc w:val="both"/>
        <w:rPr>
          <w:rFonts w:ascii="Arial" w:hAnsi="Arial"/>
          <w:b/>
          <w:bCs/>
          <w:rtl/>
        </w:rPr>
      </w:pPr>
    </w:p>
    <w:p w14:paraId="067EB992" w14:textId="77777777" w:rsidR="004C3216" w:rsidRDefault="004C3216" w:rsidP="003E0A4D">
      <w:pPr>
        <w:shd w:val="clear" w:color="auto" w:fill="FFFFFF"/>
        <w:spacing w:line="360" w:lineRule="auto"/>
        <w:ind w:left="516" w:right="426"/>
        <w:jc w:val="both"/>
        <w:rPr>
          <w:rFonts w:ascii="Arial" w:hAnsi="Arial"/>
          <w:rtl/>
        </w:rPr>
      </w:pPr>
      <w:r>
        <w:rPr>
          <w:rFonts w:ascii="Arial" w:hAnsi="Arial"/>
          <w:u w:val="single"/>
          <w:rtl/>
        </w:rPr>
        <w:t>הנאשם 6 יתייצב</w:t>
      </w:r>
      <w:r>
        <w:rPr>
          <w:rFonts w:ascii="Arial" w:hAnsi="Arial"/>
          <w:rtl/>
        </w:rPr>
        <w:t xml:space="preserve"> לריצוי מאסרו בבית מעצר קישון ביום </w:t>
      </w:r>
      <w:r>
        <w:rPr>
          <w:rFonts w:ascii="Arial" w:hAnsi="Arial"/>
          <w:b/>
          <w:bCs/>
          <w:rtl/>
        </w:rPr>
        <w:t>1.12.19</w:t>
      </w:r>
      <w:r>
        <w:rPr>
          <w:rFonts w:ascii="Arial" w:hAnsi="Arial"/>
          <w:rtl/>
        </w:rPr>
        <w:t xml:space="preserve"> עד השעה 10:00, או על פי החלטת שב"ס, כשברשותו תעודת זהות או דרכון. על הנאשם לתאם את הכניסה למאסר, כולל האפשרות למיון מוקדם, עם ענף אבחון ומיון של שב"ס, טלפונים: 08-9787377, 08-9787336. </w:t>
      </w:r>
      <w:r>
        <w:rPr>
          <w:rFonts w:ascii="Arial" w:hAnsi="Arial"/>
          <w:u w:val="single"/>
          <w:rtl/>
        </w:rPr>
        <w:t>תנאי השחרור או המעצר באיזוק בהם היה נתון הנאשם עד כה, ימשיכו לחול עד להתייצבותו לתחילת ריצוי עונשו.</w:t>
      </w:r>
    </w:p>
    <w:p w14:paraId="46A1B835" w14:textId="77777777" w:rsidR="004C3216" w:rsidRDefault="004C3216" w:rsidP="005811E2">
      <w:pPr>
        <w:shd w:val="clear" w:color="auto" w:fill="FFFFFF"/>
        <w:spacing w:line="360" w:lineRule="auto"/>
        <w:ind w:left="516" w:right="426"/>
        <w:jc w:val="both"/>
        <w:rPr>
          <w:rFonts w:ascii="Calibri" w:hAnsi="Calibri" w:cs="Arial"/>
          <w:sz w:val="22"/>
          <w:szCs w:val="22"/>
          <w:rtl/>
        </w:rPr>
      </w:pPr>
    </w:p>
    <w:p w14:paraId="45249C80"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2894ACC6" w14:textId="77777777" w:rsidR="004C3216" w:rsidRDefault="004C3216" w:rsidP="005811E2">
      <w:pPr>
        <w:shd w:val="clear" w:color="auto" w:fill="FFFFFF"/>
        <w:spacing w:line="360" w:lineRule="auto"/>
        <w:ind w:left="516" w:right="426"/>
        <w:jc w:val="both"/>
        <w:rPr>
          <w:rFonts w:ascii="Calibri" w:hAnsi="Calibri" w:cs="Arial"/>
          <w:sz w:val="22"/>
          <w:szCs w:val="22"/>
        </w:rPr>
      </w:pPr>
    </w:p>
    <w:p w14:paraId="6AB4EC5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7</w:t>
      </w:r>
    </w:p>
    <w:p w14:paraId="39DB993A" w14:textId="77777777" w:rsidR="004C3216" w:rsidRDefault="004C3216" w:rsidP="005811E2">
      <w:pPr>
        <w:spacing w:line="360" w:lineRule="auto"/>
        <w:ind w:left="516" w:right="426"/>
        <w:rPr>
          <w:rFonts w:ascii="David" w:hAnsi="David"/>
        </w:rPr>
      </w:pPr>
    </w:p>
    <w:p w14:paraId="389214D2"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4.5 (ארבע וחצי)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24.7.17 ועד ליום 23.11.17. </w:t>
      </w:r>
    </w:p>
    <w:p w14:paraId="57359275"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3D4067FF"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6AE28524" w14:textId="77777777" w:rsidR="004C3216" w:rsidRDefault="004C3216" w:rsidP="005811E2">
      <w:pPr>
        <w:shd w:val="clear" w:color="auto" w:fill="FFFFFF"/>
        <w:spacing w:line="360" w:lineRule="auto"/>
        <w:ind w:left="516" w:right="426"/>
        <w:jc w:val="both"/>
        <w:rPr>
          <w:rFonts w:ascii="Calibri" w:hAnsi="Calibri"/>
          <w:rtl/>
        </w:rPr>
      </w:pPr>
    </w:p>
    <w:p w14:paraId="0F1A9850"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0A51EDA3" w14:textId="77777777" w:rsidR="004C3216" w:rsidRDefault="004C3216" w:rsidP="005811E2">
      <w:pPr>
        <w:shd w:val="clear" w:color="auto" w:fill="FFFFFF"/>
        <w:spacing w:line="360" w:lineRule="auto"/>
        <w:ind w:left="516" w:right="426"/>
        <w:jc w:val="both"/>
        <w:rPr>
          <w:rFonts w:ascii="Arial" w:hAnsi="Arial"/>
          <w:b/>
          <w:bCs/>
          <w:rtl/>
        </w:rPr>
      </w:pPr>
    </w:p>
    <w:p w14:paraId="04163F04" w14:textId="77777777" w:rsidR="004C3216" w:rsidRDefault="004C3216" w:rsidP="003A0637">
      <w:pPr>
        <w:shd w:val="clear" w:color="auto" w:fill="FFFFFF"/>
        <w:spacing w:line="360" w:lineRule="auto"/>
        <w:ind w:left="516" w:right="426"/>
        <w:jc w:val="both"/>
        <w:rPr>
          <w:rFonts w:ascii="Arial" w:hAnsi="Arial"/>
          <w:rtl/>
        </w:rPr>
      </w:pPr>
      <w:r>
        <w:rPr>
          <w:rFonts w:ascii="Arial" w:hAnsi="Arial"/>
          <w:u w:val="single"/>
          <w:rtl/>
        </w:rPr>
        <w:t>הנאשם 7 יתייצב</w:t>
      </w:r>
      <w:r>
        <w:rPr>
          <w:rFonts w:ascii="Arial" w:hAnsi="Arial"/>
          <w:rtl/>
        </w:rPr>
        <w:t xml:space="preserve"> לריצוי מאסרו בבית מעצר קישון ביום </w:t>
      </w:r>
      <w:r>
        <w:rPr>
          <w:rFonts w:ascii="Arial" w:hAnsi="Arial"/>
          <w:b/>
          <w:bCs/>
          <w:rtl/>
        </w:rPr>
        <w:t>1.12.19</w:t>
      </w:r>
      <w:r>
        <w:rPr>
          <w:rFonts w:ascii="Arial" w:hAnsi="Arial"/>
          <w:rtl/>
        </w:rPr>
        <w:t xml:space="preserve"> עד השעה 10:00, או על פי החלטת שב"ס, כשברשותו תעודת זהות או דרכון. על הנאשם לתאם את הכניסה למאסר, כולל האפשרות למיון מוקדם, עם ענף אבחון ומיון של שב"ס, טלפונים: 08-9787377, 08-9787336. </w:t>
      </w:r>
      <w:r>
        <w:rPr>
          <w:rFonts w:ascii="Arial" w:hAnsi="Arial"/>
          <w:u w:val="single"/>
          <w:rtl/>
        </w:rPr>
        <w:t>תנאי השחרור או המעצר באיזוק בהם היה נתון הנאשם עד כה, ימשיכו לחול עד להתייצבותו לתחילת ריצוי עונשו.</w:t>
      </w:r>
    </w:p>
    <w:p w14:paraId="647C23CA" w14:textId="77777777" w:rsidR="004C3216" w:rsidRDefault="004C3216" w:rsidP="005811E2">
      <w:pPr>
        <w:shd w:val="clear" w:color="auto" w:fill="FFFFFF"/>
        <w:spacing w:line="360" w:lineRule="auto"/>
        <w:ind w:left="516" w:right="426"/>
        <w:jc w:val="both"/>
        <w:rPr>
          <w:rFonts w:ascii="Calibri" w:hAnsi="Calibri" w:cs="Arial"/>
          <w:sz w:val="22"/>
          <w:szCs w:val="22"/>
          <w:rtl/>
        </w:rPr>
      </w:pPr>
    </w:p>
    <w:p w14:paraId="0975E416"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0ABBE275" w14:textId="77777777" w:rsidR="004C3216" w:rsidRDefault="004C3216" w:rsidP="005811E2">
      <w:pPr>
        <w:shd w:val="clear" w:color="auto" w:fill="FFFFFF"/>
        <w:spacing w:line="360" w:lineRule="auto"/>
        <w:ind w:left="516" w:right="426"/>
        <w:jc w:val="both"/>
        <w:rPr>
          <w:rFonts w:ascii="Calibri" w:hAnsi="Calibri"/>
          <w:rtl/>
        </w:rPr>
      </w:pPr>
    </w:p>
    <w:p w14:paraId="64EB5A66"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Pr>
      </w:pPr>
      <w:r>
        <w:rPr>
          <w:rFonts w:ascii="David" w:hAnsi="David" w:cs="David"/>
          <w:b/>
          <w:bCs/>
          <w:sz w:val="24"/>
          <w:szCs w:val="24"/>
          <w:u w:val="single"/>
          <w:rtl/>
        </w:rPr>
        <w:t>על הנאשם 8</w:t>
      </w:r>
    </w:p>
    <w:p w14:paraId="33F7E83A" w14:textId="77777777" w:rsidR="004C3216" w:rsidRDefault="004C3216" w:rsidP="005811E2">
      <w:pPr>
        <w:pStyle w:val="ListParagraph"/>
        <w:spacing w:after="0" w:line="360" w:lineRule="auto"/>
        <w:ind w:left="516" w:right="426"/>
        <w:rPr>
          <w:rFonts w:ascii="David" w:hAnsi="David" w:cs="David"/>
          <w:sz w:val="24"/>
          <w:szCs w:val="24"/>
        </w:rPr>
      </w:pPr>
    </w:p>
    <w:p w14:paraId="4894C57F" w14:textId="77777777" w:rsidR="004C3216" w:rsidRDefault="004C3216" w:rsidP="00D01F44">
      <w:pPr>
        <w:pStyle w:val="ListParagraph"/>
        <w:tabs>
          <w:tab w:val="left" w:pos="516"/>
          <w:tab w:val="left" w:pos="2125"/>
        </w:tabs>
        <w:spacing w:after="0" w:line="360" w:lineRule="auto"/>
        <w:ind w:left="516" w:right="426"/>
        <w:jc w:val="both"/>
        <w:rPr>
          <w:rFonts w:ascii="David" w:hAnsi="David" w:cs="David"/>
          <w:sz w:val="24"/>
          <w:szCs w:val="24"/>
          <w:rtl/>
        </w:rPr>
      </w:pPr>
      <w:r>
        <w:rPr>
          <w:rFonts w:ascii="David" w:hAnsi="David" w:cs="David"/>
          <w:b/>
          <w:bCs/>
          <w:sz w:val="24"/>
          <w:szCs w:val="24"/>
          <w:u w:val="single"/>
          <w:rtl/>
        </w:rPr>
        <w:t>5 (חמש) שנות מאסר בפועל</w:t>
      </w:r>
      <w:r>
        <w:rPr>
          <w:rFonts w:ascii="David" w:hAnsi="David" w:cs="David"/>
          <w:sz w:val="24"/>
          <w:szCs w:val="24"/>
          <w:rtl/>
        </w:rPr>
        <w:t xml:space="preserve">, </w:t>
      </w:r>
      <w:r>
        <w:rPr>
          <w:rFonts w:ascii="David" w:hAnsi="David" w:cs="David"/>
          <w:sz w:val="24"/>
          <w:szCs w:val="24"/>
          <w:u w:val="single"/>
          <w:rtl/>
        </w:rPr>
        <w:t>בניכוי</w:t>
      </w:r>
      <w:r>
        <w:rPr>
          <w:rFonts w:ascii="David" w:hAnsi="David" w:cs="David"/>
          <w:sz w:val="24"/>
          <w:szCs w:val="24"/>
          <w:rtl/>
        </w:rPr>
        <w:t xml:space="preserve"> התקופה בה היה עצור בתיק זה מאחורי סורג ובריח – מיום 18.7.17 ועד היום. </w:t>
      </w:r>
    </w:p>
    <w:p w14:paraId="0E697D78"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7FFF2062"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b/>
          <w:bCs/>
          <w:sz w:val="24"/>
          <w:szCs w:val="24"/>
          <w:u w:val="single"/>
          <w:rtl/>
        </w:rPr>
      </w:pPr>
      <w:r>
        <w:rPr>
          <w:rFonts w:ascii="David" w:hAnsi="David" w:cs="David"/>
          <w:sz w:val="24"/>
          <w:szCs w:val="24"/>
          <w:rtl/>
        </w:rPr>
        <w:t xml:space="preserve">בנוסף, אני מורה על </w:t>
      </w:r>
      <w:r>
        <w:rPr>
          <w:rFonts w:ascii="David" w:hAnsi="David" w:cs="David"/>
          <w:sz w:val="24"/>
          <w:szCs w:val="24"/>
          <w:u w:val="single"/>
          <w:rtl/>
        </w:rPr>
        <w:t>הפעלת מאסר על תנאי</w:t>
      </w:r>
      <w:r>
        <w:rPr>
          <w:rFonts w:ascii="David" w:hAnsi="David" w:cs="David"/>
          <w:sz w:val="24"/>
          <w:szCs w:val="24"/>
          <w:rtl/>
        </w:rPr>
        <w:t xml:space="preserve"> שהוטל על הנאשם ב</w:t>
      </w:r>
      <w:hyperlink r:id="rId167" w:history="1">
        <w:r w:rsidR="008B74B3" w:rsidRPr="008B74B3">
          <w:rPr>
            <w:rFonts w:ascii="David" w:hAnsi="David" w:cs="David"/>
            <w:color w:val="0000FF"/>
            <w:sz w:val="24"/>
            <w:szCs w:val="24"/>
            <w:u w:val="single"/>
            <w:rtl/>
          </w:rPr>
          <w:t>ת.פ. (מחוזי חיפה) 363</w:t>
        </w:r>
        <w:r w:rsidR="008B74B3" w:rsidRPr="008B74B3">
          <w:rPr>
            <w:rFonts w:ascii="David" w:hAnsi="David" w:cs="David"/>
            <w:color w:val="0000FF"/>
            <w:sz w:val="24"/>
            <w:szCs w:val="24"/>
            <w:u w:val="single"/>
            <w:rtl/>
          </w:rPr>
          <w:t>8</w:t>
        </w:r>
        <w:r w:rsidR="008B74B3" w:rsidRPr="008B74B3">
          <w:rPr>
            <w:rFonts w:ascii="David" w:hAnsi="David" w:cs="David"/>
            <w:color w:val="0000FF"/>
            <w:sz w:val="24"/>
            <w:szCs w:val="24"/>
            <w:u w:val="single"/>
            <w:rtl/>
          </w:rPr>
          <w:t>1-05-15</w:t>
        </w:r>
      </w:hyperlink>
      <w:r>
        <w:rPr>
          <w:rFonts w:ascii="David" w:hAnsi="David" w:cs="David"/>
          <w:sz w:val="24"/>
          <w:szCs w:val="24"/>
          <w:rtl/>
        </w:rPr>
        <w:t xml:space="preserve"> </w:t>
      </w:r>
      <w:r w:rsidR="00BB2098" w:rsidRPr="00BB2098">
        <w:rPr>
          <w:rFonts w:ascii="Times New Roman" w:hAnsi="Times New Roman" w:cs="David"/>
          <w:szCs w:val="24"/>
          <w:rtl/>
        </w:rPr>
        <w:t xml:space="preserve">[פורסם בנבו] </w:t>
      </w:r>
      <w:r>
        <w:rPr>
          <w:rFonts w:ascii="David" w:hAnsi="David" w:cs="David"/>
          <w:sz w:val="24"/>
          <w:szCs w:val="24"/>
          <w:rtl/>
        </w:rPr>
        <w:t xml:space="preserve">ביום 31.12.15. מדובר במאסר על תנאי לתקופה של 15 חודשים. אני מורה כי המאסר על תנאי יופעל כאשר 7 חודשים ממנו </w:t>
      </w:r>
      <w:r>
        <w:rPr>
          <w:rFonts w:ascii="David" w:hAnsi="David" w:cs="David"/>
          <w:sz w:val="24"/>
          <w:szCs w:val="24"/>
          <w:u w:val="single"/>
          <w:rtl/>
        </w:rPr>
        <w:t>במצטבר</w:t>
      </w:r>
      <w:r>
        <w:rPr>
          <w:rFonts w:ascii="David" w:hAnsi="David" w:cs="David"/>
          <w:sz w:val="24"/>
          <w:szCs w:val="24"/>
          <w:rtl/>
        </w:rPr>
        <w:t xml:space="preserve"> למאסר בפועל עליו הוריתי ו 8 חודשים בחופף; </w:t>
      </w:r>
      <w:r>
        <w:rPr>
          <w:rFonts w:ascii="David" w:hAnsi="David" w:cs="David"/>
          <w:b/>
          <w:bCs/>
          <w:sz w:val="24"/>
          <w:szCs w:val="24"/>
          <w:u w:val="single"/>
          <w:rtl/>
        </w:rPr>
        <w:t>כך שבסה"כ ירצה הנאשם 5 שנים ו 7 חודשים של מאסר בפועל, בניכוי התקופה בה היה עצור בתיק זה מאחורי סורג ובריח – מיום 24.9.17 ועד ליום 23.11.17.</w:t>
      </w:r>
    </w:p>
    <w:p w14:paraId="798A4DDA" w14:textId="77777777" w:rsidR="004C3216" w:rsidRDefault="004C3216" w:rsidP="005811E2">
      <w:pPr>
        <w:pStyle w:val="ListParagraph"/>
        <w:tabs>
          <w:tab w:val="left" w:pos="516"/>
          <w:tab w:val="left" w:pos="2125"/>
        </w:tabs>
        <w:spacing w:after="0" w:line="360" w:lineRule="auto"/>
        <w:ind w:left="516" w:right="426"/>
        <w:jc w:val="both"/>
        <w:rPr>
          <w:rFonts w:ascii="David" w:hAnsi="David" w:cs="David"/>
          <w:sz w:val="24"/>
          <w:szCs w:val="24"/>
          <w:rtl/>
        </w:rPr>
      </w:pPr>
    </w:p>
    <w:p w14:paraId="49D9A6F2"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3DE66A68" w14:textId="77777777" w:rsidR="004C3216" w:rsidRDefault="004C3216" w:rsidP="005811E2">
      <w:pPr>
        <w:shd w:val="clear" w:color="auto" w:fill="FFFFFF"/>
        <w:spacing w:line="360" w:lineRule="auto"/>
        <w:ind w:left="516" w:right="426"/>
        <w:jc w:val="both"/>
        <w:rPr>
          <w:rFonts w:ascii="Calibri" w:hAnsi="Calibri"/>
          <w:rtl/>
        </w:rPr>
      </w:pPr>
    </w:p>
    <w:p w14:paraId="4B8CDF1D" w14:textId="77777777" w:rsidR="004C3216" w:rsidRDefault="004C3216" w:rsidP="005811E2">
      <w:pPr>
        <w:shd w:val="clear" w:color="auto" w:fill="FFFFFF"/>
        <w:spacing w:line="360" w:lineRule="auto"/>
        <w:ind w:left="516" w:right="426"/>
        <w:jc w:val="both"/>
        <w:rPr>
          <w:rFonts w:ascii="Arial" w:hAnsi="Arial"/>
          <w:b/>
          <w:bCs/>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p>
    <w:p w14:paraId="76583260" w14:textId="77777777" w:rsidR="004C3216" w:rsidRDefault="004C3216" w:rsidP="005811E2">
      <w:pPr>
        <w:shd w:val="clear" w:color="auto" w:fill="FFFFFF"/>
        <w:spacing w:line="360" w:lineRule="auto"/>
        <w:ind w:left="516" w:right="426"/>
        <w:jc w:val="both"/>
        <w:rPr>
          <w:rFonts w:ascii="Arial" w:hAnsi="Arial"/>
          <w:b/>
          <w:bCs/>
          <w:rtl/>
        </w:rPr>
      </w:pPr>
    </w:p>
    <w:p w14:paraId="30917AB9"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581DC9C5" w14:textId="77777777" w:rsidR="004C3216" w:rsidRDefault="004C3216" w:rsidP="005811E2">
      <w:pPr>
        <w:shd w:val="clear" w:color="auto" w:fill="FFFFFF"/>
        <w:spacing w:line="360" w:lineRule="auto"/>
        <w:ind w:left="516" w:right="426"/>
        <w:jc w:val="both"/>
        <w:rPr>
          <w:rFonts w:ascii="Calibri" w:hAnsi="Calibri" w:cs="Arial"/>
          <w:sz w:val="22"/>
          <w:szCs w:val="22"/>
        </w:rPr>
      </w:pPr>
    </w:p>
    <w:p w14:paraId="09D27E1C" w14:textId="77777777" w:rsidR="004C3216" w:rsidRDefault="004C3216" w:rsidP="005811E2">
      <w:pPr>
        <w:pStyle w:val="ListParagraph"/>
        <w:numPr>
          <w:ilvl w:val="0"/>
          <w:numId w:val="6"/>
        </w:numPr>
        <w:tabs>
          <w:tab w:val="left" w:pos="516"/>
          <w:tab w:val="left" w:pos="2125"/>
        </w:tabs>
        <w:spacing w:after="0" w:line="360" w:lineRule="auto"/>
        <w:ind w:left="516" w:right="426" w:hanging="720"/>
        <w:jc w:val="both"/>
        <w:rPr>
          <w:rFonts w:ascii="David" w:hAnsi="David" w:cs="David"/>
          <w:b/>
          <w:bCs/>
          <w:sz w:val="24"/>
          <w:szCs w:val="24"/>
          <w:u w:val="single"/>
          <w:rtl/>
        </w:rPr>
      </w:pPr>
      <w:r>
        <w:rPr>
          <w:rFonts w:ascii="David" w:hAnsi="David" w:cs="David"/>
          <w:b/>
          <w:bCs/>
          <w:sz w:val="24"/>
          <w:szCs w:val="24"/>
          <w:u w:val="single"/>
          <w:rtl/>
        </w:rPr>
        <w:t>על הנאשם 9</w:t>
      </w:r>
    </w:p>
    <w:p w14:paraId="6B3CAF18" w14:textId="77777777" w:rsidR="004C3216" w:rsidRDefault="004C3216" w:rsidP="005811E2">
      <w:pPr>
        <w:shd w:val="clear" w:color="auto" w:fill="FFFFFF"/>
        <w:spacing w:line="360" w:lineRule="auto"/>
        <w:ind w:left="516" w:right="426"/>
        <w:jc w:val="both"/>
        <w:rPr>
          <w:rFonts w:ascii="Calibri" w:hAnsi="Calibri"/>
        </w:rPr>
      </w:pPr>
    </w:p>
    <w:p w14:paraId="12160B08" w14:textId="77777777" w:rsidR="004C3216" w:rsidRDefault="004C3216" w:rsidP="005811E2">
      <w:pPr>
        <w:spacing w:line="360" w:lineRule="auto"/>
        <w:ind w:left="516" w:right="426"/>
        <w:jc w:val="both"/>
        <w:rPr>
          <w:rFonts w:ascii="Calibri" w:hAnsi="Calibri"/>
          <w:b/>
          <w:bCs/>
          <w:u w:val="single"/>
          <w:rtl/>
        </w:rPr>
      </w:pPr>
      <w:r>
        <w:rPr>
          <w:rFonts w:ascii="David" w:hAnsi="David"/>
          <w:b/>
          <w:bCs/>
          <w:rtl/>
        </w:rPr>
        <w:t xml:space="preserve">6 (ששה) חודשי מאסר בפועל. </w:t>
      </w:r>
      <w:r>
        <w:rPr>
          <w:rFonts w:ascii="David" w:hAnsi="David"/>
          <w:rtl/>
        </w:rPr>
        <w:t xml:space="preserve">מתקופה זו </w:t>
      </w:r>
      <w:r>
        <w:rPr>
          <w:rFonts w:ascii="David" w:hAnsi="David"/>
          <w:u w:val="single"/>
          <w:rtl/>
        </w:rPr>
        <w:t>יש לנכות</w:t>
      </w:r>
      <w:r>
        <w:rPr>
          <w:rFonts w:ascii="David" w:hAnsi="David"/>
          <w:rtl/>
        </w:rPr>
        <w:t xml:space="preserve"> את התקופה בה היה הנאשם עצור בתיק זה מאחורי סורג ובריח – מיום 18.7.17 ועד ליום 29.11.17.</w:t>
      </w:r>
    </w:p>
    <w:p w14:paraId="72B1E72D" w14:textId="77777777" w:rsidR="004C3216" w:rsidRDefault="004C3216" w:rsidP="005811E2">
      <w:pPr>
        <w:spacing w:line="360" w:lineRule="auto"/>
        <w:ind w:left="516" w:right="426" w:firstLine="233"/>
        <w:jc w:val="both"/>
        <w:rPr>
          <w:rFonts w:ascii="Calibri" w:hAnsi="Calibri"/>
          <w:b/>
          <w:bCs/>
          <w:u w:val="single"/>
          <w:rtl/>
        </w:rPr>
      </w:pPr>
    </w:p>
    <w:p w14:paraId="2DFEAF2C" w14:textId="77777777" w:rsidR="004C3216" w:rsidRDefault="004C3216" w:rsidP="003A0637">
      <w:pPr>
        <w:spacing w:line="360" w:lineRule="auto"/>
        <w:ind w:left="516" w:right="426"/>
        <w:jc w:val="both"/>
        <w:rPr>
          <w:rFonts w:ascii="Calibri" w:hAnsi="Calibri"/>
          <w:rtl/>
        </w:rPr>
      </w:pP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היתרה</w:t>
      </w:r>
      <w:r>
        <w:rPr>
          <w:rFonts w:ascii="Calibri" w:hAnsi="Calibri"/>
          <w:b/>
          <w:bCs/>
          <w:u w:val="single"/>
          <w:rtl/>
        </w:rPr>
        <w:t xml:space="preserve"> </w:t>
      </w:r>
      <w:r>
        <w:rPr>
          <w:rFonts w:ascii="Calibri" w:hAnsi="Calibri" w:hint="eastAsia"/>
          <w:b/>
          <w:bCs/>
          <w:u w:val="single"/>
          <w:rtl/>
        </w:rPr>
        <w:t>ירצה</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בעבודות</w:t>
      </w:r>
      <w:r>
        <w:rPr>
          <w:rFonts w:ascii="Calibri" w:hAnsi="Calibri"/>
          <w:b/>
          <w:bCs/>
          <w:u w:val="single"/>
          <w:rtl/>
        </w:rPr>
        <w:t xml:space="preserve"> </w:t>
      </w:r>
      <w:r>
        <w:rPr>
          <w:rFonts w:ascii="Calibri" w:hAnsi="Calibri" w:hint="eastAsia"/>
          <w:b/>
          <w:bCs/>
          <w:u w:val="single"/>
          <w:rtl/>
        </w:rPr>
        <w:t>שירות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מיום</w:t>
      </w:r>
      <w:r>
        <w:rPr>
          <w:rFonts w:ascii="Calibri" w:hAnsi="Calibri"/>
          <w:rtl/>
        </w:rPr>
        <w:t xml:space="preserve"> 24.9.19; </w:t>
      </w:r>
      <w:r>
        <w:rPr>
          <w:rFonts w:ascii="Calibri" w:hAnsi="Calibri" w:hint="eastAsia"/>
          <w:b/>
          <w:bCs/>
          <w:u w:val="single"/>
          <w:rtl/>
        </w:rPr>
        <w:t>תחילת</w:t>
      </w:r>
      <w:r>
        <w:rPr>
          <w:rFonts w:ascii="Calibri" w:hAnsi="Calibri"/>
          <w:b/>
          <w:bCs/>
          <w:u w:val="single"/>
          <w:rtl/>
        </w:rPr>
        <w:t xml:space="preserve"> </w:t>
      </w:r>
      <w:r>
        <w:rPr>
          <w:rFonts w:ascii="Calibri" w:hAnsi="Calibri" w:hint="eastAsia"/>
          <w:b/>
          <w:bCs/>
          <w:u w:val="single"/>
          <w:rtl/>
        </w:rPr>
        <w:t>ריצוי</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השירות</w:t>
      </w:r>
      <w:r>
        <w:rPr>
          <w:rFonts w:ascii="Calibri" w:hAnsi="Calibri"/>
          <w:b/>
          <w:bCs/>
          <w:u w:val="single"/>
          <w:rtl/>
        </w:rPr>
        <w:t xml:space="preserve"> </w:t>
      </w:r>
      <w:r>
        <w:rPr>
          <w:rFonts w:ascii="Calibri" w:hAnsi="Calibri" w:hint="eastAsia"/>
          <w:b/>
          <w:bCs/>
          <w:u w:val="single"/>
          <w:rtl/>
        </w:rPr>
        <w:t>ביום</w:t>
      </w:r>
      <w:r>
        <w:rPr>
          <w:rFonts w:ascii="Calibri" w:hAnsi="Calibri"/>
          <w:b/>
          <w:bCs/>
          <w:u w:val="single"/>
          <w:rtl/>
        </w:rPr>
        <w:t xml:space="preserve"> 28.11.19</w:t>
      </w:r>
      <w:r>
        <w:rPr>
          <w:rFonts w:ascii="Calibri" w:hAnsi="Calibri"/>
          <w:rtl/>
        </w:rPr>
        <w:t>.</w:t>
      </w:r>
    </w:p>
    <w:p w14:paraId="1E92EE59" w14:textId="77777777" w:rsidR="004C3216" w:rsidRDefault="004C3216" w:rsidP="005811E2">
      <w:pPr>
        <w:spacing w:line="360" w:lineRule="auto"/>
        <w:ind w:left="516" w:right="426"/>
        <w:jc w:val="both"/>
        <w:rPr>
          <w:rFonts w:ascii="Calibri" w:hAnsi="Calibri"/>
          <w:rtl/>
        </w:rPr>
      </w:pPr>
    </w:p>
    <w:p w14:paraId="05CE8B20" w14:textId="77777777" w:rsidR="004C3216" w:rsidRDefault="004C3216" w:rsidP="005811E2">
      <w:pPr>
        <w:spacing w:line="360" w:lineRule="auto"/>
        <w:ind w:left="516" w:right="426"/>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יתייצב</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בשעה</w:t>
      </w:r>
      <w:r>
        <w:rPr>
          <w:rFonts w:ascii="Calibri" w:hAnsi="Calibri"/>
          <w:rtl/>
        </w:rPr>
        <w:t xml:space="preserve"> 09:00 </w:t>
      </w:r>
      <w:r>
        <w:rPr>
          <w:rFonts w:ascii="Calibri" w:hAnsi="Calibri" w:hint="eastAsia"/>
          <w:rtl/>
        </w:rPr>
        <w:t>במפקדת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מחוז</w:t>
      </w:r>
      <w:r>
        <w:rPr>
          <w:rFonts w:ascii="Calibri" w:hAnsi="Calibri"/>
          <w:rtl/>
        </w:rPr>
        <w:t xml:space="preserve"> </w:t>
      </w:r>
      <w:r>
        <w:rPr>
          <w:rFonts w:ascii="Calibri" w:hAnsi="Calibri" w:hint="eastAsia"/>
          <w:rtl/>
        </w:rPr>
        <w:t>דרום</w:t>
      </w:r>
      <w:r>
        <w:rPr>
          <w:rFonts w:ascii="Calibri" w:hAnsi="Calibri"/>
          <w:rtl/>
        </w:rPr>
        <w:t xml:space="preserve">) </w:t>
      </w:r>
      <w:r>
        <w:rPr>
          <w:rFonts w:ascii="Calibri" w:hAnsi="Calibri" w:hint="eastAsia"/>
          <w:rtl/>
        </w:rPr>
        <w:t>ליד</w:t>
      </w:r>
      <w:r>
        <w:rPr>
          <w:rFonts w:ascii="Calibri" w:hAnsi="Calibri"/>
          <w:rtl/>
        </w:rPr>
        <w:t xml:space="preserve"> </w:t>
      </w:r>
      <w:r>
        <w:rPr>
          <w:rFonts w:ascii="Calibri" w:hAnsi="Calibri" w:hint="eastAsia"/>
          <w:rtl/>
        </w:rPr>
        <w:t>כלא</w:t>
      </w:r>
      <w:r>
        <w:rPr>
          <w:rFonts w:ascii="Calibri" w:hAnsi="Calibri"/>
          <w:rtl/>
        </w:rPr>
        <w:t xml:space="preserve"> </w:t>
      </w:r>
      <w:r>
        <w:rPr>
          <w:rFonts w:ascii="Calibri" w:hAnsi="Calibri" w:hint="eastAsia"/>
          <w:rtl/>
        </w:rPr>
        <w:t>אשל</w:t>
      </w:r>
      <w:r>
        <w:rPr>
          <w:rFonts w:ascii="Calibri" w:hAnsi="Calibri"/>
          <w:rtl/>
        </w:rPr>
        <w:t xml:space="preserve"> (</w:t>
      </w:r>
      <w:r>
        <w:rPr>
          <w:rFonts w:ascii="Calibri" w:hAnsi="Calibri" w:hint="eastAsia"/>
          <w:rtl/>
        </w:rPr>
        <w:t>טל</w:t>
      </w:r>
      <w:r>
        <w:rPr>
          <w:rFonts w:ascii="Calibri" w:hAnsi="Calibri"/>
          <w:rtl/>
        </w:rPr>
        <w:t xml:space="preserve">' 08-6290616). </w:t>
      </w:r>
      <w:r>
        <w:rPr>
          <w:rFonts w:ascii="Calibri" w:hAnsi="Calibri" w:hint="eastAsia"/>
          <w:rtl/>
        </w:rPr>
        <w:t>מובהר</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שעליו</w:t>
      </w:r>
      <w:r>
        <w:rPr>
          <w:rFonts w:ascii="Calibri" w:hAnsi="Calibri"/>
          <w:rtl/>
        </w:rPr>
        <w:t xml:space="preserve"> </w:t>
      </w:r>
      <w:r>
        <w:rPr>
          <w:rFonts w:ascii="Calibri" w:hAnsi="Calibri" w:hint="eastAsia"/>
          <w:rtl/>
        </w:rPr>
        <w:t>לדווח</w:t>
      </w:r>
      <w:r>
        <w:rPr>
          <w:rFonts w:ascii="Calibri" w:hAnsi="Calibri"/>
          <w:rtl/>
        </w:rPr>
        <w:t xml:space="preserve"> </w:t>
      </w:r>
      <w:r>
        <w:rPr>
          <w:rFonts w:ascii="Calibri" w:hAnsi="Calibri" w:hint="eastAsia"/>
          <w:rtl/>
        </w:rPr>
        <w:t>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בכתובת</w:t>
      </w:r>
      <w:r>
        <w:rPr>
          <w:rFonts w:ascii="Calibri" w:hAnsi="Calibri"/>
          <w:rtl/>
        </w:rPr>
        <w:t xml:space="preserve"> </w:t>
      </w:r>
      <w:r>
        <w:rPr>
          <w:rFonts w:ascii="Calibri" w:hAnsi="Calibri" w:hint="eastAsia"/>
          <w:rtl/>
        </w:rPr>
        <w:t>מגוריו</w:t>
      </w:r>
      <w:r>
        <w:rPr>
          <w:rFonts w:ascii="Calibri" w:hAnsi="Calibri"/>
          <w:rtl/>
        </w:rPr>
        <w:t xml:space="preserve">, </w:t>
      </w:r>
      <w:r>
        <w:rPr>
          <w:rFonts w:ascii="Calibri" w:hAnsi="Calibri" w:hint="eastAsia"/>
          <w:rtl/>
        </w:rPr>
        <w:t>במספרי</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בשינוי</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הבריאותי</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הפיקוח</w:t>
      </w:r>
      <w:r>
        <w:rPr>
          <w:rFonts w:ascii="Calibri" w:hAnsi="Calibri"/>
          <w:rtl/>
        </w:rPr>
        <w:t xml:space="preserve">. </w:t>
      </w:r>
      <w:r>
        <w:rPr>
          <w:rFonts w:ascii="Calibri" w:hAnsi="Calibri" w:hint="eastAsia"/>
          <w:rtl/>
        </w:rPr>
        <w:t>ביקורות</w:t>
      </w:r>
      <w:r>
        <w:rPr>
          <w:rFonts w:ascii="Calibri" w:hAnsi="Calibri"/>
          <w:rtl/>
        </w:rPr>
        <w:t xml:space="preserve"> </w:t>
      </w:r>
      <w:r>
        <w:rPr>
          <w:rFonts w:ascii="Calibri" w:hAnsi="Calibri" w:hint="eastAsia"/>
          <w:rtl/>
        </w:rPr>
        <w:t>פתע</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 </w:t>
      </w:r>
      <w:r>
        <w:rPr>
          <w:rFonts w:ascii="Calibri" w:hAnsi="Calibri" w:hint="eastAsia"/>
          <w:rtl/>
        </w:rPr>
        <w:t>ובכלל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שתיית</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הגעה</w:t>
      </w:r>
      <w:r>
        <w:rPr>
          <w:rFonts w:ascii="Calibri" w:hAnsi="Calibri"/>
          <w:rtl/>
        </w:rPr>
        <w:t xml:space="preserve"> </w:t>
      </w:r>
      <w:r>
        <w:rPr>
          <w:rFonts w:ascii="Calibri" w:hAnsi="Calibri" w:hint="eastAsia"/>
          <w:rtl/>
        </w:rPr>
        <w:t>בגילופין</w:t>
      </w:r>
      <w:r>
        <w:rPr>
          <w:rFonts w:ascii="Calibri" w:hAnsi="Calibri"/>
          <w:rtl/>
        </w:rPr>
        <w:t xml:space="preserve"> - </w:t>
      </w:r>
      <w:r>
        <w:rPr>
          <w:rFonts w:ascii="Calibri" w:hAnsi="Calibri" w:hint="eastAsia"/>
          <w:rtl/>
        </w:rPr>
        <w:t>עשויה</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להפסקה</w:t>
      </w:r>
      <w:r>
        <w:rPr>
          <w:rFonts w:ascii="Calibri" w:hAnsi="Calibri"/>
          <w:rtl/>
        </w:rPr>
        <w:t xml:space="preserve"> </w:t>
      </w:r>
      <w:r>
        <w:rPr>
          <w:rFonts w:ascii="Calibri" w:hAnsi="Calibri" w:hint="eastAsia"/>
          <w:rtl/>
        </w:rPr>
        <w:t>מינהלית</w:t>
      </w:r>
      <w:r>
        <w:rPr>
          <w:rFonts w:ascii="Calibri" w:hAnsi="Calibri"/>
          <w:rtl/>
        </w:rPr>
        <w:t xml:space="preserve"> </w:t>
      </w:r>
      <w:r>
        <w:rPr>
          <w:rFonts w:ascii="Calibri" w:hAnsi="Calibri" w:hint="eastAsia"/>
          <w:rtl/>
        </w:rPr>
        <w:t>ולריצוי</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ממש</w:t>
      </w:r>
      <w:r>
        <w:rPr>
          <w:rFonts w:ascii="Calibri" w:hAnsi="Calibri"/>
          <w:rtl/>
        </w:rPr>
        <w:t>.</w:t>
      </w:r>
    </w:p>
    <w:p w14:paraId="5FBC0657" w14:textId="77777777" w:rsidR="004C3216" w:rsidRDefault="004C3216" w:rsidP="005811E2">
      <w:pPr>
        <w:spacing w:line="360" w:lineRule="auto"/>
        <w:ind w:left="516" w:right="426"/>
        <w:jc w:val="both"/>
        <w:rPr>
          <w:rFonts w:ascii="Calibri" w:hAnsi="Calibri"/>
          <w:rtl/>
        </w:rPr>
      </w:pPr>
    </w:p>
    <w:p w14:paraId="4B4C2EE4"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44AFC143" w14:textId="77777777" w:rsidR="004C3216" w:rsidRDefault="004C3216" w:rsidP="005811E2">
      <w:pPr>
        <w:shd w:val="clear" w:color="auto" w:fill="FFFFFF"/>
        <w:spacing w:line="360" w:lineRule="auto"/>
        <w:ind w:left="516" w:right="426"/>
        <w:jc w:val="both"/>
        <w:rPr>
          <w:rFonts w:ascii="Calibri" w:hAnsi="Calibri"/>
          <w:rtl/>
        </w:rPr>
      </w:pPr>
    </w:p>
    <w:p w14:paraId="2595F86A"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3 </w:t>
      </w:r>
      <w:r>
        <w:rPr>
          <w:rFonts w:ascii="Calibri" w:hAnsi="Calibri" w:hint="eastAsia"/>
          <w:rtl/>
        </w:rPr>
        <w:t>חודשים</w:t>
      </w:r>
      <w:r>
        <w:rPr>
          <w:rFonts w:ascii="Calibri" w:hAnsi="Calibri"/>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זה</w:t>
      </w:r>
      <w:r>
        <w:rPr>
          <w:rFonts w:ascii="Calibri" w:hAnsi="Calibri"/>
          <w:rtl/>
        </w:rPr>
        <w:t xml:space="preserve">).  </w:t>
      </w:r>
    </w:p>
    <w:p w14:paraId="0567C285" w14:textId="77777777" w:rsidR="004C3216" w:rsidRDefault="004C3216" w:rsidP="005811E2">
      <w:pPr>
        <w:spacing w:line="360" w:lineRule="auto"/>
        <w:ind w:left="516" w:right="426"/>
        <w:jc w:val="both"/>
        <w:rPr>
          <w:rFonts w:ascii="Calibri" w:hAnsi="Calibri" w:cs="Arial"/>
          <w:sz w:val="22"/>
          <w:szCs w:val="22"/>
        </w:rPr>
      </w:pPr>
    </w:p>
    <w:p w14:paraId="789E0AC8" w14:textId="77777777" w:rsidR="004C3216" w:rsidRDefault="004C3216" w:rsidP="005811E2">
      <w:pPr>
        <w:shd w:val="clear" w:color="auto" w:fill="FFFFFF"/>
        <w:spacing w:line="360" w:lineRule="auto"/>
        <w:ind w:left="516" w:right="426"/>
        <w:jc w:val="both"/>
        <w:rPr>
          <w:rFonts w:ascii="Calibri" w:hAnsi="Calibri"/>
          <w:rtl/>
        </w:rPr>
      </w:pP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פריד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שנדי</w:t>
      </w:r>
      <w:r>
        <w:rPr>
          <w:rFonts w:ascii="Calibri" w:hAnsi="Calibri"/>
          <w:rtl/>
        </w:rPr>
        <w:t xml:space="preserve"> </w:t>
      </w:r>
      <w:r>
        <w:rPr>
          <w:rFonts w:ascii="Calibri" w:hAnsi="Calibri" w:hint="eastAsia"/>
          <w:u w:val="single"/>
          <w:rtl/>
        </w:rPr>
        <w:t>וכן</w:t>
      </w:r>
      <w:r>
        <w:rPr>
          <w:rFonts w:ascii="Calibri" w:hAnsi="Calibri"/>
          <w:u w:val="single"/>
          <w:rtl/>
        </w:rPr>
        <w:t xml:space="preserve"> </w:t>
      </w:r>
      <w:r>
        <w:rPr>
          <w:rFonts w:ascii="Calibri" w:hAnsi="Calibri" w:hint="eastAsia"/>
          <w:u w:val="single"/>
          <w:rtl/>
        </w:rPr>
        <w:t>פיצוי</w:t>
      </w:r>
      <w:r>
        <w:rPr>
          <w:rFonts w:ascii="Calibri" w:hAnsi="Calibri"/>
          <w:rtl/>
        </w:rPr>
        <w:t xml:space="preserve"> </w:t>
      </w:r>
      <w:r>
        <w:rPr>
          <w:rFonts w:ascii="Calibri" w:hAnsi="Calibri" w:hint="eastAsia"/>
          <w:rtl/>
        </w:rPr>
        <w:t>בסכום</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לעיזבון</w:t>
      </w:r>
      <w:r>
        <w:rPr>
          <w:rFonts w:ascii="Calibri" w:hAnsi="Calibri"/>
          <w:rtl/>
        </w:rPr>
        <w:t xml:space="preserve"> </w:t>
      </w:r>
      <w:r>
        <w:rPr>
          <w:rFonts w:ascii="Calibri" w:hAnsi="Calibri" w:hint="eastAsia"/>
          <w:rtl/>
        </w:rPr>
        <w:t>המנוחה</w:t>
      </w:r>
      <w:r>
        <w:rPr>
          <w:rFonts w:ascii="Calibri" w:hAnsi="Calibri"/>
          <w:rtl/>
        </w:rPr>
        <w:t xml:space="preserve">. </w:t>
      </w:r>
      <w:r>
        <w:rPr>
          <w:rFonts w:ascii="Calibri" w:hAnsi="Calibri" w:hint="eastAsia"/>
          <w:rtl/>
        </w:rPr>
        <w:t>הפיצויים</w:t>
      </w:r>
      <w:r>
        <w:rPr>
          <w:rFonts w:ascii="Calibri" w:hAnsi="Calibri"/>
          <w:rtl/>
        </w:rPr>
        <w:t xml:space="preserve"> </w:t>
      </w:r>
      <w:r>
        <w:rPr>
          <w:rFonts w:ascii="Calibri" w:hAnsi="Calibri" w:hint="eastAsia"/>
          <w:rtl/>
        </w:rPr>
        <w:t>ישולמו</w:t>
      </w:r>
      <w:r>
        <w:rPr>
          <w:rFonts w:ascii="Calibri" w:hAnsi="Calibri"/>
          <w:rtl/>
        </w:rPr>
        <w:t xml:space="preserve"> </w:t>
      </w:r>
      <w:r>
        <w:rPr>
          <w:rFonts w:ascii="Calibri" w:hAnsi="Calibri" w:hint="eastAsia"/>
          <w:rtl/>
        </w:rPr>
        <w:t>ב</w:t>
      </w:r>
      <w:r>
        <w:rPr>
          <w:rFonts w:ascii="Calibri" w:hAnsi="Calibri"/>
          <w:rtl/>
        </w:rPr>
        <w:t xml:space="preserve"> 5 </w:t>
      </w:r>
      <w:r>
        <w:rPr>
          <w:rFonts w:ascii="Calibri" w:hAnsi="Calibri" w:hint="eastAsia"/>
          <w:rtl/>
        </w:rPr>
        <w:t>תשלומים</w:t>
      </w:r>
      <w:r>
        <w:rPr>
          <w:rFonts w:ascii="Calibri" w:hAnsi="Calibri"/>
          <w:rtl/>
        </w:rPr>
        <w:t xml:space="preserve"> </w:t>
      </w:r>
      <w:r>
        <w:rPr>
          <w:rFonts w:ascii="Calibri" w:hAnsi="Calibri" w:hint="eastAsia"/>
          <w:rtl/>
        </w:rPr>
        <w:t>שווים</w:t>
      </w:r>
      <w:r>
        <w:rPr>
          <w:rFonts w:ascii="Calibri" w:hAnsi="Calibri"/>
          <w:rtl/>
        </w:rPr>
        <w:t xml:space="preserve"> </w:t>
      </w:r>
      <w:r>
        <w:rPr>
          <w:rFonts w:ascii="Calibri" w:hAnsi="Calibri" w:hint="eastAsia"/>
          <w:rtl/>
        </w:rPr>
        <w:t>ורצופים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w:t>
      </w:r>
      <w:r>
        <w:rPr>
          <w:rFonts w:ascii="Calibri" w:hAnsi="Calibri"/>
          <w:rtl/>
        </w:rPr>
        <w:t xml:space="preserve"> 1.11.19 </w:t>
      </w:r>
      <w:r>
        <w:rPr>
          <w:rFonts w:ascii="Calibri" w:hAnsi="Calibri" w:hint="eastAsia"/>
          <w:rtl/>
        </w:rPr>
        <w:t>ויתרת</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עוקב</w:t>
      </w:r>
      <w:r>
        <w:rPr>
          <w:rFonts w:ascii="Calibri" w:hAnsi="Calibri"/>
          <w:rtl/>
        </w:rPr>
        <w:t xml:space="preserve">. </w:t>
      </w:r>
      <w:r>
        <w:rPr>
          <w:rFonts w:ascii="Calibri" w:hAnsi="Calibri" w:hint="eastAsia"/>
          <w:rtl/>
        </w:rPr>
        <w:t>התשלומים</w:t>
      </w:r>
      <w:r>
        <w:rPr>
          <w:rFonts w:ascii="Calibri" w:hAnsi="Calibri"/>
          <w:rtl/>
        </w:rPr>
        <w:t xml:space="preserve"> </w:t>
      </w:r>
      <w:r>
        <w:rPr>
          <w:rFonts w:ascii="Calibri" w:hAnsi="Calibri" w:hint="eastAsia"/>
          <w:rtl/>
        </w:rPr>
        <w:t>יבוצעו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מזכירות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המרכז</w:t>
      </w:r>
      <w:r>
        <w:rPr>
          <w:rFonts w:ascii="Calibri" w:hAnsi="Calibri"/>
          <w:rtl/>
        </w:rPr>
        <w:t xml:space="preserve"> </w:t>
      </w:r>
      <w:r>
        <w:rPr>
          <w:rFonts w:ascii="Calibri" w:hAnsi="Calibri" w:hint="eastAsia"/>
          <w:rtl/>
        </w:rPr>
        <w:t>לגביית</w:t>
      </w:r>
      <w:r>
        <w:rPr>
          <w:rFonts w:ascii="Calibri" w:hAnsi="Calibri"/>
          <w:rtl/>
        </w:rPr>
        <w:t xml:space="preserve"> </w:t>
      </w:r>
      <w:r>
        <w:rPr>
          <w:rFonts w:ascii="Calibri" w:hAnsi="Calibri" w:hint="eastAsia"/>
          <w:rtl/>
        </w:rPr>
        <w:t>קנסות</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ואגרות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מהתשלומים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w:t>
      </w:r>
      <w:r>
        <w:rPr>
          <w:rFonts w:ascii="Calibri" w:hAnsi="Calibri"/>
          <w:rtl/>
        </w:rPr>
        <w:t xml:space="preserve"> 3 </w:t>
      </w:r>
      <w:r>
        <w:rPr>
          <w:rFonts w:ascii="Calibri" w:hAnsi="Calibri" w:hint="eastAsia"/>
          <w:rtl/>
        </w:rPr>
        <w:t>ימי</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יעמיד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החוב</w:t>
      </w:r>
      <w:r>
        <w:rPr>
          <w:rFonts w:ascii="Calibri" w:hAnsi="Calibri"/>
          <w:rtl/>
        </w:rPr>
        <w:t xml:space="preserve"> </w:t>
      </w:r>
      <w:r>
        <w:rPr>
          <w:rFonts w:ascii="Calibri" w:hAnsi="Calibri" w:hint="eastAsia"/>
          <w:rtl/>
        </w:rPr>
        <w:t>במלואו</w:t>
      </w:r>
      <w:r>
        <w:rPr>
          <w:rFonts w:ascii="Calibri" w:hAnsi="Calibri"/>
          <w:rtl/>
        </w:rPr>
        <w:t xml:space="preserve"> </w:t>
      </w:r>
      <w:r>
        <w:rPr>
          <w:rFonts w:ascii="Calibri" w:hAnsi="Calibri" w:hint="eastAsia"/>
          <w:rtl/>
        </w:rPr>
        <w:t>לפירעון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אוסר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במישרין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בעקיפין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נפגעי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לתשלום</w:t>
      </w:r>
      <w:r>
        <w:rPr>
          <w:rFonts w:ascii="Calibri" w:hAnsi="Calibri"/>
          <w:rtl/>
        </w:rPr>
        <w:t xml:space="preserve"> </w:t>
      </w:r>
      <w:r>
        <w:rPr>
          <w:rFonts w:ascii="Calibri" w:hAnsi="Calibri" w:hint="eastAsia"/>
          <w:rtl/>
        </w:rPr>
        <w:t>הפיצויים</w:t>
      </w:r>
      <w:r>
        <w:rPr>
          <w:rFonts w:ascii="Calibri" w:hAnsi="Calibri"/>
          <w:rtl/>
        </w:rPr>
        <w:t xml:space="preserve">. </w:t>
      </w:r>
    </w:p>
    <w:p w14:paraId="621089C6" w14:textId="77777777" w:rsidR="004C3216" w:rsidRDefault="004C3216" w:rsidP="005811E2">
      <w:pPr>
        <w:spacing w:line="360" w:lineRule="auto"/>
        <w:ind w:left="516" w:right="426"/>
        <w:jc w:val="both"/>
        <w:rPr>
          <w:rFonts w:ascii="Calibri" w:hAnsi="Calibri" w:cs="Arial"/>
          <w:sz w:val="22"/>
          <w:szCs w:val="22"/>
        </w:rPr>
      </w:pPr>
    </w:p>
    <w:p w14:paraId="2F825928" w14:textId="77777777" w:rsidR="004C3216" w:rsidRDefault="004C3216" w:rsidP="005811E2">
      <w:pPr>
        <w:shd w:val="clear" w:color="auto" w:fill="FFFFFF"/>
        <w:spacing w:line="360" w:lineRule="auto"/>
        <w:ind w:left="516" w:right="426"/>
        <w:jc w:val="both"/>
        <w:rPr>
          <w:rFonts w:ascii="Calibri" w:hAnsi="Calibri"/>
          <w:b/>
          <w:bCs/>
          <w:u w:val="single"/>
          <w:rtl/>
        </w:rPr>
      </w:pPr>
      <w:r>
        <w:rPr>
          <w:rFonts w:ascii="Calibri" w:hAnsi="Calibri" w:hint="eastAsia"/>
          <w:b/>
          <w:bCs/>
          <w:u w:val="single"/>
          <w:rtl/>
        </w:rPr>
        <w:t>לגבי</w:t>
      </w:r>
      <w:r>
        <w:rPr>
          <w:rFonts w:ascii="Calibri" w:hAnsi="Calibri"/>
          <w:b/>
          <w:bCs/>
          <w:u w:val="single"/>
          <w:rtl/>
        </w:rPr>
        <w:t xml:space="preserve"> </w:t>
      </w:r>
      <w:r>
        <w:rPr>
          <w:rFonts w:ascii="Calibri" w:hAnsi="Calibri" w:hint="eastAsia"/>
          <w:b/>
          <w:bCs/>
          <w:u w:val="single"/>
          <w:rtl/>
        </w:rPr>
        <w:t>כלל</w:t>
      </w:r>
      <w:r>
        <w:rPr>
          <w:rFonts w:ascii="Calibri" w:hAnsi="Calibri"/>
          <w:b/>
          <w:bCs/>
          <w:u w:val="single"/>
          <w:rtl/>
        </w:rPr>
        <w:t xml:space="preserve"> </w:t>
      </w:r>
      <w:r>
        <w:rPr>
          <w:rFonts w:ascii="Calibri" w:hAnsi="Calibri" w:hint="eastAsia"/>
          <w:b/>
          <w:bCs/>
          <w:u w:val="single"/>
          <w:rtl/>
        </w:rPr>
        <w:t>הנאשמים</w:t>
      </w:r>
      <w:r>
        <w:rPr>
          <w:rFonts w:ascii="Calibri" w:hAnsi="Calibri"/>
          <w:b/>
          <w:bCs/>
          <w:u w:val="single"/>
          <w:rtl/>
        </w:rPr>
        <w:t>:</w:t>
      </w:r>
    </w:p>
    <w:p w14:paraId="36A32069" w14:textId="77777777" w:rsidR="004C3216" w:rsidRDefault="004C3216" w:rsidP="005811E2">
      <w:pPr>
        <w:shd w:val="clear" w:color="auto" w:fill="FFFFFF"/>
        <w:spacing w:line="360" w:lineRule="auto"/>
        <w:ind w:left="516" w:right="426"/>
        <w:jc w:val="both"/>
        <w:rPr>
          <w:rFonts w:ascii="Calibri" w:hAnsi="Calibri"/>
          <w:b/>
          <w:bCs/>
          <w:rtl/>
        </w:rPr>
      </w:pP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תוך</w:t>
      </w:r>
      <w:r>
        <w:rPr>
          <w:rFonts w:ascii="Calibri" w:hAnsi="Calibri"/>
          <w:b/>
          <w:bCs/>
          <w:rtl/>
        </w:rPr>
        <w:t xml:space="preserve"> 45 </w:t>
      </w:r>
      <w:r>
        <w:rPr>
          <w:rFonts w:ascii="Calibri" w:hAnsi="Calibri" w:hint="eastAsia"/>
          <w:b/>
          <w:bCs/>
          <w:rtl/>
        </w:rPr>
        <w:t>ימים</w:t>
      </w:r>
      <w:r>
        <w:rPr>
          <w:rFonts w:ascii="Calibri" w:hAnsi="Calibri"/>
          <w:b/>
          <w:bCs/>
          <w:rtl/>
        </w:rPr>
        <w:t xml:space="preserve"> </w:t>
      </w:r>
      <w:r>
        <w:rPr>
          <w:rFonts w:ascii="Calibri" w:hAnsi="Calibri" w:hint="eastAsia"/>
          <w:b/>
          <w:bCs/>
          <w:rtl/>
        </w:rPr>
        <w:t>לבית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העליון</w:t>
      </w:r>
      <w:r>
        <w:rPr>
          <w:rFonts w:ascii="Calibri" w:hAnsi="Calibri"/>
          <w:b/>
          <w:bCs/>
          <w:rtl/>
        </w:rPr>
        <w:t>.</w:t>
      </w:r>
    </w:p>
    <w:p w14:paraId="2B1F1D8F" w14:textId="77777777" w:rsidR="004C3216" w:rsidRDefault="004C3216" w:rsidP="005811E2">
      <w:pPr>
        <w:shd w:val="clear" w:color="auto" w:fill="FFFFFF"/>
        <w:spacing w:line="360" w:lineRule="auto"/>
        <w:ind w:left="516" w:right="426"/>
        <w:jc w:val="both"/>
        <w:rPr>
          <w:rFonts w:ascii="Calibri" w:hAnsi="Calibri"/>
          <w:rtl/>
        </w:rPr>
      </w:pPr>
      <w:bookmarkStart w:id="8" w:name="_GoBack"/>
      <w:bookmarkEnd w:id="8"/>
    </w:p>
    <w:p w14:paraId="63BDC061" w14:textId="77777777" w:rsidR="004C3216" w:rsidRDefault="004C3216" w:rsidP="005811E2">
      <w:pPr>
        <w:shd w:val="clear" w:color="auto" w:fill="FFFFFF"/>
        <w:spacing w:line="360" w:lineRule="auto"/>
        <w:ind w:left="516" w:right="426"/>
        <w:jc w:val="both"/>
        <w:rPr>
          <w:rFonts w:ascii="Calibri" w:hAnsi="Calibri"/>
          <w:b/>
          <w:bCs/>
          <w:rtl/>
        </w:rPr>
      </w:pPr>
      <w:r>
        <w:rPr>
          <w:rFonts w:ascii="Calibri" w:hAnsi="Calibri" w:hint="eastAsia"/>
          <w:b/>
          <w:bCs/>
          <w:u w:val="single"/>
          <w:rtl/>
        </w:rPr>
        <w:t>המזכירות</w:t>
      </w:r>
      <w:r>
        <w:rPr>
          <w:rFonts w:ascii="Calibri" w:hAnsi="Calibri"/>
          <w:b/>
          <w:bCs/>
          <w:u w:val="single"/>
          <w:rtl/>
        </w:rPr>
        <w:t xml:space="preserve"> </w:t>
      </w:r>
      <w:r>
        <w:rPr>
          <w:rFonts w:ascii="Calibri" w:hAnsi="Calibri" w:hint="eastAsia"/>
          <w:b/>
          <w:bCs/>
          <w:u w:val="single"/>
          <w:rtl/>
        </w:rPr>
        <w:t>תשלח</w:t>
      </w:r>
      <w:r>
        <w:rPr>
          <w:rFonts w:ascii="Calibri" w:hAnsi="Calibri"/>
          <w:b/>
          <w:bCs/>
          <w:u w:val="single"/>
          <w:rtl/>
        </w:rPr>
        <w:t xml:space="preserve"> </w:t>
      </w:r>
      <w:r>
        <w:rPr>
          <w:rFonts w:ascii="Calibri" w:hAnsi="Calibri" w:hint="eastAsia"/>
          <w:b/>
          <w:bCs/>
          <w:u w:val="single"/>
          <w:rtl/>
        </w:rPr>
        <w:t>עותק</w:t>
      </w:r>
      <w:r>
        <w:rPr>
          <w:rFonts w:ascii="Calibri" w:hAnsi="Calibri"/>
          <w:b/>
          <w:bCs/>
          <w:u w:val="single"/>
          <w:rtl/>
        </w:rPr>
        <w:t xml:space="preserve"> </w:t>
      </w:r>
      <w:r>
        <w:rPr>
          <w:rFonts w:ascii="Calibri" w:hAnsi="Calibri" w:hint="eastAsia"/>
          <w:b/>
          <w:bCs/>
          <w:u w:val="single"/>
          <w:rtl/>
        </w:rPr>
        <w:t>מגזר</w:t>
      </w:r>
      <w:r>
        <w:rPr>
          <w:rFonts w:ascii="Calibri" w:hAnsi="Calibri"/>
          <w:b/>
          <w:bCs/>
          <w:u w:val="single"/>
          <w:rtl/>
        </w:rPr>
        <w:t xml:space="preserve"> </w:t>
      </w:r>
      <w:r>
        <w:rPr>
          <w:rFonts w:ascii="Calibri" w:hAnsi="Calibri" w:hint="eastAsia"/>
          <w:b/>
          <w:bCs/>
          <w:u w:val="single"/>
          <w:rtl/>
        </w:rPr>
        <w:t>הדין</w:t>
      </w:r>
      <w:r>
        <w:rPr>
          <w:rFonts w:ascii="Calibri" w:hAnsi="Calibri"/>
          <w:b/>
          <w:bCs/>
          <w:rtl/>
        </w:rPr>
        <w:t>:</w:t>
      </w:r>
    </w:p>
    <w:p w14:paraId="018A2362" w14:textId="77777777" w:rsidR="004C3216" w:rsidRDefault="004C3216" w:rsidP="005811E2">
      <w:pPr>
        <w:pStyle w:val="ListParagraph"/>
        <w:numPr>
          <w:ilvl w:val="0"/>
          <w:numId w:val="8"/>
        </w:numPr>
        <w:shd w:val="clear" w:color="auto" w:fill="FFFFFF"/>
        <w:spacing w:after="0" w:line="360" w:lineRule="auto"/>
        <w:ind w:left="942" w:right="426"/>
        <w:jc w:val="both"/>
        <w:rPr>
          <w:rFonts w:cs="David"/>
          <w:sz w:val="24"/>
          <w:szCs w:val="24"/>
          <w:rtl/>
        </w:rPr>
      </w:pPr>
      <w:r>
        <w:rPr>
          <w:rFonts w:cs="David" w:hint="eastAsia"/>
          <w:sz w:val="24"/>
          <w:szCs w:val="24"/>
          <w:rtl/>
        </w:rPr>
        <w:t>לשב</w:t>
      </w:r>
      <w:r>
        <w:rPr>
          <w:rFonts w:cs="David"/>
          <w:sz w:val="24"/>
          <w:szCs w:val="24"/>
          <w:rtl/>
        </w:rPr>
        <w:t>"</w:t>
      </w:r>
      <w:r>
        <w:rPr>
          <w:rFonts w:cs="David" w:hint="eastAsia"/>
          <w:sz w:val="24"/>
          <w:szCs w:val="24"/>
          <w:rtl/>
        </w:rPr>
        <w:t>ס</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התייצבות</w:t>
      </w:r>
      <w:r>
        <w:rPr>
          <w:rFonts w:cs="David"/>
          <w:sz w:val="24"/>
          <w:szCs w:val="24"/>
          <w:rtl/>
        </w:rPr>
        <w:t xml:space="preserve"> </w:t>
      </w:r>
      <w:r>
        <w:rPr>
          <w:rFonts w:cs="David" w:hint="eastAsia"/>
          <w:sz w:val="24"/>
          <w:szCs w:val="24"/>
          <w:rtl/>
        </w:rPr>
        <w:t>נדחית</w:t>
      </w:r>
      <w:r>
        <w:rPr>
          <w:rFonts w:cs="David"/>
          <w:sz w:val="24"/>
          <w:szCs w:val="24"/>
          <w:rtl/>
        </w:rPr>
        <w:t xml:space="preserve"> </w:t>
      </w:r>
      <w:r>
        <w:rPr>
          <w:rFonts w:cs="David" w:hint="eastAsia"/>
          <w:sz w:val="24"/>
          <w:szCs w:val="24"/>
          <w:rtl/>
        </w:rPr>
        <w:t>למאסר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הנאשמים</w:t>
      </w:r>
      <w:r>
        <w:rPr>
          <w:rFonts w:cs="David"/>
          <w:sz w:val="24"/>
          <w:szCs w:val="24"/>
          <w:rtl/>
        </w:rPr>
        <w:t xml:space="preserve"> 2, 6 </w:t>
      </w:r>
      <w:r>
        <w:rPr>
          <w:rFonts w:cs="David" w:hint="eastAsia"/>
          <w:sz w:val="24"/>
          <w:szCs w:val="24"/>
          <w:rtl/>
        </w:rPr>
        <w:t>ו</w:t>
      </w:r>
      <w:r>
        <w:rPr>
          <w:rFonts w:cs="David"/>
          <w:sz w:val="24"/>
          <w:szCs w:val="24"/>
          <w:rtl/>
        </w:rPr>
        <w:t xml:space="preserve"> 7); </w:t>
      </w:r>
    </w:p>
    <w:p w14:paraId="2B7C076C" w14:textId="77777777" w:rsidR="004C3216" w:rsidRDefault="004C3216" w:rsidP="005811E2">
      <w:pPr>
        <w:pStyle w:val="ListParagraph"/>
        <w:numPr>
          <w:ilvl w:val="0"/>
          <w:numId w:val="8"/>
        </w:numPr>
        <w:shd w:val="clear" w:color="auto" w:fill="FFFFFF"/>
        <w:spacing w:after="0" w:line="360" w:lineRule="auto"/>
        <w:ind w:left="942" w:right="426"/>
        <w:jc w:val="both"/>
        <w:rPr>
          <w:rFonts w:cs="David"/>
          <w:sz w:val="24"/>
          <w:szCs w:val="24"/>
        </w:rPr>
      </w:pPr>
      <w:r>
        <w:rPr>
          <w:rFonts w:cs="David" w:hint="eastAsia"/>
          <w:sz w:val="24"/>
          <w:szCs w:val="24"/>
          <w:rtl/>
        </w:rPr>
        <w:t>לממונה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המאסר</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שהוטל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הנאשמים</w:t>
      </w:r>
      <w:r>
        <w:rPr>
          <w:rFonts w:cs="David"/>
          <w:sz w:val="24"/>
          <w:szCs w:val="24"/>
          <w:rtl/>
        </w:rPr>
        <w:t xml:space="preserve"> 1, 4, 5 </w:t>
      </w:r>
      <w:r>
        <w:rPr>
          <w:rFonts w:cs="David" w:hint="eastAsia"/>
          <w:sz w:val="24"/>
          <w:szCs w:val="24"/>
          <w:rtl/>
        </w:rPr>
        <w:t>ו</w:t>
      </w:r>
      <w:r>
        <w:rPr>
          <w:rFonts w:cs="David"/>
          <w:sz w:val="24"/>
          <w:szCs w:val="24"/>
          <w:rtl/>
        </w:rPr>
        <w:t xml:space="preserve"> 9).</w:t>
      </w:r>
    </w:p>
    <w:p w14:paraId="50358324" w14:textId="77777777" w:rsidR="004C3216" w:rsidRPr="008B74B3" w:rsidRDefault="008B74B3">
      <w:pPr>
        <w:rPr>
          <w:color w:val="FFFFFF"/>
          <w:sz w:val="2"/>
          <w:szCs w:val="2"/>
          <w:rtl/>
        </w:rPr>
      </w:pPr>
      <w:r w:rsidRPr="008B74B3">
        <w:rPr>
          <w:color w:val="FFFFFF"/>
          <w:sz w:val="2"/>
          <w:szCs w:val="2"/>
          <w:rtl/>
        </w:rPr>
        <w:t>5129371</w:t>
      </w:r>
    </w:p>
    <w:p w14:paraId="2FF4D74E" w14:textId="77777777" w:rsidR="004C3216" w:rsidRPr="008B74B3" w:rsidRDefault="008B74B3">
      <w:pPr>
        <w:rPr>
          <w:color w:val="FFFFFF"/>
          <w:sz w:val="2"/>
          <w:szCs w:val="2"/>
          <w:rtl/>
        </w:rPr>
      </w:pPr>
      <w:r w:rsidRPr="008B74B3">
        <w:rPr>
          <w:color w:val="FFFFFF"/>
          <w:sz w:val="2"/>
          <w:szCs w:val="2"/>
          <w:rtl/>
        </w:rPr>
        <w:t>54678313</w:t>
      </w:r>
    </w:p>
    <w:p w14:paraId="5EF4979D" w14:textId="77777777" w:rsidR="004C3216" w:rsidRPr="00BB2098" w:rsidRDefault="008B74B3">
      <w:pPr>
        <w:rPr>
          <w:rFonts w:cs="FrankRuehl"/>
          <w:b/>
          <w:bCs/>
          <w:sz w:val="28"/>
          <w:szCs w:val="28"/>
          <w:rtl/>
        </w:rPr>
      </w:pPr>
      <w:bookmarkStart w:id="9" w:name="Nitan"/>
      <w:r w:rsidRPr="00BB2098">
        <w:rPr>
          <w:rFonts w:ascii="Arial" w:hAnsi="Arial"/>
          <w:b/>
          <w:bCs/>
          <w:rtl/>
        </w:rPr>
        <w:t xml:space="preserve">ניתן היום,  ז' תשרי תש"פ, 06 אוקטובר 2019, בהעדר הצדדים. </w:t>
      </w:r>
      <w:bookmarkEnd w:id="9"/>
    </w:p>
    <w:p w14:paraId="6869386D" w14:textId="77777777" w:rsidR="004C3216" w:rsidRDefault="004C3216" w:rsidP="008B74B3">
      <w:pPr>
        <w:jc w:val="center"/>
      </w:pPr>
      <w:r>
        <w:rPr>
          <w:rtl/>
        </w:rPr>
        <w:t xml:space="preserve">   </w:t>
      </w:r>
      <w:r>
        <w:rPr>
          <w:rtl/>
        </w:rPr>
        <w:tab/>
      </w:r>
      <w:r>
        <w:rPr>
          <w:rtl/>
        </w:rPr>
        <w:tab/>
      </w:r>
      <w:r>
        <w:rPr>
          <w:rtl/>
        </w:rPr>
        <w:tab/>
      </w:r>
      <w:r>
        <w:rPr>
          <w:rtl/>
        </w:rPr>
        <w:tab/>
      </w:r>
      <w:r>
        <w:rPr>
          <w:rtl/>
        </w:rPr>
        <w:tab/>
      </w:r>
    </w:p>
    <w:p w14:paraId="27A697FF" w14:textId="77777777" w:rsidR="004C3216" w:rsidRDefault="004C3216" w:rsidP="003E0C9F">
      <w:pPr>
        <w:jc w:val="center"/>
        <w:rPr>
          <w:rFonts w:ascii="Arial" w:hAnsi="Arial" w:cs="FrankRuehl"/>
          <w:sz w:val="28"/>
          <w:szCs w:val="28"/>
          <w:rtl/>
        </w:rPr>
      </w:pPr>
    </w:p>
    <w:p w14:paraId="3D21E8C7" w14:textId="77777777" w:rsidR="004C3216" w:rsidRPr="005948C0" w:rsidRDefault="005948C0">
      <w:pPr>
        <w:rPr>
          <w:rFonts w:cs="FrankRuehl"/>
          <w:color w:val="FFFFFF"/>
          <w:sz w:val="2"/>
          <w:szCs w:val="2"/>
          <w:rtl/>
        </w:rPr>
      </w:pPr>
      <w:r w:rsidRPr="005948C0">
        <w:rPr>
          <w:rFonts w:cs="FrankRuehl"/>
          <w:color w:val="FFFFFF"/>
          <w:sz w:val="2"/>
          <w:szCs w:val="2"/>
          <w:rtl/>
        </w:rPr>
        <w:t>5129371</w:t>
      </w:r>
    </w:p>
    <w:p w14:paraId="58EBFDA6" w14:textId="77777777" w:rsidR="004C3216" w:rsidRPr="005948C0" w:rsidRDefault="005948C0" w:rsidP="008B74B3">
      <w:pPr>
        <w:pStyle w:val="a3"/>
        <w:keepNext/>
        <w:rPr>
          <w:rFonts w:ascii="David" w:hAnsi="David"/>
          <w:color w:val="FFFFFF"/>
          <w:sz w:val="2"/>
          <w:szCs w:val="2"/>
          <w:rtl/>
        </w:rPr>
      </w:pPr>
      <w:r w:rsidRPr="005948C0">
        <w:rPr>
          <w:rFonts w:ascii="David" w:hAnsi="David"/>
          <w:color w:val="FFFFFF"/>
          <w:sz w:val="2"/>
          <w:szCs w:val="2"/>
          <w:rtl/>
        </w:rPr>
        <w:t>54678313</w:t>
      </w:r>
    </w:p>
    <w:p w14:paraId="706E9D99" w14:textId="77777777" w:rsidR="008B74B3" w:rsidRDefault="008B74B3" w:rsidP="008B74B3">
      <w:pPr>
        <w:pStyle w:val="a3"/>
        <w:rPr>
          <w:rtl/>
        </w:rPr>
      </w:pPr>
    </w:p>
    <w:p w14:paraId="5EA0DDAF" w14:textId="77777777" w:rsidR="008B74B3" w:rsidRDefault="008B74B3" w:rsidP="008B74B3">
      <w:pPr>
        <w:pStyle w:val="a3"/>
        <w:jc w:val="center"/>
        <w:rPr>
          <w:color w:val="0000FF"/>
          <w:u w:val="single"/>
          <w:rtl/>
        </w:rPr>
      </w:pPr>
      <w:hyperlink r:id="rId168" w:history="1">
        <w:r>
          <w:rPr>
            <w:color w:val="0000FF"/>
            <w:u w:val="single"/>
            <w:rtl/>
          </w:rPr>
          <w:t>בעניין עריכה ושינויים במסמכי פסיקה, חקיקה ועוד באתר נבו – הקש כאן</w:t>
        </w:r>
      </w:hyperlink>
    </w:p>
    <w:p w14:paraId="5C655A04" w14:textId="77777777" w:rsidR="005948C0" w:rsidRPr="005948C0" w:rsidRDefault="005948C0" w:rsidP="005948C0">
      <w:pPr>
        <w:pStyle w:val="a3"/>
        <w:keepNext/>
        <w:rPr>
          <w:rFonts w:ascii="David" w:hAnsi="David"/>
          <w:color w:val="000000"/>
          <w:sz w:val="22"/>
          <w:szCs w:val="22"/>
          <w:rtl/>
        </w:rPr>
      </w:pPr>
    </w:p>
    <w:p w14:paraId="373B2452" w14:textId="77777777" w:rsidR="005948C0" w:rsidRPr="005948C0" w:rsidRDefault="005948C0" w:rsidP="005948C0">
      <w:pPr>
        <w:pStyle w:val="a3"/>
        <w:keepNext/>
        <w:rPr>
          <w:rFonts w:ascii="David" w:hAnsi="David"/>
          <w:color w:val="000000"/>
          <w:sz w:val="22"/>
          <w:szCs w:val="22"/>
          <w:rtl/>
        </w:rPr>
      </w:pPr>
      <w:r w:rsidRPr="005948C0">
        <w:rPr>
          <w:rFonts w:ascii="David" w:hAnsi="David"/>
          <w:color w:val="000000"/>
          <w:sz w:val="22"/>
          <w:szCs w:val="22"/>
          <w:rtl/>
        </w:rPr>
        <w:t>יחיאל ליפשיץ 54678313-/</w:t>
      </w:r>
    </w:p>
    <w:p w14:paraId="72ED2199" w14:textId="77777777" w:rsidR="008B74B3" w:rsidRPr="008B74B3" w:rsidRDefault="005948C0" w:rsidP="005948C0">
      <w:pPr>
        <w:pStyle w:val="a3"/>
        <w:rPr>
          <w:color w:val="0000FF"/>
          <w:u w:val="single"/>
          <w:rtl/>
        </w:rPr>
      </w:pPr>
      <w:r w:rsidRPr="005948C0">
        <w:rPr>
          <w:color w:val="000000"/>
          <w:u w:val="single"/>
          <w:rtl/>
        </w:rPr>
        <w:t>נוסח מסמך זה כפוף לשינויי ניסוח ועריכה</w:t>
      </w:r>
    </w:p>
    <w:sectPr w:rsidR="008B74B3" w:rsidRPr="008B74B3" w:rsidSect="005948C0">
      <w:headerReference w:type="even" r:id="rId169"/>
      <w:headerReference w:type="default" r:id="rId170"/>
      <w:footerReference w:type="even" r:id="rId171"/>
      <w:footerReference w:type="default" r:id="rId17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0998E" w14:textId="77777777" w:rsidR="00F2020F" w:rsidRDefault="00F2020F">
      <w:r>
        <w:separator/>
      </w:r>
    </w:p>
  </w:endnote>
  <w:endnote w:type="continuationSeparator" w:id="0">
    <w:p w14:paraId="3773C732" w14:textId="77777777" w:rsidR="00F2020F" w:rsidRDefault="00F20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Fix">
    <w:charset w:val="B1"/>
    <w:family w:val="auto"/>
    <w:pitch w:val="variable"/>
    <w:sig w:usb0="00001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5068" w14:textId="77777777" w:rsidR="006E4279" w:rsidRDefault="006E4279" w:rsidP="005948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FAB99C5" w14:textId="77777777" w:rsidR="006E4279" w:rsidRPr="005948C0" w:rsidRDefault="006E4279" w:rsidP="005948C0">
    <w:pPr>
      <w:pStyle w:val="a5"/>
      <w:pBdr>
        <w:top w:val="single" w:sz="4" w:space="1" w:color="auto"/>
        <w:between w:val="single" w:sz="4" w:space="0" w:color="auto"/>
      </w:pBdr>
      <w:spacing w:after="60"/>
      <w:jc w:val="center"/>
      <w:rPr>
        <w:rFonts w:ascii="FrankRuehl" w:hAnsi="FrankRuehl" w:cs="FrankRuehl"/>
        <w:color w:val="000000"/>
      </w:rPr>
    </w:pPr>
    <w:r w:rsidRPr="005948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7F8F" w14:textId="77777777" w:rsidR="006E4279" w:rsidRDefault="006E4279" w:rsidP="005948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4527">
      <w:rPr>
        <w:rFonts w:ascii="FrankRuehl" w:hAnsi="FrankRuehl" w:cs="FrankRuehl"/>
        <w:noProof/>
        <w:rtl/>
      </w:rPr>
      <w:t>1</w:t>
    </w:r>
    <w:r>
      <w:rPr>
        <w:rFonts w:ascii="FrankRuehl" w:hAnsi="FrankRuehl" w:cs="FrankRuehl"/>
        <w:rtl/>
      </w:rPr>
      <w:fldChar w:fldCharType="end"/>
    </w:r>
  </w:p>
  <w:p w14:paraId="0351487A" w14:textId="77777777" w:rsidR="006E4279" w:rsidRPr="005948C0" w:rsidRDefault="006E4279" w:rsidP="005948C0">
    <w:pPr>
      <w:pStyle w:val="a5"/>
      <w:pBdr>
        <w:top w:val="single" w:sz="4" w:space="1" w:color="auto"/>
        <w:between w:val="single" w:sz="4" w:space="0" w:color="auto"/>
      </w:pBdr>
      <w:spacing w:after="60"/>
      <w:jc w:val="center"/>
      <w:rPr>
        <w:rFonts w:ascii="FrankRuehl" w:hAnsi="FrankRuehl" w:cs="FrankRuehl"/>
        <w:color w:val="000000"/>
      </w:rPr>
    </w:pPr>
    <w:r w:rsidRPr="005948C0">
      <w:rPr>
        <w:rFonts w:ascii="FrankRuehl" w:hAnsi="FrankRuehl" w:cs="FrankRuehl"/>
        <w:color w:val="000000"/>
      </w:rPr>
      <w:pict w14:anchorId="1828B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87B6E" w14:textId="77777777" w:rsidR="00F2020F" w:rsidRDefault="00F2020F">
      <w:r>
        <w:separator/>
      </w:r>
    </w:p>
  </w:footnote>
  <w:footnote w:type="continuationSeparator" w:id="0">
    <w:p w14:paraId="254929A8" w14:textId="77777777" w:rsidR="00F2020F" w:rsidRDefault="00F20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41D63" w14:textId="77777777" w:rsidR="006E4279" w:rsidRPr="005948C0" w:rsidRDefault="006E4279" w:rsidP="005948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2058-09-17</w:t>
    </w:r>
    <w:r>
      <w:rPr>
        <w:rFonts w:ascii="David" w:hAnsi="David"/>
        <w:color w:val="000000"/>
        <w:sz w:val="22"/>
        <w:szCs w:val="22"/>
        <w:rtl/>
      </w:rPr>
      <w:tab/>
      <w:t xml:space="preserve"> מדינת ישראל נ' עודה עבד אל סאלם אבו שנדי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4C0F" w14:textId="77777777" w:rsidR="006E4279" w:rsidRPr="005948C0" w:rsidRDefault="006E4279" w:rsidP="005948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2058-09-17</w:t>
    </w:r>
    <w:r>
      <w:rPr>
        <w:rFonts w:ascii="David" w:hAnsi="David"/>
        <w:color w:val="000000"/>
        <w:sz w:val="22"/>
        <w:szCs w:val="22"/>
        <w:rtl/>
      </w:rPr>
      <w:tab/>
      <w:t xml:space="preserve"> מדינת ישראל נ' עודה עבד אל סאלם אבו שנדי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D1204C1"/>
    <w:multiLevelType w:val="hybridMultilevel"/>
    <w:tmpl w:val="4D08B24C"/>
    <w:lvl w:ilvl="0" w:tplc="02722FEE">
      <w:start w:val="6"/>
      <w:numFmt w:val="bullet"/>
      <w:lvlText w:val=""/>
      <w:lvlJc w:val="left"/>
      <w:pPr>
        <w:ind w:left="876" w:hanging="360"/>
      </w:pPr>
      <w:rPr>
        <w:rFonts w:ascii="Symbol" w:eastAsia="Times New Roman" w:hAnsi="Symbol" w:hint="default"/>
      </w:rPr>
    </w:lvl>
    <w:lvl w:ilvl="1" w:tplc="04090003">
      <w:start w:val="1"/>
      <w:numFmt w:val="bullet"/>
      <w:lvlText w:val="o"/>
      <w:lvlJc w:val="left"/>
      <w:pPr>
        <w:ind w:left="1596" w:hanging="360"/>
      </w:pPr>
      <w:rPr>
        <w:rFonts w:ascii="Courier New" w:hAnsi="Courier New" w:hint="default"/>
      </w:rPr>
    </w:lvl>
    <w:lvl w:ilvl="2" w:tplc="04090005">
      <w:start w:val="1"/>
      <w:numFmt w:val="bullet"/>
      <w:lvlText w:val=""/>
      <w:lvlJc w:val="left"/>
      <w:pPr>
        <w:ind w:left="2316" w:hanging="360"/>
      </w:pPr>
      <w:rPr>
        <w:rFonts w:ascii="Wingdings" w:hAnsi="Wingdings" w:hint="default"/>
      </w:rPr>
    </w:lvl>
    <w:lvl w:ilvl="3" w:tplc="04090001">
      <w:start w:val="1"/>
      <w:numFmt w:val="bullet"/>
      <w:lvlText w:val=""/>
      <w:lvlJc w:val="left"/>
      <w:pPr>
        <w:ind w:left="3036" w:hanging="360"/>
      </w:pPr>
      <w:rPr>
        <w:rFonts w:ascii="Symbol" w:hAnsi="Symbol" w:hint="default"/>
      </w:rPr>
    </w:lvl>
    <w:lvl w:ilvl="4" w:tplc="04090003">
      <w:start w:val="1"/>
      <w:numFmt w:val="bullet"/>
      <w:lvlText w:val="o"/>
      <w:lvlJc w:val="left"/>
      <w:pPr>
        <w:ind w:left="3756" w:hanging="360"/>
      </w:pPr>
      <w:rPr>
        <w:rFonts w:ascii="Courier New" w:hAnsi="Courier New" w:hint="default"/>
      </w:rPr>
    </w:lvl>
    <w:lvl w:ilvl="5" w:tplc="04090005">
      <w:start w:val="1"/>
      <w:numFmt w:val="bullet"/>
      <w:lvlText w:val=""/>
      <w:lvlJc w:val="left"/>
      <w:pPr>
        <w:ind w:left="4476" w:hanging="360"/>
      </w:pPr>
      <w:rPr>
        <w:rFonts w:ascii="Wingdings" w:hAnsi="Wingdings" w:hint="default"/>
      </w:rPr>
    </w:lvl>
    <w:lvl w:ilvl="6" w:tplc="04090001">
      <w:start w:val="1"/>
      <w:numFmt w:val="bullet"/>
      <w:lvlText w:val=""/>
      <w:lvlJc w:val="left"/>
      <w:pPr>
        <w:ind w:left="5196" w:hanging="360"/>
      </w:pPr>
      <w:rPr>
        <w:rFonts w:ascii="Symbol" w:hAnsi="Symbol" w:hint="default"/>
      </w:rPr>
    </w:lvl>
    <w:lvl w:ilvl="7" w:tplc="04090003">
      <w:start w:val="1"/>
      <w:numFmt w:val="bullet"/>
      <w:lvlText w:val="o"/>
      <w:lvlJc w:val="left"/>
      <w:pPr>
        <w:ind w:left="5916" w:hanging="360"/>
      </w:pPr>
      <w:rPr>
        <w:rFonts w:ascii="Courier New" w:hAnsi="Courier New" w:hint="default"/>
      </w:rPr>
    </w:lvl>
    <w:lvl w:ilvl="8" w:tplc="04090005">
      <w:start w:val="1"/>
      <w:numFmt w:val="bullet"/>
      <w:lvlText w:val=""/>
      <w:lvlJc w:val="left"/>
      <w:pPr>
        <w:ind w:left="6636" w:hanging="360"/>
      </w:pPr>
      <w:rPr>
        <w:rFonts w:ascii="Wingdings" w:hAnsi="Wingdings" w:hint="default"/>
      </w:rPr>
    </w:lvl>
  </w:abstractNum>
  <w:abstractNum w:abstractNumId="2" w15:restartNumberingAfterBreak="0">
    <w:nsid w:val="4FE70B62"/>
    <w:multiLevelType w:val="hybridMultilevel"/>
    <w:tmpl w:val="1866405A"/>
    <w:lvl w:ilvl="0" w:tplc="32F41ACA">
      <w:start w:val="1"/>
      <w:numFmt w:val="hebrew1"/>
      <w:pStyle w:val="Ruller4"/>
      <w:lvlText w:val="%1."/>
      <w:lvlJc w:val="left"/>
      <w:pPr>
        <w:tabs>
          <w:tab w:val="num" w:pos="1049"/>
        </w:tabs>
        <w:ind w:left="142"/>
      </w:pPr>
      <w:rPr>
        <w:rFonts w:cs="Times New Roman"/>
        <w:szCs w:val="24"/>
      </w:rPr>
    </w:lvl>
    <w:lvl w:ilvl="1" w:tplc="04090019">
      <w:start w:val="1"/>
      <w:numFmt w:val="lowerLetter"/>
      <w:lvlText w:val="%2."/>
      <w:lvlJc w:val="left"/>
      <w:pPr>
        <w:tabs>
          <w:tab w:val="num" w:pos="1582"/>
        </w:tabs>
        <w:ind w:left="1582" w:hanging="360"/>
      </w:pPr>
      <w:rPr>
        <w:rFonts w:cs="Times New Roman"/>
      </w:rPr>
    </w:lvl>
    <w:lvl w:ilvl="2" w:tplc="0409001B">
      <w:start w:val="1"/>
      <w:numFmt w:val="lowerRoman"/>
      <w:lvlText w:val="%3."/>
      <w:lvlJc w:val="right"/>
      <w:pPr>
        <w:tabs>
          <w:tab w:val="num" w:pos="2302"/>
        </w:tabs>
        <w:ind w:left="2302" w:hanging="180"/>
      </w:pPr>
      <w:rPr>
        <w:rFonts w:cs="Times New Roman"/>
      </w:rPr>
    </w:lvl>
    <w:lvl w:ilvl="3" w:tplc="0409000F">
      <w:start w:val="1"/>
      <w:numFmt w:val="decimal"/>
      <w:lvlText w:val="%4."/>
      <w:lvlJc w:val="left"/>
      <w:pPr>
        <w:tabs>
          <w:tab w:val="num" w:pos="3022"/>
        </w:tabs>
        <w:ind w:left="3022" w:hanging="360"/>
      </w:pPr>
      <w:rPr>
        <w:rFonts w:cs="Times New Roman"/>
      </w:rPr>
    </w:lvl>
    <w:lvl w:ilvl="4" w:tplc="04090019">
      <w:start w:val="1"/>
      <w:numFmt w:val="lowerLetter"/>
      <w:lvlText w:val="%5."/>
      <w:lvlJc w:val="left"/>
      <w:pPr>
        <w:tabs>
          <w:tab w:val="num" w:pos="3742"/>
        </w:tabs>
        <w:ind w:left="3742" w:hanging="360"/>
      </w:pPr>
      <w:rPr>
        <w:rFonts w:cs="Times New Roman"/>
      </w:rPr>
    </w:lvl>
    <w:lvl w:ilvl="5" w:tplc="0409001B">
      <w:start w:val="1"/>
      <w:numFmt w:val="lowerRoman"/>
      <w:lvlText w:val="%6."/>
      <w:lvlJc w:val="right"/>
      <w:pPr>
        <w:tabs>
          <w:tab w:val="num" w:pos="4462"/>
        </w:tabs>
        <w:ind w:left="4462" w:hanging="180"/>
      </w:pPr>
      <w:rPr>
        <w:rFonts w:cs="Times New Roman"/>
      </w:rPr>
    </w:lvl>
    <w:lvl w:ilvl="6" w:tplc="0409000F">
      <w:start w:val="1"/>
      <w:numFmt w:val="decimal"/>
      <w:lvlText w:val="%7."/>
      <w:lvlJc w:val="left"/>
      <w:pPr>
        <w:tabs>
          <w:tab w:val="num" w:pos="5182"/>
        </w:tabs>
        <w:ind w:left="5182" w:hanging="360"/>
      </w:pPr>
      <w:rPr>
        <w:rFonts w:cs="Times New Roman"/>
      </w:rPr>
    </w:lvl>
    <w:lvl w:ilvl="7" w:tplc="04090019">
      <w:start w:val="1"/>
      <w:numFmt w:val="lowerLetter"/>
      <w:lvlText w:val="%8."/>
      <w:lvlJc w:val="left"/>
      <w:pPr>
        <w:tabs>
          <w:tab w:val="num" w:pos="5902"/>
        </w:tabs>
        <w:ind w:left="5902" w:hanging="360"/>
      </w:pPr>
      <w:rPr>
        <w:rFonts w:cs="Times New Roman"/>
      </w:rPr>
    </w:lvl>
    <w:lvl w:ilvl="8" w:tplc="0409001B">
      <w:start w:val="1"/>
      <w:numFmt w:val="lowerRoman"/>
      <w:lvlText w:val="%9."/>
      <w:lvlJc w:val="right"/>
      <w:pPr>
        <w:tabs>
          <w:tab w:val="num" w:pos="6622"/>
        </w:tabs>
        <w:ind w:left="6622"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ADC6E5A"/>
    <w:multiLevelType w:val="hybridMultilevel"/>
    <w:tmpl w:val="72D24802"/>
    <w:lvl w:ilvl="0" w:tplc="D8E43004">
      <w:start w:val="1"/>
      <w:numFmt w:val="decimal"/>
      <w:lvlText w:val="%1."/>
      <w:lvlJc w:val="left"/>
      <w:pPr>
        <w:ind w:left="2061" w:hanging="360"/>
      </w:pPr>
      <w:rPr>
        <w:rFonts w:cs="Times New Roman"/>
        <w:b w:val="0"/>
        <w:bCs w:val="0"/>
      </w:rPr>
    </w:lvl>
    <w:lvl w:ilvl="1" w:tplc="04090019">
      <w:start w:val="1"/>
      <w:numFmt w:val="lowerLetter"/>
      <w:lvlText w:val="%2."/>
      <w:lvlJc w:val="left"/>
      <w:pPr>
        <w:ind w:left="1673" w:hanging="360"/>
      </w:pPr>
      <w:rPr>
        <w:rFonts w:cs="Times New Roman"/>
      </w:rPr>
    </w:lvl>
    <w:lvl w:ilvl="2" w:tplc="0409001B">
      <w:start w:val="1"/>
      <w:numFmt w:val="lowerRoman"/>
      <w:lvlText w:val="%3."/>
      <w:lvlJc w:val="right"/>
      <w:pPr>
        <w:ind w:left="2393" w:hanging="180"/>
      </w:pPr>
      <w:rPr>
        <w:rFonts w:cs="Times New Roman"/>
      </w:rPr>
    </w:lvl>
    <w:lvl w:ilvl="3" w:tplc="0409000F">
      <w:start w:val="1"/>
      <w:numFmt w:val="decimal"/>
      <w:lvlText w:val="%4."/>
      <w:lvlJc w:val="left"/>
      <w:pPr>
        <w:ind w:left="3113" w:hanging="360"/>
      </w:pPr>
      <w:rPr>
        <w:rFonts w:cs="Times New Roman"/>
      </w:rPr>
    </w:lvl>
    <w:lvl w:ilvl="4" w:tplc="04090019">
      <w:start w:val="1"/>
      <w:numFmt w:val="lowerLetter"/>
      <w:lvlText w:val="%5."/>
      <w:lvlJc w:val="left"/>
      <w:pPr>
        <w:ind w:left="3833" w:hanging="360"/>
      </w:pPr>
      <w:rPr>
        <w:rFonts w:cs="Times New Roman"/>
      </w:rPr>
    </w:lvl>
    <w:lvl w:ilvl="5" w:tplc="0409001B">
      <w:start w:val="1"/>
      <w:numFmt w:val="lowerRoman"/>
      <w:lvlText w:val="%6."/>
      <w:lvlJc w:val="right"/>
      <w:pPr>
        <w:ind w:left="4553" w:hanging="180"/>
      </w:pPr>
      <w:rPr>
        <w:rFonts w:cs="Times New Roman"/>
      </w:rPr>
    </w:lvl>
    <w:lvl w:ilvl="6" w:tplc="0409000F">
      <w:start w:val="1"/>
      <w:numFmt w:val="decimal"/>
      <w:lvlText w:val="%7."/>
      <w:lvlJc w:val="left"/>
      <w:pPr>
        <w:ind w:left="5273" w:hanging="360"/>
      </w:pPr>
      <w:rPr>
        <w:rFonts w:cs="Times New Roman"/>
      </w:rPr>
    </w:lvl>
    <w:lvl w:ilvl="7" w:tplc="04090019">
      <w:start w:val="1"/>
      <w:numFmt w:val="lowerLetter"/>
      <w:lvlText w:val="%8."/>
      <w:lvlJc w:val="left"/>
      <w:pPr>
        <w:ind w:left="5993" w:hanging="360"/>
      </w:pPr>
      <w:rPr>
        <w:rFonts w:cs="Times New Roman"/>
      </w:rPr>
    </w:lvl>
    <w:lvl w:ilvl="8" w:tplc="0409001B">
      <w:start w:val="1"/>
      <w:numFmt w:val="lowerRoman"/>
      <w:lvlText w:val="%9."/>
      <w:lvlJc w:val="right"/>
      <w:pPr>
        <w:ind w:left="6713" w:hanging="180"/>
      </w:pPr>
      <w:rPr>
        <w:rFonts w:cs="Times New Roman"/>
      </w:rPr>
    </w:lvl>
  </w:abstractNum>
  <w:num w:numId="1" w16cid:durableId="1142193072">
    <w:abstractNumId w:val="3"/>
  </w:num>
  <w:num w:numId="2" w16cid:durableId="1666586057">
    <w:abstractNumId w:val="0"/>
  </w:num>
  <w:num w:numId="3" w16cid:durableId="1971088970">
    <w:abstractNumId w:val="2"/>
  </w:num>
  <w:num w:numId="4" w16cid:durableId="15093701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8966882">
    <w:abstractNumId w:val="4"/>
  </w:num>
  <w:num w:numId="6" w16cid:durableId="9615754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9281423">
    <w:abstractNumId w:val="1"/>
  </w:num>
  <w:num w:numId="8" w16cid:durableId="2108651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464"/>
    <w:rsid w:val="000144DF"/>
    <w:rsid w:val="00031F8A"/>
    <w:rsid w:val="00054FC4"/>
    <w:rsid w:val="00066707"/>
    <w:rsid w:val="0006726A"/>
    <w:rsid w:val="00100577"/>
    <w:rsid w:val="001A3836"/>
    <w:rsid w:val="001B2DAE"/>
    <w:rsid w:val="001C1643"/>
    <w:rsid w:val="00207BB8"/>
    <w:rsid w:val="00212125"/>
    <w:rsid w:val="00233333"/>
    <w:rsid w:val="00290A81"/>
    <w:rsid w:val="002D6C61"/>
    <w:rsid w:val="00367565"/>
    <w:rsid w:val="003A0637"/>
    <w:rsid w:val="003E0A4D"/>
    <w:rsid w:val="003E0C9F"/>
    <w:rsid w:val="004215DC"/>
    <w:rsid w:val="004C3216"/>
    <w:rsid w:val="004D0F0A"/>
    <w:rsid w:val="004F637D"/>
    <w:rsid w:val="00507694"/>
    <w:rsid w:val="005811E2"/>
    <w:rsid w:val="005948C0"/>
    <w:rsid w:val="005C3B5E"/>
    <w:rsid w:val="005C7B0B"/>
    <w:rsid w:val="00602650"/>
    <w:rsid w:val="00632576"/>
    <w:rsid w:val="00683ABD"/>
    <w:rsid w:val="00684E84"/>
    <w:rsid w:val="006C2095"/>
    <w:rsid w:val="006E4279"/>
    <w:rsid w:val="007117FC"/>
    <w:rsid w:val="007173D4"/>
    <w:rsid w:val="00757983"/>
    <w:rsid w:val="007D46DD"/>
    <w:rsid w:val="00814EDD"/>
    <w:rsid w:val="00821F29"/>
    <w:rsid w:val="00832D73"/>
    <w:rsid w:val="00851D8A"/>
    <w:rsid w:val="008819B4"/>
    <w:rsid w:val="008B74B3"/>
    <w:rsid w:val="009228E9"/>
    <w:rsid w:val="009E35A7"/>
    <w:rsid w:val="009E49A1"/>
    <w:rsid w:val="009F504D"/>
    <w:rsid w:val="00A504C4"/>
    <w:rsid w:val="00A80D1C"/>
    <w:rsid w:val="00AB1089"/>
    <w:rsid w:val="00AE4983"/>
    <w:rsid w:val="00B05847"/>
    <w:rsid w:val="00B22E0A"/>
    <w:rsid w:val="00B24928"/>
    <w:rsid w:val="00B9435F"/>
    <w:rsid w:val="00BA78C7"/>
    <w:rsid w:val="00BB2098"/>
    <w:rsid w:val="00BD67E7"/>
    <w:rsid w:val="00BE0015"/>
    <w:rsid w:val="00C02463"/>
    <w:rsid w:val="00C21539"/>
    <w:rsid w:val="00C55E62"/>
    <w:rsid w:val="00C572E8"/>
    <w:rsid w:val="00C65DAA"/>
    <w:rsid w:val="00CA5BE8"/>
    <w:rsid w:val="00D01F44"/>
    <w:rsid w:val="00D202F4"/>
    <w:rsid w:val="00D3203D"/>
    <w:rsid w:val="00D47C03"/>
    <w:rsid w:val="00DE5B52"/>
    <w:rsid w:val="00DF1ED4"/>
    <w:rsid w:val="00E70F9C"/>
    <w:rsid w:val="00E74527"/>
    <w:rsid w:val="00F2020F"/>
    <w:rsid w:val="00F75AFC"/>
    <w:rsid w:val="00FD720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F1734C"/>
  <w15:chartTrackingRefBased/>
  <w15:docId w15:val="{8501470B-7468-4787-9506-DC914372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header" w:locked="1"/>
    <w:lsdException w:name="caption" w:locked="1" w:semiHidden="1" w:unhideWhenUsed="1" w:qFormat="1"/>
    <w:lsdException w:name="annotation reference" w:locked="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annotation subject" w:locked="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link w:val="a6"/>
    <w:pPr>
      <w:tabs>
        <w:tab w:val="center" w:pos="4153"/>
        <w:tab w:val="right" w:pos="8306"/>
      </w:tabs>
    </w:pPr>
  </w:style>
  <w:style w:type="character" w:styleId="a7">
    <w:name w:val="annotation reference"/>
    <w:semiHidden/>
    <w:rPr>
      <w:rFonts w:cs="Times New Roman"/>
      <w:sz w:val="16"/>
      <w:szCs w:val="16"/>
    </w:rPr>
  </w:style>
  <w:style w:type="paragraph" w:styleId="a8">
    <w:name w:val="annotation text"/>
    <w:basedOn w:val="a"/>
    <w:link w:val="10"/>
    <w:semiHidden/>
    <w:rPr>
      <w:rFonts w:cs="Times New Roman"/>
      <w:lang w:eastAsia="he-IL"/>
    </w:rPr>
  </w:style>
  <w:style w:type="paragraph" w:styleId="a9">
    <w:name w:val="Balloon Text"/>
    <w:basedOn w:val="a"/>
    <w:link w:val="aa"/>
    <w:semiHidden/>
    <w:rPr>
      <w:rFonts w:ascii="Tahoma" w:hAnsi="Tahoma" w:cs="Tahoma"/>
      <w:sz w:val="16"/>
      <w:szCs w:val="16"/>
    </w:rPr>
  </w:style>
  <w:style w:type="table" w:styleId="ab">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rsid w:val="00BD67E7"/>
    <w:rPr>
      <w:rFonts w:cs="Times New Roman"/>
    </w:rPr>
  </w:style>
  <w:style w:type="character" w:styleId="Hyperlink">
    <w:name w:val="Hyperlink"/>
    <w:semiHidden/>
    <w:rsid w:val="005811E2"/>
    <w:rPr>
      <w:color w:val="0000FF"/>
      <w:u w:val="single"/>
    </w:rPr>
  </w:style>
  <w:style w:type="character" w:styleId="FollowedHyperlink">
    <w:name w:val="FollowedHyperlink"/>
    <w:semiHidden/>
    <w:rsid w:val="005811E2"/>
    <w:rPr>
      <w:rFonts w:cs="Times New Roman"/>
      <w:color w:val="800080"/>
      <w:u w:val="single"/>
    </w:rPr>
  </w:style>
  <w:style w:type="paragraph" w:customStyle="1" w:styleId="msonormal0">
    <w:name w:val="msonormal"/>
    <w:basedOn w:val="a"/>
    <w:rsid w:val="005811E2"/>
    <w:pPr>
      <w:bidi w:val="0"/>
      <w:spacing w:before="100" w:beforeAutospacing="1" w:after="100" w:afterAutospacing="1"/>
    </w:pPr>
    <w:rPr>
      <w:rFonts w:cs="Times New Roman"/>
    </w:rPr>
  </w:style>
  <w:style w:type="character" w:customStyle="1" w:styleId="ad">
    <w:name w:val="טקסט הערה תו"/>
    <w:semiHidden/>
    <w:rsid w:val="005811E2"/>
    <w:rPr>
      <w:rFonts w:cs="David"/>
    </w:rPr>
  </w:style>
  <w:style w:type="character" w:customStyle="1" w:styleId="a4">
    <w:name w:val="כותרת עליונה תו"/>
    <w:link w:val="a3"/>
    <w:locked/>
    <w:rsid w:val="005811E2"/>
    <w:rPr>
      <w:rFonts w:cs="David"/>
      <w:sz w:val="24"/>
      <w:szCs w:val="24"/>
    </w:rPr>
  </w:style>
  <w:style w:type="character" w:customStyle="1" w:styleId="a6">
    <w:name w:val="כותרת תחתונה תו"/>
    <w:link w:val="a5"/>
    <w:locked/>
    <w:rsid w:val="005811E2"/>
    <w:rPr>
      <w:rFonts w:cs="David"/>
      <w:sz w:val="24"/>
      <w:szCs w:val="24"/>
    </w:rPr>
  </w:style>
  <w:style w:type="paragraph" w:styleId="ae">
    <w:name w:val="annotation subject"/>
    <w:basedOn w:val="a8"/>
    <w:next w:val="a8"/>
    <w:link w:val="af"/>
    <w:semiHidden/>
    <w:rsid w:val="005811E2"/>
    <w:pPr>
      <w:overflowPunct w:val="0"/>
      <w:autoSpaceDE w:val="0"/>
      <w:autoSpaceDN w:val="0"/>
      <w:adjustRightInd w:val="0"/>
    </w:pPr>
    <w:rPr>
      <w:rFonts w:cs="David"/>
      <w:b/>
      <w:bCs/>
      <w:sz w:val="20"/>
      <w:szCs w:val="20"/>
      <w:lang w:eastAsia="en-US"/>
    </w:rPr>
  </w:style>
  <w:style w:type="character" w:customStyle="1" w:styleId="10">
    <w:name w:val="טקסט הערה תו1"/>
    <w:link w:val="a8"/>
    <w:semiHidden/>
    <w:locked/>
    <w:rsid w:val="005811E2"/>
    <w:rPr>
      <w:rFonts w:cs="Times New Roman"/>
      <w:sz w:val="24"/>
      <w:szCs w:val="24"/>
      <w:lang w:val="x-none" w:eastAsia="he-IL" w:bidi="he-IL"/>
    </w:rPr>
  </w:style>
  <w:style w:type="character" w:customStyle="1" w:styleId="af">
    <w:name w:val="נושא הערה תו"/>
    <w:link w:val="ae"/>
    <w:semiHidden/>
    <w:locked/>
    <w:rsid w:val="005811E2"/>
    <w:rPr>
      <w:rFonts w:cs="David"/>
      <w:b/>
      <w:bCs/>
      <w:sz w:val="24"/>
      <w:szCs w:val="24"/>
      <w:lang w:val="x-none" w:eastAsia="he-IL" w:bidi="he-IL"/>
    </w:rPr>
  </w:style>
  <w:style w:type="character" w:customStyle="1" w:styleId="aa">
    <w:name w:val="טקסט בלונים תו"/>
    <w:link w:val="a9"/>
    <w:semiHidden/>
    <w:locked/>
    <w:rsid w:val="005811E2"/>
    <w:rPr>
      <w:rFonts w:ascii="Tahoma" w:hAnsi="Tahoma" w:cs="Tahoma"/>
      <w:sz w:val="16"/>
      <w:szCs w:val="16"/>
    </w:rPr>
  </w:style>
  <w:style w:type="paragraph" w:customStyle="1" w:styleId="Revision">
    <w:name w:val="Revision"/>
    <w:semiHidden/>
    <w:rsid w:val="005811E2"/>
    <w:rPr>
      <w:rFonts w:ascii="Calibri" w:hAnsi="Calibri" w:cs="Arial"/>
      <w:sz w:val="22"/>
      <w:szCs w:val="22"/>
    </w:rPr>
  </w:style>
  <w:style w:type="paragraph" w:customStyle="1" w:styleId="ListParagraph">
    <w:name w:val="List Paragraph"/>
    <w:basedOn w:val="a"/>
    <w:qFormat/>
    <w:rsid w:val="005811E2"/>
    <w:pPr>
      <w:spacing w:after="160" w:line="256" w:lineRule="auto"/>
      <w:ind w:left="720"/>
      <w:contextualSpacing/>
    </w:pPr>
    <w:rPr>
      <w:rFonts w:ascii="Calibri" w:hAnsi="Calibri" w:cs="Arial"/>
      <w:sz w:val="22"/>
      <w:szCs w:val="22"/>
    </w:rPr>
  </w:style>
  <w:style w:type="character" w:customStyle="1" w:styleId="Ruller40">
    <w:name w:val="Ruller4 תו"/>
    <w:link w:val="Ruller41"/>
    <w:locked/>
    <w:rsid w:val="005811E2"/>
    <w:rPr>
      <w:rFonts w:ascii="Arial TUR" w:hAnsi="Arial TUR" w:cs="FrankRuehl"/>
      <w:spacing w:val="10"/>
      <w:sz w:val="28"/>
      <w:szCs w:val="28"/>
    </w:rPr>
  </w:style>
  <w:style w:type="paragraph" w:customStyle="1" w:styleId="Ruller41">
    <w:name w:val="Ruller4"/>
    <w:basedOn w:val="a"/>
    <w:link w:val="Ruller40"/>
    <w:rsid w:val="005811E2"/>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paragraph" w:customStyle="1" w:styleId="12">
    <w:name w:val="רגיל + ‏12 נק'"/>
    <w:aliases w:val="מיושר לשני הצדדים,מרווח בין שורות:  שורה וחצי"/>
    <w:basedOn w:val="a"/>
    <w:rsid w:val="005811E2"/>
    <w:rPr>
      <w:b/>
      <w:bCs/>
      <w:u w:val="single"/>
    </w:rPr>
  </w:style>
  <w:style w:type="paragraph" w:customStyle="1" w:styleId="Ruller3">
    <w:name w:val="Ruller 3"/>
    <w:basedOn w:val="a"/>
    <w:rsid w:val="005811E2"/>
    <w:pPr>
      <w:tabs>
        <w:tab w:val="left" w:pos="3210"/>
        <w:tab w:val="left" w:pos="6753"/>
      </w:tabs>
      <w:overflowPunct w:val="0"/>
      <w:autoSpaceDE w:val="0"/>
      <w:autoSpaceDN w:val="0"/>
      <w:adjustRightInd w:val="0"/>
      <w:spacing w:line="360" w:lineRule="auto"/>
    </w:pPr>
    <w:rPr>
      <w:rFonts w:cs="FrankRuehl"/>
      <w:spacing w:val="10"/>
      <w:sz w:val="22"/>
      <w:szCs w:val="28"/>
    </w:rPr>
  </w:style>
  <w:style w:type="paragraph" w:customStyle="1" w:styleId="Pskdinhead">
    <w:name w:val="Pskdin head"/>
    <w:basedOn w:val="a"/>
    <w:rsid w:val="005811E2"/>
    <w:pPr>
      <w:overflowPunct w:val="0"/>
      <w:autoSpaceDE w:val="0"/>
      <w:autoSpaceDN w:val="0"/>
      <w:adjustRightInd w:val="0"/>
      <w:spacing w:line="360" w:lineRule="auto"/>
    </w:pPr>
    <w:rPr>
      <w:b/>
      <w:bCs/>
      <w:sz w:val="20"/>
      <w:u w:val="single"/>
    </w:rPr>
  </w:style>
  <w:style w:type="paragraph" w:customStyle="1" w:styleId="FileNumber">
    <w:name w:val="File Number"/>
    <w:basedOn w:val="a"/>
    <w:rsid w:val="005811E2"/>
    <w:pPr>
      <w:overflowPunct w:val="0"/>
      <w:autoSpaceDE w:val="0"/>
      <w:autoSpaceDN w:val="0"/>
      <w:adjustRightInd w:val="0"/>
      <w:spacing w:line="360" w:lineRule="auto"/>
      <w:jc w:val="right"/>
    </w:pPr>
    <w:rPr>
      <w:bCs/>
      <w:sz w:val="20"/>
    </w:rPr>
  </w:style>
  <w:style w:type="paragraph" w:customStyle="1" w:styleId="FirstpagestylePsakdin">
    <w:name w:val="First page style Psak din"/>
    <w:basedOn w:val="Ruller3"/>
    <w:rsid w:val="005811E2"/>
    <w:pPr>
      <w:tabs>
        <w:tab w:val="clear" w:pos="3210"/>
        <w:tab w:val="left" w:pos="3209"/>
      </w:tabs>
    </w:pPr>
    <w:rPr>
      <w:bCs/>
    </w:rPr>
  </w:style>
  <w:style w:type="paragraph" w:customStyle="1" w:styleId="TyutaDate">
    <w:name w:val="Tyuta Date"/>
    <w:basedOn w:val="a"/>
    <w:rsid w:val="005811E2"/>
    <w:pPr>
      <w:overflowPunct w:val="0"/>
      <w:autoSpaceDE w:val="0"/>
      <w:autoSpaceDN w:val="0"/>
      <w:adjustRightInd w:val="0"/>
      <w:jc w:val="center"/>
    </w:pPr>
    <w:rPr>
      <w:b/>
      <w:bCs/>
      <w:i/>
      <w:iCs/>
      <w:sz w:val="28"/>
      <w:szCs w:val="28"/>
    </w:rPr>
  </w:style>
  <w:style w:type="paragraph" w:customStyle="1" w:styleId="DocumentHead">
    <w:name w:val="Document Head"/>
    <w:basedOn w:val="a"/>
    <w:rsid w:val="005811E2"/>
    <w:pPr>
      <w:overflowPunct w:val="0"/>
      <w:autoSpaceDE w:val="0"/>
      <w:autoSpaceDN w:val="0"/>
      <w:adjustRightInd w:val="0"/>
      <w:spacing w:line="360" w:lineRule="auto"/>
      <w:jc w:val="center"/>
    </w:pPr>
    <w:rPr>
      <w:bCs/>
      <w:spacing w:val="30"/>
      <w:sz w:val="20"/>
      <w:szCs w:val="28"/>
      <w:u w:val="single"/>
    </w:rPr>
  </w:style>
  <w:style w:type="paragraph" w:customStyle="1" w:styleId="TfutzaList">
    <w:name w:val="Tfutza List"/>
    <w:basedOn w:val="a"/>
    <w:rsid w:val="005811E2"/>
    <w:pPr>
      <w:overflowPunct w:val="0"/>
      <w:autoSpaceDE w:val="0"/>
      <w:autoSpaceDN w:val="0"/>
      <w:adjustRightInd w:val="0"/>
    </w:pPr>
    <w:rPr>
      <w:i/>
      <w:iCs/>
      <w:sz w:val="20"/>
    </w:rPr>
  </w:style>
  <w:style w:type="character" w:customStyle="1" w:styleId="Ruller5">
    <w:name w:val="Ruller5 תו"/>
    <w:link w:val="Ruller50"/>
    <w:locked/>
    <w:rsid w:val="005811E2"/>
    <w:rPr>
      <w:rFonts w:ascii="Arial TUR" w:hAnsi="Arial TUR"/>
      <w:spacing w:val="10"/>
      <w:sz w:val="28"/>
    </w:rPr>
  </w:style>
  <w:style w:type="paragraph" w:customStyle="1" w:styleId="Ruller50">
    <w:name w:val="Ruller5"/>
    <w:basedOn w:val="a"/>
    <w:link w:val="Ruller5"/>
    <w:rsid w:val="005811E2"/>
    <w:pPr>
      <w:overflowPunct w:val="0"/>
      <w:autoSpaceDE w:val="0"/>
      <w:autoSpaceDN w:val="0"/>
      <w:adjustRightInd w:val="0"/>
      <w:ind w:left="1642" w:right="1282"/>
      <w:jc w:val="both"/>
    </w:pPr>
    <w:rPr>
      <w:rFonts w:ascii="Arial TUR" w:hAnsi="Arial TUR" w:cs="Times New Roman"/>
      <w:spacing w:val="10"/>
      <w:sz w:val="20"/>
      <w:szCs w:val="28"/>
    </w:rPr>
  </w:style>
  <w:style w:type="paragraph" w:customStyle="1" w:styleId="Ruller6">
    <w:name w:val="Ruller6"/>
    <w:basedOn w:val="a"/>
    <w:rsid w:val="005811E2"/>
    <w:pPr>
      <w:tabs>
        <w:tab w:val="left" w:pos="794"/>
        <w:tab w:val="left" w:pos="2268"/>
        <w:tab w:val="left" w:pos="5783"/>
        <w:tab w:val="left" w:pos="7371"/>
      </w:tabs>
      <w:overflowPunct w:val="0"/>
      <w:autoSpaceDE w:val="0"/>
      <w:autoSpaceDN w:val="0"/>
      <w:adjustRightInd w:val="0"/>
    </w:pPr>
    <w:rPr>
      <w:rFonts w:ascii="Arial TUR" w:hAnsi="Arial TUR" w:cs="DavidFix"/>
      <w:spacing w:val="10"/>
      <w:sz w:val="22"/>
      <w:szCs w:val="20"/>
    </w:rPr>
  </w:style>
  <w:style w:type="paragraph" w:customStyle="1" w:styleId="WriterName">
    <w:name w:val="Writer Name"/>
    <w:basedOn w:val="Ruller41"/>
    <w:next w:val="Ruller41"/>
    <w:rsid w:val="005811E2"/>
    <w:rPr>
      <w:rFonts w:cs="David"/>
      <w:b/>
      <w:bCs/>
      <w:u w:val="single"/>
    </w:rPr>
  </w:style>
  <w:style w:type="paragraph" w:customStyle="1" w:styleId="2">
    <w:name w:val="ñâðåï2"/>
    <w:basedOn w:val="a"/>
    <w:rsid w:val="005811E2"/>
    <w:pPr>
      <w:autoSpaceDE w:val="0"/>
      <w:autoSpaceDN w:val="0"/>
      <w:adjustRightInd w:val="0"/>
    </w:pPr>
    <w:rPr>
      <w:rFonts w:cs="Times New Roman"/>
      <w:sz w:val="20"/>
    </w:rPr>
  </w:style>
  <w:style w:type="paragraph" w:customStyle="1" w:styleId="Casenameintextbody">
    <w:name w:val="Case name in text body"/>
    <w:basedOn w:val="a"/>
    <w:rsid w:val="005811E2"/>
    <w:pPr>
      <w:autoSpaceDE w:val="0"/>
      <w:autoSpaceDN w:val="0"/>
      <w:adjustRightInd w:val="0"/>
      <w:jc w:val="right"/>
    </w:pPr>
    <w:rPr>
      <w:rFonts w:cs="Times New Roman"/>
      <w:b/>
      <w:bCs/>
      <w:sz w:val="20"/>
      <w:u w:val="single"/>
    </w:rPr>
  </w:style>
  <w:style w:type="paragraph" w:customStyle="1" w:styleId="precasestyle">
    <w:name w:val="pre_case style"/>
    <w:basedOn w:val="a"/>
    <w:rsid w:val="005811E2"/>
    <w:pPr>
      <w:tabs>
        <w:tab w:val="left" w:pos="2552"/>
      </w:tabs>
      <w:autoSpaceDE w:val="0"/>
      <w:autoSpaceDN w:val="0"/>
      <w:adjustRightInd w:val="0"/>
      <w:ind w:right="2549"/>
    </w:pPr>
    <w:rPr>
      <w:rFonts w:cs="Times New Roman"/>
      <w:sz w:val="20"/>
    </w:rPr>
  </w:style>
  <w:style w:type="paragraph" w:customStyle="1" w:styleId="BodyRuller">
    <w:name w:val="Body Ruller"/>
    <w:basedOn w:val="a"/>
    <w:rsid w:val="005811E2"/>
    <w:pPr>
      <w:overflowPunct w:val="0"/>
      <w:autoSpaceDE w:val="0"/>
      <w:autoSpaceDN w:val="0"/>
      <w:adjustRightInd w:val="0"/>
    </w:pPr>
    <w:rPr>
      <w:sz w:val="22"/>
      <w:szCs w:val="28"/>
    </w:rPr>
  </w:style>
  <w:style w:type="paragraph" w:customStyle="1" w:styleId="Ruller38">
    <w:name w:val="סגנון Ruller 3 + (מורכב) ‏8 נק"/>
    <w:basedOn w:val="BodyRuller"/>
    <w:rsid w:val="005811E2"/>
    <w:rPr>
      <w:szCs w:val="16"/>
    </w:rPr>
  </w:style>
  <w:style w:type="paragraph" w:customStyle="1" w:styleId="FileNumber0">
    <w:name w:val="סגנון File Number + ימין"/>
    <w:basedOn w:val="FileNumber"/>
    <w:rsid w:val="005811E2"/>
    <w:pPr>
      <w:jc w:val="left"/>
    </w:pPr>
    <w:rPr>
      <w:szCs w:val="28"/>
    </w:rPr>
  </w:style>
  <w:style w:type="paragraph" w:customStyle="1" w:styleId="BODYVERDICT">
    <w:name w:val="BODY VERDICT"/>
    <w:basedOn w:val="a"/>
    <w:rsid w:val="005811E2"/>
    <w:pPr>
      <w:overflowPunct w:val="0"/>
      <w:autoSpaceDE w:val="0"/>
      <w:autoSpaceDN w:val="0"/>
      <w:adjustRightInd w:val="0"/>
    </w:pPr>
    <w:rPr>
      <w:rFonts w:cs="FrankRuehl"/>
      <w:spacing w:val="10"/>
      <w:sz w:val="22"/>
      <w:szCs w:val="28"/>
    </w:rPr>
  </w:style>
  <w:style w:type="paragraph" w:customStyle="1" w:styleId="Ruller42">
    <w:name w:val="Ruller 4 ממוספר"/>
    <w:basedOn w:val="a"/>
    <w:rsid w:val="005811E2"/>
    <w:pPr>
      <w:spacing w:line="360" w:lineRule="auto"/>
      <w:jc w:val="both"/>
    </w:pPr>
    <w:rPr>
      <w:rFonts w:ascii="Garamond" w:hAnsi="Garamond" w:cs="Times New Roman"/>
      <w:spacing w:val="10"/>
    </w:rPr>
  </w:style>
  <w:style w:type="character" w:customStyle="1" w:styleId="P00">
    <w:name w:val="P00 תו"/>
    <w:link w:val="P000"/>
    <w:locked/>
    <w:rsid w:val="005811E2"/>
    <w:rPr>
      <w:noProof/>
      <w:sz w:val="26"/>
      <w:lang w:val="en-US" w:eastAsia="he-IL"/>
    </w:rPr>
  </w:style>
  <w:style w:type="paragraph" w:customStyle="1" w:styleId="P000">
    <w:name w:val="P00"/>
    <w:link w:val="P00"/>
    <w:rsid w:val="005811E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0"/>
    <w:rsid w:val="005811E2"/>
    <w:pPr>
      <w:tabs>
        <w:tab w:val="clear" w:pos="624"/>
        <w:tab w:val="clear" w:pos="1021"/>
      </w:tabs>
      <w:ind w:right="1021"/>
    </w:pPr>
  </w:style>
  <w:style w:type="paragraph" w:customStyle="1" w:styleId="P33">
    <w:name w:val="P33"/>
    <w:basedOn w:val="P000"/>
    <w:rsid w:val="005811E2"/>
    <w:pPr>
      <w:tabs>
        <w:tab w:val="clear" w:pos="624"/>
        <w:tab w:val="clear" w:pos="1021"/>
        <w:tab w:val="clear" w:pos="1474"/>
      </w:tabs>
      <w:ind w:right="1474"/>
    </w:pPr>
  </w:style>
  <w:style w:type="paragraph" w:customStyle="1" w:styleId="Ruller4">
    <w:name w:val="Ruller4 אלפביתי"/>
    <w:basedOn w:val="Ruller41"/>
    <w:next w:val="Ruller41"/>
    <w:rsid w:val="005811E2"/>
    <w:pPr>
      <w:numPr>
        <w:numId w:val="3"/>
      </w:numPr>
      <w:tabs>
        <w:tab w:val="num" w:pos="1080"/>
      </w:tabs>
      <w:ind w:hanging="720"/>
    </w:pPr>
  </w:style>
  <w:style w:type="character" w:customStyle="1" w:styleId="normal-h">
    <w:name w:val="normal-h"/>
    <w:rsid w:val="005811E2"/>
    <w:rPr>
      <w:rFonts w:cs="Times New Roman"/>
    </w:rPr>
  </w:style>
  <w:style w:type="character" w:customStyle="1" w:styleId="Delete">
    <w:name w:val="Delete"/>
    <w:rsid w:val="005811E2"/>
    <w:rPr>
      <w:strike/>
    </w:rPr>
  </w:style>
  <w:style w:type="character" w:customStyle="1" w:styleId="Hand">
    <w:name w:val="Hand"/>
    <w:rsid w:val="005811E2"/>
  </w:style>
  <w:style w:type="character" w:customStyle="1" w:styleId="Ruller30">
    <w:name w:val="Ruller 3 תו"/>
    <w:rsid w:val="005811E2"/>
    <w:rPr>
      <w:rFonts w:ascii="FrankRuehl" w:hAnsi="FrankRuehl"/>
      <w:sz w:val="28"/>
      <w:lang w:val="en-US" w:eastAsia="en-US"/>
    </w:rPr>
  </w:style>
  <w:style w:type="character" w:customStyle="1" w:styleId="BodyRuller0">
    <w:name w:val="Body Ruller תו"/>
    <w:rsid w:val="005811E2"/>
    <w:rPr>
      <w:rFonts w:ascii="David" w:hAnsi="David"/>
      <w:sz w:val="28"/>
      <w:lang w:val="en-US" w:eastAsia="en-US"/>
    </w:rPr>
  </w:style>
  <w:style w:type="character" w:customStyle="1" w:styleId="Ruller380">
    <w:name w:val="סגנון Ruller 3 + (מורכב) ‏8 נק תו"/>
    <w:rsid w:val="005811E2"/>
    <w:rPr>
      <w:rFonts w:ascii="David" w:hAnsi="David"/>
      <w:sz w:val="16"/>
      <w:lang w:val="en-US" w:eastAsia="en-US"/>
    </w:rPr>
  </w:style>
  <w:style w:type="character" w:customStyle="1" w:styleId="hebrewquotation1">
    <w:name w:val="hebrewquotation1"/>
    <w:rsid w:val="005811E2"/>
    <w:rPr>
      <w:rFonts w:ascii="David" w:hAnsi="David"/>
      <w:sz w:val="29"/>
    </w:rPr>
  </w:style>
  <w:style w:type="character" w:customStyle="1" w:styleId="default">
    <w:name w:val="default"/>
    <w:rsid w:val="005811E2"/>
  </w:style>
  <w:style w:type="character" w:customStyle="1" w:styleId="big-number">
    <w:name w:val="big-number"/>
    <w:rsid w:val="005811E2"/>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298"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70301/382" TargetMode="External"/><Relationship Id="rId63" Type="http://schemas.openxmlformats.org/officeDocument/2006/relationships/hyperlink" Target="http://www.nevo.co.il/law/70301/31" TargetMode="External"/><Relationship Id="rId84" Type="http://schemas.openxmlformats.org/officeDocument/2006/relationships/hyperlink" Target="http://www.nevo.co.il/law/70301/144.a" TargetMode="External"/><Relationship Id="rId138" Type="http://schemas.openxmlformats.org/officeDocument/2006/relationships/hyperlink" Target="http://www.nevo.co.il/case/21771409" TargetMode="External"/><Relationship Id="rId159" Type="http://schemas.openxmlformats.org/officeDocument/2006/relationships/hyperlink" Target="http://www.nevo.co.il/law/70301/40g" TargetMode="External"/><Relationship Id="rId170" Type="http://schemas.openxmlformats.org/officeDocument/2006/relationships/header" Target="header2.xml"/><Relationship Id="rId107" Type="http://schemas.openxmlformats.org/officeDocument/2006/relationships/hyperlink" Target="http://www.nevo.co.il/law/70301/20.a" TargetMode="External"/><Relationship Id="rId11" Type="http://schemas.openxmlformats.org/officeDocument/2006/relationships/hyperlink" Target="http://www.nevo.co.il/law/70301/20.a" TargetMode="External"/><Relationship Id="rId32" Type="http://schemas.openxmlformats.org/officeDocument/2006/relationships/hyperlink" Target="http://www.nevo.co.il/law/70301/340a" TargetMode="External"/><Relationship Id="rId53" Type="http://schemas.openxmlformats.org/officeDocument/2006/relationships/hyperlink" Target="http://www.nevo.co.il/law/70301/29" TargetMode="External"/><Relationship Id="rId74" Type="http://schemas.openxmlformats.org/officeDocument/2006/relationships/hyperlink" Target="http://www.nevo.co.il/law/70301/335" TargetMode="External"/><Relationship Id="rId128" Type="http://schemas.openxmlformats.org/officeDocument/2006/relationships/hyperlink" Target="http://www.nevo.co.il/case/5573417" TargetMode="External"/><Relationship Id="rId149" Type="http://schemas.openxmlformats.org/officeDocument/2006/relationships/hyperlink" Target="http://www.nevo.co.il/case/21042778" TargetMode="External"/><Relationship Id="rId5" Type="http://schemas.openxmlformats.org/officeDocument/2006/relationships/webSettings" Target="webSettings.xml"/><Relationship Id="rId95" Type="http://schemas.openxmlformats.org/officeDocument/2006/relationships/hyperlink" Target="http://www.nevo.co.il/law/70301/298" TargetMode="External"/><Relationship Id="rId160" Type="http://schemas.openxmlformats.org/officeDocument/2006/relationships/hyperlink" Target="http://www.nevo.co.il/case/23850973" TargetMode="External"/><Relationship Id="rId22" Type="http://schemas.openxmlformats.org/officeDocument/2006/relationships/hyperlink" Target="http://www.nevo.co.il/law/70301/192" TargetMode="External"/><Relationship Id="rId43" Type="http://schemas.openxmlformats.org/officeDocument/2006/relationships/hyperlink" Target="http://www.nevo.co.il/law/70301/29" TargetMode="External"/><Relationship Id="rId64" Type="http://schemas.openxmlformats.org/officeDocument/2006/relationships/hyperlink" Target="http://www.nevo.co.il/law/70301/192" TargetMode="External"/><Relationship Id="rId118" Type="http://schemas.openxmlformats.org/officeDocument/2006/relationships/hyperlink" Target="http://www.nevo.co.il/law/70301" TargetMode="External"/><Relationship Id="rId139" Type="http://schemas.openxmlformats.org/officeDocument/2006/relationships/hyperlink" Target="http://www.nevo.co.il/case/24140726" TargetMode="External"/><Relationship Id="rId85" Type="http://schemas.openxmlformats.org/officeDocument/2006/relationships/hyperlink" Target="http://www.nevo.co.il/law/70301/31" TargetMode="External"/><Relationship Id="rId150" Type="http://schemas.openxmlformats.org/officeDocument/2006/relationships/hyperlink" Target="http://www.nevo.co.il/case/23509035" TargetMode="External"/><Relationship Id="rId171" Type="http://schemas.openxmlformats.org/officeDocument/2006/relationships/footer" Target="footer1.xml"/><Relationship Id="rId12" Type="http://schemas.openxmlformats.org/officeDocument/2006/relationships/hyperlink" Target="http://www.nevo.co.il/law/70301/25" TargetMode="External"/><Relationship Id="rId33" Type="http://schemas.openxmlformats.org/officeDocument/2006/relationships/hyperlink" Target="http://www.nevo.co.il/law/70301/380.a" TargetMode="External"/><Relationship Id="rId108" Type="http://schemas.openxmlformats.org/officeDocument/2006/relationships/hyperlink" Target="http://www.nevo.co.il/safrut/book/28739" TargetMode="External"/><Relationship Id="rId129" Type="http://schemas.openxmlformats.org/officeDocument/2006/relationships/hyperlink" Target="http://www.nevo.co.il/case/20291305" TargetMode="External"/><Relationship Id="rId54" Type="http://schemas.openxmlformats.org/officeDocument/2006/relationships/hyperlink" Target="http://www.nevo.co.il/law/70301/340a" TargetMode="External"/><Relationship Id="rId75" Type="http://schemas.openxmlformats.org/officeDocument/2006/relationships/hyperlink" Target="http://www.nevo.co.il/law/70301/25" TargetMode="External"/><Relationship Id="rId96" Type="http://schemas.openxmlformats.org/officeDocument/2006/relationships/hyperlink" Target="http://www.nevo.co.il/law/70301/300" TargetMode="External"/><Relationship Id="rId140" Type="http://schemas.openxmlformats.org/officeDocument/2006/relationships/hyperlink" Target="http://www.nevo.co.il/case/6224157" TargetMode="External"/><Relationship Id="rId161" Type="http://schemas.openxmlformats.org/officeDocument/2006/relationships/hyperlink" Target="http://www.nevo.co.il/law/70301/77"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298" TargetMode="External"/><Relationship Id="rId28" Type="http://schemas.openxmlformats.org/officeDocument/2006/relationships/hyperlink" Target="http://www.nevo.co.il/law/70301/329.a.2" TargetMode="External"/><Relationship Id="rId49" Type="http://schemas.openxmlformats.org/officeDocument/2006/relationships/hyperlink" Target="http://www.nevo.co.il/law/70301/329.a.1" TargetMode="External"/><Relationship Id="rId114" Type="http://schemas.openxmlformats.org/officeDocument/2006/relationships/hyperlink" Target="http://www.nevo.co.il/case/21473673" TargetMode="External"/><Relationship Id="rId119" Type="http://schemas.openxmlformats.org/officeDocument/2006/relationships/hyperlink" Target="http://www.nevo.co.il/case/7667123" TargetMode="External"/><Relationship Id="rId44" Type="http://schemas.openxmlformats.org/officeDocument/2006/relationships/hyperlink" Target="http://www.nevo.co.il/law/70301/30"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law/70301/144.a" TargetMode="External"/><Relationship Id="rId81" Type="http://schemas.openxmlformats.org/officeDocument/2006/relationships/hyperlink" Target="http://www.nevo.co.il/law/70301/335" TargetMode="External"/><Relationship Id="rId86" Type="http://schemas.openxmlformats.org/officeDocument/2006/relationships/hyperlink" Target="http://www.nevo.co.il/case/20296345" TargetMode="External"/><Relationship Id="rId130" Type="http://schemas.openxmlformats.org/officeDocument/2006/relationships/hyperlink" Target="http://www.nevo.co.il/case/6030667" TargetMode="External"/><Relationship Id="rId135" Type="http://schemas.openxmlformats.org/officeDocument/2006/relationships/hyperlink" Target="http://www.nevo.co.il/case/6473037" TargetMode="External"/><Relationship Id="rId151" Type="http://schemas.openxmlformats.org/officeDocument/2006/relationships/hyperlink" Target="http://www.nevo.co.il/case/20420495" TargetMode="External"/><Relationship Id="rId156" Type="http://schemas.openxmlformats.org/officeDocument/2006/relationships/hyperlink" Target="http://www.nevo.co.il/case/5612802" TargetMode="External"/><Relationship Id="rId172" Type="http://schemas.openxmlformats.org/officeDocument/2006/relationships/footer" Target="footer2.xml"/><Relationship Id="rId13" Type="http://schemas.openxmlformats.org/officeDocument/2006/relationships/hyperlink" Target="http://www.nevo.co.il/law/70301/29" TargetMode="External"/><Relationship Id="rId18" Type="http://schemas.openxmlformats.org/officeDocument/2006/relationships/hyperlink" Target="http://www.nevo.co.il/law/70301/58" TargetMode="External"/><Relationship Id="rId39" Type="http://schemas.openxmlformats.org/officeDocument/2006/relationships/hyperlink" Target="http://www.nevo.co.il/law/70301/335" TargetMode="External"/><Relationship Id="rId109" Type="http://schemas.openxmlformats.org/officeDocument/2006/relationships/hyperlink" Target="http://www.nevo.co.il/law/70301/20.a" TargetMode="External"/><Relationship Id="rId34" Type="http://schemas.openxmlformats.org/officeDocument/2006/relationships/hyperlink" Target="http://www.nevo.co.il/law/70301/382" TargetMode="External"/><Relationship Id="rId50" Type="http://schemas.openxmlformats.org/officeDocument/2006/relationships/hyperlink" Target="http://www.nevo.co.il/law/70301/334;335;30" TargetMode="External"/><Relationship Id="rId55" Type="http://schemas.openxmlformats.org/officeDocument/2006/relationships/hyperlink" Target="http://www.nevo.co.il/law/70301/29" TargetMode="External"/><Relationship Id="rId76" Type="http://schemas.openxmlformats.org/officeDocument/2006/relationships/hyperlink" Target="http://www.nevo.co.il/law/70301/29" TargetMode="External"/><Relationship Id="rId97" Type="http://schemas.openxmlformats.org/officeDocument/2006/relationships/hyperlink" Target="http://www.nevo.co.il/law/70301/311a" TargetMode="External"/><Relationship Id="rId104" Type="http://schemas.openxmlformats.org/officeDocument/2006/relationships/hyperlink" Target="http://www.nevo.co.il/law/70301/5.a" TargetMode="External"/><Relationship Id="rId120" Type="http://schemas.openxmlformats.org/officeDocument/2006/relationships/hyperlink" Target="http://www.nevo.co.il/case/5573417" TargetMode="External"/><Relationship Id="rId125" Type="http://schemas.openxmlformats.org/officeDocument/2006/relationships/hyperlink" Target="http://www.nevo.co.il/case/5777709" TargetMode="External"/><Relationship Id="rId141" Type="http://schemas.openxmlformats.org/officeDocument/2006/relationships/hyperlink" Target="http://www.nevo.co.il/case/18654019" TargetMode="External"/><Relationship Id="rId146" Type="http://schemas.openxmlformats.org/officeDocument/2006/relationships/hyperlink" Target="http://www.nevo.co.il/case/22919929" TargetMode="External"/><Relationship Id="rId167" Type="http://schemas.openxmlformats.org/officeDocument/2006/relationships/hyperlink" Target="http://www.nevo.co.il/case/20296345" TargetMode="External"/><Relationship Id="rId7" Type="http://schemas.openxmlformats.org/officeDocument/2006/relationships/endnotes" Target="endnotes.xml"/><Relationship Id="rId71" Type="http://schemas.openxmlformats.org/officeDocument/2006/relationships/hyperlink" Target="http://www.nevo.co.il/law/70301/144.b" TargetMode="External"/><Relationship Id="rId92" Type="http://schemas.openxmlformats.org/officeDocument/2006/relationships/hyperlink" Target="http://www.nevo.co.il/law/70301" TargetMode="External"/><Relationship Id="rId162" Type="http://schemas.openxmlformats.org/officeDocument/2006/relationships/hyperlink" Target="http://www.nevo.co.il/case/20942136" TargetMode="External"/><Relationship Id="rId2" Type="http://schemas.openxmlformats.org/officeDocument/2006/relationships/numbering" Target="numbering.xml"/><Relationship Id="rId29" Type="http://schemas.openxmlformats.org/officeDocument/2006/relationships/hyperlink" Target="http://www.nevo.co.il/law/70301/333" TargetMode="External"/><Relationship Id="rId24" Type="http://schemas.openxmlformats.org/officeDocument/2006/relationships/hyperlink" Target="http://www.nevo.co.il/law/70301/300"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333" TargetMode="External"/><Relationship Id="rId66" Type="http://schemas.openxmlformats.org/officeDocument/2006/relationships/hyperlink" Target="http://www.nevo.co.il/law/70301/144.b" TargetMode="External"/><Relationship Id="rId87" Type="http://schemas.openxmlformats.org/officeDocument/2006/relationships/hyperlink" Target="http://www.nevo.co.il/law/70301/40ja" TargetMode="External"/><Relationship Id="rId110" Type="http://schemas.openxmlformats.org/officeDocument/2006/relationships/hyperlink" Target="http://www.nevo.co.il/case/18654019" TargetMode="External"/><Relationship Id="rId115" Type="http://schemas.openxmlformats.org/officeDocument/2006/relationships/hyperlink" Target="http://www.nevo.co.il/case/24293314" TargetMode="External"/><Relationship Id="rId131" Type="http://schemas.openxmlformats.org/officeDocument/2006/relationships/hyperlink" Target="http://www.nevo.co.il/case/7791493" TargetMode="External"/><Relationship Id="rId136" Type="http://schemas.openxmlformats.org/officeDocument/2006/relationships/hyperlink" Target="http://www.nevo.co.il/case/13093744" TargetMode="External"/><Relationship Id="rId157" Type="http://schemas.openxmlformats.org/officeDocument/2006/relationships/hyperlink" Target="http://www.nevo.co.il/case/20412551" TargetMode="External"/><Relationship Id="rId61" Type="http://schemas.openxmlformats.org/officeDocument/2006/relationships/hyperlink" Target="http://www.nevo.co.il/law/70301/29" TargetMode="External"/><Relationship Id="rId82" Type="http://schemas.openxmlformats.org/officeDocument/2006/relationships/hyperlink" Target="http://www.nevo.co.il/law/70301/25" TargetMode="External"/><Relationship Id="rId152" Type="http://schemas.openxmlformats.org/officeDocument/2006/relationships/hyperlink" Target="http://www.nevo.co.il/case/21474922" TargetMode="External"/><Relationship Id="rId173" Type="http://schemas.openxmlformats.org/officeDocument/2006/relationships/fontTable" Target="fontTable.xml"/><Relationship Id="rId19" Type="http://schemas.openxmlformats.org/officeDocument/2006/relationships/hyperlink" Target="http://www.nevo.co.il/law/70301/77" TargetMode="External"/><Relationship Id="rId14" Type="http://schemas.openxmlformats.org/officeDocument/2006/relationships/hyperlink" Target="http://www.nevo.co.il/law/70301/30" TargetMode="External"/><Relationship Id="rId30" Type="http://schemas.openxmlformats.org/officeDocument/2006/relationships/hyperlink" Target="http://www.nevo.co.il/law/70301/334" TargetMode="External"/><Relationship Id="rId35" Type="http://schemas.openxmlformats.org/officeDocument/2006/relationships/hyperlink" Target="http://www.nevo.co.il/law/70301/40ja" TargetMode="External"/><Relationship Id="rId56" Type="http://schemas.openxmlformats.org/officeDocument/2006/relationships/hyperlink" Target="http://www.nevo.co.il/law/70301/298" TargetMode="External"/><Relationship Id="rId77" Type="http://schemas.openxmlformats.org/officeDocument/2006/relationships/hyperlink" Target="http://www.nevo.co.il/law/70301/144.a" TargetMode="External"/><Relationship Id="rId100" Type="http://schemas.openxmlformats.org/officeDocument/2006/relationships/hyperlink" Target="http://www.nevo.co.il/law/70301/301c" TargetMode="External"/><Relationship Id="rId105" Type="http://schemas.openxmlformats.org/officeDocument/2006/relationships/hyperlink" Target="http://www.nevo.co.il/law/70301/301c" TargetMode="External"/><Relationship Id="rId126" Type="http://schemas.openxmlformats.org/officeDocument/2006/relationships/hyperlink" Target="http://www.nevo.co.il/case/20053828" TargetMode="External"/><Relationship Id="rId147" Type="http://schemas.openxmlformats.org/officeDocument/2006/relationships/hyperlink" Target="http://www.nevo.co.il/case/21524816" TargetMode="External"/><Relationship Id="rId168"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law/70301/29" TargetMode="External"/><Relationship Id="rId93" Type="http://schemas.openxmlformats.org/officeDocument/2006/relationships/hyperlink" Target="http://www.nevo.co.il/law/70301/5.a" TargetMode="External"/><Relationship Id="rId98" Type="http://schemas.openxmlformats.org/officeDocument/2006/relationships/hyperlink" Target="http://www.nevo.co.il/law/70301/301c" TargetMode="External"/><Relationship Id="rId121" Type="http://schemas.openxmlformats.org/officeDocument/2006/relationships/hyperlink" Target="http://www.nevo.co.il/case/6473037" TargetMode="External"/><Relationship Id="rId142" Type="http://schemas.openxmlformats.org/officeDocument/2006/relationships/hyperlink" Target="http://www.nevo.co.il/case/5676908" TargetMode="External"/><Relationship Id="rId163" Type="http://schemas.openxmlformats.org/officeDocument/2006/relationships/hyperlink" Target="http://www.nevo.co.il/case/21759543" TargetMode="External"/><Relationship Id="rId3" Type="http://schemas.openxmlformats.org/officeDocument/2006/relationships/styles" Target="styles.xml"/><Relationship Id="rId25" Type="http://schemas.openxmlformats.org/officeDocument/2006/relationships/hyperlink" Target="http://www.nevo.co.il/law/70301/301c" TargetMode="External"/><Relationship Id="rId46" Type="http://schemas.openxmlformats.org/officeDocument/2006/relationships/hyperlink" Target="http://www.nevo.co.il/law/70301/335" TargetMode="External"/><Relationship Id="rId67" Type="http://schemas.openxmlformats.org/officeDocument/2006/relationships/hyperlink" Target="http://www.nevo.co.il/law/70301/29" TargetMode="External"/><Relationship Id="rId116" Type="http://schemas.openxmlformats.org/officeDocument/2006/relationships/hyperlink" Target="http://www.nevo.co.il/law/70301/5.a" TargetMode="External"/><Relationship Id="rId137" Type="http://schemas.openxmlformats.org/officeDocument/2006/relationships/hyperlink" Target="http://www.nevo.co.il/case/20446658" TargetMode="External"/><Relationship Id="rId158" Type="http://schemas.openxmlformats.org/officeDocument/2006/relationships/hyperlink" Target="http://www.nevo.co.il/law/70301/40ja"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70301/380.a" TargetMode="External"/><Relationship Id="rId62" Type="http://schemas.openxmlformats.org/officeDocument/2006/relationships/hyperlink" Target="http://www.nevo.co.il/law/70301/144.a" TargetMode="External"/><Relationship Id="rId83" Type="http://schemas.openxmlformats.org/officeDocument/2006/relationships/hyperlink" Target="http://www.nevo.co.il/law/70301/29" TargetMode="External"/><Relationship Id="rId88" Type="http://schemas.openxmlformats.org/officeDocument/2006/relationships/hyperlink" Target="http://www.nevo.co.il/law/70301/40jc" TargetMode="External"/><Relationship Id="rId111" Type="http://schemas.openxmlformats.org/officeDocument/2006/relationships/hyperlink" Target="http://www.nevo.co.il/law/70301/20.a" TargetMode="External"/><Relationship Id="rId132" Type="http://schemas.openxmlformats.org/officeDocument/2006/relationships/hyperlink" Target="http://www.nevo.co.il/case/5887664" TargetMode="External"/><Relationship Id="rId153" Type="http://schemas.openxmlformats.org/officeDocument/2006/relationships/hyperlink" Target="http://www.nevo.co.il/case/20618928" TargetMode="External"/><Relationship Id="rId174" Type="http://schemas.openxmlformats.org/officeDocument/2006/relationships/theme" Target="theme/theme1.xml"/><Relationship Id="rId15" Type="http://schemas.openxmlformats.org/officeDocument/2006/relationships/hyperlink" Target="http://www.nevo.co.il/law/70301/31" TargetMode="External"/><Relationship Id="rId36" Type="http://schemas.openxmlformats.org/officeDocument/2006/relationships/hyperlink" Target="http://www.nevo.co.il/law/70301/40jc" TargetMode="External"/><Relationship Id="rId57" Type="http://schemas.openxmlformats.org/officeDocument/2006/relationships/hyperlink" Target="http://www.nevo.co.il/law/70301/329.a.1" TargetMode="External"/><Relationship Id="rId106" Type="http://schemas.openxmlformats.org/officeDocument/2006/relationships/hyperlink" Target="http://www.nevo.co.il/law/70301/300" TargetMode="External"/><Relationship Id="rId127" Type="http://schemas.openxmlformats.org/officeDocument/2006/relationships/hyperlink" Target="http://www.nevo.co.il/case/5989067" TargetMode="External"/><Relationship Id="rId10" Type="http://schemas.openxmlformats.org/officeDocument/2006/relationships/hyperlink" Target="http://www.nevo.co.il/law/70301/5.a" TargetMode="External"/><Relationship Id="rId31" Type="http://schemas.openxmlformats.org/officeDocument/2006/relationships/hyperlink" Target="http://www.nevo.co.il/law/70301/335" TargetMode="External"/><Relationship Id="rId52" Type="http://schemas.openxmlformats.org/officeDocument/2006/relationships/hyperlink" Target="http://www.nevo.co.il/law/70301/144.b" TargetMode="External"/><Relationship Id="rId73" Type="http://schemas.openxmlformats.org/officeDocument/2006/relationships/hyperlink" Target="http://www.nevo.co.il/law/70301/334" TargetMode="External"/><Relationship Id="rId78" Type="http://schemas.openxmlformats.org/officeDocument/2006/relationships/hyperlink" Target="http://www.nevo.co.il/law/70301/144.b"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298" TargetMode="External"/><Relationship Id="rId101" Type="http://schemas.openxmlformats.org/officeDocument/2006/relationships/hyperlink" Target="http://www.nevo.co.il/law/70301/298" TargetMode="External"/><Relationship Id="rId122" Type="http://schemas.openxmlformats.org/officeDocument/2006/relationships/hyperlink" Target="http://www.nevo.co.il/law/70301/30" TargetMode="External"/><Relationship Id="rId143" Type="http://schemas.openxmlformats.org/officeDocument/2006/relationships/hyperlink" Target="http://www.nevo.co.il/case/24966889" TargetMode="External"/><Relationship Id="rId148" Type="http://schemas.openxmlformats.org/officeDocument/2006/relationships/hyperlink" Target="http://www.nevo.co.il/case/24493107" TargetMode="External"/><Relationship Id="rId164" Type="http://schemas.openxmlformats.org/officeDocument/2006/relationships/hyperlink" Target="http://www.nevo.co.il/law/70301/58"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01/5" TargetMode="External"/><Relationship Id="rId26" Type="http://schemas.openxmlformats.org/officeDocument/2006/relationships/hyperlink" Target="http://www.nevo.co.il/law/70301/311a" TargetMode="External"/><Relationship Id="rId47" Type="http://schemas.openxmlformats.org/officeDocument/2006/relationships/hyperlink" Target="http://www.nevo.co.il/law/70301/144.a" TargetMode="External"/><Relationship Id="rId68" Type="http://schemas.openxmlformats.org/officeDocument/2006/relationships/hyperlink" Target="http://www.nevo.co.il/law/70301/340a" TargetMode="External"/><Relationship Id="rId89" Type="http://schemas.openxmlformats.org/officeDocument/2006/relationships/hyperlink" Target="http://www.nevo.co.il/law/70301" TargetMode="External"/><Relationship Id="rId112" Type="http://schemas.openxmlformats.org/officeDocument/2006/relationships/hyperlink" Target="http://www.nevo.co.il/case/16917356" TargetMode="External"/><Relationship Id="rId133" Type="http://schemas.openxmlformats.org/officeDocument/2006/relationships/hyperlink" Target="http://www.nevo.co.il/case/22006503" TargetMode="External"/><Relationship Id="rId154" Type="http://schemas.openxmlformats.org/officeDocument/2006/relationships/hyperlink" Target="http://www.nevo.co.il/case/11303307" TargetMode="External"/><Relationship Id="rId16" Type="http://schemas.openxmlformats.org/officeDocument/2006/relationships/hyperlink" Target="http://www.nevo.co.il/law/70301/34d" TargetMode="External"/><Relationship Id="rId37" Type="http://schemas.openxmlformats.org/officeDocument/2006/relationships/hyperlink" Target="http://www.nevo.co.il/law/70301/40jc.c" TargetMode="External"/><Relationship Id="rId58" Type="http://schemas.openxmlformats.org/officeDocument/2006/relationships/hyperlink" Target="http://www.nevo.co.il/law/70301/329.a.2" TargetMode="External"/><Relationship Id="rId79" Type="http://schemas.openxmlformats.org/officeDocument/2006/relationships/hyperlink" Target="http://www.nevo.co.il/law/70301/29" TargetMode="External"/><Relationship Id="rId102" Type="http://schemas.openxmlformats.org/officeDocument/2006/relationships/hyperlink" Target="http://www.nevo.co.il/law/70301/5" TargetMode="External"/><Relationship Id="rId123" Type="http://schemas.openxmlformats.org/officeDocument/2006/relationships/hyperlink" Target="http://www.nevo.co.il/case/6130237" TargetMode="External"/><Relationship Id="rId144" Type="http://schemas.openxmlformats.org/officeDocument/2006/relationships/hyperlink" Target="http://www.nevo.co.il/case/5573417" TargetMode="External"/><Relationship Id="rId90" Type="http://schemas.openxmlformats.org/officeDocument/2006/relationships/hyperlink" Target="http://www.nevo.co.il/law/70301" TargetMode="External"/><Relationship Id="rId165" Type="http://schemas.openxmlformats.org/officeDocument/2006/relationships/hyperlink" Target="http://www.nevo.co.il/case/5920357" TargetMode="External"/><Relationship Id="rId27" Type="http://schemas.openxmlformats.org/officeDocument/2006/relationships/hyperlink" Target="http://www.nevo.co.il/law/70301/329.a.1" TargetMode="External"/><Relationship Id="rId48" Type="http://schemas.openxmlformats.org/officeDocument/2006/relationships/hyperlink" Target="http://www.nevo.co.il/law/70301/144.b" TargetMode="External"/><Relationship Id="rId69" Type="http://schemas.openxmlformats.org/officeDocument/2006/relationships/hyperlink" Target="http://www.nevo.co.il/law/70301/29" TargetMode="External"/><Relationship Id="rId113" Type="http://schemas.openxmlformats.org/officeDocument/2006/relationships/hyperlink" Target="http://www.nevo.co.il/case/21473673" TargetMode="External"/><Relationship Id="rId134" Type="http://schemas.openxmlformats.org/officeDocument/2006/relationships/hyperlink" Target="http://www.nevo.co.il/case/24263578" TargetMode="External"/><Relationship Id="rId80" Type="http://schemas.openxmlformats.org/officeDocument/2006/relationships/hyperlink" Target="http://www.nevo.co.il/law/70301/334" TargetMode="External"/><Relationship Id="rId155" Type="http://schemas.openxmlformats.org/officeDocument/2006/relationships/hyperlink" Target="http://www.nevo.co.il/law/70301/40jc.c" TargetMode="External"/><Relationship Id="rId17" Type="http://schemas.openxmlformats.org/officeDocument/2006/relationships/hyperlink" Target="http://www.nevo.co.il/law/70301/40g" TargetMode="External"/><Relationship Id="rId38" Type="http://schemas.openxmlformats.org/officeDocument/2006/relationships/hyperlink" Target="http://www.nevo.co.il/law/70301/334" TargetMode="External"/><Relationship Id="rId59" Type="http://schemas.openxmlformats.org/officeDocument/2006/relationships/hyperlink" Target="http://www.nevo.co.il/law/70301/144.a" TargetMode="External"/><Relationship Id="rId103" Type="http://schemas.openxmlformats.org/officeDocument/2006/relationships/hyperlink" Target="http://www.nevo.co.il/law/70301/301c" TargetMode="External"/><Relationship Id="rId124" Type="http://schemas.openxmlformats.org/officeDocument/2006/relationships/hyperlink" Target="http://www.nevo.co.il/law/70301/34d" TargetMode="External"/><Relationship Id="rId70" Type="http://schemas.openxmlformats.org/officeDocument/2006/relationships/hyperlink" Target="http://www.nevo.co.il/law/70301/144.a" TargetMode="External"/><Relationship Id="rId91" Type="http://schemas.openxmlformats.org/officeDocument/2006/relationships/hyperlink" Target="http://www.nevo.co.il/law/70301/5.a" TargetMode="External"/><Relationship Id="rId145" Type="http://schemas.openxmlformats.org/officeDocument/2006/relationships/hyperlink" Target="http://www.nevo.co.il/case/21476990" TargetMode="External"/><Relationship Id="rId166" Type="http://schemas.openxmlformats.org/officeDocument/2006/relationships/hyperlink" Target="http://www.nevo.co.il/case/2068054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18945</Words>
  <Characters>94729</Characters>
  <Application>Microsoft Office Word</Application>
  <DocSecurity>0</DocSecurity>
  <Lines>789</Lines>
  <Paragraphs>226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113448</CharactersWithSpaces>
  <SharedDoc>false</SharedDoc>
  <HLinks>
    <vt:vector size="972" baseType="variant">
      <vt:variant>
        <vt:i4>393283</vt:i4>
      </vt:variant>
      <vt:variant>
        <vt:i4>483</vt:i4>
      </vt:variant>
      <vt:variant>
        <vt:i4>0</vt:i4>
      </vt:variant>
      <vt:variant>
        <vt:i4>5</vt:i4>
      </vt:variant>
      <vt:variant>
        <vt:lpwstr>http://www.nevo.co.il/advertisements/nevo-100.doc</vt:lpwstr>
      </vt:variant>
      <vt:variant>
        <vt:lpwstr/>
      </vt:variant>
      <vt:variant>
        <vt:i4>3276926</vt:i4>
      </vt:variant>
      <vt:variant>
        <vt:i4>480</vt:i4>
      </vt:variant>
      <vt:variant>
        <vt:i4>0</vt:i4>
      </vt:variant>
      <vt:variant>
        <vt:i4>5</vt:i4>
      </vt:variant>
      <vt:variant>
        <vt:lpwstr>http://www.nevo.co.il/case/20296345</vt:lpwstr>
      </vt:variant>
      <vt:variant>
        <vt:lpwstr/>
      </vt:variant>
      <vt:variant>
        <vt:i4>3145849</vt:i4>
      </vt:variant>
      <vt:variant>
        <vt:i4>477</vt:i4>
      </vt:variant>
      <vt:variant>
        <vt:i4>0</vt:i4>
      </vt:variant>
      <vt:variant>
        <vt:i4>5</vt:i4>
      </vt:variant>
      <vt:variant>
        <vt:lpwstr>http://www.nevo.co.il/case/20680541</vt:lpwstr>
      </vt:variant>
      <vt:variant>
        <vt:lpwstr/>
      </vt:variant>
      <vt:variant>
        <vt:i4>3342456</vt:i4>
      </vt:variant>
      <vt:variant>
        <vt:i4>474</vt:i4>
      </vt:variant>
      <vt:variant>
        <vt:i4>0</vt:i4>
      </vt:variant>
      <vt:variant>
        <vt:i4>5</vt:i4>
      </vt:variant>
      <vt:variant>
        <vt:lpwstr>http://www.nevo.co.il/case/5920357</vt:lpwstr>
      </vt:variant>
      <vt:variant>
        <vt:lpwstr/>
      </vt:variant>
      <vt:variant>
        <vt:i4>7143520</vt:i4>
      </vt:variant>
      <vt:variant>
        <vt:i4>471</vt:i4>
      </vt:variant>
      <vt:variant>
        <vt:i4>0</vt:i4>
      </vt:variant>
      <vt:variant>
        <vt:i4>5</vt:i4>
      </vt:variant>
      <vt:variant>
        <vt:lpwstr>http://www.nevo.co.il/law/70301/58</vt:lpwstr>
      </vt:variant>
      <vt:variant>
        <vt:lpwstr/>
      </vt:variant>
      <vt:variant>
        <vt:i4>3670133</vt:i4>
      </vt:variant>
      <vt:variant>
        <vt:i4>468</vt:i4>
      </vt:variant>
      <vt:variant>
        <vt:i4>0</vt:i4>
      </vt:variant>
      <vt:variant>
        <vt:i4>5</vt:i4>
      </vt:variant>
      <vt:variant>
        <vt:lpwstr>http://www.nevo.co.il/case/21759543</vt:lpwstr>
      </vt:variant>
      <vt:variant>
        <vt:lpwstr/>
      </vt:variant>
      <vt:variant>
        <vt:i4>3801201</vt:i4>
      </vt:variant>
      <vt:variant>
        <vt:i4>465</vt:i4>
      </vt:variant>
      <vt:variant>
        <vt:i4>0</vt:i4>
      </vt:variant>
      <vt:variant>
        <vt:i4>5</vt:i4>
      </vt:variant>
      <vt:variant>
        <vt:lpwstr>http://www.nevo.co.il/case/20942136</vt:lpwstr>
      </vt:variant>
      <vt:variant>
        <vt:lpwstr/>
      </vt:variant>
      <vt:variant>
        <vt:i4>6422626</vt:i4>
      </vt:variant>
      <vt:variant>
        <vt:i4>462</vt:i4>
      </vt:variant>
      <vt:variant>
        <vt:i4>0</vt:i4>
      </vt:variant>
      <vt:variant>
        <vt:i4>5</vt:i4>
      </vt:variant>
      <vt:variant>
        <vt:lpwstr>http://www.nevo.co.il/law/70301/77</vt:lpwstr>
      </vt:variant>
      <vt:variant>
        <vt:lpwstr/>
      </vt:variant>
      <vt:variant>
        <vt:i4>3997819</vt:i4>
      </vt:variant>
      <vt:variant>
        <vt:i4>459</vt:i4>
      </vt:variant>
      <vt:variant>
        <vt:i4>0</vt:i4>
      </vt:variant>
      <vt:variant>
        <vt:i4>5</vt:i4>
      </vt:variant>
      <vt:variant>
        <vt:lpwstr>http://www.nevo.co.il/case/23850973</vt:lpwstr>
      </vt:variant>
      <vt:variant>
        <vt:lpwstr/>
      </vt:variant>
      <vt:variant>
        <vt:i4>6619233</vt:i4>
      </vt:variant>
      <vt:variant>
        <vt:i4>456</vt:i4>
      </vt:variant>
      <vt:variant>
        <vt:i4>0</vt:i4>
      </vt:variant>
      <vt:variant>
        <vt:i4>5</vt:i4>
      </vt:variant>
      <vt:variant>
        <vt:lpwstr>http://www.nevo.co.il/law/70301/40g</vt:lpwstr>
      </vt:variant>
      <vt:variant>
        <vt:lpwstr/>
      </vt:variant>
      <vt:variant>
        <vt:i4>262155</vt:i4>
      </vt:variant>
      <vt:variant>
        <vt:i4>453</vt:i4>
      </vt:variant>
      <vt:variant>
        <vt:i4>0</vt:i4>
      </vt:variant>
      <vt:variant>
        <vt:i4>5</vt:i4>
      </vt:variant>
      <vt:variant>
        <vt:lpwstr>http://www.nevo.co.il/law/70301/40ja</vt:lpwstr>
      </vt:variant>
      <vt:variant>
        <vt:lpwstr/>
      </vt:variant>
      <vt:variant>
        <vt:i4>3211376</vt:i4>
      </vt:variant>
      <vt:variant>
        <vt:i4>450</vt:i4>
      </vt:variant>
      <vt:variant>
        <vt:i4>0</vt:i4>
      </vt:variant>
      <vt:variant>
        <vt:i4>5</vt:i4>
      </vt:variant>
      <vt:variant>
        <vt:lpwstr>http://www.nevo.co.il/case/20412551</vt:lpwstr>
      </vt:variant>
      <vt:variant>
        <vt:lpwstr/>
      </vt:variant>
      <vt:variant>
        <vt:i4>4063344</vt:i4>
      </vt:variant>
      <vt:variant>
        <vt:i4>447</vt:i4>
      </vt:variant>
      <vt:variant>
        <vt:i4>0</vt:i4>
      </vt:variant>
      <vt:variant>
        <vt:i4>5</vt:i4>
      </vt:variant>
      <vt:variant>
        <vt:lpwstr>http://www.nevo.co.il/case/5612802</vt:lpwstr>
      </vt:variant>
      <vt:variant>
        <vt:lpwstr/>
      </vt:variant>
      <vt:variant>
        <vt:i4>6619173</vt:i4>
      </vt:variant>
      <vt:variant>
        <vt:i4>444</vt:i4>
      </vt:variant>
      <vt:variant>
        <vt:i4>0</vt:i4>
      </vt:variant>
      <vt:variant>
        <vt:i4>5</vt:i4>
      </vt:variant>
      <vt:variant>
        <vt:lpwstr>http://www.nevo.co.il/law/70301/40jc.c</vt:lpwstr>
      </vt:variant>
      <vt:variant>
        <vt:lpwstr/>
      </vt:variant>
      <vt:variant>
        <vt:i4>3211382</vt:i4>
      </vt:variant>
      <vt:variant>
        <vt:i4>441</vt:i4>
      </vt:variant>
      <vt:variant>
        <vt:i4>0</vt:i4>
      </vt:variant>
      <vt:variant>
        <vt:i4>5</vt:i4>
      </vt:variant>
      <vt:variant>
        <vt:lpwstr>http://www.nevo.co.il/case/11303307</vt:lpwstr>
      </vt:variant>
      <vt:variant>
        <vt:lpwstr/>
      </vt:variant>
      <vt:variant>
        <vt:i4>4063356</vt:i4>
      </vt:variant>
      <vt:variant>
        <vt:i4>438</vt:i4>
      </vt:variant>
      <vt:variant>
        <vt:i4>0</vt:i4>
      </vt:variant>
      <vt:variant>
        <vt:i4>5</vt:i4>
      </vt:variant>
      <vt:variant>
        <vt:lpwstr>http://www.nevo.co.il/case/20618928</vt:lpwstr>
      </vt:variant>
      <vt:variant>
        <vt:lpwstr/>
      </vt:variant>
      <vt:variant>
        <vt:i4>3145851</vt:i4>
      </vt:variant>
      <vt:variant>
        <vt:i4>435</vt:i4>
      </vt:variant>
      <vt:variant>
        <vt:i4>0</vt:i4>
      </vt:variant>
      <vt:variant>
        <vt:i4>5</vt:i4>
      </vt:variant>
      <vt:variant>
        <vt:lpwstr>http://www.nevo.co.il/case/21474922</vt:lpwstr>
      </vt:variant>
      <vt:variant>
        <vt:lpwstr/>
      </vt:variant>
      <vt:variant>
        <vt:i4>4128882</vt:i4>
      </vt:variant>
      <vt:variant>
        <vt:i4>432</vt:i4>
      </vt:variant>
      <vt:variant>
        <vt:i4>0</vt:i4>
      </vt:variant>
      <vt:variant>
        <vt:i4>5</vt:i4>
      </vt:variant>
      <vt:variant>
        <vt:lpwstr>http://www.nevo.co.il/case/20420495</vt:lpwstr>
      </vt:variant>
      <vt:variant>
        <vt:lpwstr/>
      </vt:variant>
      <vt:variant>
        <vt:i4>3997815</vt:i4>
      </vt:variant>
      <vt:variant>
        <vt:i4>429</vt:i4>
      </vt:variant>
      <vt:variant>
        <vt:i4>0</vt:i4>
      </vt:variant>
      <vt:variant>
        <vt:i4>5</vt:i4>
      </vt:variant>
      <vt:variant>
        <vt:lpwstr>http://www.nevo.co.il/case/23509035</vt:lpwstr>
      </vt:variant>
      <vt:variant>
        <vt:lpwstr/>
      </vt:variant>
      <vt:variant>
        <vt:i4>3604598</vt:i4>
      </vt:variant>
      <vt:variant>
        <vt:i4>426</vt:i4>
      </vt:variant>
      <vt:variant>
        <vt:i4>0</vt:i4>
      </vt:variant>
      <vt:variant>
        <vt:i4>5</vt:i4>
      </vt:variant>
      <vt:variant>
        <vt:lpwstr>http://www.nevo.co.il/case/21042778</vt:lpwstr>
      </vt:variant>
      <vt:variant>
        <vt:lpwstr/>
      </vt:variant>
      <vt:variant>
        <vt:i4>3473528</vt:i4>
      </vt:variant>
      <vt:variant>
        <vt:i4>423</vt:i4>
      </vt:variant>
      <vt:variant>
        <vt:i4>0</vt:i4>
      </vt:variant>
      <vt:variant>
        <vt:i4>5</vt:i4>
      </vt:variant>
      <vt:variant>
        <vt:lpwstr>http://www.nevo.co.il/case/24493107</vt:lpwstr>
      </vt:variant>
      <vt:variant>
        <vt:lpwstr/>
      </vt:variant>
      <vt:variant>
        <vt:i4>3276927</vt:i4>
      </vt:variant>
      <vt:variant>
        <vt:i4>420</vt:i4>
      </vt:variant>
      <vt:variant>
        <vt:i4>0</vt:i4>
      </vt:variant>
      <vt:variant>
        <vt:i4>5</vt:i4>
      </vt:variant>
      <vt:variant>
        <vt:lpwstr>http://www.nevo.co.il/case/21524816</vt:lpwstr>
      </vt:variant>
      <vt:variant>
        <vt:lpwstr/>
      </vt:variant>
      <vt:variant>
        <vt:i4>3145854</vt:i4>
      </vt:variant>
      <vt:variant>
        <vt:i4>417</vt:i4>
      </vt:variant>
      <vt:variant>
        <vt:i4>0</vt:i4>
      </vt:variant>
      <vt:variant>
        <vt:i4>5</vt:i4>
      </vt:variant>
      <vt:variant>
        <vt:lpwstr>http://www.nevo.co.il/case/22919929</vt:lpwstr>
      </vt:variant>
      <vt:variant>
        <vt:lpwstr/>
      </vt:variant>
      <vt:variant>
        <vt:i4>3735675</vt:i4>
      </vt:variant>
      <vt:variant>
        <vt:i4>414</vt:i4>
      </vt:variant>
      <vt:variant>
        <vt:i4>0</vt:i4>
      </vt:variant>
      <vt:variant>
        <vt:i4>5</vt:i4>
      </vt:variant>
      <vt:variant>
        <vt:lpwstr>http://www.nevo.co.il/case/21476990</vt:lpwstr>
      </vt:variant>
      <vt:variant>
        <vt:lpwstr/>
      </vt:variant>
      <vt:variant>
        <vt:i4>3211379</vt:i4>
      </vt:variant>
      <vt:variant>
        <vt:i4>411</vt:i4>
      </vt:variant>
      <vt:variant>
        <vt:i4>0</vt:i4>
      </vt:variant>
      <vt:variant>
        <vt:i4>5</vt:i4>
      </vt:variant>
      <vt:variant>
        <vt:lpwstr>http://www.nevo.co.il/case/5573417</vt:lpwstr>
      </vt:variant>
      <vt:variant>
        <vt:lpwstr/>
      </vt:variant>
      <vt:variant>
        <vt:i4>3473534</vt:i4>
      </vt:variant>
      <vt:variant>
        <vt:i4>408</vt:i4>
      </vt:variant>
      <vt:variant>
        <vt:i4>0</vt:i4>
      </vt:variant>
      <vt:variant>
        <vt:i4>5</vt:i4>
      </vt:variant>
      <vt:variant>
        <vt:lpwstr>http://www.nevo.co.il/case/24966889</vt:lpwstr>
      </vt:variant>
      <vt:variant>
        <vt:lpwstr/>
      </vt:variant>
      <vt:variant>
        <vt:i4>3342452</vt:i4>
      </vt:variant>
      <vt:variant>
        <vt:i4>405</vt:i4>
      </vt:variant>
      <vt:variant>
        <vt:i4>0</vt:i4>
      </vt:variant>
      <vt:variant>
        <vt:i4>5</vt:i4>
      </vt:variant>
      <vt:variant>
        <vt:lpwstr>http://www.nevo.co.il/case/5676908</vt:lpwstr>
      </vt:variant>
      <vt:variant>
        <vt:lpwstr/>
      </vt:variant>
      <vt:variant>
        <vt:i4>3276921</vt:i4>
      </vt:variant>
      <vt:variant>
        <vt:i4>402</vt:i4>
      </vt:variant>
      <vt:variant>
        <vt:i4>0</vt:i4>
      </vt:variant>
      <vt:variant>
        <vt:i4>5</vt:i4>
      </vt:variant>
      <vt:variant>
        <vt:lpwstr>http://www.nevo.co.il/case/18654019</vt:lpwstr>
      </vt:variant>
      <vt:variant>
        <vt:lpwstr/>
      </vt:variant>
      <vt:variant>
        <vt:i4>3276919</vt:i4>
      </vt:variant>
      <vt:variant>
        <vt:i4>399</vt:i4>
      </vt:variant>
      <vt:variant>
        <vt:i4>0</vt:i4>
      </vt:variant>
      <vt:variant>
        <vt:i4>5</vt:i4>
      </vt:variant>
      <vt:variant>
        <vt:lpwstr>http://www.nevo.co.il/case/6224157</vt:lpwstr>
      </vt:variant>
      <vt:variant>
        <vt:lpwstr/>
      </vt:variant>
      <vt:variant>
        <vt:i4>3211379</vt:i4>
      </vt:variant>
      <vt:variant>
        <vt:i4>396</vt:i4>
      </vt:variant>
      <vt:variant>
        <vt:i4>0</vt:i4>
      </vt:variant>
      <vt:variant>
        <vt:i4>5</vt:i4>
      </vt:variant>
      <vt:variant>
        <vt:lpwstr>http://www.nevo.co.il/case/24140726</vt:lpwstr>
      </vt:variant>
      <vt:variant>
        <vt:lpwstr/>
      </vt:variant>
      <vt:variant>
        <vt:i4>3407990</vt:i4>
      </vt:variant>
      <vt:variant>
        <vt:i4>393</vt:i4>
      </vt:variant>
      <vt:variant>
        <vt:i4>0</vt:i4>
      </vt:variant>
      <vt:variant>
        <vt:i4>5</vt:i4>
      </vt:variant>
      <vt:variant>
        <vt:lpwstr>http://www.nevo.co.il/case/21771409</vt:lpwstr>
      </vt:variant>
      <vt:variant>
        <vt:lpwstr/>
      </vt:variant>
      <vt:variant>
        <vt:i4>3473526</vt:i4>
      </vt:variant>
      <vt:variant>
        <vt:i4>390</vt:i4>
      </vt:variant>
      <vt:variant>
        <vt:i4>0</vt:i4>
      </vt:variant>
      <vt:variant>
        <vt:i4>5</vt:i4>
      </vt:variant>
      <vt:variant>
        <vt:lpwstr>http://www.nevo.co.il/case/20446658</vt:lpwstr>
      </vt:variant>
      <vt:variant>
        <vt:lpwstr/>
      </vt:variant>
      <vt:variant>
        <vt:i4>3539065</vt:i4>
      </vt:variant>
      <vt:variant>
        <vt:i4>387</vt:i4>
      </vt:variant>
      <vt:variant>
        <vt:i4>0</vt:i4>
      </vt:variant>
      <vt:variant>
        <vt:i4>5</vt:i4>
      </vt:variant>
      <vt:variant>
        <vt:lpwstr>http://www.nevo.co.il/case/13093744</vt:lpwstr>
      </vt:variant>
      <vt:variant>
        <vt:lpwstr/>
      </vt:variant>
      <vt:variant>
        <vt:i4>3539056</vt:i4>
      </vt:variant>
      <vt:variant>
        <vt:i4>384</vt:i4>
      </vt:variant>
      <vt:variant>
        <vt:i4>0</vt:i4>
      </vt:variant>
      <vt:variant>
        <vt:i4>5</vt:i4>
      </vt:variant>
      <vt:variant>
        <vt:lpwstr>http://www.nevo.co.il/case/6473037</vt:lpwstr>
      </vt:variant>
      <vt:variant>
        <vt:lpwstr/>
      </vt:variant>
      <vt:variant>
        <vt:i4>3407987</vt:i4>
      </vt:variant>
      <vt:variant>
        <vt:i4>381</vt:i4>
      </vt:variant>
      <vt:variant>
        <vt:i4>0</vt:i4>
      </vt:variant>
      <vt:variant>
        <vt:i4>5</vt:i4>
      </vt:variant>
      <vt:variant>
        <vt:lpwstr>http://www.nevo.co.il/case/24263578</vt:lpwstr>
      </vt:variant>
      <vt:variant>
        <vt:lpwstr/>
      </vt:variant>
      <vt:variant>
        <vt:i4>3407987</vt:i4>
      </vt:variant>
      <vt:variant>
        <vt:i4>378</vt:i4>
      </vt:variant>
      <vt:variant>
        <vt:i4>0</vt:i4>
      </vt:variant>
      <vt:variant>
        <vt:i4>5</vt:i4>
      </vt:variant>
      <vt:variant>
        <vt:lpwstr>http://www.nevo.co.il/case/22006503</vt:lpwstr>
      </vt:variant>
      <vt:variant>
        <vt:lpwstr/>
      </vt:variant>
      <vt:variant>
        <vt:i4>4128893</vt:i4>
      </vt:variant>
      <vt:variant>
        <vt:i4>375</vt:i4>
      </vt:variant>
      <vt:variant>
        <vt:i4>0</vt:i4>
      </vt:variant>
      <vt:variant>
        <vt:i4>5</vt:i4>
      </vt:variant>
      <vt:variant>
        <vt:lpwstr>http://www.nevo.co.il/case/5887664</vt:lpwstr>
      </vt:variant>
      <vt:variant>
        <vt:lpwstr/>
      </vt:variant>
      <vt:variant>
        <vt:i4>3735675</vt:i4>
      </vt:variant>
      <vt:variant>
        <vt:i4>372</vt:i4>
      </vt:variant>
      <vt:variant>
        <vt:i4>0</vt:i4>
      </vt:variant>
      <vt:variant>
        <vt:i4>5</vt:i4>
      </vt:variant>
      <vt:variant>
        <vt:lpwstr>http://www.nevo.co.il/case/7791493</vt:lpwstr>
      </vt:variant>
      <vt:variant>
        <vt:lpwstr/>
      </vt:variant>
      <vt:variant>
        <vt:i4>3407986</vt:i4>
      </vt:variant>
      <vt:variant>
        <vt:i4>369</vt:i4>
      </vt:variant>
      <vt:variant>
        <vt:i4>0</vt:i4>
      </vt:variant>
      <vt:variant>
        <vt:i4>5</vt:i4>
      </vt:variant>
      <vt:variant>
        <vt:lpwstr>http://www.nevo.co.il/case/6030667</vt:lpwstr>
      </vt:variant>
      <vt:variant>
        <vt:lpwstr/>
      </vt:variant>
      <vt:variant>
        <vt:i4>3211390</vt:i4>
      </vt:variant>
      <vt:variant>
        <vt:i4>366</vt:i4>
      </vt:variant>
      <vt:variant>
        <vt:i4>0</vt:i4>
      </vt:variant>
      <vt:variant>
        <vt:i4>5</vt:i4>
      </vt:variant>
      <vt:variant>
        <vt:lpwstr>http://www.nevo.co.il/case/20291305</vt:lpwstr>
      </vt:variant>
      <vt:variant>
        <vt:lpwstr/>
      </vt:variant>
      <vt:variant>
        <vt:i4>3211379</vt:i4>
      </vt:variant>
      <vt:variant>
        <vt:i4>363</vt:i4>
      </vt:variant>
      <vt:variant>
        <vt:i4>0</vt:i4>
      </vt:variant>
      <vt:variant>
        <vt:i4>5</vt:i4>
      </vt:variant>
      <vt:variant>
        <vt:lpwstr>http://www.nevo.co.il/case/5573417</vt:lpwstr>
      </vt:variant>
      <vt:variant>
        <vt:lpwstr/>
      </vt:variant>
      <vt:variant>
        <vt:i4>3801202</vt:i4>
      </vt:variant>
      <vt:variant>
        <vt:i4>360</vt:i4>
      </vt:variant>
      <vt:variant>
        <vt:i4>0</vt:i4>
      </vt:variant>
      <vt:variant>
        <vt:i4>5</vt:i4>
      </vt:variant>
      <vt:variant>
        <vt:lpwstr>http://www.nevo.co.il/case/5989067</vt:lpwstr>
      </vt:variant>
      <vt:variant>
        <vt:lpwstr/>
      </vt:variant>
      <vt:variant>
        <vt:i4>3342457</vt:i4>
      </vt:variant>
      <vt:variant>
        <vt:i4>357</vt:i4>
      </vt:variant>
      <vt:variant>
        <vt:i4>0</vt:i4>
      </vt:variant>
      <vt:variant>
        <vt:i4>5</vt:i4>
      </vt:variant>
      <vt:variant>
        <vt:lpwstr>http://www.nevo.co.il/case/20053828</vt:lpwstr>
      </vt:variant>
      <vt:variant>
        <vt:lpwstr/>
      </vt:variant>
      <vt:variant>
        <vt:i4>3932276</vt:i4>
      </vt:variant>
      <vt:variant>
        <vt:i4>354</vt:i4>
      </vt:variant>
      <vt:variant>
        <vt:i4>0</vt:i4>
      </vt:variant>
      <vt:variant>
        <vt:i4>5</vt:i4>
      </vt:variant>
      <vt:variant>
        <vt:lpwstr>http://www.nevo.co.il/case/5777709</vt:lpwstr>
      </vt:variant>
      <vt:variant>
        <vt:lpwstr/>
      </vt:variant>
      <vt:variant>
        <vt:i4>6357094</vt:i4>
      </vt:variant>
      <vt:variant>
        <vt:i4>351</vt:i4>
      </vt:variant>
      <vt:variant>
        <vt:i4>0</vt:i4>
      </vt:variant>
      <vt:variant>
        <vt:i4>5</vt:i4>
      </vt:variant>
      <vt:variant>
        <vt:lpwstr>http://www.nevo.co.il/law/70301/34d</vt:lpwstr>
      </vt:variant>
      <vt:variant>
        <vt:lpwstr/>
      </vt:variant>
      <vt:variant>
        <vt:i4>3145846</vt:i4>
      </vt:variant>
      <vt:variant>
        <vt:i4>348</vt:i4>
      </vt:variant>
      <vt:variant>
        <vt:i4>0</vt:i4>
      </vt:variant>
      <vt:variant>
        <vt:i4>5</vt:i4>
      </vt:variant>
      <vt:variant>
        <vt:lpwstr>http://www.nevo.co.il/case/6130237</vt:lpwstr>
      </vt:variant>
      <vt:variant>
        <vt:lpwstr/>
      </vt:variant>
      <vt:variant>
        <vt:i4>6619238</vt:i4>
      </vt:variant>
      <vt:variant>
        <vt:i4>345</vt:i4>
      </vt:variant>
      <vt:variant>
        <vt:i4>0</vt:i4>
      </vt:variant>
      <vt:variant>
        <vt:i4>5</vt:i4>
      </vt:variant>
      <vt:variant>
        <vt:lpwstr>http://www.nevo.co.il/law/70301/30</vt:lpwstr>
      </vt:variant>
      <vt:variant>
        <vt:lpwstr/>
      </vt:variant>
      <vt:variant>
        <vt:i4>3539056</vt:i4>
      </vt:variant>
      <vt:variant>
        <vt:i4>342</vt:i4>
      </vt:variant>
      <vt:variant>
        <vt:i4>0</vt:i4>
      </vt:variant>
      <vt:variant>
        <vt:i4>5</vt:i4>
      </vt:variant>
      <vt:variant>
        <vt:lpwstr>http://www.nevo.co.il/case/6473037</vt:lpwstr>
      </vt:variant>
      <vt:variant>
        <vt:lpwstr/>
      </vt:variant>
      <vt:variant>
        <vt:i4>3211379</vt:i4>
      </vt:variant>
      <vt:variant>
        <vt:i4>339</vt:i4>
      </vt:variant>
      <vt:variant>
        <vt:i4>0</vt:i4>
      </vt:variant>
      <vt:variant>
        <vt:i4>5</vt:i4>
      </vt:variant>
      <vt:variant>
        <vt:lpwstr>http://www.nevo.co.il/case/5573417</vt:lpwstr>
      </vt:variant>
      <vt:variant>
        <vt:lpwstr/>
      </vt:variant>
      <vt:variant>
        <vt:i4>3342455</vt:i4>
      </vt:variant>
      <vt:variant>
        <vt:i4>336</vt:i4>
      </vt:variant>
      <vt:variant>
        <vt:i4>0</vt:i4>
      </vt:variant>
      <vt:variant>
        <vt:i4>5</vt:i4>
      </vt:variant>
      <vt:variant>
        <vt:lpwstr>http://www.nevo.co.il/case/7667123</vt:lpwstr>
      </vt:variant>
      <vt:variant>
        <vt:lpwstr/>
      </vt:variant>
      <vt:variant>
        <vt:i4>7995492</vt:i4>
      </vt:variant>
      <vt:variant>
        <vt:i4>333</vt:i4>
      </vt:variant>
      <vt:variant>
        <vt:i4>0</vt:i4>
      </vt:variant>
      <vt:variant>
        <vt:i4>5</vt:i4>
      </vt:variant>
      <vt:variant>
        <vt:lpwstr>http://www.nevo.co.il/law/70301</vt:lpwstr>
      </vt:variant>
      <vt:variant>
        <vt:lpwstr/>
      </vt:variant>
      <vt:variant>
        <vt:i4>7077991</vt:i4>
      </vt:variant>
      <vt:variant>
        <vt:i4>330</vt:i4>
      </vt:variant>
      <vt:variant>
        <vt:i4>0</vt:i4>
      </vt:variant>
      <vt:variant>
        <vt:i4>5</vt:i4>
      </vt:variant>
      <vt:variant>
        <vt:lpwstr>http://www.nevo.co.il/law/70301/298</vt:lpwstr>
      </vt:variant>
      <vt:variant>
        <vt:lpwstr/>
      </vt:variant>
      <vt:variant>
        <vt:i4>8061024</vt:i4>
      </vt:variant>
      <vt:variant>
        <vt:i4>327</vt:i4>
      </vt:variant>
      <vt:variant>
        <vt:i4>0</vt:i4>
      </vt:variant>
      <vt:variant>
        <vt:i4>5</vt:i4>
      </vt:variant>
      <vt:variant>
        <vt:lpwstr>http://www.nevo.co.il/law/70301/5.a</vt:lpwstr>
      </vt:variant>
      <vt:variant>
        <vt:lpwstr/>
      </vt:variant>
      <vt:variant>
        <vt:i4>3276922</vt:i4>
      </vt:variant>
      <vt:variant>
        <vt:i4>324</vt:i4>
      </vt:variant>
      <vt:variant>
        <vt:i4>0</vt:i4>
      </vt:variant>
      <vt:variant>
        <vt:i4>5</vt:i4>
      </vt:variant>
      <vt:variant>
        <vt:lpwstr>http://www.nevo.co.il/case/24293314</vt:lpwstr>
      </vt:variant>
      <vt:variant>
        <vt:lpwstr/>
      </vt:variant>
      <vt:variant>
        <vt:i4>3276916</vt:i4>
      </vt:variant>
      <vt:variant>
        <vt:i4>321</vt:i4>
      </vt:variant>
      <vt:variant>
        <vt:i4>0</vt:i4>
      </vt:variant>
      <vt:variant>
        <vt:i4>5</vt:i4>
      </vt:variant>
      <vt:variant>
        <vt:lpwstr>http://www.nevo.co.il/case/21473673</vt:lpwstr>
      </vt:variant>
      <vt:variant>
        <vt:lpwstr/>
      </vt:variant>
      <vt:variant>
        <vt:i4>3276916</vt:i4>
      </vt:variant>
      <vt:variant>
        <vt:i4>318</vt:i4>
      </vt:variant>
      <vt:variant>
        <vt:i4>0</vt:i4>
      </vt:variant>
      <vt:variant>
        <vt:i4>5</vt:i4>
      </vt:variant>
      <vt:variant>
        <vt:lpwstr>http://www.nevo.co.il/case/21473673</vt:lpwstr>
      </vt:variant>
      <vt:variant>
        <vt:lpwstr/>
      </vt:variant>
      <vt:variant>
        <vt:i4>3801200</vt:i4>
      </vt:variant>
      <vt:variant>
        <vt:i4>315</vt:i4>
      </vt:variant>
      <vt:variant>
        <vt:i4>0</vt:i4>
      </vt:variant>
      <vt:variant>
        <vt:i4>5</vt:i4>
      </vt:variant>
      <vt:variant>
        <vt:lpwstr>http://www.nevo.co.il/case/16917356</vt:lpwstr>
      </vt:variant>
      <vt:variant>
        <vt:lpwstr/>
      </vt:variant>
      <vt:variant>
        <vt:i4>262217</vt:i4>
      </vt:variant>
      <vt:variant>
        <vt:i4>312</vt:i4>
      </vt:variant>
      <vt:variant>
        <vt:i4>0</vt:i4>
      </vt:variant>
      <vt:variant>
        <vt:i4>5</vt:i4>
      </vt:variant>
      <vt:variant>
        <vt:lpwstr>http://www.nevo.co.il/law/70301/20.a</vt:lpwstr>
      </vt:variant>
      <vt:variant>
        <vt:lpwstr/>
      </vt:variant>
      <vt:variant>
        <vt:i4>3276921</vt:i4>
      </vt:variant>
      <vt:variant>
        <vt:i4>309</vt:i4>
      </vt:variant>
      <vt:variant>
        <vt:i4>0</vt:i4>
      </vt:variant>
      <vt:variant>
        <vt:i4>5</vt:i4>
      </vt:variant>
      <vt:variant>
        <vt:lpwstr>http://www.nevo.co.il/case/18654019</vt:lpwstr>
      </vt:variant>
      <vt:variant>
        <vt:lpwstr/>
      </vt:variant>
      <vt:variant>
        <vt:i4>262217</vt:i4>
      </vt:variant>
      <vt:variant>
        <vt:i4>306</vt:i4>
      </vt:variant>
      <vt:variant>
        <vt:i4>0</vt:i4>
      </vt:variant>
      <vt:variant>
        <vt:i4>5</vt:i4>
      </vt:variant>
      <vt:variant>
        <vt:lpwstr>http://www.nevo.co.il/law/70301/20.a</vt:lpwstr>
      </vt:variant>
      <vt:variant>
        <vt:lpwstr/>
      </vt:variant>
      <vt:variant>
        <vt:i4>7995445</vt:i4>
      </vt:variant>
      <vt:variant>
        <vt:i4>303</vt:i4>
      </vt:variant>
      <vt:variant>
        <vt:i4>0</vt:i4>
      </vt:variant>
      <vt:variant>
        <vt:i4>5</vt:i4>
      </vt:variant>
      <vt:variant>
        <vt:lpwstr>http://www.nevo.co.il/safrut/book/28739</vt:lpwstr>
      </vt:variant>
      <vt:variant>
        <vt:lpwstr/>
      </vt:variant>
      <vt:variant>
        <vt:i4>262217</vt:i4>
      </vt:variant>
      <vt:variant>
        <vt:i4>300</vt:i4>
      </vt:variant>
      <vt:variant>
        <vt:i4>0</vt:i4>
      </vt:variant>
      <vt:variant>
        <vt:i4>5</vt:i4>
      </vt:variant>
      <vt:variant>
        <vt:lpwstr>http://www.nevo.co.il/law/70301/20.a</vt:lpwstr>
      </vt:variant>
      <vt:variant>
        <vt:lpwstr/>
      </vt:variant>
      <vt:variant>
        <vt:i4>6619238</vt:i4>
      </vt:variant>
      <vt:variant>
        <vt:i4>297</vt:i4>
      </vt:variant>
      <vt:variant>
        <vt:i4>0</vt:i4>
      </vt:variant>
      <vt:variant>
        <vt:i4>5</vt:i4>
      </vt:variant>
      <vt:variant>
        <vt:lpwstr>http://www.nevo.co.il/law/70301/300</vt:lpwstr>
      </vt:variant>
      <vt:variant>
        <vt:lpwstr/>
      </vt:variant>
      <vt:variant>
        <vt:i4>393303</vt:i4>
      </vt:variant>
      <vt:variant>
        <vt:i4>294</vt:i4>
      </vt:variant>
      <vt:variant>
        <vt:i4>0</vt:i4>
      </vt:variant>
      <vt:variant>
        <vt:i4>5</vt:i4>
      </vt:variant>
      <vt:variant>
        <vt:lpwstr>http://www.nevo.co.il/law/70301/301c</vt:lpwstr>
      </vt:variant>
      <vt:variant>
        <vt:lpwstr/>
      </vt:variant>
      <vt:variant>
        <vt:i4>8061024</vt:i4>
      </vt:variant>
      <vt:variant>
        <vt:i4>291</vt:i4>
      </vt:variant>
      <vt:variant>
        <vt:i4>0</vt:i4>
      </vt:variant>
      <vt:variant>
        <vt:i4>5</vt:i4>
      </vt:variant>
      <vt:variant>
        <vt:lpwstr>http://www.nevo.co.il/law/70301/5.a</vt:lpwstr>
      </vt:variant>
      <vt:variant>
        <vt:lpwstr/>
      </vt:variant>
      <vt:variant>
        <vt:i4>393303</vt:i4>
      </vt:variant>
      <vt:variant>
        <vt:i4>288</vt:i4>
      </vt:variant>
      <vt:variant>
        <vt:i4>0</vt:i4>
      </vt:variant>
      <vt:variant>
        <vt:i4>5</vt:i4>
      </vt:variant>
      <vt:variant>
        <vt:lpwstr>http://www.nevo.co.il/law/70301/301c</vt:lpwstr>
      </vt:variant>
      <vt:variant>
        <vt:lpwstr/>
      </vt:variant>
      <vt:variant>
        <vt:i4>5570645</vt:i4>
      </vt:variant>
      <vt:variant>
        <vt:i4>285</vt:i4>
      </vt:variant>
      <vt:variant>
        <vt:i4>0</vt:i4>
      </vt:variant>
      <vt:variant>
        <vt:i4>5</vt:i4>
      </vt:variant>
      <vt:variant>
        <vt:lpwstr>http://www.nevo.co.il/law/70301/5</vt:lpwstr>
      </vt:variant>
      <vt:variant>
        <vt:lpwstr/>
      </vt:variant>
      <vt:variant>
        <vt:i4>7077991</vt:i4>
      </vt:variant>
      <vt:variant>
        <vt:i4>282</vt:i4>
      </vt:variant>
      <vt:variant>
        <vt:i4>0</vt:i4>
      </vt:variant>
      <vt:variant>
        <vt:i4>5</vt:i4>
      </vt:variant>
      <vt:variant>
        <vt:lpwstr>http://www.nevo.co.il/law/70301/298</vt:lpwstr>
      </vt:variant>
      <vt:variant>
        <vt:lpwstr/>
      </vt:variant>
      <vt:variant>
        <vt:i4>393303</vt:i4>
      </vt:variant>
      <vt:variant>
        <vt:i4>279</vt:i4>
      </vt:variant>
      <vt:variant>
        <vt:i4>0</vt:i4>
      </vt:variant>
      <vt:variant>
        <vt:i4>5</vt:i4>
      </vt:variant>
      <vt:variant>
        <vt:lpwstr>http://www.nevo.co.il/law/70301/301c</vt:lpwstr>
      </vt:variant>
      <vt:variant>
        <vt:lpwstr/>
      </vt:variant>
      <vt:variant>
        <vt:i4>7077991</vt:i4>
      </vt:variant>
      <vt:variant>
        <vt:i4>276</vt:i4>
      </vt:variant>
      <vt:variant>
        <vt:i4>0</vt:i4>
      </vt:variant>
      <vt:variant>
        <vt:i4>5</vt:i4>
      </vt:variant>
      <vt:variant>
        <vt:lpwstr>http://www.nevo.co.il/law/70301/298</vt:lpwstr>
      </vt:variant>
      <vt:variant>
        <vt:lpwstr/>
      </vt:variant>
      <vt:variant>
        <vt:i4>393303</vt:i4>
      </vt:variant>
      <vt:variant>
        <vt:i4>273</vt:i4>
      </vt:variant>
      <vt:variant>
        <vt:i4>0</vt:i4>
      </vt:variant>
      <vt:variant>
        <vt:i4>5</vt:i4>
      </vt:variant>
      <vt:variant>
        <vt:lpwstr>http://www.nevo.co.il/law/70301/301c</vt:lpwstr>
      </vt:variant>
      <vt:variant>
        <vt:lpwstr/>
      </vt:variant>
      <vt:variant>
        <vt:i4>327767</vt:i4>
      </vt:variant>
      <vt:variant>
        <vt:i4>270</vt:i4>
      </vt:variant>
      <vt:variant>
        <vt:i4>0</vt:i4>
      </vt:variant>
      <vt:variant>
        <vt:i4>5</vt:i4>
      </vt:variant>
      <vt:variant>
        <vt:lpwstr>http://www.nevo.co.il/law/70301/311a</vt:lpwstr>
      </vt:variant>
      <vt:variant>
        <vt:lpwstr/>
      </vt:variant>
      <vt:variant>
        <vt:i4>6619238</vt:i4>
      </vt:variant>
      <vt:variant>
        <vt:i4>267</vt:i4>
      </vt:variant>
      <vt:variant>
        <vt:i4>0</vt:i4>
      </vt:variant>
      <vt:variant>
        <vt:i4>5</vt:i4>
      </vt:variant>
      <vt:variant>
        <vt:lpwstr>http://www.nevo.co.il/law/70301/300</vt:lpwstr>
      </vt:variant>
      <vt:variant>
        <vt:lpwstr/>
      </vt:variant>
      <vt:variant>
        <vt:i4>7077991</vt:i4>
      </vt:variant>
      <vt:variant>
        <vt:i4>264</vt:i4>
      </vt:variant>
      <vt:variant>
        <vt:i4>0</vt:i4>
      </vt:variant>
      <vt:variant>
        <vt:i4>5</vt:i4>
      </vt:variant>
      <vt:variant>
        <vt:lpwstr>http://www.nevo.co.il/law/70301/298</vt:lpwstr>
      </vt:variant>
      <vt:variant>
        <vt:lpwstr/>
      </vt:variant>
      <vt:variant>
        <vt:i4>7995492</vt:i4>
      </vt:variant>
      <vt:variant>
        <vt:i4>261</vt:i4>
      </vt:variant>
      <vt:variant>
        <vt:i4>0</vt:i4>
      </vt:variant>
      <vt:variant>
        <vt:i4>5</vt:i4>
      </vt:variant>
      <vt:variant>
        <vt:lpwstr>http://www.nevo.co.il/law/70301</vt:lpwstr>
      </vt:variant>
      <vt:variant>
        <vt:lpwstr/>
      </vt:variant>
      <vt:variant>
        <vt:i4>8061024</vt:i4>
      </vt:variant>
      <vt:variant>
        <vt:i4>258</vt:i4>
      </vt:variant>
      <vt:variant>
        <vt:i4>0</vt:i4>
      </vt:variant>
      <vt:variant>
        <vt:i4>5</vt:i4>
      </vt:variant>
      <vt:variant>
        <vt:lpwstr>http://www.nevo.co.il/law/70301/5.a</vt:lpwstr>
      </vt:variant>
      <vt:variant>
        <vt:lpwstr/>
      </vt:variant>
      <vt:variant>
        <vt:i4>7995492</vt:i4>
      </vt:variant>
      <vt:variant>
        <vt:i4>255</vt:i4>
      </vt:variant>
      <vt:variant>
        <vt:i4>0</vt:i4>
      </vt:variant>
      <vt:variant>
        <vt:i4>5</vt:i4>
      </vt:variant>
      <vt:variant>
        <vt:lpwstr>http://www.nevo.co.il/law/70301</vt:lpwstr>
      </vt:variant>
      <vt:variant>
        <vt:lpwstr/>
      </vt:variant>
      <vt:variant>
        <vt:i4>8061024</vt:i4>
      </vt:variant>
      <vt:variant>
        <vt:i4>252</vt:i4>
      </vt:variant>
      <vt:variant>
        <vt:i4>0</vt:i4>
      </vt:variant>
      <vt:variant>
        <vt:i4>5</vt:i4>
      </vt:variant>
      <vt:variant>
        <vt:lpwstr>http://www.nevo.co.il/law/70301/5.a</vt:lpwstr>
      </vt:variant>
      <vt:variant>
        <vt:lpwstr/>
      </vt:variant>
      <vt:variant>
        <vt:i4>7995492</vt:i4>
      </vt:variant>
      <vt:variant>
        <vt:i4>249</vt:i4>
      </vt:variant>
      <vt:variant>
        <vt:i4>0</vt:i4>
      </vt:variant>
      <vt:variant>
        <vt:i4>5</vt:i4>
      </vt:variant>
      <vt:variant>
        <vt:lpwstr>http://www.nevo.co.il/law/70301</vt:lpwstr>
      </vt:variant>
      <vt:variant>
        <vt:lpwstr/>
      </vt:variant>
      <vt:variant>
        <vt:i4>7995492</vt:i4>
      </vt:variant>
      <vt:variant>
        <vt:i4>246</vt:i4>
      </vt:variant>
      <vt:variant>
        <vt:i4>0</vt:i4>
      </vt:variant>
      <vt:variant>
        <vt:i4>5</vt:i4>
      </vt:variant>
      <vt:variant>
        <vt:lpwstr>http://www.nevo.co.il/law/70301</vt:lpwstr>
      </vt:variant>
      <vt:variant>
        <vt:lpwstr/>
      </vt:variant>
      <vt:variant>
        <vt:i4>393227</vt:i4>
      </vt:variant>
      <vt:variant>
        <vt:i4>243</vt:i4>
      </vt:variant>
      <vt:variant>
        <vt:i4>0</vt:i4>
      </vt:variant>
      <vt:variant>
        <vt:i4>5</vt:i4>
      </vt:variant>
      <vt:variant>
        <vt:lpwstr>http://www.nevo.co.il/law/70301/40jc</vt:lpwstr>
      </vt:variant>
      <vt:variant>
        <vt:lpwstr/>
      </vt:variant>
      <vt:variant>
        <vt:i4>262155</vt:i4>
      </vt:variant>
      <vt:variant>
        <vt:i4>240</vt:i4>
      </vt:variant>
      <vt:variant>
        <vt:i4>0</vt:i4>
      </vt:variant>
      <vt:variant>
        <vt:i4>5</vt:i4>
      </vt:variant>
      <vt:variant>
        <vt:lpwstr>http://www.nevo.co.il/law/70301/40ja</vt:lpwstr>
      </vt:variant>
      <vt:variant>
        <vt:lpwstr/>
      </vt:variant>
      <vt:variant>
        <vt:i4>3276926</vt:i4>
      </vt:variant>
      <vt:variant>
        <vt:i4>237</vt:i4>
      </vt:variant>
      <vt:variant>
        <vt:i4>0</vt:i4>
      </vt:variant>
      <vt:variant>
        <vt:i4>5</vt:i4>
      </vt:variant>
      <vt:variant>
        <vt:lpwstr>http://www.nevo.co.il/case/20296345</vt:lpwstr>
      </vt:variant>
      <vt:variant>
        <vt:lpwstr/>
      </vt:variant>
      <vt:variant>
        <vt:i4>6553702</vt:i4>
      </vt:variant>
      <vt:variant>
        <vt:i4>234</vt:i4>
      </vt:variant>
      <vt:variant>
        <vt:i4>0</vt:i4>
      </vt:variant>
      <vt:variant>
        <vt:i4>5</vt:i4>
      </vt:variant>
      <vt:variant>
        <vt:lpwstr>http://www.nevo.co.il/law/70301/31</vt:lpwstr>
      </vt:variant>
      <vt:variant>
        <vt:lpwstr/>
      </vt:variant>
      <vt:variant>
        <vt:i4>5177424</vt:i4>
      </vt:variant>
      <vt:variant>
        <vt:i4>231</vt:i4>
      </vt:variant>
      <vt:variant>
        <vt:i4>0</vt:i4>
      </vt:variant>
      <vt:variant>
        <vt:i4>5</vt:i4>
      </vt:variant>
      <vt:variant>
        <vt:lpwstr>http://www.nevo.co.il/law/70301/144.a</vt:lpwstr>
      </vt:variant>
      <vt:variant>
        <vt:lpwstr/>
      </vt:variant>
      <vt:variant>
        <vt:i4>7077991</vt:i4>
      </vt:variant>
      <vt:variant>
        <vt:i4>228</vt:i4>
      </vt:variant>
      <vt:variant>
        <vt:i4>0</vt:i4>
      </vt:variant>
      <vt:variant>
        <vt:i4>5</vt:i4>
      </vt:variant>
      <vt:variant>
        <vt:lpwstr>http://www.nevo.co.il/law/70301/29</vt:lpwstr>
      </vt:variant>
      <vt:variant>
        <vt:lpwstr/>
      </vt:variant>
      <vt:variant>
        <vt:i4>6291559</vt:i4>
      </vt:variant>
      <vt:variant>
        <vt:i4>225</vt:i4>
      </vt:variant>
      <vt:variant>
        <vt:i4>0</vt:i4>
      </vt:variant>
      <vt:variant>
        <vt:i4>5</vt:i4>
      </vt:variant>
      <vt:variant>
        <vt:lpwstr>http://www.nevo.co.il/law/70301/25</vt:lpwstr>
      </vt:variant>
      <vt:variant>
        <vt:lpwstr/>
      </vt:variant>
      <vt:variant>
        <vt:i4>6684774</vt:i4>
      </vt:variant>
      <vt:variant>
        <vt:i4>222</vt:i4>
      </vt:variant>
      <vt:variant>
        <vt:i4>0</vt:i4>
      </vt:variant>
      <vt:variant>
        <vt:i4>5</vt:i4>
      </vt:variant>
      <vt:variant>
        <vt:lpwstr>http://www.nevo.co.il/law/70301/335</vt:lpwstr>
      </vt:variant>
      <vt:variant>
        <vt:lpwstr/>
      </vt:variant>
      <vt:variant>
        <vt:i4>6684774</vt:i4>
      </vt:variant>
      <vt:variant>
        <vt:i4>219</vt:i4>
      </vt:variant>
      <vt:variant>
        <vt:i4>0</vt:i4>
      </vt:variant>
      <vt:variant>
        <vt:i4>5</vt:i4>
      </vt:variant>
      <vt:variant>
        <vt:lpwstr>http://www.nevo.co.il/law/70301/334</vt:lpwstr>
      </vt:variant>
      <vt:variant>
        <vt:lpwstr/>
      </vt:variant>
      <vt:variant>
        <vt:i4>7077991</vt:i4>
      </vt:variant>
      <vt:variant>
        <vt:i4>216</vt:i4>
      </vt:variant>
      <vt:variant>
        <vt:i4>0</vt:i4>
      </vt:variant>
      <vt:variant>
        <vt:i4>5</vt:i4>
      </vt:variant>
      <vt:variant>
        <vt:lpwstr>http://www.nevo.co.il/law/70301/29</vt:lpwstr>
      </vt:variant>
      <vt:variant>
        <vt:lpwstr/>
      </vt:variant>
      <vt:variant>
        <vt:i4>5177424</vt:i4>
      </vt:variant>
      <vt:variant>
        <vt:i4>213</vt:i4>
      </vt:variant>
      <vt:variant>
        <vt:i4>0</vt:i4>
      </vt:variant>
      <vt:variant>
        <vt:i4>5</vt:i4>
      </vt:variant>
      <vt:variant>
        <vt:lpwstr>http://www.nevo.co.il/law/70301/144.b</vt:lpwstr>
      </vt:variant>
      <vt:variant>
        <vt:lpwstr/>
      </vt:variant>
      <vt:variant>
        <vt:i4>5177424</vt:i4>
      </vt:variant>
      <vt:variant>
        <vt:i4>210</vt:i4>
      </vt:variant>
      <vt:variant>
        <vt:i4>0</vt:i4>
      </vt:variant>
      <vt:variant>
        <vt:i4>5</vt:i4>
      </vt:variant>
      <vt:variant>
        <vt:lpwstr>http://www.nevo.co.il/law/70301/144.a</vt:lpwstr>
      </vt:variant>
      <vt:variant>
        <vt:lpwstr/>
      </vt:variant>
      <vt:variant>
        <vt:i4>7077991</vt:i4>
      </vt:variant>
      <vt:variant>
        <vt:i4>207</vt:i4>
      </vt:variant>
      <vt:variant>
        <vt:i4>0</vt:i4>
      </vt:variant>
      <vt:variant>
        <vt:i4>5</vt:i4>
      </vt:variant>
      <vt:variant>
        <vt:lpwstr>http://www.nevo.co.il/law/70301/29</vt:lpwstr>
      </vt:variant>
      <vt:variant>
        <vt:lpwstr/>
      </vt:variant>
      <vt:variant>
        <vt:i4>6291559</vt:i4>
      </vt:variant>
      <vt:variant>
        <vt:i4>204</vt:i4>
      </vt:variant>
      <vt:variant>
        <vt:i4>0</vt:i4>
      </vt:variant>
      <vt:variant>
        <vt:i4>5</vt:i4>
      </vt:variant>
      <vt:variant>
        <vt:lpwstr>http://www.nevo.co.il/law/70301/25</vt:lpwstr>
      </vt:variant>
      <vt:variant>
        <vt:lpwstr/>
      </vt:variant>
      <vt:variant>
        <vt:i4>6684774</vt:i4>
      </vt:variant>
      <vt:variant>
        <vt:i4>201</vt:i4>
      </vt:variant>
      <vt:variant>
        <vt:i4>0</vt:i4>
      </vt:variant>
      <vt:variant>
        <vt:i4>5</vt:i4>
      </vt:variant>
      <vt:variant>
        <vt:lpwstr>http://www.nevo.co.il/law/70301/335</vt:lpwstr>
      </vt:variant>
      <vt:variant>
        <vt:lpwstr/>
      </vt:variant>
      <vt:variant>
        <vt:i4>6684774</vt:i4>
      </vt:variant>
      <vt:variant>
        <vt:i4>198</vt:i4>
      </vt:variant>
      <vt:variant>
        <vt:i4>0</vt:i4>
      </vt:variant>
      <vt:variant>
        <vt:i4>5</vt:i4>
      </vt:variant>
      <vt:variant>
        <vt:lpwstr>http://www.nevo.co.il/law/70301/334</vt:lpwstr>
      </vt:variant>
      <vt:variant>
        <vt:lpwstr/>
      </vt:variant>
      <vt:variant>
        <vt:i4>7077991</vt:i4>
      </vt:variant>
      <vt:variant>
        <vt:i4>195</vt:i4>
      </vt:variant>
      <vt:variant>
        <vt:i4>0</vt:i4>
      </vt:variant>
      <vt:variant>
        <vt:i4>5</vt:i4>
      </vt:variant>
      <vt:variant>
        <vt:lpwstr>http://www.nevo.co.il/law/70301/29</vt:lpwstr>
      </vt:variant>
      <vt:variant>
        <vt:lpwstr/>
      </vt:variant>
      <vt:variant>
        <vt:i4>5177424</vt:i4>
      </vt:variant>
      <vt:variant>
        <vt:i4>192</vt:i4>
      </vt:variant>
      <vt:variant>
        <vt:i4>0</vt:i4>
      </vt:variant>
      <vt:variant>
        <vt:i4>5</vt:i4>
      </vt:variant>
      <vt:variant>
        <vt:lpwstr>http://www.nevo.co.il/law/70301/144.b</vt:lpwstr>
      </vt:variant>
      <vt:variant>
        <vt:lpwstr/>
      </vt:variant>
      <vt:variant>
        <vt:i4>5177424</vt:i4>
      </vt:variant>
      <vt:variant>
        <vt:i4>189</vt:i4>
      </vt:variant>
      <vt:variant>
        <vt:i4>0</vt:i4>
      </vt:variant>
      <vt:variant>
        <vt:i4>5</vt:i4>
      </vt:variant>
      <vt:variant>
        <vt:lpwstr>http://www.nevo.co.il/law/70301/144.a</vt:lpwstr>
      </vt:variant>
      <vt:variant>
        <vt:lpwstr/>
      </vt:variant>
      <vt:variant>
        <vt:i4>7077991</vt:i4>
      </vt:variant>
      <vt:variant>
        <vt:i4>186</vt:i4>
      </vt:variant>
      <vt:variant>
        <vt:i4>0</vt:i4>
      </vt:variant>
      <vt:variant>
        <vt:i4>5</vt:i4>
      </vt:variant>
      <vt:variant>
        <vt:lpwstr>http://www.nevo.co.il/law/70301/29</vt:lpwstr>
      </vt:variant>
      <vt:variant>
        <vt:lpwstr/>
      </vt:variant>
      <vt:variant>
        <vt:i4>86</vt:i4>
      </vt:variant>
      <vt:variant>
        <vt:i4>183</vt:i4>
      </vt:variant>
      <vt:variant>
        <vt:i4>0</vt:i4>
      </vt:variant>
      <vt:variant>
        <vt:i4>5</vt:i4>
      </vt:variant>
      <vt:variant>
        <vt:lpwstr>http://www.nevo.co.il/law/70301/340a</vt:lpwstr>
      </vt:variant>
      <vt:variant>
        <vt:lpwstr/>
      </vt:variant>
      <vt:variant>
        <vt:i4>7077991</vt:i4>
      </vt:variant>
      <vt:variant>
        <vt:i4>180</vt:i4>
      </vt:variant>
      <vt:variant>
        <vt:i4>0</vt:i4>
      </vt:variant>
      <vt:variant>
        <vt:i4>5</vt:i4>
      </vt:variant>
      <vt:variant>
        <vt:lpwstr>http://www.nevo.co.il/law/70301/29</vt:lpwstr>
      </vt:variant>
      <vt:variant>
        <vt:lpwstr/>
      </vt:variant>
      <vt:variant>
        <vt:i4>5177424</vt:i4>
      </vt:variant>
      <vt:variant>
        <vt:i4>177</vt:i4>
      </vt:variant>
      <vt:variant>
        <vt:i4>0</vt:i4>
      </vt:variant>
      <vt:variant>
        <vt:i4>5</vt:i4>
      </vt:variant>
      <vt:variant>
        <vt:lpwstr>http://www.nevo.co.il/law/70301/144.b</vt:lpwstr>
      </vt:variant>
      <vt:variant>
        <vt:lpwstr/>
      </vt:variant>
      <vt:variant>
        <vt:i4>5177424</vt:i4>
      </vt:variant>
      <vt:variant>
        <vt:i4>174</vt:i4>
      </vt:variant>
      <vt:variant>
        <vt:i4>0</vt:i4>
      </vt:variant>
      <vt:variant>
        <vt:i4>5</vt:i4>
      </vt:variant>
      <vt:variant>
        <vt:lpwstr>http://www.nevo.co.il/law/70301/144.a</vt:lpwstr>
      </vt:variant>
      <vt:variant>
        <vt:lpwstr/>
      </vt:variant>
      <vt:variant>
        <vt:i4>7077988</vt:i4>
      </vt:variant>
      <vt:variant>
        <vt:i4>171</vt:i4>
      </vt:variant>
      <vt:variant>
        <vt:i4>0</vt:i4>
      </vt:variant>
      <vt:variant>
        <vt:i4>5</vt:i4>
      </vt:variant>
      <vt:variant>
        <vt:lpwstr>http://www.nevo.co.il/law/70301/192</vt:lpwstr>
      </vt:variant>
      <vt:variant>
        <vt:lpwstr/>
      </vt:variant>
      <vt:variant>
        <vt:i4>6553702</vt:i4>
      </vt:variant>
      <vt:variant>
        <vt:i4>168</vt:i4>
      </vt:variant>
      <vt:variant>
        <vt:i4>0</vt:i4>
      </vt:variant>
      <vt:variant>
        <vt:i4>5</vt:i4>
      </vt:variant>
      <vt:variant>
        <vt:lpwstr>http://www.nevo.co.il/law/70301/31</vt:lpwstr>
      </vt:variant>
      <vt:variant>
        <vt:lpwstr/>
      </vt:variant>
      <vt:variant>
        <vt:i4>5177424</vt:i4>
      </vt:variant>
      <vt:variant>
        <vt:i4>165</vt:i4>
      </vt:variant>
      <vt:variant>
        <vt:i4>0</vt:i4>
      </vt:variant>
      <vt:variant>
        <vt:i4>5</vt:i4>
      </vt:variant>
      <vt:variant>
        <vt:lpwstr>http://www.nevo.co.il/law/70301/144.a</vt:lpwstr>
      </vt:variant>
      <vt:variant>
        <vt:lpwstr/>
      </vt:variant>
      <vt:variant>
        <vt:i4>7077991</vt:i4>
      </vt:variant>
      <vt:variant>
        <vt:i4>162</vt:i4>
      </vt:variant>
      <vt:variant>
        <vt:i4>0</vt:i4>
      </vt:variant>
      <vt:variant>
        <vt:i4>5</vt:i4>
      </vt:variant>
      <vt:variant>
        <vt:lpwstr>http://www.nevo.co.il/law/70301/29</vt:lpwstr>
      </vt:variant>
      <vt:variant>
        <vt:lpwstr/>
      </vt:variant>
      <vt:variant>
        <vt:i4>5177424</vt:i4>
      </vt:variant>
      <vt:variant>
        <vt:i4>159</vt:i4>
      </vt:variant>
      <vt:variant>
        <vt:i4>0</vt:i4>
      </vt:variant>
      <vt:variant>
        <vt:i4>5</vt:i4>
      </vt:variant>
      <vt:variant>
        <vt:lpwstr>http://www.nevo.co.il/law/70301/144.b</vt:lpwstr>
      </vt:variant>
      <vt:variant>
        <vt:lpwstr/>
      </vt:variant>
      <vt:variant>
        <vt:i4>5177424</vt:i4>
      </vt:variant>
      <vt:variant>
        <vt:i4>156</vt:i4>
      </vt:variant>
      <vt:variant>
        <vt:i4>0</vt:i4>
      </vt:variant>
      <vt:variant>
        <vt:i4>5</vt:i4>
      </vt:variant>
      <vt:variant>
        <vt:lpwstr>http://www.nevo.co.il/law/70301/144.a</vt:lpwstr>
      </vt:variant>
      <vt:variant>
        <vt:lpwstr/>
      </vt:variant>
      <vt:variant>
        <vt:i4>6750270</vt:i4>
      </vt:variant>
      <vt:variant>
        <vt:i4>153</vt:i4>
      </vt:variant>
      <vt:variant>
        <vt:i4>0</vt:i4>
      </vt:variant>
      <vt:variant>
        <vt:i4>5</vt:i4>
      </vt:variant>
      <vt:variant>
        <vt:lpwstr>http://www.nevo.co.il/law/70301/329.a.2</vt:lpwstr>
      </vt:variant>
      <vt:variant>
        <vt:lpwstr/>
      </vt:variant>
      <vt:variant>
        <vt:i4>6750270</vt:i4>
      </vt:variant>
      <vt:variant>
        <vt:i4>150</vt:i4>
      </vt:variant>
      <vt:variant>
        <vt:i4>0</vt:i4>
      </vt:variant>
      <vt:variant>
        <vt:i4>5</vt:i4>
      </vt:variant>
      <vt:variant>
        <vt:lpwstr>http://www.nevo.co.il/law/70301/329.a.1</vt:lpwstr>
      </vt:variant>
      <vt:variant>
        <vt:lpwstr/>
      </vt:variant>
      <vt:variant>
        <vt:i4>7077991</vt:i4>
      </vt:variant>
      <vt:variant>
        <vt:i4>147</vt:i4>
      </vt:variant>
      <vt:variant>
        <vt:i4>0</vt:i4>
      </vt:variant>
      <vt:variant>
        <vt:i4>5</vt:i4>
      </vt:variant>
      <vt:variant>
        <vt:lpwstr>http://www.nevo.co.il/law/70301/298</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86</vt:i4>
      </vt:variant>
      <vt:variant>
        <vt:i4>141</vt:i4>
      </vt:variant>
      <vt:variant>
        <vt:i4>0</vt:i4>
      </vt:variant>
      <vt:variant>
        <vt:i4>5</vt:i4>
      </vt:variant>
      <vt:variant>
        <vt:lpwstr>http://www.nevo.co.il/law/70301/340a</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6619239</vt:i4>
      </vt:variant>
      <vt:variant>
        <vt:i4>129</vt:i4>
      </vt:variant>
      <vt:variant>
        <vt:i4>0</vt:i4>
      </vt:variant>
      <vt:variant>
        <vt:i4>5</vt:i4>
      </vt:variant>
      <vt:variant>
        <vt:lpwstr>http://www.nevo.co.il/law/70301/334;335;30</vt:lpwstr>
      </vt:variant>
      <vt:variant>
        <vt:lpwstr/>
      </vt:variant>
      <vt:variant>
        <vt:i4>6750270</vt:i4>
      </vt:variant>
      <vt:variant>
        <vt:i4>126</vt:i4>
      </vt:variant>
      <vt:variant>
        <vt:i4>0</vt:i4>
      </vt:variant>
      <vt:variant>
        <vt:i4>5</vt:i4>
      </vt:variant>
      <vt:variant>
        <vt:lpwstr>http://www.nevo.co.il/law/70301/329.a.1</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6684774</vt:i4>
      </vt:variant>
      <vt:variant>
        <vt:i4>117</vt:i4>
      </vt:variant>
      <vt:variant>
        <vt:i4>0</vt:i4>
      </vt:variant>
      <vt:variant>
        <vt:i4>5</vt:i4>
      </vt:variant>
      <vt:variant>
        <vt:lpwstr>http://www.nevo.co.il/law/70301/335</vt:lpwstr>
      </vt:variant>
      <vt:variant>
        <vt:lpwstr/>
      </vt:variant>
      <vt:variant>
        <vt:i4>6684774</vt:i4>
      </vt:variant>
      <vt:variant>
        <vt:i4>114</vt:i4>
      </vt:variant>
      <vt:variant>
        <vt:i4>0</vt:i4>
      </vt:variant>
      <vt:variant>
        <vt:i4>5</vt:i4>
      </vt:variant>
      <vt:variant>
        <vt:lpwstr>http://www.nevo.co.il/law/70301/333</vt:lpwstr>
      </vt:variant>
      <vt:variant>
        <vt:lpwstr/>
      </vt:variant>
      <vt:variant>
        <vt:i4>6619238</vt:i4>
      </vt:variant>
      <vt:variant>
        <vt:i4>111</vt:i4>
      </vt:variant>
      <vt:variant>
        <vt:i4>0</vt:i4>
      </vt:variant>
      <vt:variant>
        <vt:i4>5</vt:i4>
      </vt:variant>
      <vt:variant>
        <vt:lpwstr>http://www.nevo.co.il/law/70301/30</vt:lpwstr>
      </vt:variant>
      <vt:variant>
        <vt:lpwstr/>
      </vt:variant>
      <vt:variant>
        <vt:i4>7077991</vt:i4>
      </vt:variant>
      <vt:variant>
        <vt:i4>108</vt:i4>
      </vt:variant>
      <vt:variant>
        <vt:i4>0</vt:i4>
      </vt:variant>
      <vt:variant>
        <vt:i4>5</vt:i4>
      </vt:variant>
      <vt:variant>
        <vt:lpwstr>http://www.nevo.co.il/law/70301/29</vt:lpwstr>
      </vt:variant>
      <vt:variant>
        <vt:lpwstr/>
      </vt:variant>
      <vt:variant>
        <vt:i4>7143526</vt:i4>
      </vt:variant>
      <vt:variant>
        <vt:i4>105</vt:i4>
      </vt:variant>
      <vt:variant>
        <vt:i4>0</vt:i4>
      </vt:variant>
      <vt:variant>
        <vt:i4>5</vt:i4>
      </vt:variant>
      <vt:variant>
        <vt:lpwstr>http://www.nevo.co.il/law/70301/382</vt:lpwstr>
      </vt:variant>
      <vt:variant>
        <vt:lpwstr/>
      </vt:variant>
      <vt:variant>
        <vt:i4>4390998</vt:i4>
      </vt:variant>
      <vt:variant>
        <vt:i4>102</vt:i4>
      </vt:variant>
      <vt:variant>
        <vt:i4>0</vt:i4>
      </vt:variant>
      <vt:variant>
        <vt:i4>5</vt:i4>
      </vt:variant>
      <vt:variant>
        <vt:lpwstr>http://www.nevo.co.il/law/70301/380.a</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6684774</vt:i4>
      </vt:variant>
      <vt:variant>
        <vt:i4>96</vt:i4>
      </vt:variant>
      <vt:variant>
        <vt:i4>0</vt:i4>
      </vt:variant>
      <vt:variant>
        <vt:i4>5</vt:i4>
      </vt:variant>
      <vt:variant>
        <vt:lpwstr>http://www.nevo.co.il/law/70301/335</vt:lpwstr>
      </vt:variant>
      <vt:variant>
        <vt:lpwstr/>
      </vt:variant>
      <vt:variant>
        <vt:i4>6684774</vt:i4>
      </vt:variant>
      <vt:variant>
        <vt:i4>93</vt:i4>
      </vt:variant>
      <vt:variant>
        <vt:i4>0</vt:i4>
      </vt:variant>
      <vt:variant>
        <vt:i4>5</vt:i4>
      </vt:variant>
      <vt:variant>
        <vt:lpwstr>http://www.nevo.co.il/law/70301/334</vt:lpwstr>
      </vt:variant>
      <vt:variant>
        <vt:lpwstr/>
      </vt:variant>
      <vt:variant>
        <vt:i4>7995445</vt:i4>
      </vt:variant>
      <vt:variant>
        <vt:i4>90</vt:i4>
      </vt:variant>
      <vt:variant>
        <vt:i4>0</vt:i4>
      </vt:variant>
      <vt:variant>
        <vt:i4>5</vt:i4>
      </vt:variant>
      <vt:variant>
        <vt:lpwstr>http://www.nevo.co.il/safrut/book/28739</vt:lpwstr>
      </vt:variant>
      <vt:variant>
        <vt:lpwstr/>
      </vt:variant>
      <vt:variant>
        <vt:i4>6619173</vt:i4>
      </vt:variant>
      <vt:variant>
        <vt:i4>87</vt:i4>
      </vt:variant>
      <vt:variant>
        <vt:i4>0</vt:i4>
      </vt:variant>
      <vt:variant>
        <vt:i4>5</vt:i4>
      </vt:variant>
      <vt:variant>
        <vt:lpwstr>http://www.nevo.co.il/law/70301/40jc.c</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7143526</vt:i4>
      </vt:variant>
      <vt:variant>
        <vt:i4>78</vt:i4>
      </vt:variant>
      <vt:variant>
        <vt:i4>0</vt:i4>
      </vt:variant>
      <vt:variant>
        <vt:i4>5</vt:i4>
      </vt:variant>
      <vt:variant>
        <vt:lpwstr>http://www.nevo.co.il/law/70301/382</vt:lpwstr>
      </vt:variant>
      <vt:variant>
        <vt:lpwstr/>
      </vt:variant>
      <vt:variant>
        <vt:i4>4390998</vt:i4>
      </vt:variant>
      <vt:variant>
        <vt:i4>75</vt:i4>
      </vt:variant>
      <vt:variant>
        <vt:i4>0</vt:i4>
      </vt:variant>
      <vt:variant>
        <vt:i4>5</vt:i4>
      </vt:variant>
      <vt:variant>
        <vt:lpwstr>http://www.nevo.co.il/law/70301/380.a</vt:lpwstr>
      </vt:variant>
      <vt:variant>
        <vt:lpwstr/>
      </vt:variant>
      <vt:variant>
        <vt:i4>86</vt:i4>
      </vt:variant>
      <vt:variant>
        <vt:i4>72</vt:i4>
      </vt:variant>
      <vt:variant>
        <vt:i4>0</vt:i4>
      </vt:variant>
      <vt:variant>
        <vt:i4>5</vt:i4>
      </vt:variant>
      <vt:variant>
        <vt:lpwstr>http://www.nevo.co.il/law/70301/340a</vt:lpwstr>
      </vt:variant>
      <vt:variant>
        <vt:lpwstr/>
      </vt:variant>
      <vt:variant>
        <vt:i4>6684774</vt:i4>
      </vt:variant>
      <vt:variant>
        <vt:i4>69</vt:i4>
      </vt:variant>
      <vt:variant>
        <vt:i4>0</vt:i4>
      </vt:variant>
      <vt:variant>
        <vt:i4>5</vt:i4>
      </vt:variant>
      <vt:variant>
        <vt:lpwstr>http://www.nevo.co.il/law/70301/335</vt:lpwstr>
      </vt:variant>
      <vt:variant>
        <vt:lpwstr/>
      </vt:variant>
      <vt:variant>
        <vt:i4>6684774</vt:i4>
      </vt:variant>
      <vt:variant>
        <vt:i4>66</vt:i4>
      </vt:variant>
      <vt:variant>
        <vt:i4>0</vt:i4>
      </vt:variant>
      <vt:variant>
        <vt:i4>5</vt:i4>
      </vt:variant>
      <vt:variant>
        <vt:lpwstr>http://www.nevo.co.il/law/70301/334</vt:lpwstr>
      </vt:variant>
      <vt:variant>
        <vt:lpwstr/>
      </vt:variant>
      <vt:variant>
        <vt:i4>6684774</vt:i4>
      </vt:variant>
      <vt:variant>
        <vt:i4>63</vt:i4>
      </vt:variant>
      <vt:variant>
        <vt:i4>0</vt:i4>
      </vt:variant>
      <vt:variant>
        <vt:i4>5</vt:i4>
      </vt:variant>
      <vt:variant>
        <vt:lpwstr>http://www.nevo.co.il/law/70301/333</vt:lpwstr>
      </vt:variant>
      <vt:variant>
        <vt:lpwstr/>
      </vt:variant>
      <vt:variant>
        <vt:i4>6750270</vt:i4>
      </vt:variant>
      <vt:variant>
        <vt:i4>60</vt:i4>
      </vt:variant>
      <vt:variant>
        <vt:i4>0</vt:i4>
      </vt:variant>
      <vt:variant>
        <vt:i4>5</vt:i4>
      </vt:variant>
      <vt:variant>
        <vt:lpwstr>http://www.nevo.co.il/law/70301/329.a.2</vt:lpwstr>
      </vt:variant>
      <vt:variant>
        <vt:lpwstr/>
      </vt:variant>
      <vt:variant>
        <vt:i4>6750270</vt:i4>
      </vt:variant>
      <vt:variant>
        <vt:i4>57</vt:i4>
      </vt:variant>
      <vt:variant>
        <vt:i4>0</vt:i4>
      </vt:variant>
      <vt:variant>
        <vt:i4>5</vt:i4>
      </vt:variant>
      <vt:variant>
        <vt:lpwstr>http://www.nevo.co.il/law/70301/329.a.1</vt:lpwstr>
      </vt:variant>
      <vt:variant>
        <vt:lpwstr/>
      </vt:variant>
      <vt:variant>
        <vt:i4>327767</vt:i4>
      </vt:variant>
      <vt:variant>
        <vt:i4>54</vt:i4>
      </vt:variant>
      <vt:variant>
        <vt:i4>0</vt:i4>
      </vt:variant>
      <vt:variant>
        <vt:i4>5</vt:i4>
      </vt:variant>
      <vt:variant>
        <vt:lpwstr>http://www.nevo.co.il/law/70301/311a</vt:lpwstr>
      </vt:variant>
      <vt:variant>
        <vt:lpwstr/>
      </vt:variant>
      <vt:variant>
        <vt:i4>393303</vt:i4>
      </vt:variant>
      <vt:variant>
        <vt:i4>51</vt:i4>
      </vt:variant>
      <vt:variant>
        <vt:i4>0</vt:i4>
      </vt:variant>
      <vt:variant>
        <vt:i4>5</vt:i4>
      </vt:variant>
      <vt:variant>
        <vt:lpwstr>http://www.nevo.co.il/law/70301/301c</vt:lpwstr>
      </vt:variant>
      <vt:variant>
        <vt:lpwstr/>
      </vt:variant>
      <vt:variant>
        <vt:i4>6619238</vt:i4>
      </vt:variant>
      <vt:variant>
        <vt:i4>48</vt:i4>
      </vt:variant>
      <vt:variant>
        <vt:i4>0</vt:i4>
      </vt:variant>
      <vt:variant>
        <vt:i4>5</vt:i4>
      </vt:variant>
      <vt:variant>
        <vt:lpwstr>http://www.nevo.co.il/law/70301/300</vt:lpwstr>
      </vt:variant>
      <vt:variant>
        <vt:lpwstr/>
      </vt:variant>
      <vt:variant>
        <vt:i4>7077991</vt:i4>
      </vt:variant>
      <vt:variant>
        <vt:i4>45</vt:i4>
      </vt:variant>
      <vt:variant>
        <vt:i4>0</vt:i4>
      </vt:variant>
      <vt:variant>
        <vt:i4>5</vt:i4>
      </vt:variant>
      <vt:variant>
        <vt:lpwstr>http://www.nevo.co.il/law/70301/298</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6422626</vt:i4>
      </vt:variant>
      <vt:variant>
        <vt:i4>33</vt:i4>
      </vt:variant>
      <vt:variant>
        <vt:i4>0</vt:i4>
      </vt:variant>
      <vt:variant>
        <vt:i4>5</vt:i4>
      </vt:variant>
      <vt:variant>
        <vt:lpwstr>http://www.nevo.co.il/law/70301/77</vt:lpwstr>
      </vt:variant>
      <vt:variant>
        <vt:lpwstr/>
      </vt:variant>
      <vt:variant>
        <vt:i4>7143520</vt:i4>
      </vt:variant>
      <vt:variant>
        <vt:i4>30</vt:i4>
      </vt:variant>
      <vt:variant>
        <vt:i4>0</vt:i4>
      </vt:variant>
      <vt:variant>
        <vt:i4>5</vt:i4>
      </vt:variant>
      <vt:variant>
        <vt:lpwstr>http://www.nevo.co.il/law/70301/58</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6357094</vt:i4>
      </vt:variant>
      <vt:variant>
        <vt:i4>24</vt:i4>
      </vt:variant>
      <vt:variant>
        <vt:i4>0</vt:i4>
      </vt:variant>
      <vt:variant>
        <vt:i4>5</vt:i4>
      </vt:variant>
      <vt:variant>
        <vt:lpwstr>http://www.nevo.co.il/law/70301/34d</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6619238</vt:i4>
      </vt:variant>
      <vt:variant>
        <vt:i4>18</vt:i4>
      </vt:variant>
      <vt:variant>
        <vt:i4>0</vt:i4>
      </vt:variant>
      <vt:variant>
        <vt:i4>5</vt:i4>
      </vt:variant>
      <vt:variant>
        <vt:lpwstr>http://www.nevo.co.il/law/70301/30</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262217</vt:i4>
      </vt:variant>
      <vt:variant>
        <vt:i4>9</vt:i4>
      </vt:variant>
      <vt:variant>
        <vt:i4>0</vt:i4>
      </vt:variant>
      <vt:variant>
        <vt:i4>5</vt:i4>
      </vt:variant>
      <vt:variant>
        <vt:lpwstr>http://www.nevo.co.il/law/70301/20.a</vt:lpwstr>
      </vt:variant>
      <vt:variant>
        <vt:lpwstr/>
      </vt:variant>
      <vt:variant>
        <vt:i4>8061024</vt:i4>
      </vt:variant>
      <vt:variant>
        <vt:i4>6</vt:i4>
      </vt:variant>
      <vt:variant>
        <vt:i4>0</vt:i4>
      </vt:variant>
      <vt:variant>
        <vt:i4>5</vt:i4>
      </vt:variant>
      <vt:variant>
        <vt:lpwstr>http://www.nevo.co.il/law/70301/5.a</vt:lpwstr>
      </vt:variant>
      <vt:variant>
        <vt:lpwstr/>
      </vt:variant>
      <vt:variant>
        <vt:i4>5570645</vt:i4>
      </vt:variant>
      <vt:variant>
        <vt:i4>3</vt:i4>
      </vt:variant>
      <vt:variant>
        <vt:i4>0</vt:i4>
      </vt:variant>
      <vt:variant>
        <vt:i4>5</vt:i4>
      </vt:variant>
      <vt:variant>
        <vt:lpwstr>http://www.nevo.co.il/law/70301/5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2019-10-03T14:15:00Z</cp:lastPrinted>
  <dcterms:created xsi:type="dcterms:W3CDTF">2023-12-07T12:02:00Z</dcterms:created>
  <dcterms:modified xsi:type="dcterms:W3CDTF">2023-12-07T12:02:00Z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2058;19167;15112</vt:lpwstr>
  </property>
  <property fmtid="{D5CDD505-2E9C-101B-9397-08002B2CF9AE}" pid="6" name="NEWPARTB">
    <vt:lpwstr>09;09;10</vt:lpwstr>
  </property>
  <property fmtid="{D5CDD505-2E9C-101B-9397-08002B2CF9AE}" pid="7" name="NEWPARTC">
    <vt:lpwstr>17;17;17</vt:lpwstr>
  </property>
  <property fmtid="{D5CDD505-2E9C-101B-9397-08002B2CF9AE}" pid="8" name="APPELLANT">
    <vt:lpwstr>מדינת ישראל</vt:lpwstr>
  </property>
  <property fmtid="{D5CDD505-2E9C-101B-9397-08002B2CF9AE}" pid="9" name="APPELLEE">
    <vt:lpwstr>עודה עבד אל סאלם אבו שנדי;טארק אבו שנדי;תמים אבו שנדי;סאמי אבו שנדי;אמיר אבו שנדי;חמודה אבו שנדי;ממדוח אבו שנדי;סאאיד אבו שנדי;נימר אבו שנדי;עבד אל חלים רזוק;ג'אהד מרזוק;עבד אל רחמאן רזוק</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20191006</vt:lpwstr>
  </property>
  <property fmtid="{D5CDD505-2E9C-101B-9397-08002B2CF9AE}" pid="13" name="TYPE_N_DATE">
    <vt:lpwstr>39020191006</vt:lpwstr>
  </property>
  <property fmtid="{D5CDD505-2E9C-101B-9397-08002B2CF9AE}" pid="14" name="WORDNUMPAGES">
    <vt:lpwstr>58</vt:lpwstr>
  </property>
  <property fmtid="{D5CDD505-2E9C-101B-9397-08002B2CF9AE}" pid="15" name="TYPE_ABS_DATE">
    <vt:lpwstr>390120191006</vt:lpwstr>
  </property>
  <property fmtid="{D5CDD505-2E9C-101B-9397-08002B2CF9AE}" pid="16" name="ISABSTRACT">
    <vt:lpwstr>Y</vt:lpwstr>
  </property>
  <property fmtid="{D5CDD505-2E9C-101B-9397-08002B2CF9AE}" pid="17" name="BOOKLISTTMP1">
    <vt:lpwstr>28739</vt:lpwstr>
  </property>
  <property fmtid="{D5CDD505-2E9C-101B-9397-08002B2CF9AE}" pid="18" name="CASESLISTTMP1">
    <vt:lpwstr>20296345:2;18654019:2;16917356;21473673:2;24293314;7667123;5573417:3;6473037:2;6130237;5777709;20053828;5989067;20291305;6030667;7791493;5887664;22006503;24263578;13093744;20446658;21771409;24140726;6224157;5676908;24966889;21476990;22919929;21524816</vt:lpwstr>
  </property>
  <property fmtid="{D5CDD505-2E9C-101B-9397-08002B2CF9AE}" pid="19" name="CASESLISTTMP2">
    <vt:lpwstr>24493107;21042778;23509035;20420495;21474922;20618928;11303307;5612802;20412551;23850973;20942136;21759543;5920357;20680541</vt:lpwstr>
  </property>
  <property fmtid="{D5CDD505-2E9C-101B-9397-08002B2CF9AE}" pid="20" name="LAWLISTTMP1">
    <vt:lpwstr>70301/334:4;335:5;029:11;380.a;382;030:3;333;144.a:8;144.b:6;329.a.1:2;340a:2;298:5;329.a.2;031:2;192;025:2;40ja:2;40jc;005.a:4;300:2;311a;301c:4;005;020.a:3;034d;40jc.c;040g;077;058</vt:lpwstr>
  </property>
  <property fmtid="{D5CDD505-2E9C-101B-9397-08002B2CF9AE}" pid="21" name="METAKZER">
    <vt:lpwstr>עומרי</vt:lpwstr>
  </property>
  <property fmtid="{D5CDD505-2E9C-101B-9397-08002B2CF9AE}" pid="22" name="NOSE1ID">
    <vt:lpwstr>77</vt:lpwstr>
  </property>
  <property fmtid="{D5CDD505-2E9C-101B-9397-08002B2CF9AE}" pid="23" name="NOSE2ID">
    <vt:lpwstr>1446</vt:lpwstr>
  </property>
  <property fmtid="{D5CDD505-2E9C-101B-9397-08002B2CF9AE}" pid="24" name="NOSE3ID">
    <vt:lpwstr>13800</vt:lpwstr>
  </property>
  <property fmtid="{D5CDD505-2E9C-101B-9397-08002B2CF9AE}" pid="25" name="NOSE11">
    <vt:lpwstr>עונשין</vt:lpwstr>
  </property>
  <property fmtid="{D5CDD505-2E9C-101B-9397-08002B2CF9AE}" pid="26" name="NOSE21">
    <vt:lpwstr>ענישה</vt:lpwstr>
  </property>
  <property fmtid="{D5CDD505-2E9C-101B-9397-08002B2CF9AE}" pid="27" name="NOSE31">
    <vt:lpwstr>מדיניות ענישה: עבירות נשק</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PADIMAIL">
    <vt:lpwstr>YES</vt:lpwstr>
  </property>
  <property fmtid="{D5CDD505-2E9C-101B-9397-08002B2CF9AE}" pid="56" name="PADIDATE">
    <vt:lpwstr>20191127</vt:lpwstr>
  </property>
</Properties>
</file>