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3707C1" w:rsidRPr="006227CC" w14:paraId="329E518D" w14:textId="77777777" w:rsidTr="00AA2882">
        <w:trPr>
          <w:trHeight w:hRule="exact" w:val="418"/>
          <w:jc w:val="center"/>
        </w:trPr>
        <w:tc>
          <w:tcPr>
            <w:tcW w:w="8721" w:type="dxa"/>
            <w:gridSpan w:val="2"/>
          </w:tcPr>
          <w:p w14:paraId="0602C077" w14:textId="77777777" w:rsidR="003707C1" w:rsidRPr="006227CC" w:rsidRDefault="003707C1" w:rsidP="00DF1CAA">
            <w:pPr>
              <w:pStyle w:val="a3"/>
              <w:jc w:val="center"/>
              <w:rPr>
                <w:rFonts w:ascii="Tahoma" w:hAnsi="Tahoma" w:cs="Tahoma"/>
                <w:color w:val="000080"/>
                <w:rtl/>
              </w:rPr>
            </w:pPr>
            <w:r w:rsidRPr="006227CC">
              <w:rPr>
                <w:rFonts w:ascii="Tahoma" w:hAnsi="Tahoma" w:cs="Tahoma"/>
                <w:b/>
                <w:bCs/>
                <w:color w:val="000080"/>
                <w:rtl/>
              </w:rPr>
              <w:t>בית המשפט המחוזי בחיפה</w:t>
            </w:r>
          </w:p>
        </w:tc>
      </w:tr>
      <w:tr w:rsidR="003707C1" w:rsidRPr="006227CC" w14:paraId="1A14A2E2" w14:textId="77777777" w:rsidTr="00AA2882">
        <w:trPr>
          <w:trHeight w:val="337"/>
          <w:jc w:val="center"/>
        </w:trPr>
        <w:tc>
          <w:tcPr>
            <w:tcW w:w="5054" w:type="dxa"/>
          </w:tcPr>
          <w:p w14:paraId="7EAB4A29" w14:textId="77777777" w:rsidR="003707C1" w:rsidRPr="006227CC" w:rsidRDefault="003707C1" w:rsidP="00DF1CAA">
            <w:pPr>
              <w:rPr>
                <w:rFonts w:cs="FrankRuehl"/>
                <w:sz w:val="28"/>
                <w:szCs w:val="28"/>
                <w:rtl/>
              </w:rPr>
            </w:pPr>
            <w:r w:rsidRPr="006227CC">
              <w:rPr>
                <w:rFonts w:cs="FrankRuehl"/>
                <w:sz w:val="28"/>
                <w:szCs w:val="28"/>
                <w:rtl/>
              </w:rPr>
              <w:t>ת"פ</w:t>
            </w:r>
            <w:r w:rsidRPr="006227CC">
              <w:rPr>
                <w:rFonts w:cs="FrankRuehl" w:hint="cs"/>
                <w:sz w:val="28"/>
                <w:szCs w:val="28"/>
                <w:rtl/>
              </w:rPr>
              <w:t xml:space="preserve"> </w:t>
            </w:r>
            <w:r w:rsidRPr="006227CC">
              <w:rPr>
                <w:rFonts w:cs="FrankRuehl"/>
                <w:sz w:val="28"/>
                <w:szCs w:val="28"/>
                <w:rtl/>
              </w:rPr>
              <w:t>36698-12-18</w:t>
            </w:r>
            <w:r w:rsidRPr="006227CC">
              <w:rPr>
                <w:rFonts w:cs="FrankRuehl" w:hint="cs"/>
                <w:sz w:val="28"/>
                <w:szCs w:val="28"/>
                <w:rtl/>
              </w:rPr>
              <w:t xml:space="preserve"> </w:t>
            </w:r>
            <w:r w:rsidRPr="006227CC">
              <w:rPr>
                <w:rFonts w:cs="FrankRuehl"/>
                <w:sz w:val="28"/>
                <w:szCs w:val="28"/>
                <w:rtl/>
              </w:rPr>
              <w:t>מדינת ישראל נ' סלימאן</w:t>
            </w:r>
          </w:p>
          <w:p w14:paraId="0C491317" w14:textId="77777777" w:rsidR="003707C1" w:rsidRPr="006227CC" w:rsidRDefault="003707C1" w:rsidP="00DF1CAA">
            <w:pPr>
              <w:pStyle w:val="a3"/>
              <w:rPr>
                <w:rFonts w:cs="FrankRuehl"/>
                <w:sz w:val="28"/>
                <w:szCs w:val="28"/>
                <w:rtl/>
              </w:rPr>
            </w:pPr>
          </w:p>
        </w:tc>
        <w:tc>
          <w:tcPr>
            <w:tcW w:w="3667" w:type="dxa"/>
          </w:tcPr>
          <w:p w14:paraId="6A6E0722" w14:textId="77777777" w:rsidR="003707C1" w:rsidRPr="006227CC" w:rsidRDefault="003707C1" w:rsidP="00DF1CAA">
            <w:pPr>
              <w:pStyle w:val="a3"/>
              <w:jc w:val="right"/>
              <w:rPr>
                <w:rFonts w:cs="FrankRuehl"/>
                <w:sz w:val="28"/>
                <w:szCs w:val="28"/>
                <w:rtl/>
              </w:rPr>
            </w:pPr>
          </w:p>
        </w:tc>
      </w:tr>
    </w:tbl>
    <w:p w14:paraId="24B9716C" w14:textId="77777777" w:rsidR="003707C1" w:rsidRPr="006227CC" w:rsidRDefault="003707C1" w:rsidP="003707C1">
      <w:pPr>
        <w:pStyle w:val="a3"/>
        <w:rPr>
          <w:rtl/>
        </w:rPr>
      </w:pPr>
      <w:r w:rsidRPr="006227CC">
        <w:rPr>
          <w:rFonts w:hint="cs"/>
          <w:rtl/>
        </w:rPr>
        <w:t xml:space="preserve"> </w:t>
      </w:r>
    </w:p>
    <w:p w14:paraId="79411459" w14:textId="77777777" w:rsidR="003707C1" w:rsidRPr="006227CC" w:rsidRDefault="003707C1" w:rsidP="003707C1">
      <w:pPr>
        <w:rPr>
          <w:rFonts w:ascii="FrankRuehl" w:hAnsi="FrankRuehl" w:cs="FrankRuehl"/>
          <w:sz w:val="28"/>
          <w:szCs w:val="28"/>
          <w:rtl/>
        </w:rPr>
      </w:pPr>
    </w:p>
    <w:p w14:paraId="50B68B8C" w14:textId="77777777" w:rsidR="003707C1" w:rsidRPr="006227CC" w:rsidRDefault="003707C1" w:rsidP="003707C1">
      <w:pPr>
        <w:rPr>
          <w:rFonts w:ascii="FrankRuehl" w:hAnsi="FrankRuehl" w:cs="FrankRuehl"/>
          <w:sz w:val="28"/>
          <w:szCs w:val="28"/>
          <w:rtl/>
        </w:rPr>
      </w:pPr>
    </w:p>
    <w:tbl>
      <w:tblPr>
        <w:bidiVisual/>
        <w:tblW w:w="0" w:type="auto"/>
        <w:jc w:val="center"/>
        <w:tblLook w:val="04A0" w:firstRow="1" w:lastRow="0" w:firstColumn="1" w:lastColumn="0" w:noHBand="0" w:noVBand="1"/>
      </w:tblPr>
      <w:tblGrid>
        <w:gridCol w:w="5711"/>
        <w:gridCol w:w="236"/>
        <w:gridCol w:w="2558"/>
      </w:tblGrid>
      <w:tr w:rsidR="003707C1" w:rsidRPr="006227CC" w14:paraId="78C033EA" w14:textId="77777777" w:rsidTr="00DF1CAA">
        <w:trPr>
          <w:trHeight w:val="337"/>
          <w:jc w:val="center"/>
        </w:trPr>
        <w:tc>
          <w:tcPr>
            <w:tcW w:w="5711" w:type="dxa"/>
          </w:tcPr>
          <w:p w14:paraId="06146563" w14:textId="77777777" w:rsidR="003707C1" w:rsidRPr="006227CC" w:rsidRDefault="003707C1" w:rsidP="00DF1CAA">
            <w:pPr>
              <w:spacing w:line="360" w:lineRule="auto"/>
              <w:rPr>
                <w:rFonts w:ascii="FrankRuehl" w:hAnsi="FrankRuehl" w:cs="FrankRuehl"/>
                <w:sz w:val="28"/>
                <w:szCs w:val="28"/>
              </w:rPr>
            </w:pPr>
            <w:r w:rsidRPr="006227CC">
              <w:rPr>
                <w:rFonts w:ascii="FrankRuehl" w:hAnsi="FrankRuehl" w:cs="FrankRuehl"/>
                <w:b/>
                <w:bCs/>
                <w:sz w:val="28"/>
                <w:szCs w:val="28"/>
                <w:rtl/>
              </w:rPr>
              <w:t>בפני כב' השופט אברהם אליקים, סגן נשיא</w:t>
            </w:r>
          </w:p>
          <w:p w14:paraId="57822D2D" w14:textId="77777777" w:rsidR="003707C1" w:rsidRPr="006227CC" w:rsidRDefault="003707C1" w:rsidP="00DF1CAA">
            <w:pPr>
              <w:jc w:val="both"/>
              <w:rPr>
                <w:rFonts w:ascii="FrankRuehl" w:hAnsi="FrankRuehl" w:cs="FrankRuehl"/>
                <w:b/>
                <w:bCs/>
                <w:sz w:val="28"/>
                <w:szCs w:val="28"/>
              </w:rPr>
            </w:pPr>
          </w:p>
        </w:tc>
        <w:tc>
          <w:tcPr>
            <w:tcW w:w="236" w:type="dxa"/>
          </w:tcPr>
          <w:p w14:paraId="380C099D" w14:textId="77777777" w:rsidR="003707C1" w:rsidRPr="006227CC" w:rsidRDefault="003707C1" w:rsidP="00DF1CAA">
            <w:pPr>
              <w:pStyle w:val="a3"/>
              <w:jc w:val="both"/>
              <w:rPr>
                <w:rFonts w:ascii="FrankRuehl" w:hAnsi="FrankRuehl" w:cs="FrankRuehl"/>
                <w:b/>
                <w:bCs/>
                <w:sz w:val="28"/>
                <w:szCs w:val="28"/>
                <w:rtl/>
              </w:rPr>
            </w:pPr>
          </w:p>
        </w:tc>
        <w:tc>
          <w:tcPr>
            <w:tcW w:w="2558" w:type="dxa"/>
          </w:tcPr>
          <w:p w14:paraId="40D9A5F3" w14:textId="77777777" w:rsidR="003707C1" w:rsidRPr="006227CC" w:rsidRDefault="003707C1" w:rsidP="00DF1CAA">
            <w:pPr>
              <w:pStyle w:val="a3"/>
              <w:jc w:val="both"/>
              <w:rPr>
                <w:rFonts w:ascii="FrankRuehl" w:hAnsi="FrankRuehl" w:cs="FrankRuehl"/>
                <w:b/>
                <w:bCs/>
                <w:sz w:val="28"/>
                <w:szCs w:val="28"/>
                <w:rtl/>
              </w:rPr>
            </w:pPr>
          </w:p>
        </w:tc>
      </w:tr>
    </w:tbl>
    <w:p w14:paraId="009493A5" w14:textId="77777777" w:rsidR="003707C1" w:rsidRPr="006227CC" w:rsidRDefault="003707C1" w:rsidP="003707C1">
      <w:pPr>
        <w:rPr>
          <w:rFonts w:ascii="FrankRuehl" w:hAnsi="FrankRuehl" w:cs="FrankRuehl"/>
          <w:sz w:val="28"/>
          <w:szCs w:val="28"/>
          <w:rtl/>
        </w:rPr>
      </w:pPr>
      <w:bookmarkStart w:id="0" w:name="LastJudge"/>
      <w:bookmarkEnd w:id="0"/>
    </w:p>
    <w:tbl>
      <w:tblPr>
        <w:bidiVisual/>
        <w:tblW w:w="0" w:type="dxa"/>
        <w:tblInd w:w="-28" w:type="dxa"/>
        <w:tblLayout w:type="fixed"/>
        <w:tblLook w:val="01E0" w:firstRow="1" w:lastRow="1" w:firstColumn="1" w:lastColumn="1" w:noHBand="0" w:noVBand="0"/>
      </w:tblPr>
      <w:tblGrid>
        <w:gridCol w:w="3240"/>
        <w:gridCol w:w="5562"/>
      </w:tblGrid>
      <w:tr w:rsidR="003707C1" w:rsidRPr="006227CC" w14:paraId="7FDE2787" w14:textId="77777777" w:rsidTr="003707C1">
        <w:tc>
          <w:tcPr>
            <w:tcW w:w="3240" w:type="dxa"/>
            <w:shd w:val="clear" w:color="auto" w:fill="auto"/>
          </w:tcPr>
          <w:p w14:paraId="5EF0C954" w14:textId="77777777" w:rsidR="003707C1" w:rsidRPr="006227CC" w:rsidRDefault="003707C1" w:rsidP="003707C1">
            <w:pPr>
              <w:ind w:left="26"/>
              <w:rPr>
                <w:rFonts w:ascii="FrankRuehl" w:hAnsi="FrankRuehl" w:cs="FrankRuehl"/>
                <w:b/>
                <w:bCs/>
                <w:sz w:val="28"/>
                <w:szCs w:val="28"/>
                <w:rtl/>
              </w:rPr>
            </w:pPr>
            <w:bookmarkStart w:id="1" w:name="FirstAppellant"/>
            <w:r w:rsidRPr="006227CC">
              <w:rPr>
                <w:rFonts w:ascii="FrankRuehl" w:hAnsi="FrankRuehl" w:cs="FrankRuehl"/>
                <w:b/>
                <w:bCs/>
                <w:sz w:val="28"/>
                <w:szCs w:val="28"/>
                <w:rtl/>
              </w:rPr>
              <w:t>המאשימה</w:t>
            </w:r>
          </w:p>
        </w:tc>
        <w:tc>
          <w:tcPr>
            <w:tcW w:w="5562" w:type="dxa"/>
            <w:shd w:val="clear" w:color="auto" w:fill="auto"/>
          </w:tcPr>
          <w:p w14:paraId="566871AF" w14:textId="77777777" w:rsidR="003707C1" w:rsidRPr="006227CC" w:rsidRDefault="003707C1" w:rsidP="00DF1CAA">
            <w:pPr>
              <w:rPr>
                <w:rFonts w:ascii="FrankRuehl" w:hAnsi="FrankRuehl" w:cs="FrankRuehl"/>
                <w:b/>
                <w:bCs/>
                <w:sz w:val="28"/>
                <w:szCs w:val="28"/>
                <w:rtl/>
              </w:rPr>
            </w:pPr>
            <w:r w:rsidRPr="006227CC">
              <w:rPr>
                <w:rFonts w:ascii="FrankRuehl" w:hAnsi="FrankRuehl" w:cs="FrankRuehl"/>
                <w:b/>
                <w:bCs/>
                <w:sz w:val="28"/>
                <w:szCs w:val="28"/>
                <w:rtl/>
              </w:rPr>
              <w:t xml:space="preserve"> מדינת ישראל</w:t>
            </w:r>
          </w:p>
        </w:tc>
      </w:tr>
      <w:bookmarkEnd w:id="1"/>
      <w:tr w:rsidR="003707C1" w:rsidRPr="006227CC" w14:paraId="79EDC12E" w14:textId="77777777" w:rsidTr="003707C1">
        <w:tc>
          <w:tcPr>
            <w:tcW w:w="8802" w:type="dxa"/>
            <w:gridSpan w:val="2"/>
            <w:shd w:val="clear" w:color="auto" w:fill="auto"/>
          </w:tcPr>
          <w:p w14:paraId="089F67E6" w14:textId="77777777" w:rsidR="003707C1" w:rsidRPr="006227CC" w:rsidRDefault="003707C1" w:rsidP="003707C1">
            <w:pPr>
              <w:jc w:val="both"/>
              <w:rPr>
                <w:rFonts w:ascii="FrankRuehl" w:hAnsi="FrankRuehl" w:cs="FrankRuehl"/>
                <w:b/>
                <w:bCs/>
                <w:sz w:val="28"/>
                <w:szCs w:val="28"/>
                <w:rtl/>
              </w:rPr>
            </w:pPr>
          </w:p>
          <w:p w14:paraId="66618DC9" w14:textId="77777777" w:rsidR="003707C1" w:rsidRPr="006227CC" w:rsidRDefault="003707C1" w:rsidP="003707C1">
            <w:pPr>
              <w:jc w:val="center"/>
              <w:rPr>
                <w:rFonts w:ascii="FrankRuehl" w:hAnsi="FrankRuehl" w:cs="FrankRuehl"/>
                <w:b/>
                <w:bCs/>
                <w:sz w:val="28"/>
                <w:szCs w:val="28"/>
                <w:rtl/>
              </w:rPr>
            </w:pPr>
            <w:r w:rsidRPr="006227CC">
              <w:rPr>
                <w:rFonts w:ascii="FrankRuehl" w:hAnsi="FrankRuehl" w:cs="FrankRuehl"/>
                <w:b/>
                <w:bCs/>
                <w:sz w:val="28"/>
                <w:szCs w:val="28"/>
                <w:rtl/>
              </w:rPr>
              <w:t>נגד</w:t>
            </w:r>
          </w:p>
          <w:p w14:paraId="478950CE" w14:textId="77777777" w:rsidR="003707C1" w:rsidRPr="006227CC" w:rsidRDefault="003707C1" w:rsidP="003707C1">
            <w:pPr>
              <w:jc w:val="center"/>
              <w:rPr>
                <w:rFonts w:ascii="FrankRuehl" w:hAnsi="FrankRuehl" w:cs="FrankRuehl"/>
                <w:b/>
                <w:bCs/>
                <w:sz w:val="28"/>
                <w:szCs w:val="28"/>
                <w:rtl/>
              </w:rPr>
            </w:pPr>
          </w:p>
        </w:tc>
      </w:tr>
      <w:tr w:rsidR="003707C1" w:rsidRPr="006227CC" w14:paraId="3566BA72" w14:textId="77777777" w:rsidTr="003707C1">
        <w:tc>
          <w:tcPr>
            <w:tcW w:w="3240" w:type="dxa"/>
            <w:shd w:val="clear" w:color="auto" w:fill="auto"/>
          </w:tcPr>
          <w:p w14:paraId="3118F374" w14:textId="77777777" w:rsidR="003707C1" w:rsidRPr="006227CC" w:rsidRDefault="003707C1" w:rsidP="003707C1">
            <w:pPr>
              <w:ind w:left="26"/>
              <w:rPr>
                <w:rFonts w:ascii="FrankRuehl" w:hAnsi="FrankRuehl" w:cs="FrankRuehl"/>
                <w:b/>
                <w:bCs/>
                <w:sz w:val="28"/>
                <w:szCs w:val="28"/>
              </w:rPr>
            </w:pPr>
            <w:r w:rsidRPr="006227CC">
              <w:rPr>
                <w:rFonts w:ascii="FrankRuehl" w:hAnsi="FrankRuehl" w:cs="FrankRuehl"/>
                <w:b/>
                <w:bCs/>
                <w:sz w:val="28"/>
                <w:szCs w:val="28"/>
                <w:rtl/>
              </w:rPr>
              <w:t>הנאשם</w:t>
            </w:r>
          </w:p>
        </w:tc>
        <w:tc>
          <w:tcPr>
            <w:tcW w:w="5562" w:type="dxa"/>
            <w:shd w:val="clear" w:color="auto" w:fill="auto"/>
          </w:tcPr>
          <w:p w14:paraId="254078CB" w14:textId="77777777" w:rsidR="003707C1" w:rsidRPr="006227CC" w:rsidRDefault="003707C1" w:rsidP="00DF1CAA">
            <w:pPr>
              <w:rPr>
                <w:rFonts w:ascii="FrankRuehl" w:hAnsi="FrankRuehl" w:cs="FrankRuehl"/>
                <w:b/>
                <w:bCs/>
                <w:sz w:val="28"/>
                <w:szCs w:val="28"/>
                <w:rtl/>
              </w:rPr>
            </w:pPr>
            <w:r w:rsidRPr="006227CC">
              <w:rPr>
                <w:rFonts w:ascii="FrankRuehl" w:hAnsi="FrankRuehl" w:cs="FrankRuehl"/>
                <w:b/>
                <w:bCs/>
                <w:sz w:val="28"/>
                <w:szCs w:val="28"/>
                <w:rtl/>
              </w:rPr>
              <w:t xml:space="preserve"> מוחמד שייח' סלימאן (עציר) ת"ז </w:t>
            </w:r>
            <w:r w:rsidR="006227CC">
              <w:rPr>
                <w:rFonts w:ascii="FrankRuehl" w:hAnsi="FrankRuehl" w:cs="FrankRuehl"/>
                <w:b/>
                <w:bCs/>
                <w:sz w:val="28"/>
                <w:szCs w:val="28"/>
              </w:rPr>
              <w:t>xxxxxxxxx</w:t>
            </w:r>
          </w:p>
        </w:tc>
      </w:tr>
    </w:tbl>
    <w:p w14:paraId="410B71D1" w14:textId="77777777" w:rsidR="00AA2882" w:rsidRDefault="00AA2882" w:rsidP="006227CC">
      <w:pPr>
        <w:rPr>
          <w:rFonts w:ascii="FrankRuehl" w:hAnsi="FrankRuehl" w:cs="FrankRuehl"/>
          <w:sz w:val="28"/>
          <w:szCs w:val="28"/>
          <w:rtl/>
        </w:rPr>
      </w:pPr>
      <w:bookmarkStart w:id="2" w:name="LawTable"/>
      <w:bookmarkEnd w:id="2"/>
    </w:p>
    <w:p w14:paraId="6F1A46EC" w14:textId="77777777" w:rsidR="00AA2882" w:rsidRPr="00AA2882" w:rsidRDefault="00AA2882" w:rsidP="00AA2882">
      <w:pPr>
        <w:spacing w:after="120" w:line="240" w:lineRule="exact"/>
        <w:ind w:left="283" w:hanging="283"/>
        <w:jc w:val="both"/>
        <w:rPr>
          <w:rFonts w:ascii="FrankRuehl" w:hAnsi="FrankRuehl" w:cs="FrankRuehl"/>
          <w:rtl/>
        </w:rPr>
      </w:pPr>
    </w:p>
    <w:p w14:paraId="5E1FD06E" w14:textId="77777777" w:rsidR="00AA2882" w:rsidRPr="00AA2882" w:rsidRDefault="00AA2882" w:rsidP="00AA2882">
      <w:pPr>
        <w:spacing w:after="120" w:line="240" w:lineRule="exact"/>
        <w:ind w:left="283" w:hanging="283"/>
        <w:jc w:val="both"/>
        <w:rPr>
          <w:rFonts w:ascii="FrankRuehl" w:hAnsi="FrankRuehl" w:cs="FrankRuehl"/>
          <w:rtl/>
        </w:rPr>
      </w:pPr>
      <w:r w:rsidRPr="00AA2882">
        <w:rPr>
          <w:rFonts w:ascii="FrankRuehl" w:hAnsi="FrankRuehl" w:cs="FrankRuehl"/>
          <w:rtl/>
        </w:rPr>
        <w:t xml:space="preserve">חקיקה שאוזכרה: </w:t>
      </w:r>
    </w:p>
    <w:p w14:paraId="058C002E" w14:textId="77777777" w:rsidR="00AA2882" w:rsidRPr="00AA2882" w:rsidRDefault="00AA2882" w:rsidP="00AA2882">
      <w:pPr>
        <w:spacing w:after="120" w:line="240" w:lineRule="exact"/>
        <w:ind w:left="283" w:hanging="283"/>
        <w:jc w:val="both"/>
        <w:rPr>
          <w:rFonts w:ascii="FrankRuehl" w:hAnsi="FrankRuehl" w:cs="FrankRuehl"/>
          <w:rtl/>
        </w:rPr>
      </w:pPr>
      <w:hyperlink r:id="rId7" w:history="1">
        <w:r w:rsidRPr="00AA2882">
          <w:rPr>
            <w:rFonts w:ascii="FrankRuehl" w:hAnsi="FrankRuehl" w:cs="FrankRuehl"/>
            <w:color w:val="0000FF"/>
            <w:u w:val="single"/>
            <w:rtl/>
          </w:rPr>
          <w:t>חוק העונשין, תשל"ז-1977</w:t>
        </w:r>
      </w:hyperlink>
      <w:r w:rsidRPr="00AA2882">
        <w:rPr>
          <w:rFonts w:ascii="FrankRuehl" w:hAnsi="FrankRuehl" w:cs="FrankRuehl"/>
          <w:rtl/>
        </w:rPr>
        <w:t xml:space="preserve">: סע'  </w:t>
      </w:r>
      <w:hyperlink r:id="rId8" w:history="1">
        <w:r w:rsidRPr="00AA2882">
          <w:rPr>
            <w:rFonts w:ascii="FrankRuehl" w:hAnsi="FrankRuehl" w:cs="FrankRuehl"/>
            <w:color w:val="0000FF"/>
            <w:u w:val="single"/>
            <w:rtl/>
          </w:rPr>
          <w:t>40ב'</w:t>
        </w:r>
      </w:hyperlink>
      <w:r w:rsidRPr="00AA2882">
        <w:rPr>
          <w:rFonts w:ascii="FrankRuehl" w:hAnsi="FrankRuehl" w:cs="FrankRuehl"/>
          <w:rtl/>
        </w:rPr>
        <w:t xml:space="preserve">, </w:t>
      </w:r>
      <w:hyperlink r:id="rId9" w:history="1">
        <w:r w:rsidRPr="00AA2882">
          <w:rPr>
            <w:rFonts w:ascii="FrankRuehl" w:hAnsi="FrankRuehl" w:cs="FrankRuehl"/>
            <w:color w:val="0000FF"/>
            <w:u w:val="single"/>
            <w:rtl/>
          </w:rPr>
          <w:t>40ז</w:t>
        </w:r>
      </w:hyperlink>
      <w:r w:rsidRPr="00AA2882">
        <w:rPr>
          <w:rFonts w:ascii="FrankRuehl" w:hAnsi="FrankRuehl" w:cs="FrankRuehl"/>
          <w:rtl/>
        </w:rPr>
        <w:t xml:space="preserve">, </w:t>
      </w:r>
      <w:hyperlink r:id="rId10" w:history="1">
        <w:r w:rsidRPr="00AA2882">
          <w:rPr>
            <w:rFonts w:ascii="FrankRuehl" w:hAnsi="FrankRuehl" w:cs="FrankRuehl"/>
            <w:color w:val="0000FF"/>
            <w:u w:val="single"/>
            <w:rtl/>
          </w:rPr>
          <w:t>40ט</w:t>
        </w:r>
      </w:hyperlink>
      <w:r w:rsidRPr="00AA2882">
        <w:rPr>
          <w:rFonts w:ascii="FrankRuehl" w:hAnsi="FrankRuehl" w:cs="FrankRuehl"/>
          <w:rtl/>
        </w:rPr>
        <w:t xml:space="preserve">, </w:t>
      </w:r>
      <w:hyperlink r:id="rId11" w:history="1">
        <w:r w:rsidRPr="00AA2882">
          <w:rPr>
            <w:rFonts w:ascii="FrankRuehl" w:hAnsi="FrankRuehl" w:cs="FrankRuehl"/>
            <w:color w:val="0000FF"/>
            <w:u w:val="single"/>
            <w:rtl/>
          </w:rPr>
          <w:t>144(א)</w:t>
        </w:r>
      </w:hyperlink>
      <w:r w:rsidRPr="00AA2882">
        <w:rPr>
          <w:rFonts w:ascii="FrankRuehl" w:hAnsi="FrankRuehl" w:cs="FrankRuehl"/>
          <w:rtl/>
        </w:rPr>
        <w:t xml:space="preserve">, </w:t>
      </w:r>
      <w:hyperlink r:id="rId12" w:history="1">
        <w:r w:rsidRPr="00AA2882">
          <w:rPr>
            <w:rFonts w:ascii="FrankRuehl" w:hAnsi="FrankRuehl" w:cs="FrankRuehl"/>
            <w:color w:val="0000FF"/>
            <w:u w:val="single"/>
            <w:rtl/>
          </w:rPr>
          <w:t>40יא'</w:t>
        </w:r>
      </w:hyperlink>
    </w:p>
    <w:p w14:paraId="66EF8D9F" w14:textId="77777777" w:rsidR="00AA2882" w:rsidRPr="00AA2882" w:rsidRDefault="00AA2882" w:rsidP="00AA2882">
      <w:pPr>
        <w:spacing w:after="120" w:line="240" w:lineRule="exact"/>
        <w:ind w:left="283" w:hanging="283"/>
        <w:jc w:val="both"/>
        <w:rPr>
          <w:rFonts w:ascii="FrankRuehl" w:hAnsi="FrankRuehl" w:cs="FrankRuehl"/>
          <w:rtl/>
        </w:rPr>
      </w:pPr>
    </w:p>
    <w:p w14:paraId="0F18ED59" w14:textId="77777777" w:rsidR="00AA2882" w:rsidRPr="00AA2882" w:rsidRDefault="00AA2882" w:rsidP="006227CC">
      <w:pPr>
        <w:rPr>
          <w:rFonts w:ascii="FrankRuehl" w:hAnsi="FrankRuehl" w:cs="FrankRuehl"/>
          <w:sz w:val="28"/>
          <w:szCs w:val="28"/>
          <w:rtl/>
        </w:rPr>
      </w:pPr>
      <w:bookmarkStart w:id="3" w:name="LawTable_End"/>
      <w:bookmarkEnd w:id="3"/>
    </w:p>
    <w:p w14:paraId="4A5627FA" w14:textId="77777777" w:rsidR="006227CC" w:rsidRPr="006227CC" w:rsidRDefault="006227CC" w:rsidP="006227CC">
      <w:pPr>
        <w:rPr>
          <w:rFonts w:ascii="FrankRuehl" w:hAnsi="FrankRuehl" w:cs="FrankRuehl"/>
          <w:sz w:val="28"/>
          <w:szCs w:val="28"/>
          <w:rtl/>
        </w:rPr>
      </w:pPr>
    </w:p>
    <w:p w14:paraId="664887F2" w14:textId="77777777" w:rsidR="003707C1" w:rsidRPr="006227CC" w:rsidRDefault="003707C1" w:rsidP="003707C1">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07C1" w:rsidRPr="00544E52" w14:paraId="6B620F27" w14:textId="77777777" w:rsidTr="003707C1">
        <w:trPr>
          <w:trHeight w:val="355"/>
          <w:jc w:val="center"/>
        </w:trPr>
        <w:tc>
          <w:tcPr>
            <w:tcW w:w="8820" w:type="dxa"/>
            <w:tcBorders>
              <w:top w:val="nil"/>
              <w:left w:val="nil"/>
              <w:bottom w:val="nil"/>
              <w:right w:val="nil"/>
            </w:tcBorders>
            <w:shd w:val="clear" w:color="auto" w:fill="auto"/>
          </w:tcPr>
          <w:p w14:paraId="07943EDC" w14:textId="77777777" w:rsidR="006227CC" w:rsidRPr="006227CC" w:rsidRDefault="006227CC" w:rsidP="006227CC">
            <w:pPr>
              <w:jc w:val="center"/>
              <w:rPr>
                <w:rFonts w:ascii="FrankRuehl" w:hAnsi="FrankRuehl" w:cs="FrankRuehl"/>
                <w:b/>
                <w:bCs/>
                <w:sz w:val="28"/>
                <w:szCs w:val="28"/>
                <w:u w:val="single"/>
                <w:rtl/>
              </w:rPr>
            </w:pPr>
            <w:bookmarkStart w:id="4" w:name="PsakDin" w:colFirst="0" w:colLast="0"/>
            <w:r w:rsidRPr="006227CC">
              <w:rPr>
                <w:rFonts w:ascii="FrankRuehl" w:hAnsi="FrankRuehl" w:cs="FrankRuehl"/>
                <w:b/>
                <w:bCs/>
                <w:sz w:val="28"/>
                <w:szCs w:val="28"/>
                <w:u w:val="single"/>
                <w:rtl/>
              </w:rPr>
              <w:t>גזר דין</w:t>
            </w:r>
          </w:p>
          <w:p w14:paraId="5D3C3FA2" w14:textId="77777777" w:rsidR="003707C1" w:rsidRPr="006227CC" w:rsidRDefault="003707C1" w:rsidP="006227CC">
            <w:pPr>
              <w:jc w:val="center"/>
              <w:rPr>
                <w:rFonts w:ascii="FrankRuehl" w:hAnsi="FrankRuehl" w:cs="FrankRuehl"/>
                <w:bCs/>
                <w:sz w:val="28"/>
                <w:szCs w:val="28"/>
                <w:u w:val="single"/>
                <w:rtl/>
              </w:rPr>
            </w:pPr>
          </w:p>
        </w:tc>
      </w:tr>
      <w:bookmarkEnd w:id="4"/>
    </w:tbl>
    <w:p w14:paraId="2BEC3B30" w14:textId="77777777" w:rsidR="003707C1" w:rsidRPr="00544E52" w:rsidRDefault="003707C1" w:rsidP="003707C1">
      <w:pPr>
        <w:rPr>
          <w:rFonts w:ascii="FrankRuehl" w:hAnsi="FrankRuehl" w:cs="FrankRuehl"/>
          <w:sz w:val="28"/>
          <w:szCs w:val="28"/>
          <w:rtl/>
        </w:rPr>
      </w:pPr>
    </w:p>
    <w:p w14:paraId="20A76932" w14:textId="77777777" w:rsidR="003707C1" w:rsidRPr="00544E52" w:rsidRDefault="003707C1" w:rsidP="003707C1">
      <w:pPr>
        <w:spacing w:line="360" w:lineRule="auto"/>
        <w:ind w:left="720"/>
        <w:jc w:val="both"/>
        <w:rPr>
          <w:rFonts w:ascii="Miriam" w:hAnsi="Miriam" w:cs="Miriam"/>
        </w:rPr>
      </w:pPr>
      <w:r w:rsidRPr="00544E52">
        <w:rPr>
          <w:rFonts w:ascii="Miriam" w:hAnsi="Miriam" w:cs="Miriam"/>
          <w:rtl/>
        </w:rPr>
        <w:t xml:space="preserve">מבוא </w:t>
      </w:r>
    </w:p>
    <w:p w14:paraId="517B64F3" w14:textId="77777777" w:rsidR="003707C1" w:rsidRDefault="003707C1" w:rsidP="003707C1">
      <w:pPr>
        <w:numPr>
          <w:ilvl w:val="0"/>
          <w:numId w:val="1"/>
        </w:numPr>
        <w:spacing w:line="360" w:lineRule="auto"/>
        <w:jc w:val="both"/>
        <w:rPr>
          <w:rFonts w:ascii="FrankRuehl" w:hAnsi="FrankRuehl" w:cs="FrankRuehl"/>
          <w:sz w:val="28"/>
          <w:szCs w:val="28"/>
        </w:rPr>
      </w:pPr>
      <w:bookmarkStart w:id="5" w:name="ABSTRACT_START"/>
      <w:bookmarkEnd w:id="5"/>
      <w:r w:rsidRPr="001D6530">
        <w:rPr>
          <w:rFonts w:ascii="FrankRuehl" w:hAnsi="FrankRuehl" w:cs="FrankRuehl"/>
          <w:sz w:val="28"/>
          <w:szCs w:val="28"/>
          <w:rtl/>
        </w:rPr>
        <w:t xml:space="preserve">הנאשם הורשע </w:t>
      </w:r>
      <w:r>
        <w:rPr>
          <w:rFonts w:ascii="FrankRuehl" w:hAnsi="FrankRuehl" w:cs="FrankRuehl"/>
          <w:sz w:val="28"/>
          <w:szCs w:val="28"/>
          <w:rtl/>
        </w:rPr>
        <w:t>ב</w:t>
      </w:r>
      <w:r>
        <w:rPr>
          <w:rFonts w:ascii="FrankRuehl" w:hAnsi="FrankRuehl" w:cs="FrankRuehl" w:hint="cs"/>
          <w:sz w:val="28"/>
          <w:szCs w:val="28"/>
          <w:rtl/>
        </w:rPr>
        <w:t>ביצוע ע</w:t>
      </w:r>
      <w:r w:rsidRPr="001D6530">
        <w:rPr>
          <w:rFonts w:ascii="FrankRuehl" w:hAnsi="FrankRuehl" w:cs="FrankRuehl"/>
          <w:sz w:val="28"/>
          <w:szCs w:val="28"/>
          <w:rtl/>
        </w:rPr>
        <w:t xml:space="preserve">בירות בנשק (החזקה)- עבירה לפי </w:t>
      </w:r>
      <w:hyperlink r:id="rId13" w:history="1">
        <w:r w:rsidR="00AA2882" w:rsidRPr="00AA2882">
          <w:rPr>
            <w:rFonts w:ascii="FrankRuehl" w:hAnsi="FrankRuehl" w:cs="FrankRuehl"/>
            <w:color w:val="0000FF"/>
            <w:sz w:val="28"/>
            <w:szCs w:val="28"/>
            <w:u w:val="single"/>
            <w:rtl/>
          </w:rPr>
          <w:t>סעיף 144(א)</w:t>
        </w:r>
      </w:hyperlink>
      <w:r w:rsidRPr="001D6530">
        <w:rPr>
          <w:rFonts w:ascii="FrankRuehl" w:hAnsi="FrankRuehl" w:cs="FrankRuehl"/>
          <w:sz w:val="28"/>
          <w:szCs w:val="28"/>
          <w:rtl/>
        </w:rPr>
        <w:t xml:space="preserve"> רישה וס</w:t>
      </w:r>
      <w:r w:rsidRPr="001D6530">
        <w:rPr>
          <w:rFonts w:ascii="FrankRuehl" w:hAnsi="FrankRuehl" w:cs="FrankRuehl" w:hint="cs"/>
          <w:sz w:val="28"/>
          <w:szCs w:val="28"/>
          <w:rtl/>
        </w:rPr>
        <w:t>י</w:t>
      </w:r>
      <w:r w:rsidRPr="001D6530">
        <w:rPr>
          <w:rFonts w:ascii="FrankRuehl" w:hAnsi="FrankRuehl" w:cs="FrankRuehl"/>
          <w:sz w:val="28"/>
          <w:szCs w:val="28"/>
          <w:rtl/>
        </w:rPr>
        <w:t xml:space="preserve">יפה </w:t>
      </w:r>
      <w:r w:rsidRPr="001D6530">
        <w:rPr>
          <w:rFonts w:ascii="Miriam" w:hAnsi="Miriam" w:cs="Miriam"/>
          <w:rtl/>
        </w:rPr>
        <w:t>ל</w:t>
      </w:r>
      <w:hyperlink r:id="rId14" w:history="1">
        <w:r w:rsidR="006227CC" w:rsidRPr="006227CC">
          <w:rPr>
            <w:rFonts w:ascii="Miriam" w:hAnsi="Miriam" w:cs="Miriam"/>
            <w:color w:val="0000FF"/>
            <w:u w:val="single"/>
            <w:rtl/>
          </w:rPr>
          <w:t>חוק העונשין</w:t>
        </w:r>
      </w:hyperlink>
      <w:r w:rsidRPr="001D6530">
        <w:rPr>
          <w:rFonts w:ascii="Miriam" w:hAnsi="Miriam" w:cs="Miriam"/>
          <w:rtl/>
        </w:rPr>
        <w:t>, התשל"ז-1977</w:t>
      </w:r>
      <w:r w:rsidRPr="001D6530">
        <w:rPr>
          <w:rFonts w:ascii="FrankRuehl" w:hAnsi="FrankRuehl" w:cs="FrankRuehl"/>
          <w:sz w:val="28"/>
          <w:szCs w:val="28"/>
          <w:rtl/>
        </w:rPr>
        <w:t xml:space="preserve"> (להלן- החוק)</w:t>
      </w:r>
      <w:r w:rsidRPr="001D6530">
        <w:rPr>
          <w:rFonts w:ascii="FrankRuehl" w:hAnsi="FrankRuehl" w:cs="FrankRuehl" w:hint="cs"/>
          <w:sz w:val="28"/>
          <w:szCs w:val="28"/>
          <w:rtl/>
        </w:rPr>
        <w:t xml:space="preserve">, </w:t>
      </w:r>
      <w:r w:rsidRPr="001D6530">
        <w:rPr>
          <w:rFonts w:ascii="FrankRuehl" w:hAnsi="FrankRuehl" w:cs="FrankRuehl"/>
          <w:sz w:val="28"/>
          <w:szCs w:val="28"/>
          <w:rtl/>
        </w:rPr>
        <w:t>לאחר הודאתו בעובדות כתב אישום שתוקן במסגרת</w:t>
      </w:r>
      <w:r>
        <w:rPr>
          <w:rFonts w:ascii="FrankRuehl" w:hAnsi="FrankRuehl" w:cs="FrankRuehl"/>
          <w:sz w:val="28"/>
          <w:szCs w:val="28"/>
          <w:rtl/>
        </w:rPr>
        <w:t xml:space="preserve"> הסדר טיעון שלא כלל הסכמה לעונש</w:t>
      </w:r>
      <w:r>
        <w:rPr>
          <w:rFonts w:ascii="FrankRuehl" w:hAnsi="FrankRuehl" w:cs="FrankRuehl" w:hint="cs"/>
          <w:sz w:val="28"/>
          <w:szCs w:val="28"/>
          <w:rtl/>
        </w:rPr>
        <w:t>.</w:t>
      </w:r>
    </w:p>
    <w:p w14:paraId="05DCAA8D" w14:textId="77777777" w:rsidR="003707C1" w:rsidRPr="001D6530" w:rsidRDefault="003707C1" w:rsidP="003707C1">
      <w:pPr>
        <w:spacing w:line="360" w:lineRule="auto"/>
        <w:ind w:left="720"/>
        <w:jc w:val="both"/>
        <w:rPr>
          <w:rFonts w:ascii="FrankRuehl" w:hAnsi="FrankRuehl" w:cs="FrankRuehl"/>
          <w:sz w:val="28"/>
          <w:szCs w:val="28"/>
        </w:rPr>
      </w:pPr>
    </w:p>
    <w:p w14:paraId="7D87A8C1" w14:textId="77777777" w:rsidR="003707C1" w:rsidRPr="00544E52" w:rsidRDefault="003707C1" w:rsidP="003707C1">
      <w:pPr>
        <w:spacing w:line="360" w:lineRule="auto"/>
        <w:ind w:left="720"/>
        <w:jc w:val="both"/>
        <w:rPr>
          <w:rFonts w:ascii="FrankRuehl" w:hAnsi="FrankRuehl" w:cs="FrankRuehl"/>
          <w:sz w:val="28"/>
          <w:szCs w:val="28"/>
        </w:rPr>
      </w:pPr>
      <w:r w:rsidRPr="00544E52">
        <w:rPr>
          <w:rFonts w:ascii="FrankRuehl" w:hAnsi="FrankRuehl" w:cs="FrankRuehl"/>
          <w:sz w:val="28"/>
          <w:szCs w:val="28"/>
          <w:rtl/>
        </w:rPr>
        <w:t>על פי כתב האישום המתוקן (סומן א),  בתאריך 6.12.2018 בשעה 10:30 נהג הנאשם ברכבו כשהוא מחזיק מתחת לבגדיו אקדח מסוג גלוק ובתוכו מחסנית, מחסנית נוספת הייתה על מושב הנוסע ליד הנהג.  האקדח הוא כלי נשק שס</w:t>
      </w:r>
      <w:r>
        <w:rPr>
          <w:rFonts w:ascii="FrankRuehl" w:hAnsi="FrankRuehl" w:cs="FrankRuehl" w:hint="cs"/>
          <w:sz w:val="28"/>
          <w:szCs w:val="28"/>
          <w:rtl/>
        </w:rPr>
        <w:t>ו</w:t>
      </w:r>
      <w:r w:rsidRPr="00544E52">
        <w:rPr>
          <w:rFonts w:ascii="FrankRuehl" w:hAnsi="FrankRuehl" w:cs="FrankRuehl"/>
          <w:sz w:val="28"/>
          <w:szCs w:val="28"/>
          <w:rtl/>
        </w:rPr>
        <w:t xml:space="preserve">גל לירות והמחסניות הן אביזרים לכלי נשק. </w:t>
      </w:r>
    </w:p>
    <w:p w14:paraId="5861E388" w14:textId="77777777" w:rsidR="003707C1" w:rsidRPr="00544E52" w:rsidRDefault="003707C1" w:rsidP="003707C1">
      <w:pPr>
        <w:spacing w:line="360" w:lineRule="auto"/>
        <w:ind w:left="720"/>
        <w:jc w:val="both"/>
        <w:rPr>
          <w:rFonts w:ascii="FrankRuehl" w:hAnsi="FrankRuehl" w:cs="FrankRuehl"/>
          <w:sz w:val="28"/>
          <w:szCs w:val="28"/>
        </w:rPr>
      </w:pPr>
      <w:bookmarkStart w:id="6" w:name="ABSTRACT_END"/>
      <w:bookmarkEnd w:id="6"/>
    </w:p>
    <w:p w14:paraId="3E62B624" w14:textId="77777777" w:rsidR="003707C1" w:rsidRPr="00544E52" w:rsidRDefault="003707C1" w:rsidP="003707C1">
      <w:pPr>
        <w:spacing w:line="360" w:lineRule="auto"/>
        <w:ind w:left="360" w:firstLine="360"/>
        <w:jc w:val="both"/>
        <w:rPr>
          <w:rFonts w:ascii="Miriam" w:hAnsi="Miriam" w:cs="Miriam"/>
          <w:u w:val="single"/>
          <w:rtl/>
        </w:rPr>
      </w:pPr>
      <w:r w:rsidRPr="00544E52">
        <w:rPr>
          <w:rFonts w:ascii="Miriam" w:hAnsi="Miriam" w:cs="Miriam"/>
          <w:rtl/>
        </w:rPr>
        <w:t>ראיות לעונש</w:t>
      </w:r>
    </w:p>
    <w:p w14:paraId="6BF265D5" w14:textId="77777777" w:rsidR="003707C1" w:rsidRPr="00544E52" w:rsidRDefault="003707C1" w:rsidP="003707C1">
      <w:pPr>
        <w:pStyle w:val="a9"/>
        <w:spacing w:line="360" w:lineRule="auto"/>
        <w:jc w:val="both"/>
        <w:rPr>
          <w:rFonts w:ascii="FrankRuehl" w:hAnsi="FrankRuehl"/>
          <w:sz w:val="28"/>
          <w:u w:val="single"/>
          <w:rtl/>
        </w:rPr>
      </w:pPr>
      <w:r w:rsidRPr="00544E52">
        <w:rPr>
          <w:rFonts w:ascii="FrankRuehl" w:hAnsi="FrankRuehl"/>
          <w:sz w:val="28"/>
          <w:rtl/>
        </w:rPr>
        <w:t>לא הוגשו מטעם הצדדים ראיות לעונש. לנאשם אין רישום פלילי.</w:t>
      </w:r>
    </w:p>
    <w:p w14:paraId="4D3985A7" w14:textId="77777777" w:rsidR="003707C1" w:rsidRPr="00544E52" w:rsidRDefault="003707C1" w:rsidP="003707C1">
      <w:pPr>
        <w:pStyle w:val="a9"/>
        <w:spacing w:line="360" w:lineRule="auto"/>
        <w:jc w:val="both"/>
        <w:rPr>
          <w:rFonts w:ascii="FrankRuehl" w:hAnsi="FrankRuehl"/>
          <w:sz w:val="28"/>
          <w:u w:val="single"/>
        </w:rPr>
      </w:pPr>
    </w:p>
    <w:p w14:paraId="32C93973" w14:textId="77777777" w:rsidR="003707C1" w:rsidRPr="00544E52" w:rsidRDefault="003707C1" w:rsidP="003707C1">
      <w:pPr>
        <w:spacing w:line="360" w:lineRule="auto"/>
        <w:ind w:left="360" w:firstLine="360"/>
        <w:jc w:val="both"/>
        <w:rPr>
          <w:rFonts w:ascii="Miriam" w:hAnsi="Miriam" w:cs="Miriam"/>
          <w:u w:val="single"/>
        </w:rPr>
      </w:pPr>
      <w:r w:rsidRPr="00544E52">
        <w:rPr>
          <w:rFonts w:ascii="Miriam" w:hAnsi="Miriam" w:cs="Miriam"/>
          <w:rtl/>
        </w:rPr>
        <w:t>תסקירי שירות המבחן</w:t>
      </w:r>
    </w:p>
    <w:p w14:paraId="6CADCC30" w14:textId="77777777" w:rsidR="003707C1" w:rsidRPr="00544E52" w:rsidRDefault="003707C1" w:rsidP="003707C1">
      <w:pPr>
        <w:pStyle w:val="a9"/>
        <w:numPr>
          <w:ilvl w:val="0"/>
          <w:numId w:val="1"/>
        </w:numPr>
        <w:spacing w:line="360" w:lineRule="auto"/>
        <w:jc w:val="both"/>
        <w:rPr>
          <w:rFonts w:ascii="FrankRuehl" w:hAnsi="FrankRuehl"/>
          <w:sz w:val="28"/>
          <w:rtl/>
        </w:rPr>
      </w:pPr>
      <w:r w:rsidRPr="00544E52">
        <w:rPr>
          <w:rFonts w:ascii="FrankRuehl" w:hAnsi="FrankRuehl"/>
          <w:sz w:val="28"/>
          <w:rtl/>
        </w:rPr>
        <w:t xml:space="preserve">בהתאם להסדר הטיעון הוסכם כי הנאשם יופנה לשירות המבחן לצורך הכנת תסקיר. </w:t>
      </w:r>
    </w:p>
    <w:p w14:paraId="627F3E5A" w14:textId="77777777" w:rsidR="003707C1" w:rsidRDefault="003707C1" w:rsidP="003707C1">
      <w:pPr>
        <w:pStyle w:val="a9"/>
        <w:spacing w:line="360" w:lineRule="auto"/>
        <w:jc w:val="both"/>
        <w:rPr>
          <w:rFonts w:ascii="FrankRuehl" w:hAnsi="FrankRuehl"/>
          <w:sz w:val="28"/>
          <w:rtl/>
        </w:rPr>
      </w:pPr>
    </w:p>
    <w:p w14:paraId="4687F8B5" w14:textId="77777777" w:rsidR="003707C1" w:rsidRPr="00544E52" w:rsidRDefault="003707C1" w:rsidP="003707C1">
      <w:pPr>
        <w:pStyle w:val="a9"/>
        <w:spacing w:line="360" w:lineRule="auto"/>
        <w:jc w:val="both"/>
        <w:rPr>
          <w:rFonts w:ascii="FrankRuehl" w:hAnsi="FrankRuehl"/>
          <w:sz w:val="28"/>
        </w:rPr>
      </w:pPr>
      <w:r w:rsidRPr="00544E52">
        <w:rPr>
          <w:rFonts w:ascii="FrankRuehl" w:hAnsi="FrankRuehl"/>
          <w:sz w:val="28"/>
          <w:rtl/>
        </w:rPr>
        <w:t>לאחר פגישה עם הנאשם, בחינת המידע הנמצא בשירות המבחן מהליך המעצר ועיון במסמכים, נמנע שירות המבחן מכל המלצה בעניינו של הנאשם. קצינת המבחן התרשמה כי הנאשם מכחיש קיום  דפוסים עברייניים</w:t>
      </w:r>
      <w:r>
        <w:rPr>
          <w:rFonts w:ascii="FrankRuehl" w:hAnsi="FrankRuehl" w:hint="cs"/>
          <w:sz w:val="28"/>
          <w:rtl/>
        </w:rPr>
        <w:t xml:space="preserve">, </w:t>
      </w:r>
      <w:r w:rsidRPr="00544E52">
        <w:rPr>
          <w:rFonts w:ascii="FrankRuehl" w:hAnsi="FrankRuehl"/>
          <w:sz w:val="28"/>
          <w:rtl/>
        </w:rPr>
        <w:t xml:space="preserve">הצהרותיו באשר לרצונו לקחת חלק בהליך טיפולי נובעות מתוך רצון להקלה בעונש ולא מתוך רצון והבנה פנימי לצורך בשינוי דפוסי התנהגותו.  בניתוח נסיבות חייו היא התרשמה מיציבות ותפקוד תקין במסגרות חייו אך בתנאי לחץ הוא עלול </w:t>
      </w:r>
      <w:r>
        <w:rPr>
          <w:rFonts w:ascii="FrankRuehl" w:hAnsi="FrankRuehl" w:hint="cs"/>
          <w:sz w:val="28"/>
          <w:rtl/>
        </w:rPr>
        <w:t xml:space="preserve">להערכתה </w:t>
      </w:r>
      <w:r w:rsidRPr="00544E52">
        <w:rPr>
          <w:rFonts w:ascii="FrankRuehl" w:hAnsi="FrankRuehl"/>
          <w:sz w:val="28"/>
          <w:rtl/>
        </w:rPr>
        <w:t>לפעול מתוך דחף רגעי מבלי לחשוב על השלכות של מעשיו ולכן לא נשלל סיכון להישנות עבירות דומות בעתיד.</w:t>
      </w:r>
    </w:p>
    <w:p w14:paraId="695D14D0" w14:textId="77777777" w:rsidR="003707C1" w:rsidRPr="00544E52" w:rsidRDefault="003707C1" w:rsidP="003707C1">
      <w:pPr>
        <w:pStyle w:val="a9"/>
        <w:spacing w:line="360" w:lineRule="auto"/>
        <w:jc w:val="both"/>
        <w:rPr>
          <w:rFonts w:ascii="FrankRuehl" w:hAnsi="FrankRuehl"/>
          <w:sz w:val="28"/>
        </w:rPr>
      </w:pPr>
    </w:p>
    <w:p w14:paraId="32F46055" w14:textId="77777777" w:rsidR="003707C1" w:rsidRPr="00544E52" w:rsidRDefault="003707C1" w:rsidP="003707C1">
      <w:pPr>
        <w:spacing w:line="360" w:lineRule="auto"/>
        <w:ind w:left="360" w:firstLine="360"/>
        <w:jc w:val="both"/>
        <w:rPr>
          <w:rFonts w:ascii="Miriam" w:hAnsi="Miriam" w:cs="Miriam"/>
        </w:rPr>
      </w:pPr>
      <w:r w:rsidRPr="00544E52">
        <w:rPr>
          <w:rFonts w:ascii="Miriam" w:hAnsi="Miriam" w:cs="Miriam"/>
          <w:rtl/>
        </w:rPr>
        <w:t>תמצית טענות הצדדים</w:t>
      </w:r>
    </w:p>
    <w:p w14:paraId="64205E84" w14:textId="77777777" w:rsidR="003707C1" w:rsidRDefault="003707C1" w:rsidP="003707C1">
      <w:pPr>
        <w:pStyle w:val="a9"/>
        <w:numPr>
          <w:ilvl w:val="0"/>
          <w:numId w:val="1"/>
        </w:numPr>
        <w:spacing w:line="360" w:lineRule="auto"/>
        <w:jc w:val="both"/>
        <w:rPr>
          <w:rFonts w:ascii="FrankRuehl" w:hAnsi="FrankRuehl"/>
          <w:sz w:val="28"/>
        </w:rPr>
      </w:pPr>
      <w:r>
        <w:rPr>
          <w:rFonts w:ascii="FrankRuehl" w:hAnsi="FrankRuehl"/>
          <w:sz w:val="28"/>
          <w:rtl/>
        </w:rPr>
        <w:t>ב"כ המאשימה בטיעוני</w:t>
      </w:r>
      <w:r>
        <w:rPr>
          <w:rFonts w:ascii="FrankRuehl" w:hAnsi="FrankRuehl" w:hint="cs"/>
          <w:sz w:val="28"/>
          <w:rtl/>
        </w:rPr>
        <w:t xml:space="preserve">ה </w:t>
      </w:r>
      <w:r w:rsidRPr="00544E52">
        <w:rPr>
          <w:rFonts w:ascii="FrankRuehl" w:hAnsi="FrankRuehl"/>
          <w:sz w:val="28"/>
          <w:rtl/>
        </w:rPr>
        <w:t>בכתב (ט/1) ובעל פה ביקשה לגזור על הנאשם עונש מאסר בפועל שמשכו בין 12 חודשים ועד 36 חודשי מאסר בפועל, מאסר על תנאי ותשלום קנס משמעותי.  בטיעוניה שמה דגש על חומרת העבירה והפנתה למדיניות הענישה בהתאם לפסקי דין שונים (רובם מתייחסים גם לעבירה של נשיאה והובלה של נשק שאינה העבירה בה הורשע הנאשם).</w:t>
      </w:r>
    </w:p>
    <w:p w14:paraId="48D6CC4A" w14:textId="77777777" w:rsidR="003707C1" w:rsidRPr="00544E52" w:rsidRDefault="003707C1" w:rsidP="003707C1">
      <w:pPr>
        <w:pStyle w:val="a9"/>
        <w:spacing w:line="360" w:lineRule="auto"/>
        <w:jc w:val="both"/>
        <w:rPr>
          <w:rFonts w:ascii="FrankRuehl" w:hAnsi="FrankRuehl"/>
          <w:sz w:val="28"/>
          <w:rtl/>
        </w:rPr>
      </w:pPr>
    </w:p>
    <w:p w14:paraId="736800A8" w14:textId="77777777" w:rsidR="003707C1"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 xml:space="preserve"> הסנגור בטיעוניו בכתב (ס/1) ובע"פ ביקש לקבוע מתחם עונש הולם שנע בין 6 חודשי מאסר שיכול וירוצו בעבודות שירות לבין 12 חודשי מאסר בפועל וביקש להסתפק במקרה זה בעונש של מאסר שניתן לשאת בו בעבודות שירות. </w:t>
      </w:r>
    </w:p>
    <w:p w14:paraId="77EE1BB2" w14:textId="77777777" w:rsidR="003707C1" w:rsidRPr="00544E52" w:rsidRDefault="003707C1" w:rsidP="003707C1">
      <w:pPr>
        <w:pStyle w:val="a9"/>
        <w:rPr>
          <w:rFonts w:ascii="FrankRuehl" w:hAnsi="FrankRuehl"/>
          <w:sz w:val="28"/>
          <w:rtl/>
        </w:rPr>
      </w:pPr>
    </w:p>
    <w:p w14:paraId="04A986CF" w14:textId="77777777" w:rsidR="003707C1" w:rsidRDefault="003707C1" w:rsidP="003707C1">
      <w:pPr>
        <w:pStyle w:val="a9"/>
        <w:spacing w:line="360" w:lineRule="auto"/>
        <w:jc w:val="both"/>
        <w:rPr>
          <w:rFonts w:ascii="FrankRuehl" w:hAnsi="FrankRuehl"/>
          <w:sz w:val="28"/>
          <w:rtl/>
        </w:rPr>
      </w:pPr>
      <w:r>
        <w:rPr>
          <w:rFonts w:ascii="FrankRuehl" w:hAnsi="FrankRuehl" w:hint="cs"/>
          <w:sz w:val="28"/>
          <w:rtl/>
        </w:rPr>
        <w:t>ל</w:t>
      </w:r>
      <w:r w:rsidRPr="00544E52">
        <w:rPr>
          <w:rFonts w:ascii="FrankRuehl" w:hAnsi="FrankRuehl"/>
          <w:sz w:val="28"/>
          <w:rtl/>
        </w:rPr>
        <w:t>טענתו במקרה זה הפגיעה בערך החברתי נמוכה.  בשעת ביצוע העבירה ה</w:t>
      </w:r>
      <w:r>
        <w:rPr>
          <w:rFonts w:ascii="FrankRuehl" w:hAnsi="FrankRuehl" w:hint="cs"/>
          <w:sz w:val="28"/>
          <w:rtl/>
        </w:rPr>
        <w:t xml:space="preserve">נאשם  </w:t>
      </w:r>
      <w:r w:rsidRPr="00544E52">
        <w:rPr>
          <w:rFonts w:ascii="FrankRuehl" w:hAnsi="FrankRuehl"/>
          <w:sz w:val="28"/>
          <w:rtl/>
        </w:rPr>
        <w:t>נסע ברכב עם שני ילדי</w:t>
      </w:r>
      <w:r>
        <w:rPr>
          <w:rFonts w:ascii="FrankRuehl" w:hAnsi="FrankRuehl" w:hint="cs"/>
          <w:sz w:val="28"/>
          <w:rtl/>
        </w:rPr>
        <w:t>ו</w:t>
      </w:r>
      <w:r w:rsidRPr="00544E52">
        <w:rPr>
          <w:rFonts w:ascii="FrankRuehl" w:hAnsi="FrankRuehl"/>
          <w:sz w:val="28"/>
          <w:rtl/>
        </w:rPr>
        <w:t>, לא נגרם נזק לאדם או לרכוש ואין ראיה כי עתיד היה להיגרם נזק. לתמיכה בטענותיו הפנה לפסקי דין שונים רובם של בתי משפט מחוזי (וגזר דין אחד של בית משפט שלום).</w:t>
      </w:r>
    </w:p>
    <w:p w14:paraId="76A57283" w14:textId="77777777" w:rsidR="003707C1" w:rsidRPr="00544E52" w:rsidRDefault="003707C1" w:rsidP="003707C1">
      <w:pPr>
        <w:pStyle w:val="a9"/>
        <w:spacing w:line="360" w:lineRule="auto"/>
        <w:jc w:val="both"/>
        <w:rPr>
          <w:rFonts w:ascii="FrankRuehl" w:hAnsi="FrankRuehl"/>
          <w:sz w:val="28"/>
        </w:rPr>
      </w:pPr>
    </w:p>
    <w:p w14:paraId="4426F816" w14:textId="77777777" w:rsidR="003707C1" w:rsidRDefault="003707C1" w:rsidP="003707C1">
      <w:pPr>
        <w:pStyle w:val="a9"/>
        <w:spacing w:line="360" w:lineRule="auto"/>
        <w:jc w:val="both"/>
        <w:rPr>
          <w:rFonts w:ascii="FrankRuehl" w:hAnsi="FrankRuehl"/>
          <w:sz w:val="28"/>
          <w:rtl/>
        </w:rPr>
      </w:pPr>
      <w:r w:rsidRPr="00544E52">
        <w:rPr>
          <w:rFonts w:ascii="FrankRuehl" w:hAnsi="FrankRuehl"/>
          <w:sz w:val="28"/>
          <w:rtl/>
        </w:rPr>
        <w:t xml:space="preserve">בטיעוניו שם דגש על  נסיבות חייו של הנאשם, אדם נורמטיבי בעל משפחה תומכת, אב לשני ילדים קטנים, יציב מבחינה תעסוקתית, מעצרו למשך כחודש ימים הותיר צלקת </w:t>
      </w:r>
      <w:r w:rsidRPr="00544E52">
        <w:rPr>
          <w:rFonts w:ascii="FrankRuehl" w:hAnsi="FrankRuehl"/>
          <w:sz w:val="28"/>
          <w:rtl/>
        </w:rPr>
        <w:lastRenderedPageBreak/>
        <w:t xml:space="preserve">עמוקה בליבו. הנאשם היה עצור באזוק אלקטרוני מיום 9.1.2019 ועד 16.6.2019.  הסנגור ניתח את </w:t>
      </w:r>
      <w:r>
        <w:rPr>
          <w:rFonts w:ascii="FrankRuehl" w:hAnsi="FrankRuehl" w:hint="cs"/>
          <w:sz w:val="28"/>
          <w:rtl/>
        </w:rPr>
        <w:t>האמור ב</w:t>
      </w:r>
      <w:r w:rsidRPr="00544E52">
        <w:rPr>
          <w:rFonts w:ascii="FrankRuehl" w:hAnsi="FrankRuehl"/>
          <w:sz w:val="28"/>
          <w:rtl/>
        </w:rPr>
        <w:t>תסקיר שירות המבחן הפנה לנתונים החיובים המפורטים בו, לשיתוף הפעולה עם שירות המבחן ומהתרשמות קצינת המבחן כי אין לנאשם דפוסי התנהגות עבריינים</w:t>
      </w:r>
      <w:r>
        <w:rPr>
          <w:rFonts w:ascii="FrankRuehl" w:hAnsi="FrankRuehl" w:hint="cs"/>
          <w:sz w:val="28"/>
          <w:rtl/>
        </w:rPr>
        <w:t xml:space="preserve">.  </w:t>
      </w:r>
      <w:r w:rsidRPr="00544E52">
        <w:rPr>
          <w:rFonts w:ascii="FrankRuehl" w:hAnsi="FrankRuehl"/>
          <w:sz w:val="28"/>
          <w:rtl/>
        </w:rPr>
        <w:t xml:space="preserve">הסנגור חלק על מסקנות קצינת המבחן </w:t>
      </w:r>
      <w:r>
        <w:rPr>
          <w:rFonts w:ascii="FrankRuehl" w:hAnsi="FrankRuehl" w:hint="cs"/>
          <w:sz w:val="28"/>
          <w:rtl/>
        </w:rPr>
        <w:t xml:space="preserve">וטען </w:t>
      </w:r>
      <w:r w:rsidRPr="00544E52">
        <w:rPr>
          <w:rFonts w:ascii="FrankRuehl" w:hAnsi="FrankRuehl"/>
          <w:sz w:val="28"/>
          <w:rtl/>
        </w:rPr>
        <w:t>כי הנאשם לקח אחריות מלאה ושליחתו למאסר מאחורי סורג ובריח תפגע בו ובמשפחתו פגיעה קשה עם נזק בלתי הפיך.</w:t>
      </w:r>
    </w:p>
    <w:p w14:paraId="26083E6F" w14:textId="77777777" w:rsidR="003707C1" w:rsidRPr="00544E52" w:rsidRDefault="003707C1" w:rsidP="003707C1">
      <w:pPr>
        <w:pStyle w:val="a9"/>
        <w:spacing w:line="360" w:lineRule="auto"/>
        <w:jc w:val="both"/>
        <w:rPr>
          <w:rFonts w:ascii="FrankRuehl" w:hAnsi="FrankRuehl"/>
          <w:sz w:val="28"/>
        </w:rPr>
      </w:pPr>
    </w:p>
    <w:p w14:paraId="254FE505" w14:textId="77777777" w:rsidR="003707C1" w:rsidRPr="00544E52" w:rsidRDefault="003707C1" w:rsidP="003707C1">
      <w:pPr>
        <w:pStyle w:val="a9"/>
        <w:spacing w:line="360" w:lineRule="auto"/>
        <w:jc w:val="both"/>
        <w:rPr>
          <w:rFonts w:ascii="FrankRuehl" w:hAnsi="FrankRuehl"/>
          <w:sz w:val="28"/>
        </w:rPr>
      </w:pPr>
      <w:r w:rsidRPr="00544E52">
        <w:rPr>
          <w:rFonts w:ascii="FrankRuehl" w:hAnsi="FrankRuehl"/>
          <w:sz w:val="28"/>
          <w:rtl/>
        </w:rPr>
        <w:t xml:space="preserve">בתום הטיעונים הנאשם הביע צער על מעשיו ביקש שתינתן לו הזדמנות להישאר עם ילדיו ולהמשיך בחייו. </w:t>
      </w:r>
    </w:p>
    <w:p w14:paraId="0511A93E" w14:textId="77777777" w:rsidR="003707C1" w:rsidRPr="00EA032D" w:rsidRDefault="003707C1" w:rsidP="003707C1">
      <w:pPr>
        <w:pStyle w:val="a9"/>
        <w:spacing w:line="360" w:lineRule="auto"/>
        <w:jc w:val="both"/>
        <w:rPr>
          <w:rFonts w:ascii="Miriam" w:hAnsi="Miriam" w:cs="Miriam"/>
          <w:szCs w:val="24"/>
          <w:rtl/>
        </w:rPr>
      </w:pPr>
      <w:r w:rsidRPr="00EA032D">
        <w:rPr>
          <w:rFonts w:ascii="Miriam" w:hAnsi="Miriam" w:cs="Miriam"/>
          <w:szCs w:val="24"/>
          <w:rtl/>
        </w:rPr>
        <w:t>דיון</w:t>
      </w:r>
    </w:p>
    <w:p w14:paraId="11965A63" w14:textId="77777777" w:rsidR="003707C1" w:rsidRPr="00544E52"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במקרה זה חל תיקון 113 לחוק שקובע כי "העיקרון המנחה בענישה הוא קיומו של יחס הולם בין חומרת מעשה העבירה בנסיבותיו ומידת אשמו של הנאשם ובין סוג ומידת העונש המוטל עליו" (</w:t>
      </w:r>
      <w:hyperlink r:id="rId15" w:history="1">
        <w:r w:rsidR="00AA2882" w:rsidRPr="00AA2882">
          <w:rPr>
            <w:rFonts w:ascii="FrankRuehl" w:hAnsi="FrankRuehl"/>
            <w:color w:val="0000FF"/>
            <w:sz w:val="28"/>
            <w:u w:val="single"/>
            <w:rtl/>
          </w:rPr>
          <w:t>סעיף 40ב'</w:t>
        </w:r>
      </w:hyperlink>
      <w:r w:rsidRPr="00544E52">
        <w:rPr>
          <w:rFonts w:ascii="FrankRuehl" w:hAnsi="FrankRuehl"/>
          <w:sz w:val="28"/>
          <w:rtl/>
        </w:rPr>
        <w:t xml:space="preserve"> לחוק).</w:t>
      </w:r>
    </w:p>
    <w:p w14:paraId="5016378B" w14:textId="77777777" w:rsidR="003707C1" w:rsidRPr="00544E52" w:rsidRDefault="003707C1" w:rsidP="003707C1">
      <w:pPr>
        <w:pStyle w:val="a9"/>
        <w:spacing w:line="360" w:lineRule="auto"/>
        <w:jc w:val="both"/>
        <w:rPr>
          <w:rFonts w:ascii="FrankRuehl" w:hAnsi="FrankRuehl"/>
          <w:color w:val="FF0000"/>
          <w:sz w:val="28"/>
        </w:rPr>
      </w:pPr>
    </w:p>
    <w:p w14:paraId="7F5DB672" w14:textId="77777777" w:rsidR="003707C1" w:rsidRPr="00EA032D" w:rsidRDefault="003707C1" w:rsidP="003707C1">
      <w:pPr>
        <w:pStyle w:val="a9"/>
        <w:spacing w:line="360" w:lineRule="auto"/>
        <w:jc w:val="both"/>
        <w:rPr>
          <w:rFonts w:ascii="Miriam" w:hAnsi="Miriam" w:cs="Miriam"/>
          <w:szCs w:val="24"/>
        </w:rPr>
      </w:pPr>
      <w:r w:rsidRPr="00EA032D">
        <w:rPr>
          <w:rFonts w:ascii="Miriam" w:hAnsi="Miriam" w:cs="Miriam"/>
          <w:szCs w:val="24"/>
          <w:rtl/>
        </w:rPr>
        <w:t>מתחם העונש ההולם</w:t>
      </w:r>
    </w:p>
    <w:p w14:paraId="492D2348" w14:textId="77777777" w:rsidR="003707C1" w:rsidRDefault="003707C1" w:rsidP="003707C1">
      <w:pPr>
        <w:pStyle w:val="a9"/>
        <w:numPr>
          <w:ilvl w:val="0"/>
          <w:numId w:val="1"/>
        </w:numPr>
        <w:spacing w:line="360" w:lineRule="auto"/>
        <w:jc w:val="both"/>
        <w:rPr>
          <w:rFonts w:ascii="FrankRuehl" w:hAnsi="FrankRuehl"/>
          <w:sz w:val="28"/>
        </w:rPr>
      </w:pPr>
      <w:r>
        <w:rPr>
          <w:rFonts w:ascii="FrankRuehl" w:hAnsi="FrankRuehl" w:hint="cs"/>
          <w:sz w:val="28"/>
          <w:rtl/>
        </w:rPr>
        <w:t xml:space="preserve"> במהלך ה</w:t>
      </w:r>
      <w:r w:rsidRPr="00544E52">
        <w:rPr>
          <w:rFonts w:ascii="FrankRuehl" w:hAnsi="FrankRuehl"/>
          <w:sz w:val="28"/>
          <w:rtl/>
        </w:rPr>
        <w:t xml:space="preserve">אירוע נהג הנאשם ברכבו כשמתחת לבגדיו אקדח ובתוכו מחסנית ועל מושב הנוסע מחסנית נוספת. </w:t>
      </w:r>
    </w:p>
    <w:p w14:paraId="63AF6256" w14:textId="77777777" w:rsidR="003707C1" w:rsidRPr="00544E52" w:rsidRDefault="003707C1" w:rsidP="003707C1">
      <w:pPr>
        <w:pStyle w:val="a9"/>
        <w:spacing w:line="360" w:lineRule="auto"/>
        <w:jc w:val="both"/>
        <w:rPr>
          <w:rFonts w:ascii="FrankRuehl" w:hAnsi="FrankRuehl"/>
          <w:sz w:val="28"/>
          <w:rtl/>
        </w:rPr>
      </w:pPr>
      <w:r w:rsidRPr="00544E52">
        <w:rPr>
          <w:rFonts w:ascii="FrankRuehl" w:hAnsi="FrankRuehl"/>
          <w:sz w:val="28"/>
          <w:rtl/>
        </w:rPr>
        <w:t>בכל עבירה בנשק יש פוטנציאל פגיעה משמעותי בערכים החברתיים של שלום הציבור וביטחונו וסיכון ממשי לחיי אדם. במקרה</w:t>
      </w:r>
      <w:r>
        <w:rPr>
          <w:rFonts w:ascii="FrankRuehl" w:hAnsi="FrankRuehl"/>
          <w:sz w:val="28"/>
          <w:rtl/>
        </w:rPr>
        <w:t xml:space="preserve"> זה הפגיעה בערכים אלו </w:t>
      </w:r>
      <w:r>
        <w:rPr>
          <w:rFonts w:ascii="FrankRuehl" w:hAnsi="FrankRuehl" w:hint="cs"/>
          <w:sz w:val="28"/>
          <w:rtl/>
        </w:rPr>
        <w:t>לא הייתה חמורה</w:t>
      </w:r>
      <w:r w:rsidRPr="00544E52">
        <w:rPr>
          <w:rFonts w:ascii="FrankRuehl" w:hAnsi="FrankRuehl"/>
          <w:sz w:val="28"/>
          <w:rtl/>
        </w:rPr>
        <w:t>.</w:t>
      </w:r>
    </w:p>
    <w:p w14:paraId="5A5C6DA2" w14:textId="77777777" w:rsidR="003707C1" w:rsidRPr="00544E52" w:rsidRDefault="003707C1" w:rsidP="003707C1">
      <w:pPr>
        <w:spacing w:line="360" w:lineRule="auto"/>
        <w:ind w:left="720"/>
        <w:jc w:val="both"/>
        <w:rPr>
          <w:rFonts w:ascii="FrankRuehl" w:hAnsi="FrankRuehl" w:cs="FrankRuehl"/>
          <w:color w:val="FF0000"/>
          <w:sz w:val="28"/>
          <w:szCs w:val="28"/>
          <w:rtl/>
        </w:rPr>
      </w:pPr>
    </w:p>
    <w:p w14:paraId="26E6CB60"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אשר למדיניות הענישה הנהוגה, מנעד הענישה בעבירות בנשק רחב, בין השאר בהתחשב בסוג העבירה (החזקה, נשיאה, סחר), סוג הנשק וכמותו.  מקובלת עליי טענת המאשימה כי יש לראות בעובדה כי האקדח היה טעון במחסנית נסיבה מחמירה, כך שהנשק היה זמין ונגיש לפעילות מידית.  נסיבה המעצימה את פוטנציאל המסוכנות להפיכת הנשק לכלי קטלני גם לא במכוון.  העובדה כי ברכב היו נוסעים, לרבות שני ילדיו הקטנים מחזקת את החשש לפגיעה כאמור.</w:t>
      </w:r>
    </w:p>
    <w:p w14:paraId="7F14EE73" w14:textId="77777777" w:rsidR="003707C1" w:rsidRPr="00544E52" w:rsidRDefault="003707C1" w:rsidP="003707C1">
      <w:pPr>
        <w:spacing w:line="360" w:lineRule="auto"/>
        <w:ind w:left="720"/>
        <w:jc w:val="both"/>
        <w:rPr>
          <w:rFonts w:ascii="FrankRuehl" w:hAnsi="FrankRuehl" w:cs="FrankRuehl"/>
          <w:sz w:val="28"/>
          <w:szCs w:val="28"/>
          <w:rtl/>
        </w:rPr>
      </w:pPr>
    </w:p>
    <w:p w14:paraId="610CA40B"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העונש המרבי הקבוע בחוק בגין עבירה של החזקת נשק עומד על 7 שנות מאסר (</w:t>
      </w:r>
      <w:hyperlink r:id="rId16" w:history="1">
        <w:r w:rsidR="00AA2882" w:rsidRPr="00AA2882">
          <w:rPr>
            <w:rFonts w:ascii="FrankRuehl" w:hAnsi="FrankRuehl" w:cs="FrankRuehl"/>
            <w:color w:val="0000FF"/>
            <w:sz w:val="28"/>
            <w:szCs w:val="28"/>
            <w:u w:val="single"/>
            <w:rtl/>
          </w:rPr>
          <w:t>סעיף 144(א)</w:t>
        </w:r>
      </w:hyperlink>
      <w:r w:rsidRPr="00544E52">
        <w:rPr>
          <w:rFonts w:ascii="FrankRuehl" w:hAnsi="FrankRuehl" w:cs="FrankRuehl"/>
          <w:sz w:val="28"/>
          <w:szCs w:val="28"/>
          <w:rtl/>
        </w:rPr>
        <w:t xml:space="preserve"> רישא לחוק).</w:t>
      </w:r>
    </w:p>
    <w:p w14:paraId="3CFE13FC" w14:textId="77777777" w:rsidR="003707C1" w:rsidRPr="00544E52" w:rsidRDefault="003707C1" w:rsidP="003707C1">
      <w:pPr>
        <w:spacing w:line="360" w:lineRule="auto"/>
        <w:ind w:left="720"/>
        <w:jc w:val="both"/>
        <w:rPr>
          <w:rFonts w:ascii="FrankRuehl" w:hAnsi="FrankRuehl" w:cs="FrankRuehl"/>
          <w:color w:val="FF0000"/>
          <w:sz w:val="28"/>
          <w:szCs w:val="28"/>
        </w:rPr>
      </w:pPr>
    </w:p>
    <w:p w14:paraId="7A518A27"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 xml:space="preserve">בתי  המשפט עמדו לא פעם על החומרה הרבה הגלומה בעבירות בנשק, גם כאשר מדובר בעבירה של החזקה ונשיאה, בין היתר בשל הפוטנציאל לגרימת נזק חמור מאוד. </w:t>
      </w:r>
      <w:r w:rsidRPr="00544E52">
        <w:rPr>
          <w:rFonts w:ascii="FrankRuehl" w:hAnsi="FrankRuehl" w:cs="FrankRuehl"/>
          <w:spacing w:val="10"/>
          <w:sz w:val="28"/>
          <w:szCs w:val="28"/>
          <w:rtl/>
        </w:rPr>
        <w:t>ראו לעניין זה דברי כב' השופט סולברג ב</w:t>
      </w:r>
      <w:hyperlink r:id="rId17" w:history="1">
        <w:r w:rsidR="006227CC" w:rsidRPr="006227CC">
          <w:rPr>
            <w:rFonts w:ascii="FrankRuehl" w:hAnsi="FrankRuehl" w:cs="FrankRuehl"/>
            <w:color w:val="0000FF"/>
            <w:spacing w:val="10"/>
            <w:sz w:val="28"/>
            <w:szCs w:val="28"/>
            <w:u w:val="single"/>
            <w:rtl/>
          </w:rPr>
          <w:t>ע"פ  135/17</w:t>
        </w:r>
      </w:hyperlink>
      <w:r w:rsidRPr="00544E52">
        <w:rPr>
          <w:rFonts w:ascii="FrankRuehl" w:hAnsi="FrankRuehl" w:cs="FrankRuehl"/>
          <w:spacing w:val="10"/>
          <w:sz w:val="28"/>
          <w:szCs w:val="28"/>
          <w:rtl/>
        </w:rPr>
        <w:t xml:space="preserve"> </w:t>
      </w:r>
      <w:r w:rsidRPr="00EA032D">
        <w:rPr>
          <w:rFonts w:ascii="Miriam" w:hAnsi="Miriam" w:cs="Miriam"/>
          <w:spacing w:val="10"/>
          <w:rtl/>
        </w:rPr>
        <w:t>מדינת ישראל נגד בסל</w:t>
      </w:r>
      <w:r w:rsidRPr="00544E52">
        <w:rPr>
          <w:rFonts w:ascii="FrankRuehl" w:hAnsi="FrankRuehl" w:cs="FrankRuehl"/>
          <w:spacing w:val="10"/>
          <w:sz w:val="28"/>
          <w:szCs w:val="28"/>
          <w:rtl/>
        </w:rPr>
        <w:t xml:space="preserve"> (8.3.2018) אשר קובע כדלקמן:</w:t>
      </w:r>
    </w:p>
    <w:p w14:paraId="252DF1AE" w14:textId="77777777" w:rsidR="003707C1" w:rsidRPr="00544E52" w:rsidRDefault="003707C1" w:rsidP="003707C1">
      <w:pPr>
        <w:ind w:left="1080" w:right="709"/>
        <w:jc w:val="both"/>
        <w:rPr>
          <w:rFonts w:ascii="FrankRuehl" w:hAnsi="FrankRuehl" w:cs="FrankRuehl"/>
          <w:spacing w:val="10"/>
          <w:sz w:val="28"/>
          <w:szCs w:val="28"/>
          <w:rtl/>
        </w:rPr>
      </w:pPr>
      <w:r w:rsidRPr="00544E52">
        <w:rPr>
          <w:rFonts w:ascii="FrankRuehl" w:hAnsi="FrankRuehl" w:cs="FrankRuehl"/>
          <w:spacing w:val="10"/>
          <w:sz w:val="28"/>
          <w:szCs w:val="28"/>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w:t>
      </w:r>
    </w:p>
    <w:p w14:paraId="6E9D6F42" w14:textId="77777777" w:rsidR="003707C1" w:rsidRPr="00544E52" w:rsidRDefault="003707C1" w:rsidP="003707C1">
      <w:pPr>
        <w:spacing w:line="360" w:lineRule="auto"/>
        <w:ind w:left="1080" w:right="709"/>
        <w:jc w:val="both"/>
        <w:rPr>
          <w:rFonts w:ascii="FrankRuehl" w:hAnsi="FrankRuehl" w:cs="FrankRuehl"/>
          <w:color w:val="FF0000"/>
          <w:spacing w:val="10"/>
          <w:sz w:val="28"/>
          <w:szCs w:val="28"/>
          <w:rtl/>
        </w:rPr>
      </w:pPr>
    </w:p>
    <w:p w14:paraId="28C22905" w14:textId="77777777" w:rsidR="003707C1" w:rsidRPr="00544E52" w:rsidRDefault="003707C1" w:rsidP="003707C1">
      <w:pPr>
        <w:spacing w:line="360" w:lineRule="auto"/>
        <w:ind w:left="651"/>
        <w:jc w:val="both"/>
        <w:rPr>
          <w:rFonts w:ascii="FrankRuehl" w:hAnsi="FrankRuehl" w:cs="FrankRuehl"/>
          <w:spacing w:val="10"/>
          <w:sz w:val="28"/>
          <w:szCs w:val="28"/>
          <w:rtl/>
        </w:rPr>
      </w:pPr>
      <w:r w:rsidRPr="00544E52">
        <w:rPr>
          <w:rFonts w:ascii="FrankRuehl" w:hAnsi="FrankRuehl" w:cs="FrankRuehl"/>
          <w:spacing w:val="10"/>
          <w:sz w:val="28"/>
          <w:szCs w:val="28"/>
          <w:rtl/>
        </w:rPr>
        <w:t xml:space="preserve">עוד ראו </w:t>
      </w:r>
      <w:hyperlink r:id="rId18" w:history="1">
        <w:r w:rsidR="006227CC" w:rsidRPr="006227CC">
          <w:rPr>
            <w:rFonts w:ascii="FrankRuehl" w:hAnsi="FrankRuehl" w:cs="FrankRuehl"/>
            <w:color w:val="0000FF"/>
            <w:spacing w:val="10"/>
            <w:sz w:val="28"/>
            <w:szCs w:val="28"/>
            <w:u w:val="single"/>
            <w:rtl/>
          </w:rPr>
          <w:t>ע"פ  3877/16</w:t>
        </w:r>
      </w:hyperlink>
      <w:r w:rsidRPr="00544E52">
        <w:rPr>
          <w:rFonts w:ascii="FrankRuehl" w:hAnsi="FrankRuehl" w:cs="FrankRuehl"/>
          <w:spacing w:val="10"/>
          <w:sz w:val="28"/>
          <w:szCs w:val="28"/>
          <w:rtl/>
        </w:rPr>
        <w:t xml:space="preserve"> </w:t>
      </w:r>
      <w:r w:rsidRPr="00EA032D">
        <w:rPr>
          <w:rFonts w:ascii="Miriam" w:hAnsi="Miriam" w:cs="Miriam"/>
          <w:spacing w:val="10"/>
          <w:rtl/>
        </w:rPr>
        <w:t>ג'באלי נגד מדינת ישראל</w:t>
      </w:r>
      <w:r w:rsidRPr="00544E52">
        <w:rPr>
          <w:rFonts w:ascii="FrankRuehl" w:hAnsi="FrankRuehl" w:cs="FrankRuehl"/>
          <w:spacing w:val="10"/>
          <w:sz w:val="28"/>
          <w:szCs w:val="28"/>
          <w:rtl/>
        </w:rPr>
        <w:t xml:space="preserve"> (17.11.2016) אשר קבע לעניין עבירת החזקת נשק ונשיאתו כדלקמן:</w:t>
      </w:r>
    </w:p>
    <w:p w14:paraId="3BAC69FA" w14:textId="77777777" w:rsidR="003707C1" w:rsidRPr="00544E52" w:rsidRDefault="003707C1" w:rsidP="003707C1">
      <w:pPr>
        <w:ind w:left="1080" w:right="851"/>
        <w:jc w:val="both"/>
        <w:rPr>
          <w:rFonts w:ascii="FrankRuehl" w:hAnsi="FrankRuehl" w:cs="FrankRuehl"/>
          <w:spacing w:val="10"/>
          <w:sz w:val="28"/>
          <w:szCs w:val="28"/>
          <w:rtl/>
        </w:rPr>
      </w:pPr>
      <w:r w:rsidRPr="00544E52">
        <w:rPr>
          <w:rFonts w:ascii="FrankRuehl" w:hAnsi="FrankRuehl" w:cs="FrankRuehl"/>
          <w:spacing w:val="10"/>
          <w:sz w:val="28"/>
          <w:szCs w:val="28"/>
          <w:rtl/>
        </w:rPr>
        <w:t>" 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p>
    <w:p w14:paraId="606A6865" w14:textId="77777777" w:rsidR="003707C1" w:rsidRPr="00544E52" w:rsidRDefault="003707C1" w:rsidP="003707C1">
      <w:pPr>
        <w:spacing w:line="360" w:lineRule="auto"/>
        <w:ind w:left="1080" w:right="851"/>
        <w:jc w:val="both"/>
        <w:rPr>
          <w:rFonts w:ascii="FrankRuehl" w:hAnsi="FrankRuehl" w:cs="FrankRuehl"/>
          <w:color w:val="FF0000"/>
          <w:spacing w:val="10"/>
          <w:sz w:val="28"/>
          <w:szCs w:val="28"/>
          <w:rtl/>
        </w:rPr>
      </w:pPr>
    </w:p>
    <w:p w14:paraId="6D33DCF4" w14:textId="77777777" w:rsidR="003707C1" w:rsidRPr="00544E52" w:rsidRDefault="003707C1" w:rsidP="003707C1">
      <w:pPr>
        <w:pStyle w:val="Ruller3"/>
        <w:numPr>
          <w:ilvl w:val="0"/>
          <w:numId w:val="1"/>
        </w:numPr>
        <w:tabs>
          <w:tab w:val="clear" w:pos="720"/>
        </w:tabs>
        <w:ind w:left="368"/>
        <w:jc w:val="both"/>
        <w:rPr>
          <w:rFonts w:ascii="FrankRuehl" w:hAnsi="FrankRuehl"/>
          <w:sz w:val="28"/>
          <w:rtl/>
        </w:rPr>
      </w:pPr>
      <w:r w:rsidRPr="00544E52">
        <w:rPr>
          <w:rFonts w:ascii="FrankRuehl" w:hAnsi="FrankRuehl"/>
          <w:sz w:val="28"/>
          <w:rtl/>
        </w:rPr>
        <w:t>ב</w:t>
      </w:r>
      <w:hyperlink r:id="rId19" w:history="1">
        <w:r w:rsidR="006227CC" w:rsidRPr="006227CC">
          <w:rPr>
            <w:rFonts w:ascii="FrankRuehl" w:hAnsi="FrankRuehl"/>
            <w:color w:val="0000FF"/>
            <w:sz w:val="28"/>
            <w:u w:val="single"/>
            <w:rtl/>
          </w:rPr>
          <w:t>ע"פ 2398/14</w:t>
        </w:r>
      </w:hyperlink>
      <w:r w:rsidRPr="00544E52">
        <w:rPr>
          <w:rFonts w:ascii="FrankRuehl" w:hAnsi="FrankRuehl"/>
          <w:sz w:val="28"/>
          <w:rtl/>
        </w:rPr>
        <w:t xml:space="preserve"> </w:t>
      </w:r>
      <w:r w:rsidRPr="00454297">
        <w:rPr>
          <w:rFonts w:ascii="Miriam" w:hAnsi="Miriam" w:cs="Miriam"/>
          <w:sz w:val="24"/>
          <w:szCs w:val="24"/>
          <w:rtl/>
        </w:rPr>
        <w:t>אלהזייל נגד מדינת ישראל</w:t>
      </w:r>
      <w:r w:rsidRPr="00544E52">
        <w:rPr>
          <w:rFonts w:ascii="FrankRuehl" w:hAnsi="FrankRuehl"/>
          <w:sz w:val="28"/>
          <w:rtl/>
        </w:rPr>
        <w:t xml:space="preserve"> (8.7.2014), הורשע הנאשם באותה עבירה בנסיבות דומות, הוא החזיק ברכבו בקופסה שהייתה על מושב הנוסע הקדמי באקדח ובו מחסנית עם כדורים.  בית המשפט המחוזי גזר עליו עונש של 13 חודשי מאסר בפועל, ערעורו נדחה על ידי בית המשפט העליון וכך נקבע באותו פסק דין:</w:t>
      </w:r>
    </w:p>
    <w:p w14:paraId="79B07CEA" w14:textId="77777777" w:rsidR="003707C1" w:rsidRPr="00544E52" w:rsidRDefault="003707C1" w:rsidP="003707C1">
      <w:pPr>
        <w:pStyle w:val="Ruller40"/>
        <w:spacing w:line="240" w:lineRule="auto"/>
        <w:ind w:left="1440" w:right="567"/>
        <w:rPr>
          <w:rFonts w:ascii="FrankRuehl" w:hAnsi="FrankRuehl"/>
          <w:sz w:val="28"/>
          <w:rtl/>
        </w:rPr>
      </w:pPr>
      <w:r w:rsidRPr="00544E52">
        <w:rPr>
          <w:rFonts w:ascii="FrankRuehl" w:hAnsi="FrankRuehl"/>
          <w:sz w:val="28"/>
          <w:rtl/>
        </w:rPr>
        <w:t xml:space="preserve">"אחזור ואדגיש את מדיניות ההחמרה בעבירות נשק, שבאה לידי ביטוי בשורה ארוכה של פסקי דין של בית משפט זה בשנים האחרונות (ראו, לדוגמה, </w:t>
      </w:r>
      <w:hyperlink r:id="rId20" w:history="1">
        <w:r w:rsidR="006227CC" w:rsidRPr="006227CC">
          <w:rPr>
            <w:rFonts w:ascii="FrankRuehl" w:hAnsi="FrankRuehl"/>
            <w:color w:val="0000FF"/>
            <w:sz w:val="28"/>
            <w:u w:val="single"/>
            <w:rtl/>
          </w:rPr>
          <w:t>ע"פ 4945/13</w:t>
        </w:r>
      </w:hyperlink>
      <w:r w:rsidRPr="00544E52">
        <w:rPr>
          <w:rFonts w:ascii="FrankRuehl" w:hAnsi="FrankRuehl"/>
          <w:sz w:val="28"/>
          <w:rtl/>
        </w:rPr>
        <w:t xml:space="preserve"> </w:t>
      </w:r>
      <w:r w:rsidRPr="006F3882">
        <w:rPr>
          <w:rFonts w:ascii="Miriam" w:hAnsi="Miriam" w:cs="Miriam"/>
          <w:spacing w:val="0"/>
          <w:sz w:val="24"/>
          <w:szCs w:val="24"/>
          <w:rtl/>
        </w:rPr>
        <w:t>מדינת ישראל נ' עבד אלכרים סלימאן</w:t>
      </w:r>
      <w:r w:rsidRPr="00544E52">
        <w:rPr>
          <w:rFonts w:ascii="FrankRuehl" w:hAnsi="FrankRuehl"/>
          <w:sz w:val="28"/>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מדויקת, באשר לעיתים מזומנות האקדח אינו ממתין עד למערכה האחרונה ויורה עוד קודם לכן. מכאן, שבעבירות כגון דא, גם לשיקולי ההרתעה משקל של ממש". </w:t>
      </w:r>
    </w:p>
    <w:p w14:paraId="02B51C04" w14:textId="77777777" w:rsidR="003707C1" w:rsidRPr="00544E52" w:rsidRDefault="003707C1" w:rsidP="003707C1">
      <w:pPr>
        <w:pStyle w:val="Ruller40"/>
        <w:rPr>
          <w:rFonts w:ascii="FrankRuehl" w:hAnsi="FrankRuehl"/>
          <w:sz w:val="28"/>
          <w:rtl/>
        </w:rPr>
      </w:pPr>
      <w:r w:rsidRPr="00544E52">
        <w:rPr>
          <w:rFonts w:ascii="FrankRuehl" w:hAnsi="FrankRuehl"/>
          <w:sz w:val="28"/>
          <w:rtl/>
        </w:rPr>
        <w:tab/>
      </w:r>
    </w:p>
    <w:p w14:paraId="7900746E"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ב"כ המאשימה הפנתה בטיעוניה ל</w:t>
      </w:r>
      <w:hyperlink r:id="rId21" w:history="1">
        <w:r w:rsidR="006227CC" w:rsidRPr="006227CC">
          <w:rPr>
            <w:rFonts w:ascii="FrankRuehl" w:hAnsi="FrankRuehl" w:cs="FrankRuehl"/>
            <w:color w:val="0000FF"/>
            <w:sz w:val="28"/>
            <w:szCs w:val="28"/>
            <w:u w:val="single"/>
            <w:rtl/>
          </w:rPr>
          <w:t>ע"פ 3632/14</w:t>
        </w:r>
      </w:hyperlink>
      <w:r w:rsidRPr="00544E52">
        <w:rPr>
          <w:rFonts w:ascii="FrankRuehl" w:hAnsi="FrankRuehl" w:cs="FrankRuehl"/>
          <w:sz w:val="28"/>
          <w:szCs w:val="28"/>
          <w:rtl/>
        </w:rPr>
        <w:t xml:space="preserve"> </w:t>
      </w:r>
      <w:r w:rsidRPr="006F3882">
        <w:rPr>
          <w:rFonts w:ascii="Miriam" w:hAnsi="Miriam" w:cs="Miriam"/>
          <w:rtl/>
        </w:rPr>
        <w:t>אבו סבית נגד מדינת ישראל</w:t>
      </w:r>
      <w:r w:rsidRPr="00544E52">
        <w:rPr>
          <w:rFonts w:ascii="FrankRuehl" w:hAnsi="FrankRuehl" w:cs="FrankRuehl"/>
          <w:sz w:val="28"/>
          <w:szCs w:val="28"/>
          <w:rtl/>
        </w:rPr>
        <w:t xml:space="preserve"> (8.12.2014),  באותו מקרה נדחה ערעורו של צעיר ללא עבר פלילי שנדון ל-18 חודשי מאסר בפועל בגין עבירה של החזקת נשק.  </w:t>
      </w:r>
    </w:p>
    <w:p w14:paraId="217F9BE6" w14:textId="77777777" w:rsidR="003707C1" w:rsidRPr="00544E52" w:rsidRDefault="003707C1" w:rsidP="003707C1">
      <w:pPr>
        <w:spacing w:line="360" w:lineRule="auto"/>
        <w:ind w:left="720"/>
        <w:jc w:val="both"/>
        <w:rPr>
          <w:rFonts w:ascii="FrankRuehl" w:hAnsi="FrankRuehl" w:cs="FrankRuehl"/>
          <w:sz w:val="28"/>
          <w:szCs w:val="28"/>
          <w:rtl/>
        </w:rPr>
      </w:pPr>
    </w:p>
    <w:p w14:paraId="378C7B61" w14:textId="77777777" w:rsidR="003707C1" w:rsidRPr="00544E52" w:rsidRDefault="003707C1" w:rsidP="003707C1">
      <w:pPr>
        <w:pStyle w:val="a9"/>
        <w:spacing w:line="360" w:lineRule="auto"/>
        <w:jc w:val="both"/>
        <w:rPr>
          <w:rFonts w:ascii="FrankRuehl" w:hAnsi="FrankRuehl"/>
          <w:sz w:val="28"/>
          <w:rtl/>
        </w:rPr>
      </w:pPr>
      <w:r w:rsidRPr="00544E52">
        <w:rPr>
          <w:rFonts w:ascii="FrankRuehl" w:hAnsi="FrankRuehl"/>
          <w:sz w:val="28"/>
          <w:rtl/>
        </w:rPr>
        <w:t>הסנגור הפנה ל</w:t>
      </w:r>
      <w:hyperlink r:id="rId22" w:history="1">
        <w:r w:rsidR="006227CC" w:rsidRPr="006227CC">
          <w:rPr>
            <w:rFonts w:ascii="FrankRuehl" w:hAnsi="FrankRuehl"/>
            <w:color w:val="0000FF"/>
            <w:sz w:val="28"/>
            <w:u w:val="single"/>
            <w:rtl/>
          </w:rPr>
          <w:t>ע"פ 8473/17</w:t>
        </w:r>
      </w:hyperlink>
      <w:r w:rsidRPr="00544E52">
        <w:rPr>
          <w:rFonts w:ascii="FrankRuehl" w:hAnsi="FrankRuehl"/>
          <w:sz w:val="28"/>
          <w:rtl/>
        </w:rPr>
        <w:t xml:space="preserve"> </w:t>
      </w:r>
      <w:r w:rsidRPr="006F3882">
        <w:rPr>
          <w:rFonts w:ascii="Miriam" w:hAnsi="Miriam" w:cs="Miriam"/>
          <w:szCs w:val="24"/>
          <w:rtl/>
        </w:rPr>
        <w:t>חשיבון נגד מדינת ישראל</w:t>
      </w:r>
      <w:r w:rsidRPr="00544E52">
        <w:rPr>
          <w:rFonts w:ascii="FrankRuehl" w:hAnsi="FrankRuehl"/>
          <w:sz w:val="28"/>
          <w:rtl/>
        </w:rPr>
        <w:t xml:space="preserve"> (27.6.2019) (להלן-ענין חשיבון). הנאשם באותו מקרה החזיק באקדח ללא תחמושת, בית המשפט המחוזי קבע מתחם ענישה שבין 12  ל-36 חודשי מאסר בפועל והטיל עליו עונש של 16 חודשי מאסר בפועל, ערעורו של הנאשם לבית המשפט העליון התקבל והועמד על 9 חודשי מאסר בעבודות שירות בשל "נסיבות מיוחדות של תיק זה, המערער עבר תהליך שיקומי משמעותי".</w:t>
      </w:r>
    </w:p>
    <w:p w14:paraId="23661441" w14:textId="77777777" w:rsidR="003707C1" w:rsidRPr="00544E52" w:rsidRDefault="003707C1" w:rsidP="003707C1">
      <w:pPr>
        <w:pStyle w:val="a9"/>
        <w:spacing w:line="360" w:lineRule="auto"/>
        <w:jc w:val="both"/>
        <w:rPr>
          <w:rFonts w:ascii="FrankRuehl" w:hAnsi="FrankRuehl"/>
          <w:sz w:val="28"/>
          <w:rtl/>
          <w:lang w:eastAsia="he-IL"/>
        </w:rPr>
      </w:pPr>
      <w:r w:rsidRPr="00544E52">
        <w:rPr>
          <w:rFonts w:ascii="FrankRuehl" w:hAnsi="FrankRuehl"/>
          <w:sz w:val="28"/>
          <w:rtl/>
        </w:rPr>
        <w:t>עוד הפנה הסנגור ל</w:t>
      </w:r>
      <w:hyperlink r:id="rId23" w:history="1">
        <w:r w:rsidR="006227CC" w:rsidRPr="006227CC">
          <w:rPr>
            <w:rFonts w:ascii="FrankRuehl" w:hAnsi="FrankRuehl"/>
            <w:color w:val="0000FF"/>
            <w:sz w:val="28"/>
            <w:u w:val="single"/>
            <w:rtl/>
          </w:rPr>
          <w:t>ע"פ 4945/13</w:t>
        </w:r>
      </w:hyperlink>
      <w:r w:rsidRPr="00544E52">
        <w:rPr>
          <w:rFonts w:ascii="FrankRuehl" w:hAnsi="FrankRuehl"/>
          <w:sz w:val="28"/>
          <w:rtl/>
          <w:lang w:eastAsia="he-IL"/>
        </w:rPr>
        <w:t xml:space="preserve"> </w:t>
      </w:r>
      <w:r w:rsidRPr="006F3882">
        <w:rPr>
          <w:rFonts w:ascii="Miriam" w:hAnsi="Miriam" w:cs="Miriam"/>
          <w:szCs w:val="24"/>
          <w:rtl/>
          <w:lang w:eastAsia="he-IL"/>
        </w:rPr>
        <w:t>מדינת ישראל נ' סלימאן</w:t>
      </w:r>
      <w:r w:rsidRPr="00544E52">
        <w:rPr>
          <w:rFonts w:ascii="FrankRuehl" w:hAnsi="FrankRuehl"/>
          <w:sz w:val="28"/>
          <w:rtl/>
          <w:lang w:eastAsia="he-IL"/>
        </w:rPr>
        <w:t xml:space="preserve"> (19.1.2014) (</w:t>
      </w:r>
      <w:r>
        <w:rPr>
          <w:rFonts w:ascii="FrankRuehl" w:hAnsi="FrankRuehl" w:hint="cs"/>
          <w:sz w:val="28"/>
          <w:rtl/>
          <w:lang w:eastAsia="he-IL"/>
        </w:rPr>
        <w:t xml:space="preserve">להלן- </w:t>
      </w:r>
      <w:r w:rsidRPr="00544E52">
        <w:rPr>
          <w:rFonts w:ascii="FrankRuehl" w:hAnsi="FrankRuehl"/>
          <w:sz w:val="28"/>
          <w:rtl/>
          <w:lang w:eastAsia="he-IL"/>
        </w:rPr>
        <w:t>ענין סלימאן), בו הגישה המדינה ערעור על קולת עונשו של משיב בן 20 אשר הורשע בעבירה של רכישה והחזקה של נשק ותחמושת, נשיאה והובלת נשק ותחמושת, הפרעה לשוטר במילוי תפקידו, מעשה פזיזות ורשלנות והסתייעות ברכב לביצוע פשע. בית משפט המחוזי קבע מתחם שנע בין מאסר שירוצה בעבודות שירות ל- 20 חודשי מאסר בפועל, נגזר על המבקש עונש של 6 חודשים לביצוע בעבודות שירות.  בית משפט העליון אומנם דחה את הערעור ב</w:t>
      </w:r>
      <w:r>
        <w:rPr>
          <w:rFonts w:ascii="FrankRuehl" w:hAnsi="FrankRuehl" w:hint="cs"/>
          <w:sz w:val="28"/>
          <w:rtl/>
          <w:lang w:eastAsia="he-IL"/>
        </w:rPr>
        <w:t>של ה</w:t>
      </w:r>
      <w:r w:rsidRPr="00544E52">
        <w:rPr>
          <w:rFonts w:ascii="FrankRuehl" w:hAnsi="FrankRuehl"/>
          <w:sz w:val="28"/>
          <w:rtl/>
          <w:lang w:eastAsia="he-IL"/>
        </w:rPr>
        <w:t xml:space="preserve">נסיבות המיוחדות של </w:t>
      </w:r>
      <w:r>
        <w:rPr>
          <w:rFonts w:ascii="FrankRuehl" w:hAnsi="FrankRuehl" w:hint="cs"/>
          <w:sz w:val="28"/>
          <w:rtl/>
          <w:lang w:eastAsia="he-IL"/>
        </w:rPr>
        <w:t xml:space="preserve">אותו </w:t>
      </w:r>
      <w:r w:rsidRPr="00544E52">
        <w:rPr>
          <w:rFonts w:ascii="FrankRuehl" w:hAnsi="FrankRuehl"/>
          <w:sz w:val="28"/>
          <w:rtl/>
          <w:lang w:eastAsia="he-IL"/>
        </w:rPr>
        <w:t>תיק (כאשר אחד משופטי ההרכב הגדיר זאת</w:t>
      </w:r>
      <w:r>
        <w:rPr>
          <w:rFonts w:ascii="FrankRuehl" w:hAnsi="FrankRuehl" w:hint="cs"/>
          <w:sz w:val="28"/>
          <w:rtl/>
          <w:lang w:eastAsia="he-IL"/>
        </w:rPr>
        <w:t xml:space="preserve"> כך:</w:t>
      </w:r>
      <w:r w:rsidRPr="00544E52">
        <w:rPr>
          <w:rFonts w:ascii="FrankRuehl" w:hAnsi="FrankRuehl"/>
          <w:sz w:val="28"/>
          <w:rtl/>
          <w:lang w:eastAsia="he-IL"/>
        </w:rPr>
        <w:t xml:space="preserve"> "</w:t>
      </w:r>
      <w:r w:rsidRPr="00544E52">
        <w:rPr>
          <w:rFonts w:ascii="FrankRuehl" w:hAnsi="FrankRuehl"/>
          <w:sz w:val="28"/>
          <w:rtl/>
        </w:rPr>
        <w:t xml:space="preserve"> המשיב נמלט לטעמי מן המאסר אך בעור שיניו</w:t>
      </w:r>
      <w:r w:rsidRPr="00544E52">
        <w:rPr>
          <w:rFonts w:ascii="FrankRuehl" w:hAnsi="FrankRuehl"/>
          <w:sz w:val="28"/>
          <w:rtl/>
          <w:lang w:eastAsia="he-IL"/>
        </w:rPr>
        <w:t xml:space="preserve">..."), </w:t>
      </w:r>
      <w:r>
        <w:rPr>
          <w:rFonts w:ascii="FrankRuehl" w:hAnsi="FrankRuehl" w:hint="cs"/>
          <w:sz w:val="28"/>
          <w:rtl/>
          <w:lang w:eastAsia="he-IL"/>
        </w:rPr>
        <w:t>וכך נקבע</w:t>
      </w:r>
      <w:r w:rsidRPr="00544E52">
        <w:rPr>
          <w:rFonts w:ascii="FrankRuehl" w:hAnsi="FrankRuehl"/>
          <w:sz w:val="28"/>
          <w:rtl/>
          <w:lang w:eastAsia="he-IL"/>
        </w:rPr>
        <w:t>:</w:t>
      </w:r>
    </w:p>
    <w:p w14:paraId="1E23B730" w14:textId="77777777" w:rsidR="003707C1" w:rsidRDefault="003707C1" w:rsidP="003707C1">
      <w:pPr>
        <w:pStyle w:val="Ruller40"/>
        <w:spacing w:line="240" w:lineRule="auto"/>
        <w:ind w:left="1502" w:right="709"/>
        <w:rPr>
          <w:rFonts w:ascii="FrankRuehl" w:hAnsi="FrankRuehl"/>
          <w:sz w:val="28"/>
          <w:rtl/>
        </w:rPr>
      </w:pPr>
      <w:r w:rsidRPr="00544E52">
        <w:rPr>
          <w:rFonts w:ascii="FrankRuehl" w:hAnsi="FrankRuehl"/>
          <w:sz w:val="28"/>
          <w:rtl/>
        </w:rPr>
        <w:t xml:space="preserve">"לטעמי, מתחם העונש שקבע בית המשפט המחוזי לעבירות שבהן הורשע המשיב – מאסר בפועל לריצוי בעבודות שירות ועד 20 חודשי מאסר בפועל – הוא מקל יתר על המידה, כטענת המערערת, ועל-כן טעון התערבות... כפי שבית המשפט עצמו ציין, 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p>
    <w:p w14:paraId="5B378168" w14:textId="77777777" w:rsidR="003707C1" w:rsidRPr="00544E52" w:rsidRDefault="003707C1" w:rsidP="003707C1">
      <w:pPr>
        <w:pStyle w:val="Ruller40"/>
        <w:spacing w:line="240" w:lineRule="auto"/>
        <w:ind w:left="1502" w:right="709"/>
        <w:rPr>
          <w:rFonts w:ascii="FrankRuehl" w:hAnsi="FrankRuehl"/>
          <w:sz w:val="28"/>
          <w:rtl/>
        </w:rPr>
      </w:pPr>
    </w:p>
    <w:p w14:paraId="7B6C4BDE" w14:textId="77777777" w:rsidR="003707C1" w:rsidRPr="00544E52" w:rsidRDefault="003707C1" w:rsidP="003707C1">
      <w:pPr>
        <w:pStyle w:val="Ruller40"/>
        <w:ind w:left="793" w:right="142"/>
        <w:rPr>
          <w:rFonts w:ascii="FrankRuehl" w:hAnsi="FrankRuehl"/>
          <w:sz w:val="28"/>
          <w:rtl/>
        </w:rPr>
      </w:pPr>
      <w:r w:rsidRPr="00544E52">
        <w:rPr>
          <w:rFonts w:ascii="FrankRuehl" w:hAnsi="FrankRuehl"/>
          <w:sz w:val="28"/>
          <w:rtl/>
        </w:rPr>
        <w:t>בהמשך פסק הדין קבע בית המשפט העליון מתחם ענישה הולם שנע בין</w:t>
      </w:r>
      <w:r>
        <w:rPr>
          <w:rFonts w:ascii="FrankRuehl" w:hAnsi="FrankRuehl" w:hint="cs"/>
          <w:sz w:val="28"/>
          <w:rtl/>
        </w:rPr>
        <w:t xml:space="preserve">               </w:t>
      </w:r>
      <w:r w:rsidRPr="00544E52">
        <w:rPr>
          <w:rFonts w:ascii="FrankRuehl" w:hAnsi="FrankRuehl"/>
          <w:sz w:val="28"/>
          <w:rtl/>
        </w:rPr>
        <w:t xml:space="preserve">12 ל-36 חודשי מאסר בפועל ומאחר למשיב היה "פוטנציאל שיקום גבוה" הוא בחר לחרוג ממתחם הענישה ולהסתפק בעונש של מאסר בעבודות שירות.  </w:t>
      </w:r>
    </w:p>
    <w:p w14:paraId="04A782BB" w14:textId="77777777" w:rsidR="003707C1" w:rsidRPr="00544E52" w:rsidRDefault="003707C1" w:rsidP="003707C1">
      <w:pPr>
        <w:pStyle w:val="Ruller40"/>
        <w:ind w:left="793" w:right="142"/>
        <w:rPr>
          <w:rFonts w:ascii="FrankRuehl" w:hAnsi="FrankRuehl"/>
          <w:sz w:val="28"/>
          <w:rtl/>
        </w:rPr>
      </w:pPr>
    </w:p>
    <w:p w14:paraId="294EF5CF" w14:textId="77777777" w:rsidR="003707C1" w:rsidRPr="00544E52" w:rsidRDefault="003707C1" w:rsidP="003707C1">
      <w:pPr>
        <w:pStyle w:val="a9"/>
        <w:numPr>
          <w:ilvl w:val="0"/>
          <w:numId w:val="1"/>
        </w:numPr>
        <w:spacing w:line="360" w:lineRule="auto"/>
        <w:jc w:val="both"/>
        <w:rPr>
          <w:rFonts w:ascii="FrankRuehl" w:hAnsi="FrankRuehl"/>
          <w:sz w:val="28"/>
          <w:rtl/>
        </w:rPr>
      </w:pPr>
      <w:r w:rsidRPr="00544E52">
        <w:rPr>
          <w:rFonts w:ascii="FrankRuehl" w:hAnsi="FrankRuehl"/>
          <w:sz w:val="28"/>
          <w:rtl/>
        </w:rPr>
        <w:t>אשר לנסיבות הקשורות בביצוע העבירה (</w:t>
      </w:r>
      <w:hyperlink r:id="rId24" w:history="1">
        <w:r w:rsidR="00AA2882" w:rsidRPr="00AA2882">
          <w:rPr>
            <w:rFonts w:ascii="FrankRuehl" w:hAnsi="FrankRuehl"/>
            <w:color w:val="0000FF"/>
            <w:sz w:val="28"/>
            <w:u w:val="single"/>
            <w:rtl/>
          </w:rPr>
          <w:t>סעיף 40ט</w:t>
        </w:r>
      </w:hyperlink>
      <w:r w:rsidRPr="00544E52">
        <w:rPr>
          <w:rFonts w:ascii="FrankRuehl" w:hAnsi="FrankRuehl"/>
          <w:sz w:val="28"/>
          <w:rtl/>
        </w:rPr>
        <w:t xml:space="preserve"> לחוק), חשוב לציין כי מדובר במעשים מחושבים, המחסנית הייתה בתוך האקדח. הנאשם שידע על הפסול במעשיו דאג להחביאו מתחת לבגדיו. מיותר לציין כפי שתואר לעיל בפסקי הדין של בית המשפט העליון כי בעבירות של החזקת נשק טמון פוטנציאל גדול מאוד לגרימת נזק משמעותי לחברה ולביטחונה.</w:t>
      </w:r>
    </w:p>
    <w:p w14:paraId="5538D0AD" w14:textId="77777777" w:rsidR="003707C1" w:rsidRPr="00544E52" w:rsidRDefault="003707C1" w:rsidP="003707C1">
      <w:pPr>
        <w:pStyle w:val="Ruller40"/>
        <w:ind w:left="793" w:right="142"/>
        <w:rPr>
          <w:rFonts w:ascii="FrankRuehl" w:hAnsi="FrankRuehl"/>
          <w:sz w:val="28"/>
          <w:rtl/>
        </w:rPr>
      </w:pPr>
    </w:p>
    <w:p w14:paraId="7FAA6BD0" w14:textId="77777777" w:rsidR="003707C1" w:rsidRPr="00544E52" w:rsidRDefault="003707C1" w:rsidP="003707C1">
      <w:pPr>
        <w:pStyle w:val="a9"/>
        <w:spacing w:line="360" w:lineRule="auto"/>
        <w:jc w:val="both"/>
        <w:rPr>
          <w:rFonts w:ascii="FrankRuehl" w:hAnsi="FrankRuehl"/>
          <w:sz w:val="28"/>
          <w:u w:val="single"/>
          <w:rtl/>
        </w:rPr>
      </w:pPr>
      <w:r w:rsidRPr="00544E52">
        <w:rPr>
          <w:rFonts w:ascii="FrankRuehl" w:hAnsi="FrankRuehl"/>
          <w:sz w:val="28"/>
          <w:rtl/>
        </w:rPr>
        <w:t xml:space="preserve">בהתחשב בערכים החברתיים שנפגעו מביצוע העבירות במידת הפגיעה בהם, במדיניות הענישה הנהוגה ובנסיבות הקשורות בביצוע העבירה אני קובע כי העונש ההולם במקרה זה הוא מאסר במתחם שבין </w:t>
      </w:r>
      <w:r w:rsidRPr="00544E52">
        <w:rPr>
          <w:rFonts w:ascii="FrankRuehl" w:hAnsi="FrankRuehl"/>
          <w:sz w:val="28"/>
          <w:u w:val="single"/>
          <w:rtl/>
        </w:rPr>
        <w:t>12</w:t>
      </w:r>
      <w:r w:rsidRPr="00544E52">
        <w:rPr>
          <w:rFonts w:ascii="FrankRuehl" w:hAnsi="FrankRuehl"/>
          <w:sz w:val="28"/>
          <w:rtl/>
        </w:rPr>
        <w:t xml:space="preserve"> לבין </w:t>
      </w:r>
      <w:r w:rsidRPr="00544E52">
        <w:rPr>
          <w:rFonts w:ascii="FrankRuehl" w:hAnsi="FrankRuehl"/>
          <w:sz w:val="28"/>
          <w:u w:val="single"/>
          <w:rtl/>
        </w:rPr>
        <w:t xml:space="preserve">36 </w:t>
      </w:r>
      <w:r w:rsidRPr="00544E52">
        <w:rPr>
          <w:rFonts w:ascii="FrankRuehl" w:hAnsi="FrankRuehl"/>
          <w:sz w:val="28"/>
          <w:rtl/>
        </w:rPr>
        <w:t>חודשי מאסר בפועל.</w:t>
      </w:r>
    </w:p>
    <w:p w14:paraId="47F70B24" w14:textId="77777777" w:rsidR="003707C1" w:rsidRPr="00544E52" w:rsidRDefault="003707C1" w:rsidP="003707C1">
      <w:pPr>
        <w:pStyle w:val="a9"/>
        <w:spacing w:line="360" w:lineRule="auto"/>
        <w:jc w:val="both"/>
        <w:rPr>
          <w:rFonts w:ascii="FrankRuehl" w:hAnsi="FrankRuehl"/>
          <w:sz w:val="28"/>
          <w:u w:val="single"/>
          <w:rtl/>
        </w:rPr>
      </w:pPr>
    </w:p>
    <w:p w14:paraId="6B73323A" w14:textId="77777777" w:rsidR="003707C1" w:rsidRPr="006F3882" w:rsidRDefault="003707C1" w:rsidP="003707C1">
      <w:pPr>
        <w:spacing w:line="360" w:lineRule="auto"/>
        <w:ind w:left="720"/>
        <w:jc w:val="both"/>
        <w:rPr>
          <w:rFonts w:ascii="Miriam" w:hAnsi="Miriam" w:cs="Miriam"/>
          <w:rtl/>
        </w:rPr>
      </w:pPr>
      <w:r w:rsidRPr="006F3882">
        <w:rPr>
          <w:rFonts w:ascii="Miriam" w:hAnsi="Miriam" w:cs="Miriam"/>
          <w:rtl/>
        </w:rPr>
        <w:t>העונש המתאים</w:t>
      </w:r>
    </w:p>
    <w:p w14:paraId="3D5AC638" w14:textId="77777777" w:rsidR="003707C1" w:rsidRDefault="003707C1" w:rsidP="003707C1">
      <w:pPr>
        <w:pStyle w:val="3"/>
        <w:numPr>
          <w:ilvl w:val="0"/>
          <w:numId w:val="1"/>
        </w:numPr>
        <w:spacing w:line="360" w:lineRule="auto"/>
        <w:jc w:val="both"/>
        <w:rPr>
          <w:rFonts w:ascii="FrankRuehl" w:hAnsi="FrankRuehl" w:cs="FrankRuehl"/>
          <w:sz w:val="28"/>
          <w:szCs w:val="28"/>
        </w:rPr>
      </w:pPr>
      <w:r w:rsidRPr="00544E52">
        <w:rPr>
          <w:rFonts w:ascii="FrankRuehl" w:hAnsi="FrankRuehl" w:cs="FrankRuehl"/>
          <w:sz w:val="28"/>
          <w:szCs w:val="28"/>
          <w:rtl/>
        </w:rPr>
        <w:t>לא עומד על הפרק הליך שיקומי, שירות המבחן לא מצא כי ניתן להמליץ במקרה זה המלצה טיפולית ולכן העונש המתאים יהיה בתוך מתחם העונש ההולם.</w:t>
      </w:r>
    </w:p>
    <w:p w14:paraId="5E732297" w14:textId="77777777" w:rsidR="003707C1" w:rsidRPr="00544E52" w:rsidRDefault="003707C1" w:rsidP="003707C1">
      <w:pPr>
        <w:pStyle w:val="3"/>
        <w:spacing w:line="360" w:lineRule="auto"/>
        <w:jc w:val="both"/>
        <w:rPr>
          <w:rFonts w:ascii="FrankRuehl" w:hAnsi="FrankRuehl" w:cs="FrankRuehl"/>
          <w:sz w:val="28"/>
          <w:szCs w:val="28"/>
          <w:rtl/>
        </w:rPr>
      </w:pPr>
    </w:p>
    <w:p w14:paraId="0202E94E" w14:textId="77777777" w:rsidR="003707C1" w:rsidRDefault="003707C1" w:rsidP="003707C1">
      <w:pPr>
        <w:pStyle w:val="3"/>
        <w:spacing w:line="360" w:lineRule="auto"/>
        <w:jc w:val="both"/>
        <w:rPr>
          <w:rFonts w:ascii="FrankRuehl" w:hAnsi="FrankRuehl" w:cs="FrankRuehl"/>
          <w:sz w:val="28"/>
          <w:szCs w:val="28"/>
          <w:rtl/>
        </w:rPr>
      </w:pPr>
      <w:r w:rsidRPr="00544E52">
        <w:rPr>
          <w:rFonts w:ascii="FrankRuehl" w:hAnsi="FrankRuehl" w:cs="FrankRuehl"/>
          <w:sz w:val="28"/>
          <w:szCs w:val="28"/>
          <w:rtl/>
        </w:rPr>
        <w:t xml:space="preserve">[זה השלב </w:t>
      </w:r>
      <w:r>
        <w:rPr>
          <w:rFonts w:ascii="FrankRuehl" w:hAnsi="FrankRuehl" w:cs="FrankRuehl" w:hint="cs"/>
          <w:sz w:val="28"/>
          <w:szCs w:val="28"/>
          <w:rtl/>
        </w:rPr>
        <w:t xml:space="preserve">להבהיר </w:t>
      </w:r>
      <w:r w:rsidRPr="00544E52">
        <w:rPr>
          <w:rFonts w:ascii="FrankRuehl" w:hAnsi="FrankRuehl" w:cs="FrankRuehl"/>
          <w:sz w:val="28"/>
          <w:szCs w:val="28"/>
          <w:rtl/>
        </w:rPr>
        <w:t>כי בשני פסקי הדין של בית המשפט העליון אליהם הפנה הסנגור ענין חשיבון וענין סלימאן הוחלט על ענישה שמ</w:t>
      </w:r>
      <w:r>
        <w:rPr>
          <w:rFonts w:ascii="FrankRuehl" w:hAnsi="FrankRuehl" w:cs="FrankRuehl" w:hint="cs"/>
          <w:sz w:val="28"/>
          <w:szCs w:val="28"/>
          <w:rtl/>
        </w:rPr>
        <w:t xml:space="preserve">חוץ </w:t>
      </w:r>
      <w:r w:rsidRPr="00544E52">
        <w:rPr>
          <w:rFonts w:ascii="FrankRuehl" w:hAnsi="FrankRuehl" w:cs="FrankRuehl"/>
          <w:sz w:val="28"/>
          <w:szCs w:val="28"/>
          <w:rtl/>
        </w:rPr>
        <w:t xml:space="preserve">למתחם </w:t>
      </w:r>
      <w:r>
        <w:rPr>
          <w:rFonts w:ascii="FrankRuehl" w:hAnsi="FrankRuehl" w:cs="FrankRuehl" w:hint="cs"/>
          <w:sz w:val="28"/>
          <w:szCs w:val="28"/>
          <w:rtl/>
        </w:rPr>
        <w:t xml:space="preserve">העונש ההולם </w:t>
      </w:r>
      <w:r w:rsidRPr="00544E52">
        <w:rPr>
          <w:rFonts w:ascii="FrankRuehl" w:hAnsi="FrankRuehl" w:cs="FrankRuehl"/>
          <w:sz w:val="28"/>
          <w:szCs w:val="28"/>
          <w:rtl/>
        </w:rPr>
        <w:t>בשל שיקולי שיקום שלא מתקיימים במקרה זה].</w:t>
      </w:r>
    </w:p>
    <w:p w14:paraId="44BCFEC5" w14:textId="77777777" w:rsidR="003707C1" w:rsidRPr="00544E52" w:rsidRDefault="003707C1" w:rsidP="003707C1">
      <w:pPr>
        <w:pStyle w:val="3"/>
        <w:spacing w:line="360" w:lineRule="auto"/>
        <w:jc w:val="both"/>
        <w:rPr>
          <w:rFonts w:ascii="FrankRuehl" w:hAnsi="FrankRuehl" w:cs="FrankRuehl"/>
          <w:sz w:val="28"/>
          <w:szCs w:val="28"/>
        </w:rPr>
      </w:pPr>
    </w:p>
    <w:p w14:paraId="2186B692" w14:textId="77777777" w:rsidR="003707C1" w:rsidRPr="00544E52"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 xml:space="preserve">לעניין הנסיבות שאינן קשורות בביצוע העבירה לפי </w:t>
      </w:r>
      <w:hyperlink r:id="rId25" w:history="1">
        <w:r w:rsidR="00AA2882" w:rsidRPr="00AA2882">
          <w:rPr>
            <w:rFonts w:ascii="FrankRuehl" w:hAnsi="FrankRuehl"/>
            <w:color w:val="0000FF"/>
            <w:sz w:val="28"/>
            <w:u w:val="single"/>
            <w:rtl/>
          </w:rPr>
          <w:t>סעיף 40יא'</w:t>
        </w:r>
      </w:hyperlink>
      <w:r w:rsidRPr="00544E52">
        <w:rPr>
          <w:rFonts w:ascii="FrankRuehl" w:hAnsi="FrankRuehl"/>
          <w:sz w:val="28"/>
          <w:rtl/>
        </w:rPr>
        <w:t xml:space="preserve"> לחוק,  הנאשם ובני משפחתו לרבות שני ילדיו (בני 4 ו-6 שנים) ייפגעו קשות מעצם שהייתו בבית סוהר.  הנאשם נטל אחריות מלאה והודה במיוחס לו לאחר השלמת ההליכים המקדמיים. עוד אזקוף לזכותו את הבע</w:t>
      </w:r>
      <w:r>
        <w:rPr>
          <w:rFonts w:ascii="FrankRuehl" w:hAnsi="FrankRuehl" w:hint="cs"/>
          <w:sz w:val="28"/>
          <w:rtl/>
        </w:rPr>
        <w:t>ת</w:t>
      </w:r>
      <w:r w:rsidRPr="00544E52">
        <w:rPr>
          <w:rFonts w:ascii="FrankRuehl" w:hAnsi="FrankRuehl"/>
          <w:sz w:val="28"/>
          <w:rtl/>
        </w:rPr>
        <w:t xml:space="preserve"> החרטה ואת העדר עבר פלילי.   נתונים אלו ביחד עם נסיבותיו האישיים, משפחתו התומכת והתנהגותו הנורמטיבית עד לביצוע העבירה מצדיקים העמדת עונשו בחלק התחתון של מתחם העונש ההולם. </w:t>
      </w:r>
    </w:p>
    <w:p w14:paraId="4816B1D7" w14:textId="77777777" w:rsidR="003707C1" w:rsidRPr="00544E52" w:rsidRDefault="003707C1" w:rsidP="003707C1">
      <w:pPr>
        <w:spacing w:line="360" w:lineRule="auto"/>
        <w:ind w:left="720"/>
        <w:jc w:val="both"/>
        <w:rPr>
          <w:rFonts w:ascii="FrankRuehl" w:hAnsi="FrankRuehl" w:cs="FrankRuehl"/>
          <w:color w:val="FF0000"/>
          <w:sz w:val="28"/>
          <w:szCs w:val="28"/>
        </w:rPr>
      </w:pPr>
    </w:p>
    <w:p w14:paraId="29B164CA" w14:textId="77777777" w:rsidR="003707C1" w:rsidRDefault="003707C1" w:rsidP="003707C1">
      <w:pPr>
        <w:pStyle w:val="a9"/>
        <w:numPr>
          <w:ilvl w:val="0"/>
          <w:numId w:val="1"/>
        </w:numPr>
        <w:spacing w:line="360" w:lineRule="auto"/>
        <w:jc w:val="both"/>
        <w:rPr>
          <w:rFonts w:ascii="FrankRuehl" w:hAnsi="FrankRuehl"/>
          <w:sz w:val="28"/>
        </w:rPr>
      </w:pPr>
      <w:r w:rsidRPr="00544E52">
        <w:rPr>
          <w:rFonts w:ascii="FrankRuehl" w:hAnsi="FrankRuehl"/>
          <w:sz w:val="28"/>
          <w:rtl/>
        </w:rPr>
        <w:t xml:space="preserve">בנוסף אני סבור כי יש צורך  בהרתעת הרבים מפני ביצוע עבירות בנשק מסוג העבירה שביצע הנאשם (לפי </w:t>
      </w:r>
      <w:hyperlink r:id="rId26" w:history="1">
        <w:r w:rsidR="00AA2882" w:rsidRPr="00AA2882">
          <w:rPr>
            <w:rFonts w:ascii="FrankRuehl" w:hAnsi="FrankRuehl"/>
            <w:color w:val="0000FF"/>
            <w:sz w:val="28"/>
            <w:u w:val="single"/>
            <w:rtl/>
          </w:rPr>
          <w:t>סעיף 40ז</w:t>
        </w:r>
      </w:hyperlink>
      <w:r w:rsidRPr="00544E52">
        <w:rPr>
          <w:rFonts w:ascii="FrankRuehl" w:hAnsi="FrankRuehl"/>
          <w:sz w:val="28"/>
          <w:rtl/>
        </w:rPr>
        <w:t xml:space="preserve"> לחוק)  וכי יש סיכוי של ממש שהחמרה בעונשו של הנאשם, הן בעונש המאסר בפועל והן בעונש המאסר על תנאי, תביא להרתעת הרבים. במיוחד בימים אלו שהעבירות בנשק הפכו לעבירות נפוצות מאוד, ראו לעניין זה פסק דינו של השופט יוסף אלרון ב</w:t>
      </w:r>
      <w:hyperlink r:id="rId27" w:history="1">
        <w:r w:rsidR="006227CC" w:rsidRPr="006227CC">
          <w:rPr>
            <w:rFonts w:ascii="FrankRuehl" w:hAnsi="FrankRuehl"/>
            <w:color w:val="0000FF"/>
            <w:sz w:val="28"/>
            <w:u w:val="single"/>
            <w:rtl/>
          </w:rPr>
          <w:t>ע"פ 4406/19</w:t>
        </w:r>
      </w:hyperlink>
      <w:r w:rsidRPr="00544E52">
        <w:rPr>
          <w:rFonts w:ascii="FrankRuehl" w:hAnsi="FrankRuehl"/>
          <w:sz w:val="28"/>
          <w:rtl/>
        </w:rPr>
        <w:t xml:space="preserve">, 4411/19, 4418/19, 4439/19 </w:t>
      </w:r>
      <w:r w:rsidRPr="006F3882">
        <w:rPr>
          <w:rFonts w:ascii="Miriam" w:hAnsi="Miriam" w:cs="Miriam"/>
          <w:szCs w:val="24"/>
          <w:rtl/>
        </w:rPr>
        <w:t>מדינת ישראל נ' סובח</w:t>
      </w:r>
      <w:r w:rsidRPr="00544E52">
        <w:rPr>
          <w:rFonts w:ascii="FrankRuehl" w:hAnsi="FrankRuehl"/>
          <w:sz w:val="28"/>
          <w:rtl/>
        </w:rPr>
        <w:t xml:space="preserve"> (5.11.2019) לפיו "על רקע המציאות אותה אנו חווים למרבה הצער מדי יום, אנו עדים לקריאה ציבורית נרגשת להגברת האכיפה כלפי עבירות נשק – ולהחמרה במדיניות הענישה הנוהגת" ובהמשך קובע כי יש לנקוט במדיניות ענישה מחמירה גם כלפי ביצוע עבירות החזקת נשק שלא כדין.  </w:t>
      </w:r>
    </w:p>
    <w:p w14:paraId="15747180" w14:textId="77777777" w:rsidR="003707C1" w:rsidRPr="006F3882" w:rsidRDefault="003707C1" w:rsidP="003707C1">
      <w:pPr>
        <w:pStyle w:val="a9"/>
        <w:rPr>
          <w:rFonts w:ascii="FrankRuehl" w:hAnsi="FrankRuehl"/>
          <w:sz w:val="28"/>
          <w:rtl/>
        </w:rPr>
      </w:pPr>
    </w:p>
    <w:p w14:paraId="2F33065B" w14:textId="77777777" w:rsidR="003707C1" w:rsidRPr="00544E52" w:rsidRDefault="003707C1" w:rsidP="003707C1">
      <w:pPr>
        <w:pStyle w:val="a9"/>
        <w:spacing w:line="360" w:lineRule="auto"/>
        <w:jc w:val="both"/>
        <w:rPr>
          <w:rFonts w:ascii="FrankRuehl" w:hAnsi="FrankRuehl"/>
          <w:sz w:val="28"/>
          <w:rtl/>
        </w:rPr>
      </w:pPr>
      <w:r w:rsidRPr="00544E52">
        <w:rPr>
          <w:rFonts w:ascii="FrankRuehl" w:hAnsi="FrankRuehl"/>
          <w:sz w:val="28"/>
          <w:rtl/>
        </w:rPr>
        <w:t>כב'  השופט  מזוז הצטרף והוסיף כך:</w:t>
      </w:r>
    </w:p>
    <w:p w14:paraId="53879624" w14:textId="77777777" w:rsidR="003707C1" w:rsidRPr="00544E52" w:rsidRDefault="003707C1" w:rsidP="003707C1">
      <w:pPr>
        <w:ind w:left="1440" w:right="567"/>
        <w:jc w:val="both"/>
        <w:rPr>
          <w:rFonts w:ascii="FrankRuehl" w:hAnsi="FrankRuehl" w:cs="FrankRuehl"/>
          <w:spacing w:val="10"/>
          <w:sz w:val="28"/>
          <w:szCs w:val="28"/>
        </w:rPr>
      </w:pPr>
      <w:r w:rsidRPr="00544E52">
        <w:rPr>
          <w:rFonts w:ascii="FrankRuehl" w:hAnsi="FrankRuehl" w:cs="FrankRuehl"/>
          <w:spacing w:val="10"/>
          <w:sz w:val="28"/>
          <w:szCs w:val="28"/>
          <w:rtl/>
        </w:rPr>
        <w:t>"התופעה של החזקת נשק שלא כדין על ידי אזרחים מהווה איום על שלום הציבור ועל הסדר הציבורי. היא התשתית ו"הגורם בלעדו איין" (</w:t>
      </w:r>
      <w:r w:rsidRPr="00544E52">
        <w:rPr>
          <w:rFonts w:ascii="FrankRuehl" w:hAnsi="FrankRuehl" w:cs="FrankRuehl"/>
          <w:spacing w:val="10"/>
          <w:sz w:val="28"/>
          <w:szCs w:val="28"/>
        </w:rPr>
        <w:t>causa sine qua non</w:t>
      </w:r>
      <w:r w:rsidRPr="00544E52">
        <w:rPr>
          <w:rFonts w:ascii="FrankRuehl" w:hAnsi="FrankRuehl" w:cs="FrankRuehl"/>
          <w:spacing w:val="10"/>
          <w:sz w:val="28"/>
          <w:szCs w:val="28"/>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1397CF0E" w14:textId="77777777" w:rsidR="003707C1" w:rsidRDefault="003707C1" w:rsidP="003707C1">
      <w:pPr>
        <w:ind w:left="1440" w:right="567"/>
        <w:jc w:val="both"/>
        <w:rPr>
          <w:rFonts w:ascii="FrankRuehl" w:hAnsi="FrankRuehl" w:cs="FrankRuehl"/>
          <w:spacing w:val="10"/>
          <w:sz w:val="28"/>
          <w:szCs w:val="28"/>
          <w:rtl/>
        </w:rPr>
      </w:pPr>
    </w:p>
    <w:p w14:paraId="41EEF5BF" w14:textId="77777777" w:rsidR="003707C1" w:rsidRPr="00544E52" w:rsidRDefault="003707C1" w:rsidP="003707C1">
      <w:pPr>
        <w:ind w:left="1440" w:right="567"/>
        <w:jc w:val="both"/>
        <w:rPr>
          <w:rFonts w:ascii="FrankRuehl" w:hAnsi="FrankRuehl" w:cs="FrankRuehl"/>
          <w:spacing w:val="10"/>
          <w:sz w:val="28"/>
          <w:szCs w:val="28"/>
          <w:rtl/>
        </w:rPr>
      </w:pPr>
      <w:r w:rsidRPr="00544E52">
        <w:rPr>
          <w:rFonts w:ascii="FrankRuehl" w:hAnsi="FrankRuehl" w:cs="FrankRuehl"/>
          <w:spacing w:val="10"/>
          <w:sz w:val="28"/>
          <w:szCs w:val="28"/>
          <w:rtl/>
        </w:rPr>
        <w:t xml:space="preserve">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w:t>
      </w:r>
    </w:p>
    <w:p w14:paraId="075679EE" w14:textId="77777777" w:rsidR="003707C1" w:rsidRPr="00544E52" w:rsidRDefault="003707C1" w:rsidP="003707C1">
      <w:pPr>
        <w:spacing w:line="360" w:lineRule="auto"/>
        <w:ind w:left="1440" w:right="567" w:firstLine="720"/>
        <w:jc w:val="both"/>
        <w:rPr>
          <w:rFonts w:ascii="FrankRuehl" w:hAnsi="FrankRuehl" w:cs="FrankRuehl"/>
          <w:spacing w:val="10"/>
          <w:sz w:val="28"/>
          <w:szCs w:val="28"/>
          <w:rtl/>
        </w:rPr>
      </w:pPr>
    </w:p>
    <w:p w14:paraId="1B905543" w14:textId="77777777" w:rsidR="003707C1" w:rsidRPr="00544E52" w:rsidRDefault="003707C1" w:rsidP="003707C1">
      <w:pPr>
        <w:ind w:left="1440" w:right="567"/>
        <w:jc w:val="both"/>
        <w:rPr>
          <w:rFonts w:ascii="FrankRuehl" w:hAnsi="FrankRuehl" w:cs="FrankRuehl"/>
          <w:spacing w:val="10"/>
          <w:sz w:val="28"/>
          <w:szCs w:val="28"/>
          <w:rtl/>
        </w:rPr>
      </w:pPr>
      <w:r w:rsidRPr="00544E52">
        <w:rPr>
          <w:rFonts w:ascii="FrankRuehl" w:hAnsi="FrankRuehl" w:cs="FrankRuehl"/>
          <w:spacing w:val="10"/>
          <w:sz w:val="28"/>
          <w:szCs w:val="28"/>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0B23AEDB" w14:textId="77777777" w:rsidR="003707C1" w:rsidRPr="00544E52" w:rsidRDefault="003707C1" w:rsidP="003707C1">
      <w:pPr>
        <w:spacing w:line="360" w:lineRule="auto"/>
        <w:ind w:left="1440" w:right="567" w:firstLine="720"/>
        <w:jc w:val="both"/>
        <w:rPr>
          <w:rFonts w:ascii="FrankRuehl" w:hAnsi="FrankRuehl" w:cs="FrankRuehl"/>
          <w:spacing w:val="10"/>
          <w:sz w:val="28"/>
          <w:szCs w:val="28"/>
          <w:rtl/>
        </w:rPr>
      </w:pPr>
    </w:p>
    <w:p w14:paraId="72F7ADEB" w14:textId="77777777" w:rsidR="003707C1" w:rsidRPr="00544E52" w:rsidRDefault="003707C1" w:rsidP="003707C1">
      <w:pPr>
        <w:pStyle w:val="a9"/>
        <w:numPr>
          <w:ilvl w:val="0"/>
          <w:numId w:val="1"/>
        </w:numPr>
        <w:spacing w:line="360" w:lineRule="auto"/>
        <w:jc w:val="both"/>
        <w:rPr>
          <w:rFonts w:ascii="FrankRuehl" w:hAnsi="FrankRuehl"/>
          <w:sz w:val="28"/>
          <w:rtl/>
        </w:rPr>
      </w:pPr>
      <w:r w:rsidRPr="00544E52">
        <w:rPr>
          <w:rFonts w:ascii="FrankRuehl" w:hAnsi="FrankRuehl"/>
          <w:sz w:val="28"/>
          <w:rtl/>
        </w:rPr>
        <w:t xml:space="preserve">בעת קביעת משך המאסר בפועל לקחתי בחשבון את העובדה כי מיום 9.1.2019 ועד ליום 16.6.2019 הנאשם היה עצור באזוק אלקטרוני. </w:t>
      </w:r>
    </w:p>
    <w:p w14:paraId="22D81093" w14:textId="77777777" w:rsidR="003707C1" w:rsidRPr="00544E52" w:rsidRDefault="003707C1" w:rsidP="003707C1">
      <w:pPr>
        <w:pStyle w:val="a9"/>
        <w:spacing w:line="360" w:lineRule="auto"/>
        <w:jc w:val="both"/>
        <w:rPr>
          <w:rFonts w:ascii="FrankRuehl" w:hAnsi="FrankRuehl"/>
          <w:color w:val="FF0000"/>
          <w:sz w:val="28"/>
          <w:rtl/>
        </w:rPr>
      </w:pPr>
    </w:p>
    <w:p w14:paraId="5600A926" w14:textId="77777777" w:rsidR="003707C1" w:rsidRPr="00B74A4A" w:rsidRDefault="003707C1" w:rsidP="003707C1">
      <w:pPr>
        <w:spacing w:line="360" w:lineRule="auto"/>
        <w:ind w:left="360" w:firstLine="360"/>
        <w:contextualSpacing/>
        <w:jc w:val="both"/>
        <w:rPr>
          <w:rFonts w:ascii="Miriam" w:hAnsi="Miriam" w:cs="Miriam"/>
          <w:rtl/>
        </w:rPr>
      </w:pPr>
      <w:r w:rsidRPr="00B74A4A">
        <w:rPr>
          <w:rFonts w:ascii="Miriam" w:hAnsi="Miriam" w:cs="Miriam"/>
          <w:rtl/>
        </w:rPr>
        <w:t>סיכום</w:t>
      </w:r>
    </w:p>
    <w:p w14:paraId="7265F729" w14:textId="77777777" w:rsidR="003707C1" w:rsidRPr="00544E52" w:rsidRDefault="003707C1" w:rsidP="003707C1">
      <w:pPr>
        <w:pStyle w:val="a9"/>
        <w:spacing w:line="360" w:lineRule="auto"/>
        <w:jc w:val="both"/>
        <w:rPr>
          <w:rFonts w:ascii="FrankRuehl" w:hAnsi="FrankRuehl"/>
          <w:sz w:val="28"/>
        </w:rPr>
      </w:pPr>
      <w:r>
        <w:rPr>
          <w:rFonts w:ascii="FrankRuehl" w:hAnsi="FrankRuehl"/>
          <w:sz w:val="28"/>
          <w:rtl/>
        </w:rPr>
        <w:t xml:space="preserve">לאור </w:t>
      </w:r>
      <w:r w:rsidRPr="00544E52">
        <w:rPr>
          <w:rFonts w:ascii="FrankRuehl" w:hAnsi="FrankRuehl"/>
          <w:sz w:val="28"/>
          <w:rtl/>
        </w:rPr>
        <w:t>אמור לעיל אני דן את הנאשם לעונשים הבאים:</w:t>
      </w:r>
    </w:p>
    <w:p w14:paraId="4CC7D05D" w14:textId="77777777" w:rsidR="003707C1" w:rsidRPr="00544E52" w:rsidRDefault="003707C1" w:rsidP="003707C1">
      <w:pPr>
        <w:pStyle w:val="2"/>
        <w:numPr>
          <w:ilvl w:val="0"/>
          <w:numId w:val="2"/>
        </w:numPr>
        <w:spacing w:line="360" w:lineRule="auto"/>
        <w:jc w:val="both"/>
        <w:rPr>
          <w:rFonts w:ascii="FrankRuehl" w:hAnsi="FrankRuehl" w:cs="FrankRuehl"/>
          <w:sz w:val="28"/>
          <w:szCs w:val="28"/>
        </w:rPr>
      </w:pPr>
      <w:r w:rsidRPr="00544E52">
        <w:rPr>
          <w:rFonts w:ascii="FrankRuehl" w:hAnsi="FrankRuehl" w:cs="FrankRuehl"/>
          <w:sz w:val="28"/>
          <w:szCs w:val="28"/>
          <w:u w:val="single"/>
          <w:rtl/>
        </w:rPr>
        <w:t>12</w:t>
      </w:r>
      <w:r w:rsidRPr="00544E52">
        <w:rPr>
          <w:rFonts w:ascii="FrankRuehl" w:hAnsi="FrankRuehl" w:cs="FrankRuehl"/>
          <w:sz w:val="28"/>
          <w:szCs w:val="28"/>
          <w:rtl/>
        </w:rPr>
        <w:t>חודשי מאסר בפועל בניכוי ימי מעצרו, מיום  6.12.2018 ועד ליום 9.1.2019.</w:t>
      </w:r>
    </w:p>
    <w:p w14:paraId="28914BFD" w14:textId="77777777" w:rsidR="003707C1" w:rsidRPr="00544E52" w:rsidRDefault="003707C1" w:rsidP="003707C1">
      <w:pPr>
        <w:pStyle w:val="2"/>
        <w:numPr>
          <w:ilvl w:val="0"/>
          <w:numId w:val="2"/>
        </w:numPr>
        <w:spacing w:line="360" w:lineRule="auto"/>
        <w:jc w:val="both"/>
        <w:rPr>
          <w:rFonts w:ascii="FrankRuehl" w:hAnsi="FrankRuehl" w:cs="FrankRuehl"/>
          <w:sz w:val="28"/>
          <w:szCs w:val="28"/>
        </w:rPr>
      </w:pPr>
      <w:r w:rsidRPr="00544E52">
        <w:rPr>
          <w:rFonts w:ascii="FrankRuehl" w:hAnsi="FrankRuehl" w:cs="FrankRuehl"/>
          <w:sz w:val="28"/>
          <w:szCs w:val="28"/>
          <w:u w:val="single"/>
          <w:rtl/>
        </w:rPr>
        <w:t>10</w:t>
      </w:r>
      <w:r w:rsidRPr="00544E52">
        <w:rPr>
          <w:rFonts w:ascii="FrankRuehl" w:hAnsi="FrankRuehl" w:cs="FrankRuehl"/>
          <w:sz w:val="28"/>
          <w:szCs w:val="28"/>
          <w:rtl/>
        </w:rPr>
        <w:t xml:space="preserve"> חודשי מאסר על תנאי,  הנאשם לא יישא את עונש המאסר על  תנאי אלא אם יעבור תוך שלוש שנים מיום שחרורו ממאסר עבירה בנשק ויורשע בשל עבירה כזאת תוך תקופת התנאי או לאחריה. </w:t>
      </w:r>
    </w:p>
    <w:p w14:paraId="691CF855" w14:textId="77777777" w:rsidR="003707C1" w:rsidRPr="00544E52" w:rsidRDefault="003707C1" w:rsidP="003707C1">
      <w:pPr>
        <w:pStyle w:val="a9"/>
        <w:numPr>
          <w:ilvl w:val="0"/>
          <w:numId w:val="2"/>
        </w:numPr>
        <w:spacing w:line="360" w:lineRule="auto"/>
        <w:jc w:val="both"/>
        <w:rPr>
          <w:rFonts w:ascii="FrankRuehl" w:hAnsi="FrankRuehl"/>
          <w:sz w:val="28"/>
        </w:rPr>
      </w:pPr>
      <w:r w:rsidRPr="00544E52">
        <w:rPr>
          <w:rFonts w:ascii="FrankRuehl" w:hAnsi="FrankRuehl"/>
          <w:sz w:val="28"/>
          <w:rtl/>
        </w:rPr>
        <w:t>בהתחשב בתקופת המאסר לא מצאתי לנכון להטיל על הנאשם קנס.</w:t>
      </w:r>
    </w:p>
    <w:p w14:paraId="176FC367" w14:textId="77777777" w:rsidR="003707C1" w:rsidRPr="00544E52" w:rsidRDefault="003707C1" w:rsidP="003707C1">
      <w:pPr>
        <w:spacing w:line="360" w:lineRule="auto"/>
        <w:ind w:left="360"/>
        <w:jc w:val="both"/>
        <w:rPr>
          <w:rFonts w:ascii="FrankRuehl" w:hAnsi="FrankRuehl" w:cs="FrankRuehl"/>
          <w:sz w:val="28"/>
          <w:szCs w:val="28"/>
        </w:rPr>
      </w:pPr>
    </w:p>
    <w:p w14:paraId="35A7F6D3" w14:textId="77777777" w:rsidR="003707C1"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הנאשם יתייצב למאסרו בבית סוהר ימ"ר קישון ביום 22.12.19 עד השעה 10:00, או על פי החלטת שב"ס, כשברשותו תעודת זהות או דרכון.</w:t>
      </w:r>
    </w:p>
    <w:p w14:paraId="07B4BD2B"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על הנאשם לתאם את הכניסה למאסר, כולל האפשרות למיון מוקדם, עם ענף אבחון ומיון של שב"ס, טלפונים: 08-9787377, 08-9787336.</w:t>
      </w:r>
    </w:p>
    <w:p w14:paraId="3BC9DD28" w14:textId="77777777" w:rsidR="003707C1" w:rsidRPr="00544E52" w:rsidRDefault="003707C1" w:rsidP="003707C1">
      <w:pPr>
        <w:spacing w:line="360" w:lineRule="auto"/>
        <w:ind w:left="720"/>
        <w:jc w:val="both"/>
        <w:rPr>
          <w:rFonts w:ascii="FrankRuehl" w:hAnsi="FrankRuehl" w:cs="FrankRuehl"/>
          <w:sz w:val="28"/>
          <w:szCs w:val="28"/>
          <w:rtl/>
        </w:rPr>
      </w:pPr>
    </w:p>
    <w:p w14:paraId="4A362CC2" w14:textId="77777777" w:rsidR="003707C1" w:rsidRPr="00544E52" w:rsidRDefault="003707C1" w:rsidP="003707C1">
      <w:pPr>
        <w:spacing w:line="360" w:lineRule="auto"/>
        <w:ind w:left="720"/>
        <w:jc w:val="both"/>
        <w:rPr>
          <w:rFonts w:ascii="FrankRuehl" w:hAnsi="FrankRuehl" w:cs="FrankRuehl"/>
          <w:sz w:val="28"/>
          <w:szCs w:val="28"/>
          <w:rtl/>
        </w:rPr>
      </w:pPr>
      <w:r w:rsidRPr="00544E52">
        <w:rPr>
          <w:rFonts w:ascii="FrankRuehl" w:hAnsi="FrankRuehl" w:cs="FrankRuehl"/>
          <w:sz w:val="28"/>
          <w:szCs w:val="28"/>
          <w:rtl/>
        </w:rPr>
        <w:t xml:space="preserve"> המזכירות תשלח העתק מגזר הדין לשירות המבחן.</w:t>
      </w:r>
    </w:p>
    <w:p w14:paraId="1B5FF787" w14:textId="77777777" w:rsidR="003707C1" w:rsidRPr="00544E52" w:rsidRDefault="003707C1" w:rsidP="003707C1">
      <w:pPr>
        <w:spacing w:line="360" w:lineRule="auto"/>
        <w:ind w:left="720"/>
        <w:jc w:val="both"/>
        <w:rPr>
          <w:rFonts w:ascii="FrankRuehl" w:hAnsi="FrankRuehl" w:cs="FrankRuehl"/>
          <w:sz w:val="28"/>
          <w:szCs w:val="28"/>
          <w:u w:val="single"/>
        </w:rPr>
      </w:pPr>
      <w:r w:rsidRPr="00544E52">
        <w:rPr>
          <w:rFonts w:ascii="FrankRuehl" w:hAnsi="FrankRuehl" w:cs="FrankRuehl"/>
          <w:sz w:val="28"/>
          <w:szCs w:val="28"/>
          <w:u w:val="single"/>
          <w:rtl/>
        </w:rPr>
        <w:t>זכות ערעור לבית המשפט העליון תוך 45 יום.</w:t>
      </w:r>
    </w:p>
    <w:p w14:paraId="4BA7C2D8" w14:textId="77777777" w:rsidR="003707C1" w:rsidRPr="00544E52" w:rsidRDefault="003707C1" w:rsidP="003707C1">
      <w:pPr>
        <w:pStyle w:val="a9"/>
        <w:spacing w:line="360" w:lineRule="auto"/>
        <w:jc w:val="both"/>
        <w:rPr>
          <w:rFonts w:ascii="FrankRuehl" w:hAnsi="FrankRuehl"/>
          <w:sz w:val="28"/>
          <w:u w:val="single"/>
        </w:rPr>
      </w:pPr>
    </w:p>
    <w:p w14:paraId="7DEAB946" w14:textId="77777777" w:rsidR="003707C1" w:rsidRPr="00544E52" w:rsidRDefault="003707C1" w:rsidP="003707C1">
      <w:pPr>
        <w:rPr>
          <w:rFonts w:ascii="FrankRuehl" w:hAnsi="FrankRuehl" w:cs="FrankRuehl"/>
          <w:sz w:val="28"/>
          <w:szCs w:val="28"/>
          <w:rtl/>
        </w:rPr>
      </w:pPr>
    </w:p>
    <w:p w14:paraId="30D2A658" w14:textId="77777777" w:rsidR="003707C1" w:rsidRPr="00544E52" w:rsidRDefault="003707C1" w:rsidP="003707C1">
      <w:pPr>
        <w:rPr>
          <w:rFonts w:ascii="FrankRuehl" w:hAnsi="FrankRuehl" w:cs="FrankRuehl"/>
          <w:sz w:val="28"/>
          <w:szCs w:val="28"/>
          <w:rtl/>
        </w:rPr>
      </w:pPr>
    </w:p>
    <w:p w14:paraId="1C4457CF" w14:textId="77777777" w:rsidR="003707C1" w:rsidRPr="00544E52" w:rsidRDefault="003707C1" w:rsidP="003707C1">
      <w:pPr>
        <w:rPr>
          <w:rFonts w:ascii="FrankRuehl" w:hAnsi="FrankRuehl" w:cs="FrankRuehl"/>
          <w:sz w:val="28"/>
          <w:szCs w:val="28"/>
          <w:rtl/>
        </w:rPr>
      </w:pPr>
    </w:p>
    <w:p w14:paraId="04E971E0" w14:textId="77777777" w:rsidR="003707C1" w:rsidRPr="00544E52" w:rsidRDefault="003707C1" w:rsidP="003707C1">
      <w:pPr>
        <w:rPr>
          <w:rFonts w:ascii="FrankRuehl" w:hAnsi="FrankRuehl" w:cs="FrankRuehl"/>
          <w:sz w:val="28"/>
          <w:szCs w:val="28"/>
          <w:rtl/>
        </w:rPr>
      </w:pPr>
    </w:p>
    <w:p w14:paraId="0AC25168" w14:textId="77777777" w:rsidR="003707C1" w:rsidRPr="00544E52" w:rsidRDefault="003707C1" w:rsidP="003707C1">
      <w:pPr>
        <w:rPr>
          <w:rFonts w:ascii="FrankRuehl" w:hAnsi="FrankRuehl" w:cs="FrankRuehl"/>
          <w:sz w:val="28"/>
          <w:szCs w:val="28"/>
          <w:rtl/>
        </w:rPr>
      </w:pPr>
    </w:p>
    <w:p w14:paraId="5BB9AAA4" w14:textId="77777777" w:rsidR="003707C1" w:rsidRPr="00544E52" w:rsidRDefault="003707C1" w:rsidP="003707C1">
      <w:pPr>
        <w:rPr>
          <w:rFonts w:ascii="FrankRuehl" w:hAnsi="FrankRuehl" w:cs="FrankRuehl"/>
          <w:sz w:val="28"/>
          <w:szCs w:val="28"/>
          <w:rtl/>
        </w:rPr>
      </w:pPr>
    </w:p>
    <w:p w14:paraId="7CD447B1" w14:textId="77777777" w:rsidR="003707C1" w:rsidRPr="00544E52" w:rsidRDefault="006227CC" w:rsidP="003707C1">
      <w:pPr>
        <w:spacing w:line="360" w:lineRule="auto"/>
        <w:jc w:val="both"/>
        <w:rPr>
          <w:rFonts w:ascii="FrankRuehl" w:hAnsi="FrankRuehl" w:cs="FrankRuehl"/>
          <w:sz w:val="28"/>
          <w:szCs w:val="28"/>
        </w:rPr>
      </w:pPr>
      <w:bookmarkStart w:id="7" w:name="Nitan"/>
      <w:r w:rsidRPr="006227CC">
        <w:rPr>
          <w:rFonts w:ascii="FrankRuehl" w:hAnsi="FrankRuehl" w:cs="FrankRuehl"/>
          <w:color w:val="FFFFFF"/>
          <w:sz w:val="2"/>
          <w:szCs w:val="2"/>
          <w:rtl/>
        </w:rPr>
        <w:t>5129371</w:t>
      </w:r>
      <w:r>
        <w:rPr>
          <w:rFonts w:ascii="FrankRuehl" w:hAnsi="FrankRuehl" w:cs="FrankRuehl"/>
          <w:sz w:val="28"/>
          <w:szCs w:val="28"/>
          <w:rtl/>
        </w:rPr>
        <w:t xml:space="preserve">ניתן היום,  כ"א חשוון תש"פ, 19 נובמבר 2019, בנוכחות ב"כ המאשימה עו"ד טל עופר,         </w:t>
      </w:r>
      <w:bookmarkEnd w:id="7"/>
      <w:r w:rsidR="003707C1" w:rsidRPr="00544E52">
        <w:rPr>
          <w:rFonts w:ascii="FrankRuehl" w:hAnsi="FrankRuehl" w:cs="FrankRuehl"/>
          <w:sz w:val="28"/>
          <w:szCs w:val="28"/>
          <w:rtl/>
        </w:rPr>
        <w:t>הסנגור עו"ד אלבר והנאשם בעצמו.</w:t>
      </w:r>
    </w:p>
    <w:p w14:paraId="76CF43A3" w14:textId="77777777" w:rsidR="003707C1" w:rsidRPr="006227CC" w:rsidRDefault="006227CC" w:rsidP="003707C1">
      <w:pPr>
        <w:rPr>
          <w:rFonts w:ascii="FrankRuehl" w:hAnsi="FrankRuehl" w:cs="FrankRuehl"/>
          <w:color w:val="FFFFFF"/>
          <w:sz w:val="2"/>
          <w:szCs w:val="2"/>
          <w:rtl/>
        </w:rPr>
      </w:pPr>
      <w:r w:rsidRPr="006227CC">
        <w:rPr>
          <w:rFonts w:ascii="FrankRuehl" w:hAnsi="FrankRuehl" w:cs="FrankRuehl"/>
          <w:color w:val="FFFFFF"/>
          <w:sz w:val="2"/>
          <w:szCs w:val="2"/>
          <w:rtl/>
        </w:rPr>
        <w:t>54678313</w:t>
      </w:r>
    </w:p>
    <w:p w14:paraId="0862CB9D" w14:textId="77777777" w:rsidR="003707C1" w:rsidRPr="00544E52" w:rsidRDefault="003707C1" w:rsidP="006227CC">
      <w:pPr>
        <w:jc w:val="center"/>
      </w:pPr>
      <w:r w:rsidRPr="00544E52">
        <w:rPr>
          <w:rFonts w:ascii="FrankRuehl" w:hAnsi="FrankRuehl" w:cs="FrankRuehl"/>
          <w:sz w:val="28"/>
          <w:szCs w:val="28"/>
          <w:rtl/>
        </w:rPr>
        <w:t xml:space="preserve">   </w:t>
      </w:r>
      <w:r w:rsidRPr="00544E52">
        <w:rPr>
          <w:rFonts w:ascii="FrankRuehl" w:hAnsi="FrankRuehl" w:cs="FrankRuehl"/>
          <w:sz w:val="28"/>
          <w:szCs w:val="28"/>
          <w:rtl/>
        </w:rPr>
        <w:tab/>
      </w:r>
      <w:r w:rsidRPr="00544E52">
        <w:rPr>
          <w:rFonts w:ascii="FrankRuehl" w:hAnsi="FrankRuehl" w:cs="FrankRuehl"/>
          <w:sz w:val="28"/>
          <w:szCs w:val="28"/>
          <w:rtl/>
        </w:rPr>
        <w:tab/>
      </w:r>
      <w:r w:rsidRPr="00544E52">
        <w:rPr>
          <w:rFonts w:ascii="FrankRuehl" w:hAnsi="FrankRuehl" w:cs="FrankRuehl"/>
          <w:sz w:val="28"/>
          <w:szCs w:val="28"/>
          <w:rtl/>
        </w:rPr>
        <w:tab/>
      </w:r>
      <w:r w:rsidRPr="00544E52">
        <w:rPr>
          <w:rFonts w:ascii="FrankRuehl" w:hAnsi="FrankRuehl" w:cs="FrankRuehl"/>
          <w:sz w:val="28"/>
          <w:szCs w:val="28"/>
          <w:rtl/>
        </w:rPr>
        <w:tab/>
      </w:r>
      <w:r w:rsidRPr="00544E52">
        <w:rPr>
          <w:rFonts w:ascii="FrankRuehl" w:hAnsi="FrankRuehl" w:cs="FrankRuehl"/>
          <w:sz w:val="28"/>
          <w:szCs w:val="28"/>
          <w:rtl/>
        </w:rPr>
        <w:tab/>
      </w:r>
    </w:p>
    <w:p w14:paraId="512A0234" w14:textId="77777777" w:rsidR="003707C1" w:rsidRPr="00544E52" w:rsidRDefault="003707C1" w:rsidP="003707C1">
      <w:pPr>
        <w:jc w:val="center"/>
        <w:rPr>
          <w:rFonts w:ascii="FrankRuehl" w:hAnsi="FrankRuehl" w:cs="FrankRuehl"/>
          <w:sz w:val="28"/>
          <w:szCs w:val="28"/>
          <w:rtl/>
        </w:rPr>
      </w:pPr>
    </w:p>
    <w:p w14:paraId="53A35942" w14:textId="77777777" w:rsidR="003707C1" w:rsidRPr="00544E52" w:rsidRDefault="003707C1" w:rsidP="003707C1">
      <w:pPr>
        <w:rPr>
          <w:rFonts w:ascii="FrankRuehl" w:hAnsi="FrankRuehl" w:cs="FrankRuehl"/>
          <w:sz w:val="28"/>
          <w:szCs w:val="28"/>
          <w:rtl/>
        </w:rPr>
      </w:pPr>
    </w:p>
    <w:p w14:paraId="3CA4270C" w14:textId="77777777" w:rsidR="003707C1" w:rsidRPr="00544E52" w:rsidRDefault="003707C1" w:rsidP="003707C1">
      <w:pPr>
        <w:pStyle w:val="a3"/>
        <w:jc w:val="center"/>
        <w:rPr>
          <w:rFonts w:ascii="FrankRuehl" w:hAnsi="FrankRuehl" w:cs="FrankRuehl"/>
          <w:sz w:val="28"/>
          <w:szCs w:val="28"/>
          <w:rtl/>
        </w:rPr>
      </w:pPr>
    </w:p>
    <w:p w14:paraId="007ACAAF" w14:textId="77777777" w:rsidR="00297D40" w:rsidRPr="006227CC" w:rsidRDefault="00297D40" w:rsidP="006227CC">
      <w:pPr>
        <w:keepNext/>
        <w:rPr>
          <w:rFonts w:ascii="David" w:hAnsi="David"/>
          <w:color w:val="000000"/>
          <w:sz w:val="22"/>
          <w:szCs w:val="22"/>
          <w:rtl/>
        </w:rPr>
      </w:pPr>
    </w:p>
    <w:p w14:paraId="01BE4E74" w14:textId="77777777" w:rsidR="006227CC" w:rsidRPr="006227CC" w:rsidRDefault="006227CC" w:rsidP="006227CC">
      <w:pPr>
        <w:keepNext/>
        <w:rPr>
          <w:rFonts w:ascii="David" w:hAnsi="David"/>
          <w:color w:val="000000"/>
          <w:sz w:val="22"/>
          <w:szCs w:val="22"/>
          <w:rtl/>
        </w:rPr>
      </w:pPr>
      <w:r w:rsidRPr="006227CC">
        <w:rPr>
          <w:rFonts w:ascii="David" w:hAnsi="David"/>
          <w:color w:val="000000"/>
          <w:sz w:val="22"/>
          <w:szCs w:val="22"/>
          <w:rtl/>
        </w:rPr>
        <w:t>אברהם אליקים 54678313</w:t>
      </w:r>
    </w:p>
    <w:p w14:paraId="7CD4786D" w14:textId="77777777" w:rsidR="006227CC" w:rsidRDefault="006227CC" w:rsidP="006227CC">
      <w:r w:rsidRPr="006227CC">
        <w:rPr>
          <w:color w:val="000000"/>
          <w:rtl/>
        </w:rPr>
        <w:t>נוסח מסמך זה כפוף לשינויי ניסוח ועריכה</w:t>
      </w:r>
    </w:p>
    <w:p w14:paraId="7E1CF374" w14:textId="77777777" w:rsidR="006227CC" w:rsidRDefault="006227CC" w:rsidP="006227CC">
      <w:pPr>
        <w:rPr>
          <w:rtl/>
        </w:rPr>
      </w:pPr>
    </w:p>
    <w:p w14:paraId="37B4926A" w14:textId="77777777" w:rsidR="006227CC" w:rsidRDefault="006227CC" w:rsidP="006227CC">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2561CE4B" w14:textId="77777777" w:rsidR="006227CC" w:rsidRPr="006227CC" w:rsidRDefault="006227CC" w:rsidP="006227CC">
      <w:pPr>
        <w:jc w:val="center"/>
        <w:rPr>
          <w:color w:val="0000FF"/>
          <w:u w:val="single"/>
        </w:rPr>
      </w:pPr>
    </w:p>
    <w:sectPr w:rsidR="006227CC" w:rsidRPr="006227CC" w:rsidSect="006227CC">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272E" w14:textId="77777777" w:rsidR="00524FB3" w:rsidRDefault="00524FB3" w:rsidP="006127D2">
      <w:r>
        <w:separator/>
      </w:r>
    </w:p>
  </w:endnote>
  <w:endnote w:type="continuationSeparator" w:id="0">
    <w:p w14:paraId="4598112B" w14:textId="77777777" w:rsidR="00524FB3" w:rsidRDefault="00524FB3" w:rsidP="0061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F90C" w14:textId="77777777" w:rsidR="006227CC" w:rsidRDefault="006227CC" w:rsidP="006227C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C12B75" w14:textId="77777777" w:rsidR="00DF1CAA" w:rsidRPr="006227CC" w:rsidRDefault="006227CC" w:rsidP="006227C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5131" w14:textId="77777777" w:rsidR="006227CC" w:rsidRDefault="006227CC" w:rsidP="006227C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7EF2">
      <w:rPr>
        <w:rFonts w:ascii="FrankRuehl" w:hAnsi="FrankRuehl" w:cs="FrankRuehl"/>
        <w:noProof/>
        <w:rtl/>
      </w:rPr>
      <w:t>1</w:t>
    </w:r>
    <w:r>
      <w:rPr>
        <w:rFonts w:ascii="FrankRuehl" w:hAnsi="FrankRuehl" w:cs="FrankRuehl"/>
        <w:rtl/>
      </w:rPr>
      <w:fldChar w:fldCharType="end"/>
    </w:r>
  </w:p>
  <w:p w14:paraId="54EB97BF" w14:textId="77777777" w:rsidR="00DF1CAA" w:rsidRPr="006227CC" w:rsidRDefault="006227CC" w:rsidP="006227C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476A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D62A" w14:textId="77777777" w:rsidR="00524FB3" w:rsidRDefault="00524FB3" w:rsidP="006127D2">
      <w:r>
        <w:separator/>
      </w:r>
    </w:p>
  </w:footnote>
  <w:footnote w:type="continuationSeparator" w:id="0">
    <w:p w14:paraId="0A2E397A" w14:textId="77777777" w:rsidR="00524FB3" w:rsidRDefault="00524FB3" w:rsidP="0061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3DE5" w14:textId="77777777" w:rsidR="006227CC" w:rsidRPr="006227CC" w:rsidRDefault="006227CC" w:rsidP="006227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36698-12-18</w:t>
    </w:r>
    <w:r>
      <w:rPr>
        <w:rFonts w:ascii="David" w:hAnsi="David"/>
        <w:color w:val="000000"/>
        <w:sz w:val="22"/>
        <w:szCs w:val="22"/>
        <w:rtl/>
      </w:rPr>
      <w:tab/>
      <w:t xml:space="preserve"> מדינת ישראל נ' מוחמד שייח' סלימאן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4FAC" w14:textId="77777777" w:rsidR="006227CC" w:rsidRPr="006227CC" w:rsidRDefault="006227CC" w:rsidP="006227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36698-12-18</w:t>
    </w:r>
    <w:r>
      <w:rPr>
        <w:rFonts w:ascii="David" w:hAnsi="David"/>
        <w:color w:val="000000"/>
        <w:sz w:val="22"/>
        <w:szCs w:val="22"/>
        <w:rtl/>
      </w:rPr>
      <w:tab/>
      <w:t xml:space="preserve"> מדינת ישראל נ' מוחמד שייח' סלימאן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6C0"/>
    <w:multiLevelType w:val="hybridMultilevel"/>
    <w:tmpl w:val="208851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4C6DD14">
      <w:numFmt w:val="bullet"/>
      <w:lvlText w:val="-"/>
      <w:lvlJc w:val="left"/>
      <w:pPr>
        <w:tabs>
          <w:tab w:val="num" w:pos="2340"/>
        </w:tabs>
        <w:ind w:left="2340" w:hanging="360"/>
      </w:pPr>
      <w:rPr>
        <w:rFonts w:ascii="Arial" w:eastAsia="Times New Roman" w:hAnsi="Arial" w:cs="FrankRueh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9FD6947"/>
    <w:multiLevelType w:val="hybridMultilevel"/>
    <w:tmpl w:val="8C24A72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16cid:durableId="752160790">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545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07C1"/>
    <w:rsid w:val="001B5A3B"/>
    <w:rsid w:val="00297D40"/>
    <w:rsid w:val="003707C1"/>
    <w:rsid w:val="00524FB3"/>
    <w:rsid w:val="006127D2"/>
    <w:rsid w:val="006227CC"/>
    <w:rsid w:val="009938A1"/>
    <w:rsid w:val="00AA2882"/>
    <w:rsid w:val="00AA7EF2"/>
    <w:rsid w:val="00DF1CAA"/>
    <w:rsid w:val="00FC4B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FCA154"/>
  <w15:chartTrackingRefBased/>
  <w15:docId w15:val="{10DA8257-3B5C-4608-8BD8-75F83E5A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07C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07C1"/>
    <w:pPr>
      <w:tabs>
        <w:tab w:val="center" w:pos="4153"/>
        <w:tab w:val="right" w:pos="8306"/>
      </w:tabs>
    </w:pPr>
  </w:style>
  <w:style w:type="character" w:customStyle="1" w:styleId="a4">
    <w:name w:val="כותרת עליונה תו"/>
    <w:link w:val="a3"/>
    <w:rsid w:val="003707C1"/>
    <w:rPr>
      <w:rFonts w:ascii="Times New Roman" w:eastAsia="Times New Roman" w:hAnsi="Times New Roman" w:cs="David"/>
      <w:sz w:val="24"/>
      <w:szCs w:val="24"/>
    </w:rPr>
  </w:style>
  <w:style w:type="paragraph" w:styleId="a5">
    <w:name w:val="footer"/>
    <w:basedOn w:val="a"/>
    <w:link w:val="a6"/>
    <w:rsid w:val="003707C1"/>
    <w:pPr>
      <w:tabs>
        <w:tab w:val="center" w:pos="4153"/>
        <w:tab w:val="right" w:pos="8306"/>
      </w:tabs>
    </w:pPr>
  </w:style>
  <w:style w:type="character" w:customStyle="1" w:styleId="a6">
    <w:name w:val="כותרת תחתונה תו"/>
    <w:link w:val="a5"/>
    <w:rsid w:val="003707C1"/>
    <w:rPr>
      <w:rFonts w:ascii="Times New Roman" w:eastAsia="Times New Roman" w:hAnsi="Times New Roman" w:cs="David"/>
      <w:sz w:val="24"/>
      <w:szCs w:val="24"/>
    </w:rPr>
  </w:style>
  <w:style w:type="table" w:styleId="a7">
    <w:name w:val="Table Grid"/>
    <w:basedOn w:val="a1"/>
    <w:rsid w:val="003707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707C1"/>
  </w:style>
  <w:style w:type="paragraph" w:styleId="a9">
    <w:name w:val="List Paragraph"/>
    <w:basedOn w:val="a"/>
    <w:qFormat/>
    <w:rsid w:val="003707C1"/>
    <w:pPr>
      <w:ind w:left="720"/>
      <w:contextualSpacing/>
    </w:pPr>
    <w:rPr>
      <w:rFonts w:ascii="Arial" w:hAnsi="Arial" w:cs="FrankRuehl"/>
      <w:szCs w:val="28"/>
    </w:rPr>
  </w:style>
  <w:style w:type="character" w:customStyle="1" w:styleId="Ruller4">
    <w:name w:val="Ruller4 תו"/>
    <w:link w:val="Ruller40"/>
    <w:locked/>
    <w:rsid w:val="003707C1"/>
    <w:rPr>
      <w:rFonts w:ascii="Arial TUR" w:hAnsi="Arial TUR" w:cs="FrankRuehl"/>
      <w:spacing w:val="10"/>
      <w:szCs w:val="28"/>
    </w:rPr>
  </w:style>
  <w:style w:type="paragraph" w:customStyle="1" w:styleId="Ruller40">
    <w:name w:val="Ruller4"/>
    <w:basedOn w:val="a"/>
    <w:link w:val="Ruller4"/>
    <w:rsid w:val="003707C1"/>
    <w:pPr>
      <w:tabs>
        <w:tab w:val="left" w:pos="800"/>
      </w:tabs>
      <w:overflowPunct w:val="0"/>
      <w:adjustRightInd w:val="0"/>
      <w:spacing w:line="360" w:lineRule="auto"/>
      <w:jc w:val="both"/>
    </w:pPr>
    <w:rPr>
      <w:rFonts w:ascii="Arial TUR" w:eastAsia="Calibri" w:hAnsi="Arial TUR" w:cs="FrankRuehl"/>
      <w:spacing w:val="10"/>
      <w:sz w:val="22"/>
      <w:szCs w:val="28"/>
    </w:rPr>
  </w:style>
  <w:style w:type="paragraph" w:customStyle="1" w:styleId="2">
    <w:name w:val="פיסקת רשימה2"/>
    <w:basedOn w:val="a"/>
    <w:rsid w:val="003707C1"/>
    <w:pPr>
      <w:ind w:left="720"/>
      <w:contextualSpacing/>
    </w:pPr>
  </w:style>
  <w:style w:type="paragraph" w:customStyle="1" w:styleId="3">
    <w:name w:val="פיסקת רשימה3"/>
    <w:basedOn w:val="a"/>
    <w:rsid w:val="003707C1"/>
    <w:pPr>
      <w:ind w:left="720"/>
      <w:contextualSpacing/>
    </w:pPr>
  </w:style>
  <w:style w:type="paragraph" w:customStyle="1" w:styleId="Ruller3">
    <w:name w:val="Ruller 3"/>
    <w:basedOn w:val="a"/>
    <w:rsid w:val="003707C1"/>
    <w:pPr>
      <w:tabs>
        <w:tab w:val="left" w:pos="3210"/>
        <w:tab w:val="left" w:pos="6753"/>
      </w:tabs>
      <w:overflowPunct w:val="0"/>
      <w:adjustRightInd w:val="0"/>
      <w:spacing w:line="360" w:lineRule="auto"/>
    </w:pPr>
    <w:rPr>
      <w:rFonts w:cs="FrankRuehl"/>
      <w:spacing w:val="10"/>
      <w:sz w:val="22"/>
      <w:szCs w:val="28"/>
    </w:rPr>
  </w:style>
  <w:style w:type="character" w:styleId="Hyperlink">
    <w:name w:val="Hyperlink"/>
    <w:rsid w:val="00370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474168" TargetMode="External"/><Relationship Id="rId26" Type="http://schemas.openxmlformats.org/officeDocument/2006/relationships/hyperlink" Target="http://www.nevo.co.il/law/70301/40g" TargetMode="External"/><Relationship Id="rId3" Type="http://schemas.openxmlformats.org/officeDocument/2006/relationships/settings" Target="settings.xml"/><Relationship Id="rId21" Type="http://schemas.openxmlformats.org/officeDocument/2006/relationships/hyperlink" Target="http://www.nevo.co.il/case/16944929"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2006503" TargetMode="External"/><Relationship Id="rId25" Type="http://schemas.openxmlformats.org/officeDocument/2006/relationships/hyperlink" Target="http://www.nevo.co.il/law/70301/40j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779149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40i"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779149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i" TargetMode="External"/><Relationship Id="rId19" Type="http://schemas.openxmlformats.org/officeDocument/2006/relationships/hyperlink" Target="http://www.nevo.co.il/case/1309374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3233955" TargetMode="External"/><Relationship Id="rId27" Type="http://schemas.openxmlformats.org/officeDocument/2006/relationships/hyperlink" Target="http://www.nevo.co.il/case/25824863" TargetMode="External"/><Relationship Id="rId30" Type="http://schemas.openxmlformats.org/officeDocument/2006/relationships/header" Target="header2.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2151</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12882</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6619233</vt:i4>
      </vt:variant>
      <vt:variant>
        <vt:i4>57</vt:i4>
      </vt:variant>
      <vt:variant>
        <vt:i4>0</vt:i4>
      </vt:variant>
      <vt:variant>
        <vt:i4>5</vt:i4>
      </vt:variant>
      <vt:variant>
        <vt:lpwstr>http://www.nevo.co.il/law/70301/40g</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3539069</vt:i4>
      </vt:variant>
      <vt:variant>
        <vt:i4>45</vt:i4>
      </vt:variant>
      <vt:variant>
        <vt:i4>0</vt:i4>
      </vt:variant>
      <vt:variant>
        <vt:i4>5</vt:i4>
      </vt:variant>
      <vt:variant>
        <vt:lpwstr>http://www.nevo.co.il/case/23233955</vt:lpwstr>
      </vt:variant>
      <vt:variant>
        <vt:lpwstr/>
      </vt:variant>
      <vt:variant>
        <vt:i4>4063359</vt:i4>
      </vt:variant>
      <vt:variant>
        <vt:i4>42</vt:i4>
      </vt:variant>
      <vt:variant>
        <vt:i4>0</vt:i4>
      </vt:variant>
      <vt:variant>
        <vt:i4>5</vt:i4>
      </vt:variant>
      <vt:variant>
        <vt:lpwstr>http://www.nevo.co.il/case/16944929</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3539065</vt:i4>
      </vt:variant>
      <vt:variant>
        <vt:i4>36</vt:i4>
      </vt:variant>
      <vt:variant>
        <vt:i4>0</vt:i4>
      </vt:variant>
      <vt:variant>
        <vt:i4>5</vt:i4>
      </vt:variant>
      <vt:variant>
        <vt:lpwstr>http://www.nevo.co.il/case/13093744</vt:lpwstr>
      </vt:variant>
      <vt:variant>
        <vt:lpwstr/>
      </vt:variant>
      <vt:variant>
        <vt:i4>3407987</vt:i4>
      </vt:variant>
      <vt:variant>
        <vt:i4>33</vt:i4>
      </vt:variant>
      <vt:variant>
        <vt:i4>0</vt:i4>
      </vt:variant>
      <vt:variant>
        <vt:i4>5</vt:i4>
      </vt:variant>
      <vt:variant>
        <vt:lpwstr>http://www.nevo.co.il/case/21474168</vt:lpwstr>
      </vt:variant>
      <vt:variant>
        <vt:lpwstr/>
      </vt:variant>
      <vt:variant>
        <vt:i4>3407987</vt:i4>
      </vt:variant>
      <vt:variant>
        <vt:i4>30</vt:i4>
      </vt:variant>
      <vt:variant>
        <vt:i4>0</vt:i4>
      </vt:variant>
      <vt:variant>
        <vt:i4>5</vt:i4>
      </vt:variant>
      <vt:variant>
        <vt:lpwstr>http://www.nevo.co.il/case/22006503</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2023-12-07T12:14:00Z</dcterms:created>
  <dcterms:modified xsi:type="dcterms:W3CDTF">2023-12-07T12:14:00Z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36698</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שייח' סלימאן</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20191119</vt:lpwstr>
  </property>
  <property fmtid="{D5CDD505-2E9C-101B-9397-08002B2CF9AE}" pid="13" name="TYPE_N_DATE">
    <vt:lpwstr>39020191119</vt:lpwstr>
  </property>
  <property fmtid="{D5CDD505-2E9C-101B-9397-08002B2CF9AE}" pid="14" name="CASESLISTTMP1">
    <vt:lpwstr>22006503;21474168;13093744;7791493:2;16944929;23233955;25824863</vt:lpwstr>
  </property>
  <property fmtid="{D5CDD505-2E9C-101B-9397-08002B2CF9AE}" pid="15" name="WORDNUMPAGES">
    <vt:lpwstr>8</vt:lpwstr>
  </property>
  <property fmtid="{D5CDD505-2E9C-101B-9397-08002B2CF9AE}" pid="16" name="TYPE_ABS_DATE">
    <vt:lpwstr>390020191119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70301/144.a:2;040b;040i;40ja;040g</vt:lpwstr>
  </property>
</Properties>
</file>