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0"/>
        <w:gridCol w:w="3661"/>
      </w:tblGrid>
      <w:tr w:rsidR="00BB7123" w:rsidRPr="00AF5665" w14:paraId="7A018E44" w14:textId="77777777" w:rsidTr="000103BC">
        <w:trPr>
          <w:trHeight w:hRule="exact" w:val="418"/>
          <w:jc w:val="center"/>
        </w:trPr>
        <w:tc>
          <w:tcPr>
            <w:tcW w:w="8721" w:type="dxa"/>
            <w:gridSpan w:val="2"/>
          </w:tcPr>
          <w:p w14:paraId="7EFE39EF" w14:textId="77777777" w:rsidR="00BB7123" w:rsidRPr="00AF5665" w:rsidRDefault="00BB7123" w:rsidP="000D6056">
            <w:pPr>
              <w:pStyle w:val="a3"/>
              <w:jc w:val="center"/>
              <w:rPr>
                <w:rFonts w:ascii="Tahoma" w:hAnsi="Tahoma" w:cs="Tahoma"/>
                <w:color w:val="000080"/>
                <w:rtl/>
              </w:rPr>
            </w:pPr>
            <w:bookmarkStart w:id="0" w:name="LastJudge"/>
            <w:r w:rsidRPr="00AF5665">
              <w:rPr>
                <w:rFonts w:ascii="Tahoma" w:hAnsi="Tahoma" w:cs="Tahoma"/>
                <w:b/>
                <w:bCs/>
                <w:color w:val="000080"/>
                <w:rtl/>
              </w:rPr>
              <w:t>בית המשפט המחוזי מרכז-לוד</w:t>
            </w:r>
          </w:p>
        </w:tc>
      </w:tr>
      <w:tr w:rsidR="00BB7123" w:rsidRPr="00AF5665" w14:paraId="0DC311CE" w14:textId="77777777" w:rsidTr="000103BC">
        <w:trPr>
          <w:trHeight w:val="337"/>
          <w:jc w:val="center"/>
        </w:trPr>
        <w:tc>
          <w:tcPr>
            <w:tcW w:w="5060" w:type="dxa"/>
          </w:tcPr>
          <w:p w14:paraId="28BBBE11" w14:textId="77777777" w:rsidR="00BB7123" w:rsidRPr="00AF5665" w:rsidRDefault="00BB7123" w:rsidP="000D6056">
            <w:pPr>
              <w:rPr>
                <w:rFonts w:cs="FrankRuehl"/>
                <w:sz w:val="28"/>
                <w:szCs w:val="28"/>
                <w:rtl/>
              </w:rPr>
            </w:pPr>
            <w:r w:rsidRPr="00AF5665">
              <w:rPr>
                <w:rFonts w:cs="FrankRuehl"/>
                <w:sz w:val="28"/>
                <w:szCs w:val="28"/>
                <w:rtl/>
              </w:rPr>
              <w:t>ת"פ</w:t>
            </w:r>
            <w:r w:rsidRPr="00AF5665">
              <w:rPr>
                <w:rFonts w:cs="FrankRuehl" w:hint="cs"/>
                <w:sz w:val="28"/>
                <w:szCs w:val="28"/>
                <w:rtl/>
              </w:rPr>
              <w:t xml:space="preserve"> </w:t>
            </w:r>
            <w:r w:rsidRPr="00AF5665">
              <w:rPr>
                <w:rFonts w:cs="FrankRuehl"/>
                <w:sz w:val="28"/>
                <w:szCs w:val="28"/>
                <w:rtl/>
              </w:rPr>
              <w:t>36982-03-18</w:t>
            </w:r>
            <w:r w:rsidRPr="00AF5665">
              <w:rPr>
                <w:rFonts w:cs="FrankRuehl" w:hint="cs"/>
                <w:sz w:val="28"/>
                <w:szCs w:val="28"/>
                <w:rtl/>
              </w:rPr>
              <w:t xml:space="preserve"> </w:t>
            </w:r>
            <w:r w:rsidRPr="00AF5665">
              <w:rPr>
                <w:rFonts w:cs="FrankRuehl"/>
                <w:sz w:val="28"/>
                <w:szCs w:val="28"/>
                <w:rtl/>
              </w:rPr>
              <w:t>מדינת ישראל נ' אלרג</w:t>
            </w:r>
            <w:r w:rsidRPr="00AF5665">
              <w:rPr>
                <w:rFonts w:cs="FrankRuehl" w:hint="cs"/>
                <w:sz w:val="28"/>
                <w:szCs w:val="28"/>
                <w:rtl/>
              </w:rPr>
              <w:t>'</w:t>
            </w:r>
            <w:r w:rsidRPr="00AF5665">
              <w:rPr>
                <w:rFonts w:cs="FrankRuehl"/>
                <w:sz w:val="28"/>
                <w:szCs w:val="28"/>
                <w:rtl/>
              </w:rPr>
              <w:t>וב(עציר)</w:t>
            </w:r>
          </w:p>
        </w:tc>
        <w:tc>
          <w:tcPr>
            <w:tcW w:w="3661" w:type="dxa"/>
          </w:tcPr>
          <w:p w14:paraId="4577534A" w14:textId="77777777" w:rsidR="00BB7123" w:rsidRPr="00AF5665" w:rsidRDefault="00BB7123" w:rsidP="000D6056">
            <w:pPr>
              <w:pStyle w:val="a3"/>
              <w:jc w:val="right"/>
              <w:rPr>
                <w:rFonts w:cs="FrankRuehl"/>
                <w:sz w:val="28"/>
                <w:szCs w:val="28"/>
                <w:rtl/>
              </w:rPr>
            </w:pPr>
          </w:p>
        </w:tc>
      </w:tr>
    </w:tbl>
    <w:p w14:paraId="0F8ED019" w14:textId="77777777" w:rsidR="00BB7123" w:rsidRPr="00AF5665" w:rsidRDefault="00BB7123" w:rsidP="00BB7123">
      <w:pPr>
        <w:pStyle w:val="a3"/>
        <w:rPr>
          <w:rtl/>
        </w:rPr>
      </w:pPr>
    </w:p>
    <w:p w14:paraId="74D214C3" w14:textId="77777777" w:rsidR="00BB7123" w:rsidRPr="00AF5665" w:rsidRDefault="00BB7123" w:rsidP="00BB7123">
      <w:pPr>
        <w:spacing w:line="276" w:lineRule="auto"/>
        <w:rPr>
          <w:rFonts w:ascii="Arial" w:hAnsi="Arial" w:cs="Arial"/>
          <w:sz w:val="36"/>
          <w:szCs w:val="36"/>
          <w:vertAlign w:val="superscript"/>
          <w:rtl/>
        </w:rPr>
      </w:pPr>
    </w:p>
    <w:p w14:paraId="3A737A32" w14:textId="77777777" w:rsidR="00BB7123" w:rsidRPr="00AF5665" w:rsidRDefault="00BB7123" w:rsidP="00BB7123">
      <w:pPr>
        <w:spacing w:line="276" w:lineRule="auto"/>
        <w:rPr>
          <w:rFonts w:ascii="Arial" w:hAnsi="Arial" w:cs="Arial"/>
          <w:sz w:val="36"/>
          <w:szCs w:val="36"/>
          <w:vertAlign w:val="superscript"/>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B7123" w:rsidRPr="00AF5665" w14:paraId="5A07B51C" w14:textId="77777777" w:rsidTr="00BB7123">
        <w:trPr>
          <w:trHeight w:val="295"/>
          <w:jc w:val="center"/>
        </w:trPr>
        <w:tc>
          <w:tcPr>
            <w:tcW w:w="923" w:type="dxa"/>
            <w:tcBorders>
              <w:top w:val="nil"/>
              <w:left w:val="nil"/>
              <w:bottom w:val="nil"/>
              <w:right w:val="nil"/>
            </w:tcBorders>
            <w:shd w:val="clear" w:color="auto" w:fill="auto"/>
          </w:tcPr>
          <w:p w14:paraId="7B23A5A7" w14:textId="77777777" w:rsidR="00BB7123" w:rsidRPr="00AF5665" w:rsidRDefault="00BB7123" w:rsidP="00BB7123">
            <w:pPr>
              <w:spacing w:line="276" w:lineRule="auto"/>
              <w:jc w:val="both"/>
              <w:rPr>
                <w:rFonts w:ascii="Arial" w:hAnsi="Arial" w:cs="Arial"/>
                <w:b/>
                <w:bCs/>
                <w:sz w:val="36"/>
                <w:szCs w:val="36"/>
                <w:vertAlign w:val="superscript"/>
              </w:rPr>
            </w:pPr>
            <w:r w:rsidRPr="00AF5665">
              <w:rPr>
                <w:rFonts w:ascii="Arial" w:hAnsi="Arial" w:cs="Arial"/>
                <w:b/>
                <w:bCs/>
                <w:sz w:val="36"/>
                <w:szCs w:val="36"/>
                <w:vertAlign w:val="superscript"/>
                <w:rtl/>
              </w:rPr>
              <w:t xml:space="preserve">בפני </w:t>
            </w:r>
          </w:p>
        </w:tc>
        <w:tc>
          <w:tcPr>
            <w:tcW w:w="7897" w:type="dxa"/>
            <w:gridSpan w:val="2"/>
            <w:tcBorders>
              <w:top w:val="nil"/>
              <w:left w:val="nil"/>
              <w:bottom w:val="nil"/>
              <w:right w:val="nil"/>
            </w:tcBorders>
            <w:shd w:val="clear" w:color="auto" w:fill="auto"/>
          </w:tcPr>
          <w:p w14:paraId="2197018A" w14:textId="77777777" w:rsidR="00BB7123" w:rsidRPr="00AF5665" w:rsidRDefault="00BB7123" w:rsidP="00BB7123">
            <w:pPr>
              <w:spacing w:line="276" w:lineRule="auto"/>
              <w:rPr>
                <w:rFonts w:ascii="Arial" w:hAnsi="Arial" w:cs="Arial"/>
                <w:b/>
                <w:bCs/>
                <w:sz w:val="36"/>
                <w:szCs w:val="36"/>
                <w:vertAlign w:val="superscript"/>
                <w:rtl/>
              </w:rPr>
            </w:pPr>
            <w:r w:rsidRPr="00AF5665">
              <w:rPr>
                <w:rFonts w:ascii="Arial" w:hAnsi="Arial" w:cs="Arial"/>
                <w:b/>
                <w:bCs/>
                <w:sz w:val="36"/>
                <w:szCs w:val="36"/>
                <w:vertAlign w:val="superscript"/>
                <w:rtl/>
              </w:rPr>
              <w:t>כבוד השופטת  מיכל ברנט</w:t>
            </w:r>
          </w:p>
          <w:p w14:paraId="3922C700" w14:textId="77777777" w:rsidR="00BB7123" w:rsidRPr="00AF5665" w:rsidRDefault="00BB7123" w:rsidP="00BB7123">
            <w:pPr>
              <w:spacing w:line="276" w:lineRule="auto"/>
              <w:rPr>
                <w:rFonts w:ascii="Arial" w:hAnsi="Arial" w:cs="Arial"/>
                <w:b/>
                <w:bCs/>
                <w:sz w:val="36"/>
                <w:szCs w:val="36"/>
                <w:vertAlign w:val="superscript"/>
                <w:rtl/>
              </w:rPr>
            </w:pPr>
          </w:p>
          <w:p w14:paraId="063929DD" w14:textId="77777777" w:rsidR="00BB7123" w:rsidRPr="00AF5665" w:rsidRDefault="00BB7123" w:rsidP="00BB7123">
            <w:pPr>
              <w:spacing w:line="276" w:lineRule="auto"/>
              <w:jc w:val="both"/>
              <w:rPr>
                <w:rFonts w:ascii="Arial" w:hAnsi="Arial" w:cs="Arial"/>
                <w:b/>
                <w:bCs/>
                <w:sz w:val="36"/>
                <w:szCs w:val="36"/>
                <w:vertAlign w:val="superscript"/>
              </w:rPr>
            </w:pPr>
          </w:p>
        </w:tc>
      </w:tr>
      <w:tr w:rsidR="00BB7123" w:rsidRPr="00AF5665" w14:paraId="2B3956A7" w14:textId="77777777" w:rsidTr="00BB7123">
        <w:trPr>
          <w:trHeight w:val="355"/>
          <w:jc w:val="center"/>
        </w:trPr>
        <w:tc>
          <w:tcPr>
            <w:tcW w:w="923" w:type="dxa"/>
            <w:tcBorders>
              <w:top w:val="nil"/>
              <w:left w:val="nil"/>
              <w:bottom w:val="nil"/>
              <w:right w:val="nil"/>
            </w:tcBorders>
            <w:shd w:val="clear" w:color="auto" w:fill="auto"/>
          </w:tcPr>
          <w:p w14:paraId="74BBEB5B" w14:textId="77777777" w:rsidR="00BB7123" w:rsidRPr="00AF5665" w:rsidRDefault="00BB7123" w:rsidP="00BB7123">
            <w:pPr>
              <w:spacing w:line="276" w:lineRule="auto"/>
              <w:jc w:val="both"/>
              <w:rPr>
                <w:rFonts w:ascii="Arial" w:hAnsi="Arial" w:cs="Arial"/>
                <w:b/>
                <w:bCs/>
                <w:sz w:val="36"/>
                <w:szCs w:val="36"/>
                <w:vertAlign w:val="superscript"/>
              </w:rPr>
            </w:pPr>
            <w:bookmarkStart w:id="1" w:name="FirstAppellant"/>
            <w:r w:rsidRPr="00AF5665">
              <w:rPr>
                <w:rFonts w:ascii="Arial" w:hAnsi="Arial" w:cs="Arial"/>
                <w:b/>
                <w:bCs/>
                <w:sz w:val="36"/>
                <w:szCs w:val="36"/>
                <w:vertAlign w:val="superscript"/>
                <w:rtl/>
              </w:rPr>
              <w:t>בעניין:</w:t>
            </w:r>
          </w:p>
        </w:tc>
        <w:tc>
          <w:tcPr>
            <w:tcW w:w="4126" w:type="dxa"/>
            <w:tcBorders>
              <w:top w:val="nil"/>
              <w:left w:val="nil"/>
              <w:bottom w:val="nil"/>
              <w:right w:val="nil"/>
            </w:tcBorders>
            <w:shd w:val="clear" w:color="auto" w:fill="auto"/>
          </w:tcPr>
          <w:p w14:paraId="6840E962" w14:textId="77777777" w:rsidR="00BB7123" w:rsidRPr="00AF5665" w:rsidRDefault="00BB7123" w:rsidP="00BB7123">
            <w:pPr>
              <w:spacing w:line="276" w:lineRule="auto"/>
              <w:rPr>
                <w:rFonts w:ascii="Arial" w:hAnsi="Arial" w:cs="Arial"/>
                <w:b/>
                <w:bCs/>
                <w:sz w:val="36"/>
                <w:szCs w:val="36"/>
                <w:vertAlign w:val="superscript"/>
              </w:rPr>
            </w:pPr>
            <w:r w:rsidRPr="00AF5665">
              <w:rPr>
                <w:rFonts w:ascii="Arial" w:hAnsi="Arial" w:cs="Arial"/>
                <w:b/>
                <w:bCs/>
                <w:sz w:val="36"/>
                <w:szCs w:val="36"/>
                <w:vertAlign w:val="superscript"/>
                <w:rtl/>
              </w:rPr>
              <w:t>מדינת ישראל</w:t>
            </w:r>
          </w:p>
        </w:tc>
        <w:tc>
          <w:tcPr>
            <w:tcW w:w="3771" w:type="dxa"/>
            <w:tcBorders>
              <w:top w:val="nil"/>
              <w:left w:val="nil"/>
              <w:bottom w:val="nil"/>
              <w:right w:val="nil"/>
            </w:tcBorders>
            <w:shd w:val="clear" w:color="auto" w:fill="auto"/>
          </w:tcPr>
          <w:p w14:paraId="1D464106" w14:textId="77777777" w:rsidR="00BB7123" w:rsidRPr="00AF5665" w:rsidRDefault="00BB7123" w:rsidP="00BB7123">
            <w:pPr>
              <w:spacing w:line="276" w:lineRule="auto"/>
              <w:jc w:val="both"/>
              <w:rPr>
                <w:rFonts w:ascii="Arial" w:hAnsi="Arial" w:cs="Arial"/>
                <w:b/>
                <w:bCs/>
                <w:sz w:val="36"/>
                <w:szCs w:val="36"/>
                <w:vertAlign w:val="superscript"/>
              </w:rPr>
            </w:pPr>
          </w:p>
        </w:tc>
      </w:tr>
      <w:bookmarkEnd w:id="1"/>
      <w:tr w:rsidR="00BB7123" w:rsidRPr="00AF5665" w14:paraId="664EC06A" w14:textId="77777777" w:rsidTr="00BB7123">
        <w:trPr>
          <w:trHeight w:val="355"/>
          <w:jc w:val="center"/>
        </w:trPr>
        <w:tc>
          <w:tcPr>
            <w:tcW w:w="923" w:type="dxa"/>
            <w:tcBorders>
              <w:top w:val="nil"/>
              <w:left w:val="nil"/>
              <w:bottom w:val="nil"/>
              <w:right w:val="nil"/>
            </w:tcBorders>
            <w:shd w:val="clear" w:color="auto" w:fill="auto"/>
          </w:tcPr>
          <w:p w14:paraId="51BE057B" w14:textId="77777777" w:rsidR="00BB7123" w:rsidRPr="00AF5665" w:rsidRDefault="00BB7123" w:rsidP="00BB7123">
            <w:pPr>
              <w:spacing w:line="276" w:lineRule="auto"/>
              <w:jc w:val="both"/>
              <w:rPr>
                <w:rFonts w:ascii="Arial" w:hAnsi="Arial" w:cs="Arial"/>
                <w:b/>
                <w:bCs/>
                <w:sz w:val="36"/>
                <w:szCs w:val="36"/>
                <w:vertAlign w:val="superscript"/>
                <w:rtl/>
              </w:rPr>
            </w:pPr>
          </w:p>
        </w:tc>
        <w:tc>
          <w:tcPr>
            <w:tcW w:w="4126" w:type="dxa"/>
            <w:tcBorders>
              <w:top w:val="nil"/>
              <w:left w:val="nil"/>
              <w:bottom w:val="nil"/>
              <w:right w:val="nil"/>
            </w:tcBorders>
            <w:shd w:val="clear" w:color="auto" w:fill="auto"/>
          </w:tcPr>
          <w:p w14:paraId="01E51E19" w14:textId="77777777" w:rsidR="00BB7123" w:rsidRPr="00AF5665" w:rsidRDefault="00BB7123" w:rsidP="00BB7123">
            <w:pPr>
              <w:spacing w:line="276" w:lineRule="auto"/>
              <w:jc w:val="both"/>
              <w:rPr>
                <w:rFonts w:ascii="Arial" w:hAnsi="Arial" w:cs="Arial"/>
                <w:b/>
                <w:bCs/>
                <w:sz w:val="36"/>
                <w:szCs w:val="36"/>
                <w:vertAlign w:val="superscript"/>
                <w:rtl/>
              </w:rPr>
            </w:pPr>
          </w:p>
        </w:tc>
        <w:tc>
          <w:tcPr>
            <w:tcW w:w="3771" w:type="dxa"/>
            <w:tcBorders>
              <w:top w:val="nil"/>
              <w:left w:val="nil"/>
              <w:bottom w:val="nil"/>
              <w:right w:val="nil"/>
            </w:tcBorders>
            <w:shd w:val="clear" w:color="auto" w:fill="auto"/>
          </w:tcPr>
          <w:p w14:paraId="4DC05376" w14:textId="77777777" w:rsidR="00BB7123" w:rsidRPr="00AF5665" w:rsidRDefault="00BB7123" w:rsidP="00BB7123">
            <w:pPr>
              <w:spacing w:line="276" w:lineRule="auto"/>
              <w:jc w:val="right"/>
              <w:rPr>
                <w:rFonts w:ascii="Arial" w:hAnsi="Arial" w:cs="Arial"/>
                <w:b/>
                <w:bCs/>
                <w:sz w:val="36"/>
                <w:szCs w:val="36"/>
                <w:vertAlign w:val="superscript"/>
                <w:rtl/>
              </w:rPr>
            </w:pPr>
            <w:r w:rsidRPr="00AF5665">
              <w:rPr>
                <w:rFonts w:ascii="Arial" w:hAnsi="Arial" w:cs="Arial"/>
                <w:b/>
                <w:bCs/>
                <w:sz w:val="36"/>
                <w:szCs w:val="36"/>
                <w:vertAlign w:val="superscript"/>
                <w:rtl/>
              </w:rPr>
              <w:t>המאשימה</w:t>
            </w:r>
          </w:p>
        </w:tc>
      </w:tr>
      <w:tr w:rsidR="00BB7123" w:rsidRPr="00AF5665" w14:paraId="318363C0" w14:textId="77777777" w:rsidTr="00BB7123">
        <w:trPr>
          <w:trHeight w:val="355"/>
          <w:jc w:val="center"/>
        </w:trPr>
        <w:tc>
          <w:tcPr>
            <w:tcW w:w="923" w:type="dxa"/>
            <w:tcBorders>
              <w:top w:val="nil"/>
              <w:left w:val="nil"/>
              <w:bottom w:val="nil"/>
              <w:right w:val="nil"/>
            </w:tcBorders>
            <w:shd w:val="clear" w:color="auto" w:fill="auto"/>
          </w:tcPr>
          <w:p w14:paraId="76389E96" w14:textId="77777777" w:rsidR="00BB7123" w:rsidRPr="00AF5665" w:rsidRDefault="00BB7123" w:rsidP="00BB7123">
            <w:pPr>
              <w:spacing w:line="276" w:lineRule="auto"/>
              <w:jc w:val="both"/>
              <w:rPr>
                <w:rFonts w:ascii="Arial" w:hAnsi="Arial" w:cs="Arial"/>
                <w:b/>
                <w:bCs/>
                <w:sz w:val="36"/>
                <w:szCs w:val="36"/>
                <w:vertAlign w:val="superscript"/>
                <w:rtl/>
              </w:rPr>
            </w:pPr>
          </w:p>
        </w:tc>
        <w:tc>
          <w:tcPr>
            <w:tcW w:w="7897" w:type="dxa"/>
            <w:gridSpan w:val="2"/>
            <w:tcBorders>
              <w:top w:val="nil"/>
              <w:left w:val="nil"/>
              <w:bottom w:val="nil"/>
              <w:right w:val="nil"/>
            </w:tcBorders>
            <w:shd w:val="clear" w:color="auto" w:fill="auto"/>
          </w:tcPr>
          <w:p w14:paraId="7528D8E6" w14:textId="77777777" w:rsidR="00BB7123" w:rsidRPr="00AF5665" w:rsidRDefault="00BB7123" w:rsidP="00BB7123">
            <w:pPr>
              <w:spacing w:line="276" w:lineRule="auto"/>
              <w:jc w:val="center"/>
              <w:rPr>
                <w:rFonts w:ascii="Arial" w:hAnsi="Arial" w:cs="Arial"/>
                <w:b/>
                <w:bCs/>
                <w:sz w:val="36"/>
                <w:szCs w:val="36"/>
                <w:vertAlign w:val="superscript"/>
                <w:rtl/>
              </w:rPr>
            </w:pPr>
          </w:p>
          <w:p w14:paraId="3B15EBDD" w14:textId="77777777" w:rsidR="00BB7123" w:rsidRPr="00AF5665" w:rsidRDefault="00BB7123" w:rsidP="00BB7123">
            <w:pPr>
              <w:spacing w:line="276" w:lineRule="auto"/>
              <w:jc w:val="center"/>
              <w:rPr>
                <w:rFonts w:ascii="Arial" w:hAnsi="Arial" w:cs="Arial"/>
                <w:b/>
                <w:bCs/>
                <w:sz w:val="36"/>
                <w:szCs w:val="36"/>
                <w:vertAlign w:val="superscript"/>
                <w:rtl/>
              </w:rPr>
            </w:pPr>
            <w:r w:rsidRPr="00AF5665">
              <w:rPr>
                <w:rFonts w:ascii="Arial" w:hAnsi="Arial" w:cs="Arial"/>
                <w:b/>
                <w:bCs/>
                <w:sz w:val="36"/>
                <w:szCs w:val="36"/>
                <w:vertAlign w:val="superscript"/>
                <w:rtl/>
              </w:rPr>
              <w:t>נגד</w:t>
            </w:r>
          </w:p>
          <w:p w14:paraId="53063DF3" w14:textId="77777777" w:rsidR="00BB7123" w:rsidRPr="00AF5665" w:rsidRDefault="00BB7123" w:rsidP="00BB7123">
            <w:pPr>
              <w:spacing w:line="276" w:lineRule="auto"/>
              <w:jc w:val="both"/>
              <w:rPr>
                <w:rFonts w:ascii="Arial" w:hAnsi="Arial" w:cs="Arial"/>
                <w:b/>
                <w:bCs/>
                <w:sz w:val="36"/>
                <w:szCs w:val="36"/>
                <w:vertAlign w:val="superscript"/>
              </w:rPr>
            </w:pPr>
          </w:p>
        </w:tc>
      </w:tr>
      <w:tr w:rsidR="00BB7123" w:rsidRPr="00AF5665" w14:paraId="33BE4D11" w14:textId="77777777" w:rsidTr="00BB7123">
        <w:trPr>
          <w:trHeight w:val="355"/>
          <w:jc w:val="center"/>
        </w:trPr>
        <w:tc>
          <w:tcPr>
            <w:tcW w:w="923" w:type="dxa"/>
            <w:tcBorders>
              <w:top w:val="nil"/>
              <w:left w:val="nil"/>
              <w:bottom w:val="nil"/>
              <w:right w:val="nil"/>
            </w:tcBorders>
            <w:shd w:val="clear" w:color="auto" w:fill="auto"/>
          </w:tcPr>
          <w:p w14:paraId="189699BD" w14:textId="77777777" w:rsidR="00BB7123" w:rsidRPr="00AF5665" w:rsidRDefault="00BB7123" w:rsidP="00BB7123">
            <w:pPr>
              <w:spacing w:line="276" w:lineRule="auto"/>
              <w:rPr>
                <w:rFonts w:ascii="Arial" w:hAnsi="Arial" w:cs="Arial"/>
                <w:b/>
                <w:bCs/>
                <w:sz w:val="36"/>
                <w:szCs w:val="36"/>
                <w:vertAlign w:val="superscript"/>
                <w:rtl/>
              </w:rPr>
            </w:pPr>
          </w:p>
        </w:tc>
        <w:tc>
          <w:tcPr>
            <w:tcW w:w="4126" w:type="dxa"/>
            <w:tcBorders>
              <w:top w:val="nil"/>
              <w:left w:val="nil"/>
              <w:bottom w:val="nil"/>
              <w:right w:val="nil"/>
            </w:tcBorders>
            <w:shd w:val="clear" w:color="auto" w:fill="auto"/>
          </w:tcPr>
          <w:p w14:paraId="6494AB18" w14:textId="77777777" w:rsidR="00BB7123" w:rsidRPr="00AF5665" w:rsidRDefault="00BB7123" w:rsidP="00BB7123">
            <w:pPr>
              <w:spacing w:line="276" w:lineRule="auto"/>
              <w:rPr>
                <w:rFonts w:ascii="Arial" w:hAnsi="Arial" w:cs="Arial"/>
                <w:b/>
                <w:bCs/>
                <w:sz w:val="36"/>
                <w:szCs w:val="36"/>
                <w:vertAlign w:val="superscript"/>
                <w:rtl/>
              </w:rPr>
            </w:pPr>
            <w:r w:rsidRPr="00AF5665">
              <w:rPr>
                <w:rFonts w:ascii="Arial" w:hAnsi="Arial" w:cs="Arial"/>
                <w:b/>
                <w:bCs/>
                <w:sz w:val="36"/>
                <w:szCs w:val="36"/>
                <w:vertAlign w:val="superscript"/>
                <w:rtl/>
              </w:rPr>
              <w:t>סאלם אלרג</w:t>
            </w:r>
            <w:r w:rsidRPr="00AF5665">
              <w:rPr>
                <w:rFonts w:ascii="Arial" w:hAnsi="Arial" w:cs="Arial" w:hint="cs"/>
                <w:b/>
                <w:bCs/>
                <w:sz w:val="36"/>
                <w:szCs w:val="36"/>
                <w:vertAlign w:val="superscript"/>
                <w:rtl/>
              </w:rPr>
              <w:t>'</w:t>
            </w:r>
            <w:r w:rsidRPr="00AF5665">
              <w:rPr>
                <w:rFonts w:ascii="Arial" w:hAnsi="Arial" w:cs="Arial"/>
                <w:b/>
                <w:bCs/>
                <w:sz w:val="36"/>
                <w:szCs w:val="36"/>
                <w:vertAlign w:val="superscript"/>
                <w:rtl/>
              </w:rPr>
              <w:t>וב (עציר)</w:t>
            </w:r>
          </w:p>
        </w:tc>
        <w:tc>
          <w:tcPr>
            <w:tcW w:w="3771" w:type="dxa"/>
            <w:tcBorders>
              <w:top w:val="nil"/>
              <w:left w:val="nil"/>
              <w:bottom w:val="nil"/>
              <w:right w:val="nil"/>
            </w:tcBorders>
            <w:shd w:val="clear" w:color="auto" w:fill="auto"/>
          </w:tcPr>
          <w:p w14:paraId="3674A3D7" w14:textId="77777777" w:rsidR="00BB7123" w:rsidRPr="00AF5665" w:rsidRDefault="00BB7123" w:rsidP="00BB7123">
            <w:pPr>
              <w:spacing w:line="276" w:lineRule="auto"/>
              <w:jc w:val="right"/>
              <w:rPr>
                <w:rFonts w:ascii="Arial" w:hAnsi="Arial" w:cs="Arial"/>
                <w:b/>
                <w:bCs/>
                <w:sz w:val="36"/>
                <w:szCs w:val="36"/>
                <w:vertAlign w:val="superscript"/>
              </w:rPr>
            </w:pPr>
          </w:p>
        </w:tc>
      </w:tr>
      <w:tr w:rsidR="00BB7123" w:rsidRPr="00AF5665" w14:paraId="21D57F91" w14:textId="77777777" w:rsidTr="00BB7123">
        <w:trPr>
          <w:trHeight w:val="355"/>
          <w:jc w:val="center"/>
        </w:trPr>
        <w:tc>
          <w:tcPr>
            <w:tcW w:w="923" w:type="dxa"/>
            <w:tcBorders>
              <w:top w:val="nil"/>
              <w:left w:val="nil"/>
              <w:bottom w:val="nil"/>
              <w:right w:val="nil"/>
            </w:tcBorders>
            <w:shd w:val="clear" w:color="auto" w:fill="auto"/>
          </w:tcPr>
          <w:p w14:paraId="269F567A" w14:textId="77777777" w:rsidR="00BB7123" w:rsidRPr="00AF5665" w:rsidRDefault="00BB7123" w:rsidP="00BB7123">
            <w:pPr>
              <w:spacing w:line="276" w:lineRule="auto"/>
              <w:jc w:val="both"/>
              <w:rPr>
                <w:rFonts w:ascii="Arial" w:hAnsi="Arial" w:cs="Arial"/>
                <w:b/>
                <w:bCs/>
                <w:sz w:val="36"/>
                <w:szCs w:val="36"/>
                <w:vertAlign w:val="superscript"/>
                <w:rtl/>
              </w:rPr>
            </w:pPr>
          </w:p>
        </w:tc>
        <w:tc>
          <w:tcPr>
            <w:tcW w:w="4126" w:type="dxa"/>
            <w:tcBorders>
              <w:top w:val="nil"/>
              <w:left w:val="nil"/>
              <w:bottom w:val="nil"/>
              <w:right w:val="nil"/>
            </w:tcBorders>
            <w:shd w:val="clear" w:color="auto" w:fill="auto"/>
          </w:tcPr>
          <w:p w14:paraId="49C53CDE" w14:textId="77777777" w:rsidR="00BB7123" w:rsidRPr="00AF5665" w:rsidRDefault="00BB7123" w:rsidP="00BB7123">
            <w:pPr>
              <w:spacing w:line="276" w:lineRule="auto"/>
              <w:jc w:val="both"/>
              <w:rPr>
                <w:rFonts w:ascii="Arial" w:hAnsi="Arial" w:cs="Arial"/>
                <w:b/>
                <w:bCs/>
                <w:sz w:val="36"/>
                <w:szCs w:val="36"/>
                <w:vertAlign w:val="superscript"/>
                <w:rtl/>
              </w:rPr>
            </w:pPr>
          </w:p>
        </w:tc>
        <w:tc>
          <w:tcPr>
            <w:tcW w:w="3771" w:type="dxa"/>
            <w:tcBorders>
              <w:top w:val="nil"/>
              <w:left w:val="nil"/>
              <w:bottom w:val="nil"/>
              <w:right w:val="nil"/>
            </w:tcBorders>
            <w:shd w:val="clear" w:color="auto" w:fill="auto"/>
          </w:tcPr>
          <w:p w14:paraId="2EBCF37B" w14:textId="77777777" w:rsidR="00BB7123" w:rsidRPr="00AF5665" w:rsidRDefault="00BB7123" w:rsidP="00BB7123">
            <w:pPr>
              <w:spacing w:line="276" w:lineRule="auto"/>
              <w:jc w:val="right"/>
              <w:rPr>
                <w:rFonts w:ascii="Arial" w:hAnsi="Arial" w:cs="Arial"/>
                <w:b/>
                <w:bCs/>
                <w:sz w:val="36"/>
                <w:szCs w:val="36"/>
                <w:vertAlign w:val="superscript"/>
              </w:rPr>
            </w:pPr>
            <w:r w:rsidRPr="00AF5665">
              <w:rPr>
                <w:rFonts w:ascii="Arial" w:hAnsi="Arial" w:cs="Arial"/>
                <w:b/>
                <w:bCs/>
                <w:sz w:val="36"/>
                <w:szCs w:val="36"/>
                <w:vertAlign w:val="superscript"/>
                <w:rtl/>
              </w:rPr>
              <w:t>הנאשם</w:t>
            </w:r>
          </w:p>
        </w:tc>
      </w:tr>
    </w:tbl>
    <w:p w14:paraId="168B94E7" w14:textId="77777777" w:rsidR="00BA5838" w:rsidRDefault="00BA5838" w:rsidP="00BB7123">
      <w:pPr>
        <w:spacing w:line="276" w:lineRule="auto"/>
        <w:rPr>
          <w:rFonts w:ascii="Arial" w:hAnsi="Arial" w:cs="Arial"/>
          <w:sz w:val="10"/>
          <w:szCs w:val="10"/>
          <w:vertAlign w:val="superscript"/>
          <w:rtl/>
        </w:rPr>
      </w:pPr>
      <w:bookmarkStart w:id="2" w:name="LawTable"/>
      <w:bookmarkEnd w:id="2"/>
    </w:p>
    <w:p w14:paraId="03DC1061" w14:textId="77777777" w:rsidR="00BA5838" w:rsidRPr="00BA5838" w:rsidRDefault="00BA5838" w:rsidP="00BA5838">
      <w:pPr>
        <w:spacing w:after="120" w:line="240" w:lineRule="exact"/>
        <w:ind w:left="283" w:hanging="283"/>
        <w:jc w:val="both"/>
        <w:rPr>
          <w:rFonts w:ascii="FrankRuehl" w:hAnsi="FrankRuehl" w:cs="FrankRuehl"/>
          <w:vertAlign w:val="superscript"/>
          <w:rtl/>
        </w:rPr>
      </w:pPr>
    </w:p>
    <w:p w14:paraId="2C6CFE08" w14:textId="77777777" w:rsidR="00BA5838" w:rsidRPr="00BA5838" w:rsidRDefault="00BA5838" w:rsidP="00BA5838">
      <w:pPr>
        <w:spacing w:after="120" w:line="240" w:lineRule="exact"/>
        <w:ind w:left="283" w:hanging="283"/>
        <w:jc w:val="both"/>
        <w:rPr>
          <w:rFonts w:ascii="FrankRuehl" w:hAnsi="FrankRuehl" w:cs="FrankRuehl"/>
          <w:vertAlign w:val="superscript"/>
          <w:rtl/>
        </w:rPr>
      </w:pPr>
      <w:r w:rsidRPr="00BA5838">
        <w:rPr>
          <w:rFonts w:ascii="FrankRuehl" w:hAnsi="FrankRuehl" w:cs="FrankRuehl"/>
          <w:vertAlign w:val="superscript"/>
          <w:rtl/>
        </w:rPr>
        <w:t xml:space="preserve">חקיקה שאוזכרה: </w:t>
      </w:r>
    </w:p>
    <w:p w14:paraId="6C5A337F" w14:textId="77777777" w:rsidR="00BA5838" w:rsidRPr="00BA5838" w:rsidRDefault="00BA5838" w:rsidP="00BA5838">
      <w:pPr>
        <w:spacing w:after="120" w:line="240" w:lineRule="exact"/>
        <w:ind w:left="283" w:hanging="283"/>
        <w:jc w:val="both"/>
        <w:rPr>
          <w:rFonts w:ascii="FrankRuehl" w:hAnsi="FrankRuehl" w:cs="FrankRuehl"/>
          <w:vertAlign w:val="superscript"/>
          <w:rtl/>
        </w:rPr>
      </w:pPr>
      <w:hyperlink r:id="rId7" w:history="1">
        <w:r w:rsidRPr="00BA5838">
          <w:rPr>
            <w:rFonts w:ascii="FrankRuehl" w:hAnsi="FrankRuehl" w:cs="FrankRuehl"/>
            <w:color w:val="0000FF"/>
            <w:u w:val="single"/>
            <w:vertAlign w:val="superscript"/>
            <w:rtl/>
          </w:rPr>
          <w:t>חוק העונשין, תשל"ז-1977</w:t>
        </w:r>
      </w:hyperlink>
      <w:r w:rsidRPr="00BA5838">
        <w:rPr>
          <w:rFonts w:ascii="FrankRuehl" w:hAnsi="FrankRuehl" w:cs="FrankRuehl"/>
          <w:vertAlign w:val="superscript"/>
          <w:rtl/>
        </w:rPr>
        <w:t xml:space="preserve">: סע'  </w:t>
      </w:r>
      <w:hyperlink r:id="rId8" w:history="1">
        <w:r w:rsidRPr="00BA5838">
          <w:rPr>
            <w:rFonts w:ascii="FrankRuehl" w:hAnsi="FrankRuehl" w:cs="FrankRuehl"/>
            <w:color w:val="0000FF"/>
            <w:u w:val="single"/>
            <w:vertAlign w:val="superscript"/>
            <w:rtl/>
          </w:rPr>
          <w:t>25</w:t>
        </w:r>
      </w:hyperlink>
      <w:r w:rsidRPr="00BA5838">
        <w:rPr>
          <w:rFonts w:ascii="FrankRuehl" w:hAnsi="FrankRuehl" w:cs="FrankRuehl"/>
          <w:vertAlign w:val="superscript"/>
          <w:rtl/>
        </w:rPr>
        <w:t xml:space="preserve">, </w:t>
      </w:r>
      <w:hyperlink r:id="rId9" w:history="1">
        <w:r w:rsidRPr="00BA5838">
          <w:rPr>
            <w:rFonts w:ascii="FrankRuehl" w:hAnsi="FrankRuehl" w:cs="FrankRuehl"/>
            <w:color w:val="0000FF"/>
            <w:u w:val="single"/>
            <w:vertAlign w:val="superscript"/>
            <w:rtl/>
          </w:rPr>
          <w:t>114 (א)</w:t>
        </w:r>
      </w:hyperlink>
      <w:r w:rsidRPr="00BA5838">
        <w:rPr>
          <w:rFonts w:ascii="FrankRuehl" w:hAnsi="FrankRuehl" w:cs="FrankRuehl"/>
          <w:vertAlign w:val="superscript"/>
          <w:rtl/>
        </w:rPr>
        <w:t xml:space="preserve">, </w:t>
      </w:r>
      <w:hyperlink r:id="rId10" w:history="1">
        <w:r w:rsidRPr="00BA5838">
          <w:rPr>
            <w:rFonts w:ascii="FrankRuehl" w:hAnsi="FrankRuehl" w:cs="FrankRuehl"/>
            <w:color w:val="0000FF"/>
            <w:u w:val="single"/>
            <w:vertAlign w:val="superscript"/>
            <w:rtl/>
          </w:rPr>
          <w:t>144 (ב2)</w:t>
        </w:r>
      </w:hyperlink>
    </w:p>
    <w:p w14:paraId="5B7690FC" w14:textId="77777777" w:rsidR="00BA5838" w:rsidRPr="00BA5838" w:rsidRDefault="00BA5838" w:rsidP="00BA5838">
      <w:pPr>
        <w:spacing w:after="120" w:line="240" w:lineRule="exact"/>
        <w:ind w:left="283" w:hanging="283"/>
        <w:jc w:val="both"/>
        <w:rPr>
          <w:rFonts w:ascii="FrankRuehl" w:hAnsi="FrankRuehl" w:cs="FrankRuehl"/>
          <w:vertAlign w:val="superscript"/>
          <w:rtl/>
        </w:rPr>
      </w:pPr>
      <w:hyperlink r:id="rId11" w:history="1">
        <w:r w:rsidRPr="00BA5838">
          <w:rPr>
            <w:rFonts w:ascii="FrankRuehl" w:hAnsi="FrankRuehl" w:cs="FrankRuehl"/>
            <w:color w:val="0000FF"/>
            <w:u w:val="single"/>
            <w:vertAlign w:val="superscript"/>
            <w:rtl/>
          </w:rPr>
          <w:t>חוק המאבק בטרור, תשע"ו-2016</w:t>
        </w:r>
      </w:hyperlink>
      <w:r w:rsidRPr="00BA5838">
        <w:rPr>
          <w:rFonts w:ascii="FrankRuehl" w:hAnsi="FrankRuehl" w:cs="FrankRuehl"/>
          <w:vertAlign w:val="superscript"/>
          <w:rtl/>
        </w:rPr>
        <w:t xml:space="preserve">: סע'  </w:t>
      </w:r>
      <w:hyperlink r:id="rId12" w:history="1">
        <w:r w:rsidRPr="00BA5838">
          <w:rPr>
            <w:rFonts w:ascii="FrankRuehl" w:hAnsi="FrankRuehl" w:cs="FrankRuehl"/>
            <w:color w:val="0000FF"/>
            <w:u w:val="single"/>
            <w:vertAlign w:val="superscript"/>
            <w:rtl/>
          </w:rPr>
          <w:t>23</w:t>
        </w:r>
      </w:hyperlink>
      <w:r w:rsidRPr="00BA5838">
        <w:rPr>
          <w:rFonts w:ascii="FrankRuehl" w:hAnsi="FrankRuehl" w:cs="FrankRuehl"/>
          <w:vertAlign w:val="superscript"/>
          <w:rtl/>
        </w:rPr>
        <w:t xml:space="preserve">, </w:t>
      </w:r>
      <w:hyperlink r:id="rId13" w:history="1">
        <w:r w:rsidRPr="00BA5838">
          <w:rPr>
            <w:rFonts w:ascii="FrankRuehl" w:hAnsi="FrankRuehl" w:cs="FrankRuehl"/>
            <w:color w:val="0000FF"/>
            <w:u w:val="single"/>
            <w:vertAlign w:val="superscript"/>
            <w:rtl/>
          </w:rPr>
          <w:t>24 (ב)(2)</w:t>
        </w:r>
      </w:hyperlink>
    </w:p>
    <w:p w14:paraId="6EA50B81" w14:textId="77777777" w:rsidR="00BA5838" w:rsidRPr="00BA5838" w:rsidRDefault="00BA5838" w:rsidP="00BA5838">
      <w:pPr>
        <w:spacing w:after="120" w:line="240" w:lineRule="exact"/>
        <w:ind w:left="283" w:hanging="283"/>
        <w:jc w:val="both"/>
        <w:rPr>
          <w:rFonts w:ascii="FrankRuehl" w:hAnsi="FrankRuehl" w:cs="FrankRuehl"/>
          <w:vertAlign w:val="superscript"/>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B7123" w:rsidRPr="006B17F8" w14:paraId="534A280C" w14:textId="77777777" w:rsidTr="00BB7123">
        <w:trPr>
          <w:trHeight w:val="355"/>
          <w:jc w:val="center"/>
        </w:trPr>
        <w:tc>
          <w:tcPr>
            <w:tcW w:w="8820" w:type="dxa"/>
            <w:tcBorders>
              <w:top w:val="nil"/>
              <w:left w:val="nil"/>
              <w:bottom w:val="nil"/>
              <w:right w:val="nil"/>
            </w:tcBorders>
            <w:shd w:val="clear" w:color="auto" w:fill="auto"/>
          </w:tcPr>
          <w:p w14:paraId="4CB74CA6" w14:textId="77777777" w:rsidR="00AF5665" w:rsidRPr="00AF5665" w:rsidRDefault="00AF5665" w:rsidP="00AF5665">
            <w:pPr>
              <w:spacing w:line="276" w:lineRule="auto"/>
              <w:jc w:val="center"/>
              <w:rPr>
                <w:rFonts w:ascii="Arial" w:hAnsi="Arial" w:cs="Arial"/>
                <w:b/>
                <w:bCs/>
                <w:sz w:val="36"/>
                <w:szCs w:val="36"/>
                <w:u w:val="single"/>
                <w:vertAlign w:val="superscript"/>
                <w:rtl/>
              </w:rPr>
            </w:pPr>
            <w:bookmarkStart w:id="3" w:name="LawTable_End"/>
            <w:bookmarkStart w:id="4" w:name="PsakDin" w:colFirst="0" w:colLast="0"/>
            <w:bookmarkEnd w:id="0"/>
            <w:bookmarkEnd w:id="3"/>
            <w:r w:rsidRPr="00AF5665">
              <w:rPr>
                <w:rFonts w:ascii="Arial" w:hAnsi="Arial" w:cs="Arial"/>
                <w:b/>
                <w:bCs/>
                <w:sz w:val="36"/>
                <w:szCs w:val="36"/>
                <w:u w:val="single"/>
                <w:vertAlign w:val="superscript"/>
                <w:rtl/>
              </w:rPr>
              <w:t>גזר דין</w:t>
            </w:r>
          </w:p>
          <w:p w14:paraId="2F044EA7" w14:textId="77777777" w:rsidR="00BB7123" w:rsidRPr="00AF5665" w:rsidRDefault="00BB7123" w:rsidP="00AF5665">
            <w:pPr>
              <w:spacing w:line="276" w:lineRule="auto"/>
              <w:jc w:val="center"/>
              <w:rPr>
                <w:rFonts w:ascii="Arial" w:hAnsi="Arial" w:cs="Arial"/>
                <w:b/>
                <w:bCs/>
                <w:sz w:val="36"/>
                <w:szCs w:val="36"/>
                <w:u w:val="single"/>
                <w:vertAlign w:val="superscript"/>
                <w:rtl/>
              </w:rPr>
            </w:pPr>
          </w:p>
        </w:tc>
      </w:tr>
      <w:bookmarkEnd w:id="4"/>
    </w:tbl>
    <w:p w14:paraId="5EEF23DB" w14:textId="77777777" w:rsidR="00BB7123" w:rsidRPr="00BB7123" w:rsidRDefault="00BB7123" w:rsidP="00BB7123">
      <w:pPr>
        <w:spacing w:line="276" w:lineRule="auto"/>
        <w:rPr>
          <w:rFonts w:ascii="Arial" w:hAnsi="Arial" w:cs="Arial"/>
          <w:sz w:val="10"/>
          <w:szCs w:val="10"/>
          <w:vertAlign w:val="superscript"/>
        </w:rPr>
      </w:pPr>
    </w:p>
    <w:p w14:paraId="173F7E0D" w14:textId="77777777" w:rsidR="00BB7123" w:rsidRPr="00BB7123" w:rsidRDefault="00BB7123" w:rsidP="00BB7123">
      <w:pPr>
        <w:spacing w:line="276" w:lineRule="auto"/>
        <w:rPr>
          <w:rFonts w:ascii="Arial" w:hAnsi="Arial" w:cs="Arial"/>
          <w:sz w:val="36"/>
          <w:szCs w:val="36"/>
          <w:vertAlign w:val="superscript"/>
          <w:rtl/>
        </w:rPr>
      </w:pPr>
      <w:bookmarkStart w:id="5" w:name="ABSTRACT_START"/>
      <w:bookmarkEnd w:id="5"/>
      <w:r w:rsidRPr="00BB7123">
        <w:rPr>
          <w:rFonts w:ascii="Arial" w:hAnsi="Arial" w:cs="Arial"/>
          <w:sz w:val="36"/>
          <w:szCs w:val="36"/>
          <w:vertAlign w:val="superscript"/>
          <w:rtl/>
        </w:rPr>
        <w:t>הנאשם הורשע לאחר שמיעת הוכחות בעבירות הבאות:</w:t>
      </w:r>
    </w:p>
    <w:p w14:paraId="79D36501" w14:textId="77777777" w:rsidR="00BB7123" w:rsidRPr="00BB7123" w:rsidRDefault="00BB7123" w:rsidP="00BB7123">
      <w:pPr>
        <w:spacing w:line="276" w:lineRule="auto"/>
        <w:ind w:left="360"/>
        <w:contextualSpacing/>
        <w:rPr>
          <w:rFonts w:ascii="Arial" w:hAnsi="Arial" w:cs="Arial"/>
          <w:sz w:val="36"/>
          <w:szCs w:val="36"/>
          <w:vertAlign w:val="superscript"/>
          <w:rtl/>
        </w:rPr>
      </w:pPr>
      <w:r w:rsidRPr="00BB7123">
        <w:rPr>
          <w:rFonts w:ascii="Arial" w:hAnsi="Arial" w:cs="Arial"/>
          <w:sz w:val="36"/>
          <w:szCs w:val="36"/>
          <w:vertAlign w:val="superscript"/>
          <w:rtl/>
        </w:rPr>
        <w:t xml:space="preserve">מגע עם סוכן חוץ – עבירה לפי סעיף </w:t>
      </w:r>
      <w:hyperlink r:id="rId14" w:history="1">
        <w:r w:rsidR="000103BC" w:rsidRPr="000103BC">
          <w:rPr>
            <w:rFonts w:ascii="Arial" w:hAnsi="Arial" w:cs="Arial"/>
            <w:color w:val="0000FF"/>
            <w:sz w:val="36"/>
            <w:szCs w:val="36"/>
            <w:u w:val="single"/>
            <w:vertAlign w:val="superscript"/>
            <w:rtl/>
          </w:rPr>
          <w:t>114 (א)</w:t>
        </w:r>
      </w:hyperlink>
      <w:r w:rsidRPr="00BB7123">
        <w:rPr>
          <w:rFonts w:ascii="Arial" w:hAnsi="Arial" w:cs="Arial"/>
          <w:sz w:val="36"/>
          <w:szCs w:val="36"/>
          <w:vertAlign w:val="superscript"/>
          <w:rtl/>
        </w:rPr>
        <w:t xml:space="preserve"> ל</w:t>
      </w:r>
      <w:hyperlink r:id="rId15" w:history="1">
        <w:r w:rsidR="00AF5665" w:rsidRPr="00AF5665">
          <w:rPr>
            <w:rFonts w:ascii="Arial" w:hAnsi="Arial" w:cs="Arial"/>
            <w:color w:val="0000FF"/>
            <w:sz w:val="36"/>
            <w:szCs w:val="36"/>
            <w:u w:val="single"/>
            <w:vertAlign w:val="superscript"/>
            <w:rtl/>
          </w:rPr>
          <w:t>חוק העונשין</w:t>
        </w:r>
      </w:hyperlink>
    </w:p>
    <w:p w14:paraId="3DD6BE9D" w14:textId="77777777" w:rsidR="00BB7123" w:rsidRPr="00BB7123" w:rsidRDefault="00BB7123" w:rsidP="00BB7123">
      <w:pPr>
        <w:spacing w:line="276" w:lineRule="auto"/>
        <w:ind w:left="360"/>
        <w:contextualSpacing/>
        <w:rPr>
          <w:rFonts w:ascii="Arial" w:hAnsi="Arial" w:cs="Arial"/>
          <w:sz w:val="36"/>
          <w:szCs w:val="36"/>
          <w:vertAlign w:val="superscript"/>
          <w:rtl/>
        </w:rPr>
      </w:pPr>
      <w:r w:rsidRPr="00BB7123">
        <w:rPr>
          <w:rFonts w:ascii="Arial" w:hAnsi="Arial" w:cs="Arial"/>
          <w:sz w:val="36"/>
          <w:szCs w:val="36"/>
          <w:vertAlign w:val="superscript"/>
          <w:rtl/>
        </w:rPr>
        <w:t xml:space="preserve">מתן שירות – עבירה לפי </w:t>
      </w:r>
      <w:hyperlink r:id="rId16" w:history="1">
        <w:r w:rsidR="000103BC" w:rsidRPr="000103BC">
          <w:rPr>
            <w:rFonts w:ascii="Arial" w:hAnsi="Arial" w:cs="Arial"/>
            <w:color w:val="0000FF"/>
            <w:sz w:val="36"/>
            <w:szCs w:val="36"/>
            <w:u w:val="single"/>
            <w:vertAlign w:val="superscript"/>
            <w:rtl/>
          </w:rPr>
          <w:t>סעיף 23</w:t>
        </w:r>
      </w:hyperlink>
      <w:r w:rsidRPr="00BB7123">
        <w:rPr>
          <w:rFonts w:ascii="Arial" w:hAnsi="Arial" w:cs="Arial"/>
          <w:sz w:val="36"/>
          <w:szCs w:val="36"/>
          <w:vertAlign w:val="superscript"/>
          <w:rtl/>
        </w:rPr>
        <w:t xml:space="preserve"> ל</w:t>
      </w:r>
      <w:hyperlink r:id="rId17" w:history="1">
        <w:r w:rsidR="000103BC" w:rsidRPr="000103BC">
          <w:rPr>
            <w:rFonts w:ascii="Arial" w:hAnsi="Arial" w:cs="Arial"/>
            <w:color w:val="0000FF"/>
            <w:sz w:val="36"/>
            <w:szCs w:val="36"/>
            <w:u w:val="single"/>
            <w:vertAlign w:val="superscript"/>
            <w:rtl/>
          </w:rPr>
          <w:t>חוק המאבק בטרור</w:t>
        </w:r>
      </w:hyperlink>
      <w:r w:rsidRPr="00BB7123">
        <w:rPr>
          <w:rFonts w:ascii="Arial" w:hAnsi="Arial" w:cs="Arial"/>
          <w:sz w:val="36"/>
          <w:szCs w:val="36"/>
          <w:vertAlign w:val="superscript"/>
          <w:rtl/>
        </w:rPr>
        <w:t>.</w:t>
      </w:r>
    </w:p>
    <w:p w14:paraId="725B728F" w14:textId="77777777" w:rsidR="00BB7123" w:rsidRPr="00BB7123" w:rsidRDefault="00BB7123" w:rsidP="00BB7123">
      <w:pPr>
        <w:spacing w:line="276" w:lineRule="auto"/>
        <w:ind w:left="360"/>
        <w:contextualSpacing/>
        <w:rPr>
          <w:rFonts w:ascii="Arial" w:hAnsi="Arial" w:cs="Arial"/>
          <w:sz w:val="36"/>
          <w:szCs w:val="36"/>
          <w:vertAlign w:val="superscript"/>
          <w:rtl/>
        </w:rPr>
      </w:pPr>
      <w:r w:rsidRPr="00BB7123">
        <w:rPr>
          <w:rFonts w:ascii="Arial" w:hAnsi="Arial" w:cs="Arial"/>
          <w:sz w:val="36"/>
          <w:szCs w:val="36"/>
          <w:vertAlign w:val="superscript"/>
          <w:rtl/>
        </w:rPr>
        <w:t xml:space="preserve">שתי עבירות של הסתה למעשה טרור – עבירה לפי סעיף </w:t>
      </w:r>
      <w:hyperlink r:id="rId18" w:history="1">
        <w:r w:rsidR="000103BC" w:rsidRPr="000103BC">
          <w:rPr>
            <w:rFonts w:ascii="Arial" w:hAnsi="Arial" w:cs="Arial"/>
            <w:color w:val="0000FF"/>
            <w:sz w:val="36"/>
            <w:szCs w:val="36"/>
            <w:u w:val="single"/>
            <w:vertAlign w:val="superscript"/>
            <w:rtl/>
          </w:rPr>
          <w:t>24 (ב)(2)</w:t>
        </w:r>
      </w:hyperlink>
      <w:r w:rsidRPr="00BB7123">
        <w:rPr>
          <w:rFonts w:ascii="Arial" w:hAnsi="Arial" w:cs="Arial"/>
          <w:sz w:val="36"/>
          <w:szCs w:val="36"/>
          <w:vertAlign w:val="superscript"/>
          <w:rtl/>
        </w:rPr>
        <w:t xml:space="preserve"> לחוק המאבק בטרור.</w:t>
      </w:r>
    </w:p>
    <w:p w14:paraId="3946DCDF" w14:textId="77777777" w:rsidR="00BB7123" w:rsidRPr="00BB7123" w:rsidRDefault="00BB7123" w:rsidP="00BB7123">
      <w:pPr>
        <w:spacing w:line="276" w:lineRule="auto"/>
        <w:ind w:left="360"/>
        <w:contextualSpacing/>
        <w:rPr>
          <w:rFonts w:ascii="Arial" w:hAnsi="Arial" w:cs="Arial"/>
          <w:sz w:val="36"/>
          <w:szCs w:val="36"/>
          <w:vertAlign w:val="superscript"/>
          <w:rtl/>
        </w:rPr>
      </w:pPr>
      <w:r w:rsidRPr="00BB7123">
        <w:rPr>
          <w:rFonts w:ascii="Arial" w:hAnsi="Arial" w:cs="Arial"/>
          <w:sz w:val="36"/>
          <w:szCs w:val="36"/>
          <w:vertAlign w:val="superscript"/>
          <w:rtl/>
        </w:rPr>
        <w:t xml:space="preserve">סחר בנשק – עבירה לפי סעיף </w:t>
      </w:r>
      <w:hyperlink r:id="rId19" w:history="1">
        <w:r w:rsidR="000103BC" w:rsidRPr="000103BC">
          <w:rPr>
            <w:rFonts w:ascii="Arial" w:hAnsi="Arial" w:cs="Arial"/>
            <w:color w:val="0000FF"/>
            <w:sz w:val="36"/>
            <w:szCs w:val="36"/>
            <w:u w:val="single"/>
            <w:vertAlign w:val="superscript"/>
            <w:rtl/>
          </w:rPr>
          <w:t>144 (ב2)</w:t>
        </w:r>
      </w:hyperlink>
      <w:r w:rsidRPr="00BB7123">
        <w:rPr>
          <w:rFonts w:ascii="Arial" w:hAnsi="Arial" w:cs="Arial"/>
          <w:sz w:val="36"/>
          <w:szCs w:val="36"/>
          <w:vertAlign w:val="superscript"/>
          <w:rtl/>
        </w:rPr>
        <w:t xml:space="preserve"> ל</w:t>
      </w:r>
      <w:hyperlink r:id="rId20" w:history="1">
        <w:r w:rsidR="00AF5665" w:rsidRPr="00AF5665">
          <w:rPr>
            <w:rFonts w:ascii="Arial" w:hAnsi="Arial" w:cs="Arial"/>
            <w:color w:val="0000FF"/>
            <w:sz w:val="36"/>
            <w:szCs w:val="36"/>
            <w:u w:val="single"/>
            <w:vertAlign w:val="superscript"/>
            <w:rtl/>
          </w:rPr>
          <w:t>חוק העונשין</w:t>
        </w:r>
      </w:hyperlink>
      <w:r w:rsidRPr="00BB7123">
        <w:rPr>
          <w:rFonts w:ascii="Arial" w:hAnsi="Arial" w:cs="Arial"/>
          <w:sz w:val="36"/>
          <w:szCs w:val="36"/>
          <w:vertAlign w:val="superscript"/>
          <w:rtl/>
        </w:rPr>
        <w:t>.</w:t>
      </w:r>
    </w:p>
    <w:p w14:paraId="6E9439D7" w14:textId="77777777" w:rsidR="00BB7123" w:rsidRPr="00BB7123" w:rsidRDefault="00BB7123" w:rsidP="00BB7123">
      <w:pPr>
        <w:spacing w:after="160" w:line="276" w:lineRule="auto"/>
        <w:ind w:left="360"/>
        <w:contextualSpacing/>
        <w:jc w:val="both"/>
        <w:rPr>
          <w:rFonts w:ascii="Arial" w:hAnsi="Arial" w:cs="Arial"/>
          <w:sz w:val="22"/>
          <w:szCs w:val="22"/>
        </w:rPr>
      </w:pPr>
      <w:r w:rsidRPr="00BB7123">
        <w:rPr>
          <w:rFonts w:ascii="Arial" w:hAnsi="Arial" w:cs="Arial"/>
          <w:sz w:val="22"/>
          <w:szCs w:val="22"/>
          <w:rtl/>
        </w:rPr>
        <w:t xml:space="preserve">שתי עבירות. של ניסיון לסחר בנשק – עבירה לפי סעיף </w:t>
      </w:r>
      <w:hyperlink r:id="rId21" w:history="1">
        <w:r w:rsidR="000103BC" w:rsidRPr="000103BC">
          <w:rPr>
            <w:rFonts w:ascii="Arial" w:hAnsi="Arial" w:cs="Arial"/>
            <w:color w:val="0000FF"/>
            <w:sz w:val="22"/>
            <w:szCs w:val="22"/>
            <w:u w:val="single"/>
            <w:rtl/>
          </w:rPr>
          <w:t>144 (ב2)</w:t>
        </w:r>
      </w:hyperlink>
      <w:r w:rsidRPr="00BB7123">
        <w:rPr>
          <w:rFonts w:ascii="Arial" w:hAnsi="Arial" w:cs="Arial"/>
          <w:sz w:val="22"/>
          <w:szCs w:val="22"/>
          <w:rtl/>
        </w:rPr>
        <w:t xml:space="preserve"> יחד עם </w:t>
      </w:r>
      <w:hyperlink r:id="rId22" w:history="1">
        <w:r w:rsidR="000103BC" w:rsidRPr="000103BC">
          <w:rPr>
            <w:rFonts w:ascii="Arial" w:hAnsi="Arial" w:cs="Arial"/>
            <w:color w:val="0000FF"/>
            <w:sz w:val="22"/>
            <w:szCs w:val="22"/>
            <w:u w:val="single"/>
            <w:rtl/>
          </w:rPr>
          <w:t>סעיף 25</w:t>
        </w:r>
      </w:hyperlink>
      <w:r w:rsidRPr="00BB7123">
        <w:rPr>
          <w:rFonts w:ascii="Arial" w:hAnsi="Arial" w:cs="Arial"/>
          <w:sz w:val="22"/>
          <w:szCs w:val="22"/>
          <w:rtl/>
        </w:rPr>
        <w:t xml:space="preserve"> ל</w:t>
      </w:r>
      <w:hyperlink r:id="rId23" w:history="1">
        <w:r w:rsidR="00AF5665" w:rsidRPr="00AF5665">
          <w:rPr>
            <w:rFonts w:ascii="Arial" w:hAnsi="Arial" w:cs="Arial"/>
            <w:color w:val="0000FF"/>
            <w:sz w:val="22"/>
            <w:szCs w:val="22"/>
            <w:u w:val="single"/>
            <w:rtl/>
          </w:rPr>
          <w:t>חוק העונשין</w:t>
        </w:r>
      </w:hyperlink>
      <w:r w:rsidRPr="00BB7123">
        <w:rPr>
          <w:rFonts w:ascii="Arial" w:hAnsi="Arial" w:cs="Arial"/>
          <w:sz w:val="22"/>
          <w:szCs w:val="22"/>
          <w:rtl/>
        </w:rPr>
        <w:t>.</w:t>
      </w:r>
    </w:p>
    <w:p w14:paraId="477BDD59" w14:textId="77777777" w:rsidR="00BB7123" w:rsidRPr="00BB7123" w:rsidRDefault="00BB7123" w:rsidP="00BB7123">
      <w:pPr>
        <w:spacing w:line="276" w:lineRule="auto"/>
        <w:ind w:left="360"/>
        <w:contextualSpacing/>
        <w:rPr>
          <w:rFonts w:ascii="Arial" w:hAnsi="Arial" w:cs="Arial"/>
          <w:sz w:val="36"/>
          <w:szCs w:val="36"/>
          <w:vertAlign w:val="superscript"/>
          <w:rtl/>
        </w:rPr>
      </w:pPr>
    </w:p>
    <w:p w14:paraId="75E77D10" w14:textId="77777777" w:rsidR="00BB7123" w:rsidRPr="00BB7123" w:rsidRDefault="00BB7123" w:rsidP="00BB7123">
      <w:pPr>
        <w:spacing w:line="276" w:lineRule="auto"/>
        <w:ind w:left="360"/>
        <w:contextualSpacing/>
        <w:rPr>
          <w:rFonts w:ascii="Arial" w:hAnsi="Arial" w:cs="Arial"/>
          <w:sz w:val="36"/>
          <w:szCs w:val="36"/>
          <w:vertAlign w:val="superscript"/>
        </w:rPr>
      </w:pPr>
      <w:bookmarkStart w:id="6" w:name="ABSTRACT_END"/>
      <w:bookmarkEnd w:id="6"/>
      <w:r w:rsidRPr="00BB7123">
        <w:rPr>
          <w:rFonts w:ascii="Arial" w:hAnsi="Arial" w:cs="Arial"/>
          <w:sz w:val="36"/>
          <w:szCs w:val="36"/>
          <w:vertAlign w:val="superscript"/>
          <w:rtl/>
        </w:rPr>
        <w:t>על פי עובדות האישום הראשון, החל מיום 4.2.18, פנה הנאשם אל פעיל החמאס, מוראד רגו'ב (להלן: "מוראד") באמצעות תוכנת הודעות מסנג'ר בפייסבוק, ובמשך כשבועיים שוחחו השניים בהזדמנויות שונות על בסיס יום יומי. מוראד ביקש מהנאשם לאתר על פי הנחיותיו, פרטים, לרבות כתובת, אודות אחרים. בנוסף ביקש מוראד מהנאשם פרטי חשבון פייסבוק של אחר בשם א.מ.ר. (להלן: "אחמד") והנאשם העביר למוראד את הפרטים בסוברו שהדבר נדרש לצורך בחינת אפשרות גיוסו של אחמד לחמאס.</w:t>
      </w:r>
    </w:p>
    <w:p w14:paraId="4CB5D7EE" w14:textId="77777777" w:rsidR="00BB7123" w:rsidRPr="00BB7123" w:rsidRDefault="00BB7123" w:rsidP="00BB7123">
      <w:pPr>
        <w:spacing w:line="276" w:lineRule="auto"/>
        <w:ind w:left="360"/>
        <w:contextualSpacing/>
        <w:rPr>
          <w:rFonts w:ascii="Arial" w:hAnsi="Arial" w:cs="Arial"/>
          <w:sz w:val="36"/>
          <w:szCs w:val="36"/>
          <w:vertAlign w:val="superscript"/>
          <w:rtl/>
        </w:rPr>
      </w:pPr>
    </w:p>
    <w:p w14:paraId="7729AEE2" w14:textId="77777777" w:rsidR="00BB7123" w:rsidRPr="00BB7123" w:rsidRDefault="00BB7123" w:rsidP="00BB7123">
      <w:pPr>
        <w:spacing w:line="276" w:lineRule="auto"/>
        <w:ind w:left="360"/>
        <w:contextualSpacing/>
        <w:rPr>
          <w:rFonts w:ascii="Arial" w:hAnsi="Arial" w:cs="Arial"/>
          <w:sz w:val="36"/>
          <w:szCs w:val="36"/>
          <w:u w:val="single"/>
          <w:vertAlign w:val="superscript"/>
        </w:rPr>
      </w:pPr>
      <w:r w:rsidRPr="00BB7123">
        <w:rPr>
          <w:rFonts w:ascii="Arial" w:hAnsi="Arial" w:cs="Arial"/>
          <w:sz w:val="36"/>
          <w:szCs w:val="36"/>
          <w:vertAlign w:val="superscript"/>
          <w:rtl/>
        </w:rPr>
        <w:t xml:space="preserve">באישום השני יוחסו לנאשם שתי עבירות של הסתה לאלימות או מעשה טרור – עבירות לפי   </w:t>
      </w:r>
      <w:hyperlink r:id="rId24" w:history="1">
        <w:r w:rsidR="000103BC" w:rsidRPr="000103BC">
          <w:rPr>
            <w:rFonts w:ascii="Arial" w:hAnsi="Arial" w:cs="Arial"/>
            <w:color w:val="0000FF"/>
            <w:sz w:val="36"/>
            <w:szCs w:val="36"/>
            <w:u w:val="single"/>
            <w:vertAlign w:val="superscript"/>
            <w:rtl/>
          </w:rPr>
          <w:t>סעיף 24(ב)(2)</w:t>
        </w:r>
      </w:hyperlink>
      <w:r w:rsidRPr="00BB7123">
        <w:rPr>
          <w:rFonts w:ascii="Arial" w:hAnsi="Arial" w:cs="Arial"/>
          <w:sz w:val="36"/>
          <w:szCs w:val="36"/>
          <w:vertAlign w:val="superscript"/>
          <w:rtl/>
        </w:rPr>
        <w:t xml:space="preserve"> לחוק המאבק בטרור. </w:t>
      </w:r>
    </w:p>
    <w:p w14:paraId="152703BF" w14:textId="77777777" w:rsidR="00BB7123" w:rsidRPr="00BB7123" w:rsidRDefault="00BB7123" w:rsidP="00BB7123">
      <w:pPr>
        <w:spacing w:line="276" w:lineRule="auto"/>
        <w:ind w:left="360"/>
        <w:contextualSpacing/>
        <w:rPr>
          <w:rFonts w:ascii="Arial" w:hAnsi="Arial" w:cs="Arial"/>
          <w:sz w:val="36"/>
          <w:szCs w:val="36"/>
          <w:u w:val="single"/>
          <w:vertAlign w:val="superscript"/>
          <w:rtl/>
        </w:rPr>
      </w:pPr>
    </w:p>
    <w:p w14:paraId="14C782BE" w14:textId="77777777" w:rsidR="00BB7123" w:rsidRPr="00BB7123" w:rsidRDefault="00BB7123" w:rsidP="00BB7123">
      <w:pPr>
        <w:spacing w:line="276" w:lineRule="auto"/>
        <w:ind w:left="360"/>
        <w:rPr>
          <w:rFonts w:ascii="Arial" w:hAnsi="Arial" w:cs="Arial"/>
          <w:sz w:val="36"/>
          <w:szCs w:val="36"/>
          <w:vertAlign w:val="superscript"/>
        </w:rPr>
      </w:pPr>
      <w:r w:rsidRPr="00BB7123">
        <w:rPr>
          <w:rFonts w:ascii="Arial" w:hAnsi="Arial" w:cs="Arial"/>
          <w:sz w:val="36"/>
          <w:szCs w:val="36"/>
          <w:vertAlign w:val="superscript"/>
          <w:rtl/>
        </w:rPr>
        <w:t>על פי המתואר באישום השני, ביום 8.1.17, פרסם הנאשם בפייסבוק תמונה של 3 חמושים, אחד מהם עם סרט ירוק של החמאס לראשו, כשהם מכוונים את נשקם לעבר חייל צה"ל המחזיק בדגל לבן וידיו מורמות באוויר כאות כניעה. על גבי התמונה רשום "עזה נצחה". פרסום זה זכה לתמיכה של 39 סימני חיבוב.</w:t>
      </w:r>
    </w:p>
    <w:p w14:paraId="44EF6A05" w14:textId="77777777" w:rsidR="00BB7123" w:rsidRPr="00BB7123" w:rsidRDefault="00BB7123" w:rsidP="00BB7123">
      <w:pPr>
        <w:spacing w:line="276" w:lineRule="auto"/>
        <w:ind w:left="360"/>
        <w:rPr>
          <w:rFonts w:ascii="Arial" w:hAnsi="Arial" w:cs="Arial"/>
          <w:sz w:val="36"/>
          <w:szCs w:val="36"/>
          <w:vertAlign w:val="superscript"/>
          <w:rtl/>
        </w:rPr>
      </w:pPr>
    </w:p>
    <w:p w14:paraId="2FC32818" w14:textId="77777777" w:rsidR="00BB7123" w:rsidRPr="00BB7123" w:rsidRDefault="00BB7123" w:rsidP="00BB7123">
      <w:pPr>
        <w:spacing w:line="276" w:lineRule="auto"/>
        <w:ind w:left="360"/>
        <w:rPr>
          <w:rFonts w:ascii="Arial" w:hAnsi="Arial" w:cs="Arial"/>
          <w:sz w:val="36"/>
          <w:szCs w:val="36"/>
          <w:vertAlign w:val="superscript"/>
          <w:rtl/>
        </w:rPr>
      </w:pPr>
      <w:r w:rsidRPr="00BB7123">
        <w:rPr>
          <w:rFonts w:ascii="Arial" w:hAnsi="Arial" w:cs="Arial"/>
          <w:sz w:val="36"/>
          <w:szCs w:val="36"/>
          <w:vertAlign w:val="superscript"/>
          <w:rtl/>
        </w:rPr>
        <w:t>ביום 8.1.17, פרסם הנאשם בפייסבוק תמונה של ארז אורבך ז"ל, צוער בבה"ד 1, שנרצח בפיגוע בארמון הנציב. לצידה פרסם הנאשם סטטוס: "שאללה ינקום בך, זו דמות של חייל יא זונה, אללה ישרוף את עצמות משפחתך כמו טווס". פרסום זה זכה לתמיכה של 24 סימני חיבוב ול-18 תגובות.</w:t>
      </w:r>
    </w:p>
    <w:p w14:paraId="6CE5F83C" w14:textId="77777777" w:rsidR="00BB7123" w:rsidRPr="00BB7123" w:rsidRDefault="00BB7123" w:rsidP="00BB7123">
      <w:pPr>
        <w:spacing w:line="276" w:lineRule="auto"/>
        <w:ind w:left="360"/>
        <w:rPr>
          <w:rFonts w:ascii="Arial" w:hAnsi="Arial" w:cs="Arial"/>
          <w:sz w:val="36"/>
          <w:szCs w:val="36"/>
          <w:vertAlign w:val="superscript"/>
          <w:rtl/>
        </w:rPr>
      </w:pPr>
    </w:p>
    <w:p w14:paraId="4D70F5A1" w14:textId="77777777" w:rsidR="00BB7123" w:rsidRPr="00BB7123" w:rsidRDefault="00BB7123" w:rsidP="00BB7123">
      <w:pPr>
        <w:spacing w:line="276" w:lineRule="auto"/>
        <w:ind w:left="360"/>
        <w:rPr>
          <w:rFonts w:ascii="Arial" w:hAnsi="Arial" w:cs="Arial"/>
          <w:sz w:val="36"/>
          <w:szCs w:val="36"/>
          <w:vertAlign w:val="superscript"/>
          <w:rtl/>
        </w:rPr>
      </w:pPr>
      <w:r w:rsidRPr="00BB7123">
        <w:rPr>
          <w:rFonts w:ascii="Arial" w:hAnsi="Arial" w:cs="Arial"/>
          <w:sz w:val="36"/>
          <w:szCs w:val="36"/>
          <w:vertAlign w:val="superscript"/>
          <w:rtl/>
        </w:rPr>
        <w:t xml:space="preserve">פרסומי הנאשם הוזנו בחשבונות הפייסבוק שברשותו באופן ישיר ועקבי ובחשבונותיהם המקבילים של למעלה מ-5,000 חבריו ועוקביו בפייסבוק ובנוסף היו פתוחים ונגישים לעיני כל. </w:t>
      </w:r>
    </w:p>
    <w:p w14:paraId="018C079F" w14:textId="77777777" w:rsidR="00BB7123" w:rsidRPr="00BB7123" w:rsidRDefault="00BB7123" w:rsidP="00BB7123">
      <w:pPr>
        <w:spacing w:line="276" w:lineRule="auto"/>
        <w:ind w:left="360"/>
        <w:contextualSpacing/>
        <w:rPr>
          <w:rFonts w:ascii="Arial" w:hAnsi="Arial" w:cs="Arial"/>
          <w:sz w:val="36"/>
          <w:szCs w:val="36"/>
          <w:u w:val="single"/>
          <w:vertAlign w:val="superscript"/>
          <w:rtl/>
        </w:rPr>
      </w:pPr>
    </w:p>
    <w:p w14:paraId="740D01FA" w14:textId="77777777" w:rsidR="00BB7123" w:rsidRPr="00BB7123" w:rsidRDefault="00BB7123" w:rsidP="00BB7123">
      <w:pPr>
        <w:spacing w:line="276" w:lineRule="auto"/>
        <w:ind w:left="360"/>
        <w:contextualSpacing/>
        <w:rPr>
          <w:rFonts w:ascii="Arial" w:hAnsi="Arial" w:cs="Arial"/>
          <w:sz w:val="36"/>
          <w:szCs w:val="36"/>
          <w:vertAlign w:val="superscript"/>
          <w:rtl/>
        </w:rPr>
      </w:pPr>
      <w:r w:rsidRPr="00BB7123">
        <w:rPr>
          <w:rFonts w:ascii="Arial" w:hAnsi="Arial" w:cs="Arial"/>
          <w:sz w:val="36"/>
          <w:szCs w:val="36"/>
          <w:vertAlign w:val="superscript"/>
          <w:rtl/>
        </w:rPr>
        <w:lastRenderedPageBreak/>
        <w:t xml:space="preserve">באישום השלישי יוחסו לנאשם עבירות של סחר בנשק – עבירה לפי סעיף </w:t>
      </w:r>
      <w:hyperlink r:id="rId25" w:history="1">
        <w:r w:rsidR="000103BC" w:rsidRPr="000103BC">
          <w:rPr>
            <w:rFonts w:ascii="Arial" w:hAnsi="Arial" w:cs="Arial"/>
            <w:color w:val="0000FF"/>
            <w:sz w:val="36"/>
            <w:szCs w:val="36"/>
            <w:u w:val="single"/>
            <w:vertAlign w:val="superscript"/>
            <w:rtl/>
          </w:rPr>
          <w:t>144 (ב2)</w:t>
        </w:r>
      </w:hyperlink>
      <w:r w:rsidRPr="00BB7123">
        <w:rPr>
          <w:rFonts w:ascii="Arial" w:hAnsi="Arial" w:cs="Arial"/>
          <w:sz w:val="36"/>
          <w:szCs w:val="36"/>
          <w:vertAlign w:val="superscript"/>
          <w:rtl/>
        </w:rPr>
        <w:t xml:space="preserve"> ל</w:t>
      </w:r>
      <w:hyperlink r:id="rId26" w:history="1">
        <w:r w:rsidR="00AF5665" w:rsidRPr="00AF5665">
          <w:rPr>
            <w:rFonts w:ascii="Arial" w:hAnsi="Arial" w:cs="Arial"/>
            <w:color w:val="0000FF"/>
            <w:sz w:val="36"/>
            <w:szCs w:val="36"/>
            <w:u w:val="single"/>
            <w:vertAlign w:val="superscript"/>
            <w:rtl/>
          </w:rPr>
          <w:t>חוק העונשין</w:t>
        </w:r>
      </w:hyperlink>
      <w:r w:rsidRPr="00BB7123">
        <w:rPr>
          <w:rFonts w:ascii="Arial" w:hAnsi="Arial" w:cs="Arial"/>
          <w:sz w:val="36"/>
          <w:szCs w:val="36"/>
          <w:vertAlign w:val="superscript"/>
          <w:rtl/>
        </w:rPr>
        <w:t xml:space="preserve">, עסקה אחרת בנשק – עבירה לפי סעיף </w:t>
      </w:r>
      <w:hyperlink r:id="rId27" w:history="1">
        <w:r w:rsidR="000103BC" w:rsidRPr="000103BC">
          <w:rPr>
            <w:rFonts w:ascii="Arial" w:hAnsi="Arial" w:cs="Arial"/>
            <w:color w:val="0000FF"/>
            <w:sz w:val="36"/>
            <w:szCs w:val="36"/>
            <w:u w:val="single"/>
            <w:vertAlign w:val="superscript"/>
            <w:rtl/>
          </w:rPr>
          <w:t>144 (ב2)</w:t>
        </w:r>
      </w:hyperlink>
      <w:r w:rsidRPr="00BB7123">
        <w:rPr>
          <w:rFonts w:ascii="Arial" w:hAnsi="Arial" w:cs="Arial"/>
          <w:sz w:val="36"/>
          <w:szCs w:val="36"/>
          <w:vertAlign w:val="superscript"/>
          <w:rtl/>
        </w:rPr>
        <w:t xml:space="preserve"> לחוק העונשין ועבירה של ניסיון לסחר בנשק – עבירה לפי סעיף </w:t>
      </w:r>
      <w:hyperlink r:id="rId28" w:history="1">
        <w:r w:rsidR="00BA5838" w:rsidRPr="00BA5838">
          <w:rPr>
            <w:rFonts w:ascii="Arial" w:hAnsi="Arial" w:cs="Arial"/>
            <w:color w:val="0000FF"/>
            <w:sz w:val="36"/>
            <w:szCs w:val="36"/>
            <w:u w:val="single"/>
            <w:vertAlign w:val="superscript"/>
            <w:rtl/>
          </w:rPr>
          <w:t>144 (ב2)</w:t>
        </w:r>
      </w:hyperlink>
      <w:r w:rsidRPr="00BB7123">
        <w:rPr>
          <w:rFonts w:ascii="Arial" w:hAnsi="Arial" w:cs="Arial"/>
          <w:sz w:val="36"/>
          <w:szCs w:val="36"/>
          <w:vertAlign w:val="superscript"/>
          <w:rtl/>
        </w:rPr>
        <w:t xml:space="preserve"> יחד עם </w:t>
      </w:r>
      <w:hyperlink r:id="rId29" w:history="1">
        <w:r w:rsidR="00BA5838" w:rsidRPr="00BA5838">
          <w:rPr>
            <w:rFonts w:ascii="Arial" w:hAnsi="Arial" w:cs="Arial"/>
            <w:color w:val="0000FF"/>
            <w:sz w:val="36"/>
            <w:szCs w:val="36"/>
            <w:u w:val="single"/>
            <w:vertAlign w:val="superscript"/>
            <w:rtl/>
          </w:rPr>
          <w:t>סעיף 25</w:t>
        </w:r>
      </w:hyperlink>
      <w:r w:rsidRPr="00BB7123">
        <w:rPr>
          <w:rFonts w:ascii="Arial" w:hAnsi="Arial" w:cs="Arial"/>
          <w:sz w:val="36"/>
          <w:szCs w:val="36"/>
          <w:vertAlign w:val="superscript"/>
          <w:rtl/>
        </w:rPr>
        <w:t xml:space="preserve"> לחוק העונשין.</w:t>
      </w:r>
    </w:p>
    <w:p w14:paraId="3211BBE6" w14:textId="77777777" w:rsidR="00BB7123" w:rsidRPr="00BB7123" w:rsidRDefault="00BB7123" w:rsidP="00BB7123">
      <w:pPr>
        <w:spacing w:line="276" w:lineRule="auto"/>
        <w:ind w:left="360"/>
        <w:contextualSpacing/>
        <w:rPr>
          <w:rFonts w:ascii="Arial" w:hAnsi="Arial" w:cs="Arial"/>
          <w:sz w:val="36"/>
          <w:szCs w:val="36"/>
          <w:vertAlign w:val="superscript"/>
          <w:rtl/>
        </w:rPr>
      </w:pPr>
    </w:p>
    <w:p w14:paraId="6D62311B" w14:textId="77777777" w:rsidR="00BB7123" w:rsidRPr="00BB7123" w:rsidRDefault="00BB7123" w:rsidP="00BB7123">
      <w:pPr>
        <w:spacing w:line="276" w:lineRule="auto"/>
        <w:rPr>
          <w:rFonts w:ascii="Arial" w:hAnsi="Arial" w:cs="Arial"/>
          <w:sz w:val="36"/>
          <w:szCs w:val="36"/>
          <w:vertAlign w:val="superscript"/>
        </w:rPr>
      </w:pPr>
      <w:r w:rsidRPr="00BB7123">
        <w:rPr>
          <w:rFonts w:ascii="Arial" w:hAnsi="Arial" w:cs="Arial"/>
          <w:sz w:val="36"/>
          <w:szCs w:val="36"/>
          <w:vertAlign w:val="superscript"/>
          <w:rtl/>
        </w:rPr>
        <w:t xml:space="preserve">    על פי המתואר באישום השלישי, במהלך השנים 2017-2018, במספר מועדים שונים     </w:t>
      </w:r>
    </w:p>
    <w:p w14:paraId="6B02CEBE"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 xml:space="preserve">    לקח הנאשם חלק בעסקאות נשק יחד עם מוהנד אבו רג'ב (להלן: "מוהנד").</w:t>
      </w:r>
    </w:p>
    <w:p w14:paraId="65C24BA1" w14:textId="77777777" w:rsidR="00BB7123" w:rsidRPr="00BB7123" w:rsidRDefault="00BB7123" w:rsidP="00BB7123">
      <w:pPr>
        <w:spacing w:line="276" w:lineRule="auto"/>
        <w:ind w:left="294"/>
        <w:contextualSpacing/>
        <w:rPr>
          <w:rFonts w:ascii="Arial" w:hAnsi="Arial" w:cs="Arial"/>
          <w:sz w:val="36"/>
          <w:szCs w:val="36"/>
          <w:vertAlign w:val="superscript"/>
          <w:rtl/>
        </w:rPr>
      </w:pPr>
    </w:p>
    <w:p w14:paraId="69DC3C06" w14:textId="77777777" w:rsidR="00BB7123" w:rsidRPr="00BB7123" w:rsidRDefault="00BB7123" w:rsidP="00BB7123">
      <w:pPr>
        <w:numPr>
          <w:ilvl w:val="0"/>
          <w:numId w:val="1"/>
        </w:numPr>
        <w:spacing w:after="160" w:line="276" w:lineRule="auto"/>
        <w:contextualSpacing/>
        <w:rPr>
          <w:rFonts w:ascii="Arial" w:hAnsi="Arial" w:cs="Arial"/>
          <w:sz w:val="36"/>
          <w:szCs w:val="36"/>
          <w:vertAlign w:val="superscript"/>
          <w:rtl/>
        </w:rPr>
      </w:pPr>
      <w:r w:rsidRPr="00BB7123">
        <w:rPr>
          <w:rFonts w:ascii="Arial" w:hAnsi="Arial" w:cs="Arial"/>
          <w:sz w:val="36"/>
          <w:szCs w:val="36"/>
          <w:vertAlign w:val="superscript"/>
          <w:rtl/>
        </w:rPr>
        <w:t>בשנת 2017 העבירו הנאשם ומוהנד חמישה כלי נשק מסוג קרלו לאיאד עוואדה (להלן: "איאד") וזאת בתמורה ל – 12,000, אותם חילקו ביניהם שווה בשווה.</w:t>
      </w:r>
    </w:p>
    <w:p w14:paraId="40F79888" w14:textId="77777777" w:rsidR="00BB7123" w:rsidRPr="00BB7123" w:rsidRDefault="00BB7123" w:rsidP="00BB7123">
      <w:pPr>
        <w:pStyle w:val="a9"/>
        <w:numPr>
          <w:ilvl w:val="0"/>
          <w:numId w:val="1"/>
        </w:numPr>
        <w:spacing w:line="276" w:lineRule="auto"/>
        <w:rPr>
          <w:rFonts w:ascii="Arial" w:hAnsi="Arial"/>
          <w:sz w:val="36"/>
          <w:szCs w:val="36"/>
          <w:vertAlign w:val="superscript"/>
          <w:rtl/>
        </w:rPr>
      </w:pPr>
      <w:r w:rsidRPr="00BB7123">
        <w:rPr>
          <w:rFonts w:ascii="Arial" w:hAnsi="Arial"/>
          <w:sz w:val="36"/>
          <w:szCs w:val="36"/>
          <w:vertAlign w:val="superscript"/>
          <w:rtl/>
        </w:rPr>
        <w:t>בשנת 2017, העביר איאד למוהנד, בתיווכו של הנאשם, שלושה כלי נשק מסוג קרלו.</w:t>
      </w:r>
    </w:p>
    <w:p w14:paraId="75A377E3" w14:textId="77777777" w:rsidR="00BB7123" w:rsidRPr="00BB7123" w:rsidRDefault="00BB7123" w:rsidP="00BB7123">
      <w:pPr>
        <w:pStyle w:val="a9"/>
        <w:numPr>
          <w:ilvl w:val="0"/>
          <w:numId w:val="1"/>
        </w:numPr>
        <w:spacing w:line="276" w:lineRule="auto"/>
        <w:rPr>
          <w:rFonts w:ascii="Arial" w:hAnsi="Arial"/>
          <w:sz w:val="36"/>
          <w:szCs w:val="36"/>
          <w:vertAlign w:val="superscript"/>
          <w:rtl/>
        </w:rPr>
      </w:pPr>
      <w:r w:rsidRPr="00BB7123">
        <w:rPr>
          <w:rFonts w:ascii="Arial" w:hAnsi="Arial"/>
          <w:sz w:val="36"/>
          <w:szCs w:val="36"/>
          <w:vertAlign w:val="superscript"/>
          <w:rtl/>
        </w:rPr>
        <w:t>ביום 8.2.18 ביקש הנאשם ממוהנד לקנות נשק מסוג קרלו, עקב מחלוקת כספית לא יצא הדבר לפועל.</w:t>
      </w:r>
    </w:p>
    <w:p w14:paraId="1B3B418B"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באישום זה הורשע הנאשם בעבירות של סחר בנשק וניסיון סחר בנשק וכן בעבירה של ביצוע עסקה אחרת בנשק לגבי שני כלי נשק מסוג קרלו.</w:t>
      </w:r>
    </w:p>
    <w:p w14:paraId="4B4E318F" w14:textId="77777777" w:rsidR="00BB7123" w:rsidRPr="00BB7123" w:rsidRDefault="00BB7123" w:rsidP="00BB7123">
      <w:pPr>
        <w:spacing w:line="276" w:lineRule="auto"/>
        <w:rPr>
          <w:rFonts w:ascii="Arial" w:hAnsi="Arial" w:cs="Arial"/>
          <w:sz w:val="36"/>
          <w:szCs w:val="36"/>
          <w:vertAlign w:val="superscript"/>
          <w:rtl/>
        </w:rPr>
      </w:pPr>
    </w:p>
    <w:p w14:paraId="11D02068"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 xml:space="preserve">באישום הרביעי יוחסה לנאשם עבירה של ניסיון לסחר בנשק – עבירה לפי </w:t>
      </w:r>
      <w:hyperlink r:id="rId30" w:history="1">
        <w:r w:rsidR="00BA5838" w:rsidRPr="00BA5838">
          <w:rPr>
            <w:rFonts w:ascii="Arial" w:hAnsi="Arial" w:cs="Arial"/>
            <w:color w:val="0000FF"/>
            <w:sz w:val="36"/>
            <w:szCs w:val="36"/>
            <w:u w:val="single"/>
            <w:vertAlign w:val="superscript"/>
            <w:rtl/>
          </w:rPr>
          <w:t>סעיף 144(ב2)</w:t>
        </w:r>
      </w:hyperlink>
      <w:r w:rsidRPr="00BB7123">
        <w:rPr>
          <w:rFonts w:ascii="Arial" w:hAnsi="Arial" w:cs="Arial"/>
          <w:sz w:val="36"/>
          <w:szCs w:val="36"/>
          <w:vertAlign w:val="superscript"/>
          <w:rtl/>
        </w:rPr>
        <w:t xml:space="preserve"> יחד עם </w:t>
      </w:r>
      <w:hyperlink r:id="rId31" w:history="1">
        <w:r w:rsidR="00BA5838" w:rsidRPr="00BA5838">
          <w:rPr>
            <w:rFonts w:ascii="Arial" w:hAnsi="Arial" w:cs="Arial"/>
            <w:color w:val="0000FF"/>
            <w:sz w:val="36"/>
            <w:szCs w:val="36"/>
            <w:u w:val="single"/>
            <w:vertAlign w:val="superscript"/>
            <w:rtl/>
          </w:rPr>
          <w:t>סעיף 25</w:t>
        </w:r>
      </w:hyperlink>
      <w:r w:rsidRPr="00BB7123">
        <w:rPr>
          <w:rFonts w:ascii="Arial" w:hAnsi="Arial" w:cs="Arial"/>
          <w:sz w:val="36"/>
          <w:szCs w:val="36"/>
          <w:vertAlign w:val="superscript"/>
          <w:rtl/>
        </w:rPr>
        <w:t xml:space="preserve"> ל</w:t>
      </w:r>
      <w:hyperlink r:id="rId32" w:history="1">
        <w:r w:rsidR="00AF5665" w:rsidRPr="00AF5665">
          <w:rPr>
            <w:rFonts w:ascii="Arial" w:hAnsi="Arial" w:cs="Arial"/>
            <w:color w:val="0000FF"/>
            <w:sz w:val="36"/>
            <w:szCs w:val="36"/>
            <w:u w:val="single"/>
            <w:vertAlign w:val="superscript"/>
            <w:rtl/>
          </w:rPr>
          <w:t>חוק העונשין</w:t>
        </w:r>
      </w:hyperlink>
      <w:r w:rsidRPr="00BB7123">
        <w:rPr>
          <w:rFonts w:ascii="Arial" w:hAnsi="Arial" w:cs="Arial"/>
          <w:sz w:val="36"/>
          <w:szCs w:val="36"/>
          <w:vertAlign w:val="superscript"/>
          <w:rtl/>
        </w:rPr>
        <w:t>. על פי המתואר בכתב האישום הנאשם פנה במסנג'ר אל אייהם ג'רארעה  (להלן: "אייהם") וביקש ממנו לרכוש 2 כלי נשק מסוג קרלו. בהמשך עדכן את אייהם כי יש ברשותו 4,000 ₪ עבור כל נשק, כדרישתו לביצוע העסקה. לבסוף לא הצליח אייהם להשיג את כלי הנשק והעסקה לא יצאה אל הפועל.</w:t>
      </w:r>
    </w:p>
    <w:p w14:paraId="7877E702"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באישום זה הורשע הנאשם בעבירה של ניסיון לסחר בנשק.</w:t>
      </w:r>
    </w:p>
    <w:p w14:paraId="2AE61E88" w14:textId="77777777" w:rsidR="00BB7123" w:rsidRPr="00BB7123" w:rsidRDefault="00BB7123" w:rsidP="00BB7123">
      <w:pPr>
        <w:spacing w:line="276" w:lineRule="auto"/>
        <w:ind w:left="360"/>
        <w:contextualSpacing/>
        <w:rPr>
          <w:rFonts w:ascii="Arial" w:hAnsi="Arial" w:cs="Arial"/>
          <w:sz w:val="36"/>
          <w:szCs w:val="36"/>
          <w:vertAlign w:val="superscript"/>
          <w:rtl/>
        </w:rPr>
      </w:pPr>
    </w:p>
    <w:p w14:paraId="592E02F9" w14:textId="77777777" w:rsidR="00BB7123" w:rsidRPr="00BB7123" w:rsidRDefault="00BB7123" w:rsidP="00BB7123">
      <w:pPr>
        <w:spacing w:line="276" w:lineRule="auto"/>
        <w:rPr>
          <w:rFonts w:ascii="Arial" w:hAnsi="Arial" w:cs="Arial"/>
          <w:b/>
          <w:bCs/>
          <w:sz w:val="36"/>
          <w:szCs w:val="36"/>
          <w:u w:val="single"/>
          <w:vertAlign w:val="superscript"/>
        </w:rPr>
      </w:pPr>
      <w:r w:rsidRPr="00BB7123">
        <w:rPr>
          <w:rFonts w:ascii="Arial" w:hAnsi="Arial" w:cs="Arial"/>
          <w:b/>
          <w:bCs/>
          <w:sz w:val="36"/>
          <w:szCs w:val="36"/>
          <w:u w:val="single"/>
          <w:vertAlign w:val="superscript"/>
          <w:rtl/>
        </w:rPr>
        <w:t>ראיות לעונש:</w:t>
      </w:r>
    </w:p>
    <w:p w14:paraId="5534F3CE"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ב"כ המאשימה הגישה את הרישום הפלילי של הנאשם ולפיו לנאשם הרשעה אחת קודמת בעבירה של העסקת תושב זר שלא כדין, עבירה משנת 2013 בגינה נדון לשלושה חודשי מאסר בעבודות שירות וענישה נלווית.</w:t>
      </w:r>
    </w:p>
    <w:p w14:paraId="6B7A0E82" w14:textId="77777777" w:rsidR="00BB7123" w:rsidRPr="00BB7123" w:rsidRDefault="00BB7123" w:rsidP="00BB7123">
      <w:pPr>
        <w:spacing w:line="276" w:lineRule="auto"/>
        <w:rPr>
          <w:rFonts w:ascii="Arial" w:hAnsi="Arial" w:cs="Arial"/>
          <w:sz w:val="36"/>
          <w:szCs w:val="36"/>
          <w:vertAlign w:val="superscript"/>
          <w:rtl/>
        </w:rPr>
      </w:pPr>
    </w:p>
    <w:p w14:paraId="448B87EA"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 xml:space="preserve">מטעם הנאשם העידה אחותו, הגב' נסרין אלרג'וב אשר לדבריה התנהלותו של הנאשם חריגה לאורחות חיי המשפחה ולנאשם שהינו אדם אהוב, עוזר ומסייע לכל. לטענתה,  מעשיו היכו את בני המשפחה בהלם, יתכן שהמניע לכך היה כלכלי, אף שאין בכך צידוק, הוא טעה ומוכן לשלם את מחיר טעותו. אחותו של הנאשם ביקשה את רחמי בית המשפט בגזירת עונשו. </w:t>
      </w:r>
    </w:p>
    <w:p w14:paraId="37E9EB0F"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כן הוגש תסקיר לעונש מטעם שירות המבחן אשר סקר את תולדותיו של הנאשם, בן 24, מתגורר ברמלה מאז האינתיפאדה השני</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ה לאחר שעזב את חברון על רקע שיתוף הפעולה של אביו עם רשויות האכיפה הישראליות.</w:t>
      </w:r>
    </w:p>
    <w:p w14:paraId="23EB6A21" w14:textId="77777777" w:rsidR="00BB7123" w:rsidRPr="00BB7123" w:rsidRDefault="00BB7123" w:rsidP="00BB7123">
      <w:pPr>
        <w:spacing w:line="276" w:lineRule="auto"/>
        <w:rPr>
          <w:rFonts w:ascii="Arial" w:hAnsi="Arial" w:cs="Arial"/>
          <w:sz w:val="36"/>
          <w:szCs w:val="36"/>
          <w:vertAlign w:val="superscript"/>
          <w:rtl/>
        </w:rPr>
      </w:pPr>
    </w:p>
    <w:p w14:paraId="19533900"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הנאשם לא לקח אחריות על ביצוע העבירות ותאר מעורבות מקרית ולא מכוונת לפגיעה באזרחים ובאנשי כוחות הב</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טחון.</w:t>
      </w:r>
    </w:p>
    <w:p w14:paraId="28BE73A4" w14:textId="77777777" w:rsidR="00BB7123" w:rsidRPr="00BB7123" w:rsidRDefault="00BB7123" w:rsidP="00BB7123">
      <w:pPr>
        <w:spacing w:line="276" w:lineRule="auto"/>
        <w:rPr>
          <w:rFonts w:ascii="Arial" w:hAnsi="Arial" w:cs="Arial"/>
          <w:sz w:val="36"/>
          <w:szCs w:val="36"/>
          <w:vertAlign w:val="superscript"/>
          <w:rtl/>
        </w:rPr>
      </w:pPr>
    </w:p>
    <w:p w14:paraId="2D672EB9"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שירות המבחן התרשם כי הנאשם ביצע את העבירות על רקע משבר זהות מתמשך ועמוק ללא תפיסה עצמית מגובשת, תוך התמקדות ברווחים האישיים והמיידים וללא יכולת בחינה ביקורתית תוך קושי להבין את הפסול במעשיו וזיהוי אלטרנטיבות תקינות להתנהגות.</w:t>
      </w:r>
    </w:p>
    <w:p w14:paraId="6A78485F" w14:textId="77777777" w:rsidR="00BB7123" w:rsidRPr="00BB7123" w:rsidRDefault="00BB7123" w:rsidP="00BB7123">
      <w:pPr>
        <w:spacing w:line="276" w:lineRule="auto"/>
        <w:rPr>
          <w:rFonts w:ascii="Arial" w:hAnsi="Arial" w:cs="Arial"/>
          <w:sz w:val="36"/>
          <w:szCs w:val="36"/>
          <w:vertAlign w:val="superscript"/>
          <w:rtl/>
        </w:rPr>
      </w:pPr>
    </w:p>
    <w:p w14:paraId="237D4432"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קצין המבחן סבר כי לאור מעורבותו הקודמת של הנאשם בעבירה על החוק, ריבוי העבירות בהן הורשע, חומרתן והשפעתן על הסביבה בהיותן מסיתות ומגבירות טרור, מעורבותו האקטיבית, הסכנה הטמונה בהן, עמדותיו המטשטשות של הנאשם באשר לקשריו עם גורמים שוליים אשר פועלים לפגיעה באוכלוס</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יה יהודית על רקע אידאולוגי ולמרות שנמצא במעצר תקופה ארוכה, לא ערך חשבון נפש מעמיק אודות השלכות ביצוע העבירות ולא הפיק לקח. קצין המבחן סבר כי רמת המסוכנות להישנות עבירות של פגיעה באזרחים ובכוחות הב</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טחון היא גבוהה והמליץ על הטלת עונש מאסר בפועל ועונשים מותנים ארוכים ומרתיעים.</w:t>
      </w:r>
    </w:p>
    <w:p w14:paraId="17AE0A48" w14:textId="77777777" w:rsidR="00BB7123" w:rsidRPr="00BB7123" w:rsidRDefault="00BB7123" w:rsidP="00BB7123">
      <w:pPr>
        <w:spacing w:line="276" w:lineRule="auto"/>
        <w:rPr>
          <w:rFonts w:ascii="Arial" w:hAnsi="Arial" w:cs="Arial"/>
          <w:sz w:val="32"/>
          <w:szCs w:val="32"/>
          <w:u w:val="single"/>
          <w:vertAlign w:val="superscript"/>
          <w:rtl/>
        </w:rPr>
      </w:pPr>
    </w:p>
    <w:p w14:paraId="0ACD3703" w14:textId="77777777" w:rsidR="00BB7123" w:rsidRPr="00BB7123" w:rsidRDefault="00BB7123" w:rsidP="00BB7123">
      <w:pPr>
        <w:spacing w:line="276" w:lineRule="auto"/>
        <w:rPr>
          <w:rFonts w:ascii="Arial" w:hAnsi="Arial" w:cs="Arial"/>
          <w:b/>
          <w:bCs/>
          <w:sz w:val="36"/>
          <w:szCs w:val="36"/>
          <w:u w:val="single"/>
          <w:vertAlign w:val="superscript"/>
          <w:rtl/>
        </w:rPr>
      </w:pPr>
      <w:r w:rsidRPr="00BB7123">
        <w:rPr>
          <w:rFonts w:ascii="Arial" w:hAnsi="Arial" w:cs="Arial"/>
          <w:b/>
          <w:bCs/>
          <w:sz w:val="36"/>
          <w:szCs w:val="36"/>
          <w:u w:val="single"/>
          <w:vertAlign w:val="superscript"/>
          <w:rtl/>
        </w:rPr>
        <w:t>טיעוני ב"כ המאשימה לעונש</w:t>
      </w:r>
      <w:r w:rsidRPr="00BB7123">
        <w:rPr>
          <w:rFonts w:ascii="Arial" w:hAnsi="Arial" w:cs="Arial" w:hint="cs"/>
          <w:b/>
          <w:bCs/>
          <w:sz w:val="36"/>
          <w:szCs w:val="36"/>
          <w:u w:val="single"/>
          <w:vertAlign w:val="superscript"/>
          <w:rtl/>
        </w:rPr>
        <w:t>:</w:t>
      </w:r>
    </w:p>
    <w:p w14:paraId="7DC4332C"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ב"כ המאשימה הפנתה להכרעת הדין בה נקבע שהנאשם ידע היטב כי בעת שניהל מגעים עם מורד הוא ניהל מגעים עם סוכן חוץ של ארגון החמאס, שבעברו היה אסיר בטחוני בשל ביצוע פיגוע ושוחרר במסגרת עסקת שליט. הוא אמר שהבין שמורד רצה שיפעל במסגרת החמאס מטעמו ויבצע פיגועים בישראל והביע הסכמתו לכך . נקבע כי המעשים בוצעו מתוך מניעים אידיאולוגיים כאשר פעילות זו השתלבה ברווח הכלכלי. אשר לעבירות הנשק נקבע כי מדובר בנסיבות בהן עסקינן בעבירת אמל"ח וכסף מהחמאס לנאשם ובמקרה בו אדם נותן שירות לארגון טרור בהבינו כי בכך מסייע לקידום וביסוס תשתיתו</w:t>
      </w:r>
      <w:r w:rsidRPr="00BB7123">
        <w:rPr>
          <w:rFonts w:ascii="Arial" w:hAnsi="Arial" w:cs="Arial" w:hint="cs"/>
          <w:sz w:val="36"/>
          <w:szCs w:val="36"/>
          <w:vertAlign w:val="superscript"/>
          <w:rtl/>
        </w:rPr>
        <w:t>,</w:t>
      </w:r>
      <w:r w:rsidRPr="00BB7123">
        <w:rPr>
          <w:rFonts w:ascii="Arial" w:hAnsi="Arial" w:cs="Arial"/>
          <w:sz w:val="36"/>
          <w:szCs w:val="36"/>
          <w:vertAlign w:val="superscript"/>
          <w:rtl/>
        </w:rPr>
        <w:t xml:space="preserve"> מנוע אותו נאשם לטעון כי כל שרצה </w:t>
      </w:r>
      <w:r w:rsidRPr="00BB7123">
        <w:rPr>
          <w:rFonts w:ascii="Arial" w:hAnsi="Arial" w:cs="Arial" w:hint="cs"/>
          <w:sz w:val="36"/>
          <w:szCs w:val="36"/>
          <w:vertAlign w:val="superscript"/>
          <w:rtl/>
        </w:rPr>
        <w:t xml:space="preserve">הוא </w:t>
      </w:r>
      <w:r w:rsidRPr="00BB7123">
        <w:rPr>
          <w:rFonts w:ascii="Arial" w:hAnsi="Arial" w:cs="Arial"/>
          <w:sz w:val="36"/>
          <w:szCs w:val="36"/>
          <w:vertAlign w:val="superscript"/>
          <w:rtl/>
        </w:rPr>
        <w:t xml:space="preserve">רווח כלכלי וכן לא ניתן להתעלם בנסיבות אלה מזהות הארגון, טיב המעשים ומהתוצאות האפשריות. </w:t>
      </w:r>
    </w:p>
    <w:p w14:paraId="6AEC0AF4" w14:textId="77777777" w:rsidR="00BB7123" w:rsidRPr="00BB7123" w:rsidRDefault="00BB7123" w:rsidP="00BB7123">
      <w:pPr>
        <w:pStyle w:val="David"/>
        <w:spacing w:line="276" w:lineRule="auto"/>
        <w:rPr>
          <w:rFonts w:ascii="Arial" w:hAnsi="Arial" w:cs="Arial"/>
          <w:sz w:val="36"/>
          <w:szCs w:val="36"/>
          <w:vertAlign w:val="superscript"/>
          <w:rtl/>
        </w:rPr>
      </w:pPr>
    </w:p>
    <w:p w14:paraId="7C6D2919"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הנאשם יצר קשר זה במכוון וביוזמתו ופעילות זו עם החמאס משקפת את תפיסת עולמו והאידיאולוגיה בה הוא תומך. בהכרעת הדין יש התייחסות לאמירות בפייסבוק בגינן יוחסו עבירות ההסתה ולחומרתן והסכנה שבהן  כמו ג</w:t>
      </w:r>
      <w:r w:rsidRPr="00BB7123">
        <w:rPr>
          <w:rFonts w:ascii="Arial" w:hAnsi="Arial" w:cs="Arial" w:hint="cs"/>
          <w:sz w:val="36"/>
          <w:szCs w:val="36"/>
          <w:vertAlign w:val="superscript"/>
          <w:rtl/>
        </w:rPr>
        <w:t>ם</w:t>
      </w:r>
      <w:r w:rsidRPr="00BB7123">
        <w:rPr>
          <w:rFonts w:ascii="Arial" w:hAnsi="Arial" w:cs="Arial"/>
          <w:sz w:val="36"/>
          <w:szCs w:val="36"/>
          <w:vertAlign w:val="superscript"/>
          <w:rtl/>
        </w:rPr>
        <w:t xml:space="preserve"> לתזמון בהן פורסמו - ביום הרצח. התמונות הופצו באופן נגיש לעין כל ו</w:t>
      </w:r>
      <w:r w:rsidRPr="00BB7123">
        <w:rPr>
          <w:rFonts w:ascii="Arial" w:hAnsi="Arial" w:cs="Arial" w:hint="cs"/>
          <w:sz w:val="36"/>
          <w:szCs w:val="36"/>
          <w:vertAlign w:val="superscript"/>
          <w:rtl/>
        </w:rPr>
        <w:t>ל</w:t>
      </w:r>
      <w:r w:rsidRPr="00BB7123">
        <w:rPr>
          <w:rFonts w:ascii="Arial" w:hAnsi="Arial" w:cs="Arial"/>
          <w:sz w:val="36"/>
          <w:szCs w:val="36"/>
          <w:vertAlign w:val="superscript"/>
          <w:rtl/>
        </w:rPr>
        <w:t xml:space="preserve">אלפי חבריו ועוקביו של הנאשם. הנאשם הודה שבפרסום כזה יש אפשרות ממשית שהדבר יביא לכדי מעשה  טרור. לפי תוכן התמונות חפצה נפשו של הנאשם בהרג חיילי צה"ל וכך הביע דעתו להצדקת מעשי אלימות ופגיעה בחיילי צה"ל. העלאת תמונות לפייסבוק לא מתבצעת בחלל ריק אלא בתקופה של עוינות ועידוד לפגיעה בחיילים ואזרחים. דברי השבח והתמיכה מובילים בסופו של דבר לפגיעה בחיילים </w:t>
      </w:r>
      <w:r w:rsidRPr="00BB7123">
        <w:rPr>
          <w:rFonts w:ascii="Arial" w:hAnsi="Arial" w:cs="Arial" w:hint="cs"/>
          <w:sz w:val="36"/>
          <w:szCs w:val="36"/>
          <w:vertAlign w:val="superscript"/>
          <w:rtl/>
        </w:rPr>
        <w:t xml:space="preserve">ובאזרחים </w:t>
      </w:r>
      <w:r w:rsidRPr="00BB7123">
        <w:rPr>
          <w:rFonts w:ascii="Arial" w:hAnsi="Arial" w:cs="Arial"/>
          <w:sz w:val="36"/>
          <w:szCs w:val="36"/>
          <w:vertAlign w:val="superscript"/>
          <w:rtl/>
        </w:rPr>
        <w:t xml:space="preserve">וקיימת אפשרות ממשית שאדם שנחשף תדיר לפרסומים כאלה יקום ויעשה מעשה. אשר לעסקאות הנשק - ביהמ"ש הרשיע במקרה אחד רק  בשתי עבירות ולא בשלוש. יחד עם זאת, לחומרא יש לקחת בחשבון מעבר לכמות ולסוג הנשק , את </w:t>
      </w:r>
      <w:r w:rsidRPr="00BB7123">
        <w:rPr>
          <w:rFonts w:ascii="Arial" w:hAnsi="Arial" w:cs="Arial" w:hint="cs"/>
          <w:sz w:val="36"/>
          <w:szCs w:val="36"/>
          <w:vertAlign w:val="superscript"/>
          <w:rtl/>
        </w:rPr>
        <w:t>זהות ה"</w:t>
      </w:r>
      <w:r w:rsidRPr="00BB7123">
        <w:rPr>
          <w:rFonts w:ascii="Arial" w:hAnsi="Arial" w:cs="Arial"/>
          <w:sz w:val="36"/>
          <w:szCs w:val="36"/>
          <w:vertAlign w:val="superscript"/>
          <w:rtl/>
        </w:rPr>
        <w:t>לקוח</w:t>
      </w:r>
      <w:r w:rsidRPr="00BB7123">
        <w:rPr>
          <w:rFonts w:ascii="Arial" w:hAnsi="Arial" w:cs="Arial" w:hint="cs"/>
          <w:sz w:val="36"/>
          <w:szCs w:val="36"/>
          <w:vertAlign w:val="superscript"/>
          <w:rtl/>
        </w:rPr>
        <w:t>"</w:t>
      </w:r>
      <w:r w:rsidRPr="00BB7123">
        <w:rPr>
          <w:rFonts w:ascii="Arial" w:hAnsi="Arial" w:cs="Arial"/>
          <w:sz w:val="36"/>
          <w:szCs w:val="36"/>
          <w:vertAlign w:val="superscript"/>
          <w:rtl/>
        </w:rPr>
        <w:t xml:space="preserve">. </w:t>
      </w:r>
    </w:p>
    <w:p w14:paraId="02CEAB08" w14:textId="77777777" w:rsidR="00BB7123" w:rsidRPr="00BB7123" w:rsidRDefault="00BB7123" w:rsidP="00BB7123">
      <w:pPr>
        <w:pStyle w:val="David"/>
        <w:spacing w:line="276" w:lineRule="auto"/>
        <w:rPr>
          <w:rFonts w:ascii="Arial" w:hAnsi="Arial" w:cs="Arial"/>
          <w:sz w:val="20"/>
          <w:szCs w:val="20"/>
          <w:vertAlign w:val="superscript"/>
          <w:rtl/>
        </w:rPr>
      </w:pPr>
    </w:p>
    <w:p w14:paraId="4D840AA0"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מדובר ב</w:t>
      </w:r>
      <w:r w:rsidRPr="00BB7123">
        <w:rPr>
          <w:rFonts w:ascii="Arial" w:hAnsi="Arial" w:cs="Arial" w:hint="cs"/>
          <w:sz w:val="36"/>
          <w:szCs w:val="36"/>
          <w:vertAlign w:val="superscript"/>
          <w:rtl/>
        </w:rPr>
        <w:t xml:space="preserve">שילוב של </w:t>
      </w:r>
      <w:r w:rsidRPr="00BB7123">
        <w:rPr>
          <w:rFonts w:ascii="Arial" w:hAnsi="Arial" w:cs="Arial"/>
          <w:sz w:val="36"/>
          <w:szCs w:val="36"/>
          <w:vertAlign w:val="superscript"/>
          <w:rtl/>
        </w:rPr>
        <w:t xml:space="preserve">פעילות אידיאולוגית </w:t>
      </w:r>
      <w:r w:rsidRPr="00BB7123">
        <w:rPr>
          <w:rFonts w:ascii="Arial" w:hAnsi="Arial" w:cs="Arial" w:hint="cs"/>
          <w:sz w:val="36"/>
          <w:szCs w:val="36"/>
          <w:vertAlign w:val="superscript"/>
          <w:rtl/>
        </w:rPr>
        <w:t xml:space="preserve">ופעילות כלכלית </w:t>
      </w:r>
      <w:r w:rsidRPr="00BB7123">
        <w:rPr>
          <w:rFonts w:ascii="Arial" w:hAnsi="Arial" w:cs="Arial"/>
          <w:sz w:val="36"/>
          <w:szCs w:val="36"/>
          <w:vertAlign w:val="superscript"/>
          <w:rtl/>
        </w:rPr>
        <w:t>והנשק מכוון להימכר לארגון טרור. הערכים המוגנים - בטחון הציבור, מניעת פגיעה וסיכון לב</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 xml:space="preserve">טחון המדינה, הגנה על הציבור מפני פוטנציאל הסיכון לחיי אדם, </w:t>
      </w:r>
      <w:r w:rsidRPr="00BB7123">
        <w:rPr>
          <w:rFonts w:ascii="Arial" w:hAnsi="Arial" w:cs="Arial" w:hint="cs"/>
          <w:sz w:val="36"/>
          <w:szCs w:val="36"/>
          <w:vertAlign w:val="superscript"/>
          <w:rtl/>
        </w:rPr>
        <w:t>ו</w:t>
      </w:r>
      <w:r w:rsidRPr="00BB7123">
        <w:rPr>
          <w:rFonts w:ascii="Arial" w:hAnsi="Arial" w:cs="Arial"/>
          <w:sz w:val="36"/>
          <w:szCs w:val="36"/>
          <w:vertAlign w:val="superscript"/>
          <w:rtl/>
        </w:rPr>
        <w:t xml:space="preserve">נאמנות למדינה. לחומרא ביקשה לתת את הדעת לעובדה שמדובר בתושב ישראל שחי במדינת ישראל. </w:t>
      </w:r>
    </w:p>
    <w:p w14:paraId="5D988939" w14:textId="77777777" w:rsidR="00BB7123" w:rsidRPr="00BB7123" w:rsidRDefault="00BB7123" w:rsidP="00BB7123">
      <w:pPr>
        <w:pStyle w:val="David"/>
        <w:spacing w:line="276" w:lineRule="auto"/>
        <w:rPr>
          <w:rFonts w:ascii="Arial" w:hAnsi="Arial" w:cs="Arial"/>
          <w:sz w:val="20"/>
          <w:szCs w:val="20"/>
          <w:vertAlign w:val="superscript"/>
          <w:rtl/>
        </w:rPr>
      </w:pPr>
    </w:p>
    <w:p w14:paraId="3FD52C2B"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לטעמה של ב"כ המאשימה, יש לקבוע מתחם שונה לכל אחד מהאישומים כי מדובר בעבירות שעניינן שונה. לאישום הראשון- מתחם הנע בין 6 חודשים ל- 20 חודשי</w:t>
      </w:r>
      <w:r w:rsidRPr="00BB7123">
        <w:rPr>
          <w:rFonts w:ascii="Arial" w:hAnsi="Arial" w:cs="Arial" w:hint="cs"/>
          <w:sz w:val="36"/>
          <w:szCs w:val="36"/>
          <w:vertAlign w:val="superscript"/>
          <w:rtl/>
        </w:rPr>
        <w:t xml:space="preserve"> מאסר</w:t>
      </w:r>
      <w:r w:rsidRPr="00BB7123">
        <w:rPr>
          <w:rFonts w:ascii="Arial" w:hAnsi="Arial" w:cs="Arial"/>
          <w:sz w:val="36"/>
          <w:szCs w:val="36"/>
          <w:vertAlign w:val="superscript"/>
          <w:rtl/>
        </w:rPr>
        <w:t xml:space="preserve">, ומאחר ומדובר במתן שירות ברף הנמוך, אך מדובר בחמאס, עתרה למקם את הנאשם ברף האמצעי של המתחם. מתחם הענישה לאישום השני - 6 - 18 חודשי מאסר. לגביו עתרה למקם את עונשו של הנאשם ברף האמצעי של המתחם. עבירות של סחר בנשק- מתחם הנע ביו 5 ל – 8 שנות מאסר ויש למקם את עונשו של הנאשם ברף הגבוה מאחר  </w:t>
      </w:r>
      <w:r w:rsidRPr="00BB7123">
        <w:rPr>
          <w:rFonts w:ascii="Arial" w:hAnsi="Arial" w:cs="Arial" w:hint="cs"/>
          <w:sz w:val="36"/>
          <w:szCs w:val="36"/>
          <w:vertAlign w:val="superscript"/>
          <w:rtl/>
        </w:rPr>
        <w:t>ו</w:t>
      </w:r>
      <w:r w:rsidRPr="00BB7123">
        <w:rPr>
          <w:rFonts w:ascii="Arial" w:hAnsi="Arial" w:cs="Arial"/>
          <w:sz w:val="36"/>
          <w:szCs w:val="36"/>
          <w:vertAlign w:val="superscript"/>
          <w:rtl/>
        </w:rPr>
        <w:t>סחר ברובה או תת מקלע הוא מהחמורים בעבירות הסחר במיוחד כשאותו סחר נעשה ממניעים אידיאולוגיים. אשר לנסיבות שאינן קשורות לביצוע העבירה- הנאשם עם עבר פלילי קל יחסית, שירות המבחן המליץ על ענישה ממשית בפועל מאחורי סורג ובריח, וענישה מותנית ארוכה בשל כלל הנסיבות המנויות בתסקיר ובשל רמת סיכון גבוהה להישנות עבירות של פגיעה באזרחים יהודים ואנשי כוחות הב</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 xml:space="preserve">טחון.  </w:t>
      </w:r>
    </w:p>
    <w:p w14:paraId="700C4D01"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 xml:space="preserve">לאחר שכלול כלל המתחמים לרבות ניהול משפט עד תום, עתרה ב"כ המאשימה להשית על הנאשם עונש ראוי של שבע שנות מאסר, מאסרים על תנאי וקנס. </w:t>
      </w:r>
    </w:p>
    <w:p w14:paraId="22F301F9" w14:textId="77777777" w:rsidR="00BB7123" w:rsidRPr="00BB7123" w:rsidRDefault="00BB7123" w:rsidP="00BB7123">
      <w:pPr>
        <w:pStyle w:val="David"/>
        <w:spacing w:line="276" w:lineRule="auto"/>
        <w:rPr>
          <w:rFonts w:ascii="Arial" w:hAnsi="Arial" w:cs="Arial"/>
          <w:sz w:val="36"/>
          <w:szCs w:val="36"/>
          <w:vertAlign w:val="superscript"/>
          <w:rtl/>
        </w:rPr>
      </w:pPr>
    </w:p>
    <w:p w14:paraId="5F9F626E" w14:textId="77777777" w:rsidR="00BB7123" w:rsidRPr="00BB7123" w:rsidRDefault="00BB7123" w:rsidP="00BB7123">
      <w:pPr>
        <w:pStyle w:val="David"/>
        <w:spacing w:line="276" w:lineRule="auto"/>
        <w:rPr>
          <w:rFonts w:ascii="Arial" w:hAnsi="Arial" w:cs="Arial"/>
          <w:b/>
          <w:bCs/>
          <w:sz w:val="36"/>
          <w:szCs w:val="36"/>
          <w:u w:val="single"/>
          <w:vertAlign w:val="superscript"/>
          <w:rtl/>
        </w:rPr>
      </w:pPr>
      <w:r w:rsidRPr="00BB7123">
        <w:rPr>
          <w:rFonts w:ascii="Arial" w:hAnsi="Arial" w:cs="Arial"/>
          <w:b/>
          <w:bCs/>
          <w:sz w:val="36"/>
          <w:szCs w:val="36"/>
          <w:u w:val="single"/>
          <w:vertAlign w:val="superscript"/>
          <w:rtl/>
        </w:rPr>
        <w:t>טיעוני ב"כ הנאשם לעונש:</w:t>
      </w:r>
    </w:p>
    <w:p w14:paraId="008FFFEA"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ב"כ הנאשם טענה כי מדובר בצעיר בן 24 שנים, אשר למרות שהורשע לפי הכרעת הדין ברוב עבירות כתב האישום, העבירות נעדרות תוצאה של פגיעה ממשית בב</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טחון המדינה או הציבור. לטעמה, עבירות ב</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טחוניות מתחלקות לשני מעגלי חומרה- הראשון, ניסיון הגיוס בתחילת הקשר ומעגל שני, כשהאדם רותם עצמו לביצוע העבירות. מיקום העבירות אותן ביצע הנאשם היו במעגל הראשון של ראשית קשר, ובכך על ביהמ"ש להתחשב עת ישקול שיקולי הרתעה וגמול בגין מעשיו. הנאשם בחקירתו במשטרה , בשב"כ ובביהמ"ש הראה שהי</w:t>
      </w:r>
      <w:r w:rsidRPr="00BB7123">
        <w:rPr>
          <w:rFonts w:ascii="Arial" w:hAnsi="Arial" w:cs="Arial" w:hint="cs"/>
          <w:sz w:val="36"/>
          <w:szCs w:val="36"/>
          <w:vertAlign w:val="superscript"/>
          <w:rtl/>
        </w:rPr>
        <w:t>ת</w:t>
      </w:r>
      <w:r w:rsidRPr="00BB7123">
        <w:rPr>
          <w:rFonts w:ascii="Arial" w:hAnsi="Arial" w:cs="Arial"/>
          <w:sz w:val="36"/>
          <w:szCs w:val="36"/>
          <w:vertAlign w:val="superscript"/>
          <w:rtl/>
        </w:rPr>
        <w:t>ה לו קלות דעת להבין את משמעות מעשיו וחומרתם דבר המראה שבשלב העשייה לא היה לו מודעות לתוצאה של מעשים אלה ואת האפשרויות שעלולות להיות בפניו בעתיד במידה וימשיך בקו חשיבה או פעולה. הנאשם העיד על הלחץ בחקירה. הוא דיבר על כך שהמניע שלו כספי  , הוא התייחס לשיטות החקירה והשפעתן עליו</w:t>
      </w:r>
      <w:r w:rsidRPr="00BB7123">
        <w:rPr>
          <w:rFonts w:ascii="Arial" w:hAnsi="Arial" w:cs="Arial" w:hint="cs"/>
          <w:sz w:val="36"/>
          <w:szCs w:val="36"/>
          <w:vertAlign w:val="superscript"/>
          <w:rtl/>
        </w:rPr>
        <w:t xml:space="preserve">. </w:t>
      </w:r>
      <w:r w:rsidRPr="00BB7123">
        <w:rPr>
          <w:rFonts w:ascii="Arial" w:hAnsi="Arial" w:cs="Arial"/>
          <w:sz w:val="36"/>
          <w:szCs w:val="36"/>
          <w:vertAlign w:val="superscript"/>
          <w:rtl/>
        </w:rPr>
        <w:t>למרות שביהמ"ש קבע שיש אידיאולוגיה בבסיס התנהגותו , אין המדובר באידיאולוגיה של תמיכה בארגון מסוים אלא התנהגות של בחור שחשב שאולי יצא לו רווח מהעניין. ב"כ הנאשם עתרה להתחשב בנסיבות חייו של הנאשם שחלקן מוזכר בתסקיר מבחן. המצב הסוציו אקונומי הקשה השפיע על שיקוליו ועל ההחלטות שקיבל ,אך בחלק גדול מהעבירות שהוא נחקר לגביהן הביע חרטה בפני החוקרים ואמר שהוא מבין עכשיו את משמעות התנהגותו. במהלך חקירותיו, כפי שהעידו חוקריו, הנאשם שיתף פעולה . באשר ליצירת הקשר עם סוכן</w:t>
      </w:r>
      <w:r w:rsidRPr="00BB7123">
        <w:rPr>
          <w:rFonts w:ascii="Arial" w:hAnsi="Arial" w:cs="Arial" w:hint="cs"/>
          <w:sz w:val="36"/>
          <w:szCs w:val="36"/>
          <w:vertAlign w:val="superscript"/>
          <w:rtl/>
        </w:rPr>
        <w:t xml:space="preserve"> חוץ</w:t>
      </w:r>
      <w:r w:rsidRPr="00BB7123">
        <w:rPr>
          <w:rFonts w:ascii="Arial" w:hAnsi="Arial" w:cs="Arial"/>
          <w:sz w:val="36"/>
          <w:szCs w:val="36"/>
          <w:vertAlign w:val="superscript"/>
          <w:rtl/>
        </w:rPr>
        <w:t xml:space="preserve">- מבוקש להתחשב בכך שמדובר בקשר שהיה דרך הפייסבוק לתקופה קצרה של 11 יום. יוזם הקשר הוא הסוכן הזר. </w:t>
      </w:r>
    </w:p>
    <w:p w14:paraId="2F596157"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 xml:space="preserve">כל אלה הם תוצאה של ניגודים בסביבה בה חי הנאשם. כשהוא מבקר את המשפחה שלו בחברון   חיים לידו בני משפחה שכל אחד משתייך לארגון מסוים ויכול להיות שלכל אחד יש קשר מסוים עם ארגון טרור. </w:t>
      </w:r>
    </w:p>
    <w:p w14:paraId="12F81C54" w14:textId="77777777" w:rsidR="00BB7123" w:rsidRPr="00BB7123" w:rsidRDefault="00BB7123" w:rsidP="00BB7123">
      <w:pPr>
        <w:pStyle w:val="David"/>
        <w:spacing w:line="276" w:lineRule="auto"/>
        <w:rPr>
          <w:rFonts w:ascii="Arial" w:hAnsi="Arial" w:cs="Arial"/>
          <w:sz w:val="36"/>
          <w:szCs w:val="36"/>
          <w:vertAlign w:val="superscript"/>
          <w:rtl/>
        </w:rPr>
      </w:pPr>
    </w:p>
    <w:p w14:paraId="536379B3"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לגבי עבירות הנשק, מדובר בעבירות מינימליות אשר מראות שמדובר באדם שמנסה יותר מאשר מבצע ואין לו את הידע של אדם מנוסה וסוחר</w:t>
      </w:r>
      <w:r w:rsidRPr="00BB7123">
        <w:rPr>
          <w:rFonts w:ascii="Arial" w:hAnsi="Arial" w:cs="Arial" w:hint="cs"/>
          <w:sz w:val="36"/>
          <w:szCs w:val="36"/>
          <w:vertAlign w:val="superscript"/>
          <w:rtl/>
        </w:rPr>
        <w:t xml:space="preserve">. הנאשם </w:t>
      </w:r>
      <w:r w:rsidRPr="00BB7123">
        <w:rPr>
          <w:rFonts w:ascii="Arial" w:hAnsi="Arial" w:cs="Arial"/>
          <w:sz w:val="36"/>
          <w:szCs w:val="36"/>
          <w:vertAlign w:val="superscript"/>
          <w:rtl/>
        </w:rPr>
        <w:t>חשב שיצליח בזה ובסוף הבין שאינו מקבל  את הרווח הכספי לו ציפה.</w:t>
      </w:r>
    </w:p>
    <w:p w14:paraId="2A40AC8C" w14:textId="77777777" w:rsidR="00BB7123" w:rsidRPr="00BB7123" w:rsidRDefault="00BB7123" w:rsidP="00BB7123">
      <w:pPr>
        <w:pStyle w:val="David"/>
        <w:spacing w:line="276" w:lineRule="auto"/>
        <w:rPr>
          <w:rFonts w:ascii="Arial" w:hAnsi="Arial" w:cs="Arial"/>
          <w:sz w:val="36"/>
          <w:szCs w:val="36"/>
          <w:vertAlign w:val="superscript"/>
          <w:rtl/>
        </w:rPr>
      </w:pPr>
    </w:p>
    <w:p w14:paraId="0E2830DB"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 xml:space="preserve">לא נתפסו כלי נשק ולא היה כל תוצאה של פגיעה ממשית שקשורה ומוכחת לגבי העבירות שהואשם בהן. </w:t>
      </w:r>
    </w:p>
    <w:p w14:paraId="36E70BAA" w14:textId="77777777" w:rsidR="00BB7123" w:rsidRPr="00BB7123" w:rsidRDefault="00BB7123" w:rsidP="00BB7123">
      <w:pPr>
        <w:pStyle w:val="David"/>
        <w:spacing w:line="276" w:lineRule="auto"/>
        <w:rPr>
          <w:rFonts w:ascii="Arial" w:hAnsi="Arial" w:cs="Arial"/>
          <w:sz w:val="36"/>
          <w:szCs w:val="36"/>
          <w:vertAlign w:val="superscript"/>
          <w:rtl/>
        </w:rPr>
      </w:pPr>
    </w:p>
    <w:p w14:paraId="58B744E2"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 xml:space="preserve">לגבי הפרסומים, לא היתה בהם שום קריאה למעשה טרור או להיענות למעשי אלימות. אין אפשרות ממשית לפי המבחן ההסתברותי בפסיקה שפרסומים אלו הובילו או יובילו למעשה כזה. הנאשם לא זכה לייעוץ משפטי ורוב הדברים המיוחסים לו היו דיבורים בעלמא שלא הובילו למעשה ולא לקשירת קשר של ממש. </w:t>
      </w:r>
    </w:p>
    <w:p w14:paraId="09DA80ED" w14:textId="77777777" w:rsidR="00BB7123" w:rsidRPr="00BB7123" w:rsidRDefault="00BB7123" w:rsidP="00BB7123">
      <w:pPr>
        <w:pStyle w:val="David"/>
        <w:spacing w:line="276" w:lineRule="auto"/>
        <w:rPr>
          <w:rFonts w:ascii="Arial" w:hAnsi="Arial" w:cs="Arial"/>
          <w:sz w:val="36"/>
          <w:szCs w:val="36"/>
          <w:vertAlign w:val="superscript"/>
          <w:rtl/>
        </w:rPr>
      </w:pPr>
    </w:p>
    <w:p w14:paraId="1E90AA04"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b/>
          <w:bCs/>
          <w:sz w:val="36"/>
          <w:szCs w:val="36"/>
          <w:u w:val="single"/>
          <w:vertAlign w:val="superscript"/>
          <w:rtl/>
        </w:rPr>
        <w:t>הנאשם בדברו האחרון</w:t>
      </w:r>
      <w:r w:rsidRPr="00BB7123">
        <w:rPr>
          <w:rFonts w:ascii="Arial" w:hAnsi="Arial" w:cs="Arial"/>
          <w:sz w:val="36"/>
          <w:szCs w:val="36"/>
          <w:u w:val="single"/>
          <w:vertAlign w:val="superscript"/>
          <w:rtl/>
        </w:rPr>
        <w:t xml:space="preserve"> </w:t>
      </w:r>
      <w:r w:rsidRPr="00BB7123">
        <w:rPr>
          <w:rFonts w:ascii="Arial" w:hAnsi="Arial" w:cs="Arial"/>
          <w:sz w:val="36"/>
          <w:szCs w:val="36"/>
          <w:vertAlign w:val="superscript"/>
          <w:rtl/>
        </w:rPr>
        <w:t>טען כי הוא</w:t>
      </w:r>
      <w:r w:rsidRPr="00BB7123">
        <w:rPr>
          <w:rFonts w:ascii="Arial" w:hAnsi="Arial" w:cs="Arial"/>
          <w:sz w:val="36"/>
          <w:szCs w:val="36"/>
          <w:u w:val="single"/>
          <w:vertAlign w:val="superscript"/>
          <w:rtl/>
        </w:rPr>
        <w:t xml:space="preserve"> </w:t>
      </w:r>
      <w:r w:rsidRPr="00BB7123">
        <w:rPr>
          <w:rFonts w:ascii="Arial" w:hAnsi="Arial" w:cs="Arial"/>
          <w:sz w:val="36"/>
          <w:szCs w:val="36"/>
          <w:vertAlign w:val="superscript"/>
          <w:rtl/>
        </w:rPr>
        <w:t xml:space="preserve">מתנצל על כל מה שקרה. לא הייתה לו שום כוונה לפעול כנגד המדינה והוא </w:t>
      </w:r>
      <w:r w:rsidRPr="00BB7123">
        <w:rPr>
          <w:rFonts w:ascii="Arial" w:hAnsi="Arial" w:cs="Arial" w:hint="cs"/>
          <w:sz w:val="36"/>
          <w:szCs w:val="36"/>
          <w:vertAlign w:val="superscript"/>
          <w:rtl/>
        </w:rPr>
        <w:t xml:space="preserve">נקלע </w:t>
      </w:r>
      <w:r w:rsidRPr="00BB7123">
        <w:rPr>
          <w:rFonts w:ascii="Arial" w:hAnsi="Arial" w:cs="Arial"/>
          <w:sz w:val="36"/>
          <w:szCs w:val="36"/>
          <w:vertAlign w:val="superscript"/>
          <w:rtl/>
        </w:rPr>
        <w:t xml:space="preserve">למצב זה בגלל מצב כלכלי.  </w:t>
      </w:r>
    </w:p>
    <w:p w14:paraId="2ED70B7C" w14:textId="77777777" w:rsidR="00BB7123" w:rsidRPr="00BB7123" w:rsidRDefault="00BB7123" w:rsidP="00BB7123">
      <w:pPr>
        <w:pStyle w:val="David"/>
        <w:spacing w:line="276" w:lineRule="auto"/>
        <w:rPr>
          <w:rFonts w:ascii="Arial" w:hAnsi="Arial" w:cs="Arial"/>
          <w:sz w:val="36"/>
          <w:szCs w:val="36"/>
          <w:vertAlign w:val="superscript"/>
          <w:rtl/>
        </w:rPr>
      </w:pPr>
    </w:p>
    <w:p w14:paraId="0AE05816" w14:textId="77777777" w:rsidR="00BB7123" w:rsidRPr="00BB7123" w:rsidRDefault="00BB7123" w:rsidP="00BB7123">
      <w:pPr>
        <w:pStyle w:val="David"/>
        <w:spacing w:line="276" w:lineRule="auto"/>
        <w:rPr>
          <w:rFonts w:ascii="Arial" w:hAnsi="Arial" w:cs="Arial"/>
          <w:sz w:val="36"/>
          <w:szCs w:val="36"/>
          <w:vertAlign w:val="superscript"/>
          <w:rtl/>
        </w:rPr>
      </w:pPr>
    </w:p>
    <w:p w14:paraId="5B9FF4C5" w14:textId="77777777" w:rsidR="00BB7123" w:rsidRPr="00BB7123" w:rsidRDefault="00BB7123" w:rsidP="00BB7123">
      <w:pPr>
        <w:spacing w:line="276" w:lineRule="auto"/>
        <w:rPr>
          <w:rFonts w:ascii="Arial" w:hAnsi="Arial" w:cs="Arial"/>
          <w:b/>
          <w:bCs/>
          <w:sz w:val="36"/>
          <w:szCs w:val="36"/>
          <w:u w:val="single"/>
          <w:vertAlign w:val="superscript"/>
          <w:rtl/>
        </w:rPr>
      </w:pPr>
      <w:r w:rsidRPr="00BB7123">
        <w:rPr>
          <w:rFonts w:ascii="Arial" w:hAnsi="Arial" w:cs="Arial"/>
          <w:b/>
          <w:bCs/>
          <w:sz w:val="36"/>
          <w:szCs w:val="36"/>
          <w:u w:val="single"/>
          <w:vertAlign w:val="superscript"/>
          <w:rtl/>
        </w:rPr>
        <w:t>דיון והכרעה:</w:t>
      </w:r>
    </w:p>
    <w:p w14:paraId="227E0CEC"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מעשיו של הנאשם פוגעים בשמירה על בטחון המדינה, בטחון אזרחיה וב</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טחונם של כוחות הב</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טחון.</w:t>
      </w:r>
    </w:p>
    <w:p w14:paraId="58C28E07" w14:textId="77777777" w:rsidR="00BB7123" w:rsidRPr="00BB7123" w:rsidRDefault="00BB7123" w:rsidP="00BB7123">
      <w:pPr>
        <w:pStyle w:val="Ruller40"/>
        <w:spacing w:line="276" w:lineRule="auto"/>
        <w:rPr>
          <w:rFonts w:ascii="Arial" w:hAnsi="Arial" w:cs="Arial"/>
          <w:sz w:val="36"/>
          <w:szCs w:val="36"/>
          <w:vertAlign w:val="superscript"/>
          <w:rtl/>
        </w:rPr>
      </w:pPr>
    </w:p>
    <w:p w14:paraId="3ACF89A5"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כפי שנפסק על ידי כבוד השופט זלוצ'ובר ב</w:t>
      </w:r>
      <w:hyperlink r:id="rId33" w:history="1">
        <w:r w:rsidR="00AF5665" w:rsidRPr="00AF5665">
          <w:rPr>
            <w:rFonts w:ascii="Arial" w:hAnsi="Arial" w:cs="Arial"/>
            <w:color w:val="0000FF"/>
            <w:sz w:val="36"/>
            <w:szCs w:val="36"/>
            <w:u w:val="single"/>
            <w:vertAlign w:val="superscript"/>
            <w:rtl/>
          </w:rPr>
          <w:t>תפ"ח (ב"ש) 43336-09-15</w:t>
        </w:r>
      </w:hyperlink>
      <w:r w:rsidRPr="00BB7123">
        <w:rPr>
          <w:rFonts w:ascii="Arial" w:hAnsi="Arial" w:cs="Arial"/>
          <w:sz w:val="36"/>
          <w:szCs w:val="36"/>
          <w:vertAlign w:val="superscript"/>
          <w:rtl/>
        </w:rPr>
        <w:t xml:space="preserve"> </w:t>
      </w:r>
      <w:r w:rsidRPr="00BB7123">
        <w:rPr>
          <w:rFonts w:ascii="Arial" w:hAnsi="Arial" w:cs="Arial" w:hint="cs"/>
          <w:b/>
          <w:bCs/>
          <w:sz w:val="36"/>
          <w:szCs w:val="36"/>
          <w:vertAlign w:val="superscript"/>
          <w:rtl/>
        </w:rPr>
        <w:t>מדינת ישראל נ' סמהדאן</w:t>
      </w:r>
      <w:r w:rsidRPr="00BB7123">
        <w:rPr>
          <w:rFonts w:ascii="Arial" w:hAnsi="Arial" w:cs="Arial"/>
          <w:sz w:val="36"/>
          <w:szCs w:val="36"/>
          <w:vertAlign w:val="superscript"/>
          <w:rtl/>
        </w:rPr>
        <w:t>:</w:t>
      </w:r>
    </w:p>
    <w:p w14:paraId="46E05662" w14:textId="77777777" w:rsidR="00BB7123" w:rsidRPr="00BB7123" w:rsidRDefault="00BB7123" w:rsidP="00BB7123">
      <w:pPr>
        <w:tabs>
          <w:tab w:val="left" w:pos="6146"/>
        </w:tabs>
        <w:spacing w:line="276" w:lineRule="auto"/>
        <w:ind w:left="720"/>
        <w:contextualSpacing/>
        <w:jc w:val="both"/>
        <w:rPr>
          <w:rFonts w:ascii="Arial" w:hAnsi="Arial" w:cs="Arial"/>
          <w:sz w:val="36"/>
          <w:szCs w:val="36"/>
          <w:vertAlign w:val="superscript"/>
          <w:rtl/>
        </w:rPr>
      </w:pPr>
      <w:r w:rsidRPr="00BB7123">
        <w:rPr>
          <w:rFonts w:ascii="Arial" w:hAnsi="Arial" w:cs="Arial"/>
          <w:sz w:val="36"/>
          <w:szCs w:val="36"/>
          <w:vertAlign w:val="superscript"/>
          <w:rtl/>
        </w:rPr>
        <w:t xml:space="preserve">"העבירות בהן הורשע הנאשם הן עבירות חמורות שיש בהן פוטנציאל עצום לפגוע בביטחונה של מדינת ישראל והן חותרת תחת עצם קיומה של המדינה. חומרת מעשיו של הנאשם נעוצה גם בעובדה, כי הנאשם הוא אזרח ישראלי ועל כן המדינה נותנת בו אמון וישנו קושי גדול יותר להתחקות אחר מעשיו. </w:t>
      </w:r>
    </w:p>
    <w:p w14:paraId="275EC678" w14:textId="77777777" w:rsidR="00BB7123" w:rsidRPr="00BB7123" w:rsidRDefault="00BB7123" w:rsidP="00BB7123">
      <w:pPr>
        <w:tabs>
          <w:tab w:val="left" w:pos="6146"/>
        </w:tabs>
        <w:spacing w:line="276" w:lineRule="auto"/>
        <w:ind w:left="720"/>
        <w:contextualSpacing/>
        <w:jc w:val="both"/>
        <w:rPr>
          <w:rFonts w:ascii="Arial" w:hAnsi="Arial" w:cs="Arial"/>
          <w:sz w:val="36"/>
          <w:szCs w:val="36"/>
          <w:vertAlign w:val="superscript"/>
        </w:rPr>
      </w:pPr>
      <w:r w:rsidRPr="00BB7123">
        <w:rPr>
          <w:rFonts w:ascii="Arial" w:hAnsi="Arial" w:cs="Arial"/>
          <w:sz w:val="36"/>
          <w:szCs w:val="36"/>
          <w:vertAlign w:val="superscript"/>
          <w:rtl/>
        </w:rPr>
        <w:t xml:space="preserve">כוחות הביטחון על כל זרועותיהם, עושים לילות כימים במלחמה נגד ארגוני הטרור אשר מטרתם המוצהרת הינה פגיעה במדינת ישראל, באזרחיה, בשלומם, בביטחונם ובחייהם.... </w:t>
      </w:r>
    </w:p>
    <w:p w14:paraId="79F0AD67" w14:textId="77777777" w:rsidR="00BB7123" w:rsidRPr="00BB7123" w:rsidRDefault="00BB7123" w:rsidP="00BB7123">
      <w:pPr>
        <w:tabs>
          <w:tab w:val="left" w:pos="6146"/>
        </w:tabs>
        <w:spacing w:line="276" w:lineRule="auto"/>
        <w:ind w:left="720"/>
        <w:contextualSpacing/>
        <w:jc w:val="both"/>
        <w:rPr>
          <w:rFonts w:ascii="Arial" w:hAnsi="Arial" w:cs="Arial"/>
          <w:sz w:val="36"/>
          <w:szCs w:val="36"/>
          <w:vertAlign w:val="superscript"/>
          <w:rtl/>
        </w:rPr>
      </w:pPr>
      <w:r w:rsidRPr="00BB7123">
        <w:rPr>
          <w:rFonts w:ascii="Arial" w:hAnsi="Arial" w:cs="Arial"/>
          <w:sz w:val="36"/>
          <w:szCs w:val="36"/>
          <w:vertAlign w:val="superscript"/>
          <w:rtl/>
        </w:rPr>
        <w:t>סקירת נסיבותיהם של תיקים ביטחוניים שונים מראה, כי ארגוני הטרור משקיעים משאבים רבים בניסיון ליצור קשר עם אזרחים ישראלים על מנת להצליח לממש את תכניתם לפגוע במדינת ישראל, באזרחיה ובחייליה.</w:t>
      </w:r>
    </w:p>
    <w:p w14:paraId="21393105" w14:textId="77777777" w:rsidR="00BB7123" w:rsidRPr="00BB7123" w:rsidRDefault="00BB7123" w:rsidP="00BB7123">
      <w:pPr>
        <w:tabs>
          <w:tab w:val="left" w:pos="6146"/>
        </w:tabs>
        <w:spacing w:line="276" w:lineRule="auto"/>
        <w:ind w:left="720"/>
        <w:contextualSpacing/>
        <w:jc w:val="both"/>
        <w:rPr>
          <w:rFonts w:ascii="Arial" w:hAnsi="Arial" w:cs="Arial"/>
          <w:sz w:val="36"/>
          <w:szCs w:val="36"/>
          <w:vertAlign w:val="superscript"/>
          <w:rtl/>
        </w:rPr>
      </w:pPr>
      <w:r w:rsidRPr="00BB7123">
        <w:rPr>
          <w:rFonts w:ascii="Arial" w:hAnsi="Arial" w:cs="Arial"/>
          <w:sz w:val="36"/>
          <w:szCs w:val="36"/>
          <w:vertAlign w:val="superscript"/>
          <w:rtl/>
        </w:rPr>
        <w:t xml:space="preserve">הגם שהנאשם לא החל בביצוע הפעולות ומדובר במגע עם סוכן חוץ שמטרתו לא יצאה אל הפועל, הרי שכך למעשה ארגוני הטרור מתחילים לגבש את תכניתם ולכן מגע עם סוכן חוץ יש בו פוטנציאל להסתיים באסון שיגבה חייהם של אזרחים וחיילים..." </w:t>
      </w:r>
    </w:p>
    <w:p w14:paraId="2A1A562C" w14:textId="77777777" w:rsidR="00BB7123" w:rsidRPr="00BB7123" w:rsidRDefault="00BB7123" w:rsidP="00BB7123">
      <w:pPr>
        <w:pStyle w:val="Ruller40"/>
        <w:spacing w:line="276" w:lineRule="auto"/>
        <w:rPr>
          <w:rFonts w:ascii="Arial" w:hAnsi="Arial" w:cs="Arial"/>
          <w:sz w:val="36"/>
          <w:szCs w:val="36"/>
          <w:vertAlign w:val="superscript"/>
          <w:rtl/>
        </w:rPr>
      </w:pPr>
    </w:p>
    <w:p w14:paraId="4F68A927"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ב</w:t>
      </w:r>
      <w:hyperlink r:id="rId34" w:history="1">
        <w:r w:rsidR="00AF5665" w:rsidRPr="00AF5665">
          <w:rPr>
            <w:rFonts w:ascii="Arial" w:hAnsi="Arial" w:cs="Arial"/>
            <w:color w:val="0000FF"/>
            <w:sz w:val="36"/>
            <w:szCs w:val="36"/>
            <w:u w:val="single"/>
            <w:vertAlign w:val="superscript"/>
            <w:rtl/>
          </w:rPr>
          <w:t>ע"פ 4355/05</w:t>
        </w:r>
      </w:hyperlink>
      <w:r w:rsidRPr="00BB7123">
        <w:rPr>
          <w:rFonts w:ascii="Arial" w:hAnsi="Arial" w:cs="Arial"/>
          <w:sz w:val="36"/>
          <w:szCs w:val="36"/>
          <w:vertAlign w:val="superscript"/>
          <w:rtl/>
        </w:rPr>
        <w:t xml:space="preserve"> </w:t>
      </w:r>
      <w:r w:rsidRPr="00BB7123">
        <w:rPr>
          <w:rFonts w:ascii="Arial" w:hAnsi="Arial" w:cs="Arial"/>
          <w:b/>
          <w:bCs/>
          <w:sz w:val="36"/>
          <w:szCs w:val="36"/>
          <w:vertAlign w:val="superscript"/>
          <w:rtl/>
        </w:rPr>
        <w:t>ברקאת נ' מדינת ישראל</w:t>
      </w:r>
      <w:r w:rsidRPr="00BB7123">
        <w:rPr>
          <w:rFonts w:ascii="Arial" w:hAnsi="Arial" w:cs="Arial"/>
          <w:sz w:val="36"/>
          <w:szCs w:val="36"/>
          <w:vertAlign w:val="superscript"/>
          <w:rtl/>
        </w:rPr>
        <w:t xml:space="preserve"> נפסק על ידי בית המשפט העליון בהאי לישנא:</w:t>
      </w:r>
    </w:p>
    <w:p w14:paraId="7D2E2ED5" w14:textId="77777777" w:rsidR="00BB7123" w:rsidRPr="00BB7123" w:rsidRDefault="00BB7123" w:rsidP="00BB7123">
      <w:pPr>
        <w:pStyle w:val="Ruller40"/>
        <w:spacing w:line="276" w:lineRule="auto"/>
        <w:ind w:left="720"/>
        <w:rPr>
          <w:rFonts w:ascii="Arial" w:hAnsi="Arial" w:cs="Arial"/>
          <w:sz w:val="36"/>
          <w:szCs w:val="36"/>
          <w:vertAlign w:val="superscript"/>
          <w:rtl/>
        </w:rPr>
      </w:pPr>
      <w:r w:rsidRPr="00BB7123">
        <w:rPr>
          <w:rFonts w:ascii="Arial" w:hAnsi="Arial" w:cs="Arial"/>
          <w:sz w:val="36"/>
          <w:szCs w:val="36"/>
          <w:vertAlign w:val="superscript"/>
          <w:rtl/>
        </w:rPr>
        <w:tab/>
        <w:t>"המערער טוען כי לא היה בידו לעמוד על רצינות כוונותיהם של הפונים אליו. אין בידנו להעניק משקל של ממש לטענה זו, שכן היה ידוע לו כי הפונים אליו פעילי חמאס הם ומשידוע היה לו כי משתייכים הם לארגון אשר אכן שם לו למטרה לבצע פיגועי התאבדות ופיגועים נוספים בישראל, הוא כאזרח וכמי שחב חובת נאמנות למדינה לא יכול היה להטמין ראשו בחול ולהמתין עד שיתחוור לו האם אכן יצאו הפיגועים לפועל אם לאו, במיוחד בתקופה בה לדאבוננו חשש מפני פיגוע טרור הינו חשש ממשי וצריך להדליק "נורה אדומה" לכל מי ששומע על כוונה שכזו".</w:t>
      </w:r>
    </w:p>
    <w:p w14:paraId="6FC79045" w14:textId="77777777" w:rsidR="00BB7123" w:rsidRPr="00BB7123" w:rsidRDefault="00BB7123" w:rsidP="00BB7123">
      <w:pPr>
        <w:pStyle w:val="Ruller40"/>
        <w:spacing w:line="276" w:lineRule="auto"/>
        <w:ind w:left="720"/>
        <w:rPr>
          <w:rFonts w:ascii="Arial" w:hAnsi="Arial" w:cs="Arial"/>
          <w:sz w:val="36"/>
          <w:szCs w:val="36"/>
          <w:vertAlign w:val="superscript"/>
          <w:rtl/>
        </w:rPr>
      </w:pPr>
    </w:p>
    <w:p w14:paraId="55F6A0AD" w14:textId="77777777" w:rsidR="00BB7123" w:rsidRPr="00BB7123" w:rsidRDefault="00BB7123" w:rsidP="00BB7123">
      <w:pPr>
        <w:spacing w:line="276" w:lineRule="auto"/>
        <w:jc w:val="both"/>
        <w:rPr>
          <w:rFonts w:ascii="Arial" w:hAnsi="Arial" w:cs="Arial"/>
          <w:spacing w:val="10"/>
          <w:sz w:val="36"/>
          <w:szCs w:val="36"/>
          <w:vertAlign w:val="superscript"/>
          <w:rtl/>
        </w:rPr>
      </w:pPr>
      <w:r w:rsidRPr="00BB7123">
        <w:rPr>
          <w:rFonts w:ascii="Arial" w:hAnsi="Arial" w:cs="Arial"/>
          <w:spacing w:val="10"/>
          <w:sz w:val="36"/>
          <w:szCs w:val="36"/>
          <w:vertAlign w:val="superscript"/>
          <w:rtl/>
        </w:rPr>
        <w:t>וב</w:t>
      </w:r>
      <w:hyperlink r:id="rId35" w:history="1">
        <w:r w:rsidR="00AF5665" w:rsidRPr="00AF5665">
          <w:rPr>
            <w:rFonts w:ascii="Arial" w:hAnsi="Arial" w:cs="Arial"/>
            <w:color w:val="0000FF"/>
            <w:spacing w:val="10"/>
            <w:sz w:val="36"/>
            <w:szCs w:val="36"/>
            <w:u w:val="single"/>
            <w:vertAlign w:val="superscript"/>
            <w:rtl/>
          </w:rPr>
          <w:t>ע"פ 10680/04</w:t>
        </w:r>
      </w:hyperlink>
      <w:r w:rsidRPr="00BB7123">
        <w:rPr>
          <w:rFonts w:ascii="Arial" w:hAnsi="Arial" w:cs="Arial"/>
          <w:spacing w:val="10"/>
          <w:sz w:val="36"/>
          <w:szCs w:val="36"/>
          <w:vertAlign w:val="superscript"/>
          <w:rtl/>
        </w:rPr>
        <w:t xml:space="preserve"> </w:t>
      </w:r>
      <w:r w:rsidRPr="00BB7123">
        <w:rPr>
          <w:rFonts w:ascii="Arial" w:hAnsi="Arial" w:cs="Arial"/>
          <w:b/>
          <w:bCs/>
          <w:spacing w:val="10"/>
          <w:sz w:val="36"/>
          <w:szCs w:val="36"/>
          <w:vertAlign w:val="superscript"/>
          <w:rtl/>
        </w:rPr>
        <w:t>מדינת ישראל נ' מחמד כנעאנה</w:t>
      </w:r>
      <w:r w:rsidRPr="00BB7123">
        <w:rPr>
          <w:rFonts w:ascii="Arial" w:hAnsi="Arial" w:cs="Arial"/>
          <w:spacing w:val="10"/>
          <w:sz w:val="36"/>
          <w:szCs w:val="36"/>
          <w:vertAlign w:val="superscript"/>
          <w:rtl/>
        </w:rPr>
        <w:t xml:space="preserve"> נפסק כי:</w:t>
      </w:r>
    </w:p>
    <w:p w14:paraId="717EDF31" w14:textId="77777777" w:rsidR="00BB7123" w:rsidRPr="00BB7123" w:rsidRDefault="00BB7123" w:rsidP="00BB7123">
      <w:pPr>
        <w:spacing w:line="276" w:lineRule="auto"/>
        <w:ind w:left="720"/>
        <w:jc w:val="both"/>
        <w:rPr>
          <w:rFonts w:ascii="Arial" w:hAnsi="Arial" w:cs="Arial"/>
          <w:spacing w:val="10"/>
          <w:sz w:val="36"/>
          <w:szCs w:val="36"/>
          <w:vertAlign w:val="superscript"/>
          <w:rtl/>
        </w:rPr>
      </w:pPr>
      <w:r w:rsidRPr="00BB7123">
        <w:rPr>
          <w:rFonts w:ascii="Arial" w:hAnsi="Arial" w:cs="Arial"/>
          <w:spacing w:val="10"/>
          <w:sz w:val="36"/>
          <w:szCs w:val="36"/>
          <w:vertAlign w:val="superscript"/>
          <w:rtl/>
        </w:rPr>
        <w:t xml:space="preserve">"אין צורך שנרחיב בדברים אודות מלחמת החורמה שמנהלת ישראל כנגד הטרור. מלחמה זו היא על זכותם של אזרחי ישראל, גברים כנשים, ילדים כקשישים, לחיות בביטחון בארצם. כשמאבק עיקש זה מתנהל, קיים המשיב, אזרח ישראלי, קשר אינטנסיבי ומתמשך עם חבר בארגון טרור ואף תמך במעשיו – בתיאום מפגשים – בקשר בין זה האחרון לבין אחיו גם משנודע לו כי השניים פועלים במשותף נגד ביטחונה של מדינת ישראל. גם לו קיבלנו הטענה כי פרטיה המדויקים של הפעילות הביטחונית המשותפת לחוסאם ולעג'ווה לא היו ידועים למשיב, הרי שאין כל ספק </w:t>
      </w:r>
    </w:p>
    <w:p w14:paraId="2B454C8B" w14:textId="77777777" w:rsidR="00BB7123" w:rsidRPr="00BB7123" w:rsidRDefault="00BB7123" w:rsidP="00BB7123">
      <w:pPr>
        <w:spacing w:line="276" w:lineRule="auto"/>
        <w:ind w:left="720"/>
        <w:jc w:val="both"/>
        <w:rPr>
          <w:rFonts w:ascii="Arial" w:hAnsi="Arial" w:cs="Arial"/>
          <w:spacing w:val="10"/>
          <w:sz w:val="36"/>
          <w:szCs w:val="36"/>
          <w:vertAlign w:val="superscript"/>
          <w:rtl/>
        </w:rPr>
      </w:pPr>
    </w:p>
    <w:p w14:paraId="1C964026" w14:textId="77777777" w:rsidR="00BB7123" w:rsidRPr="00BB7123" w:rsidRDefault="00BB7123" w:rsidP="00BB7123">
      <w:pPr>
        <w:spacing w:line="276" w:lineRule="auto"/>
        <w:ind w:left="720"/>
        <w:jc w:val="both"/>
        <w:rPr>
          <w:rFonts w:ascii="Arial" w:hAnsi="Arial" w:cs="Arial"/>
          <w:spacing w:val="10"/>
          <w:sz w:val="36"/>
          <w:szCs w:val="36"/>
          <w:vertAlign w:val="superscript"/>
          <w:rtl/>
        </w:rPr>
      </w:pPr>
    </w:p>
    <w:p w14:paraId="4B27A881" w14:textId="77777777" w:rsidR="00BB7123" w:rsidRPr="00BB7123" w:rsidRDefault="00BB7123" w:rsidP="00BB7123">
      <w:pPr>
        <w:spacing w:line="276" w:lineRule="auto"/>
        <w:ind w:left="720"/>
        <w:jc w:val="both"/>
        <w:rPr>
          <w:rFonts w:ascii="Arial" w:hAnsi="Arial" w:cs="Arial"/>
          <w:spacing w:val="10"/>
          <w:sz w:val="36"/>
          <w:szCs w:val="36"/>
          <w:vertAlign w:val="superscript"/>
          <w:rtl/>
        </w:rPr>
      </w:pPr>
      <w:r w:rsidRPr="00BB7123">
        <w:rPr>
          <w:rFonts w:ascii="Arial" w:hAnsi="Arial" w:cs="Arial"/>
          <w:spacing w:val="10"/>
          <w:sz w:val="36"/>
          <w:szCs w:val="36"/>
          <w:vertAlign w:val="superscript"/>
          <w:rtl/>
        </w:rPr>
        <w:t xml:space="preserve">כי הוא הבין שבתאמו מפגשים נוספים בין השניים הוא תורם לפעילות נגד מדינתו וכי ייתכן והוא מקל או תורם לפעילות שבסופה ייפגעו חפים מפשע.  </w:t>
      </w:r>
    </w:p>
    <w:p w14:paraId="4B782744" w14:textId="77777777" w:rsidR="00BB7123" w:rsidRPr="00BB7123" w:rsidRDefault="00BB7123" w:rsidP="00BB7123">
      <w:pPr>
        <w:spacing w:line="276" w:lineRule="auto"/>
        <w:jc w:val="both"/>
        <w:rPr>
          <w:rFonts w:ascii="Arial" w:hAnsi="Arial" w:cs="Arial"/>
          <w:spacing w:val="10"/>
          <w:sz w:val="36"/>
          <w:szCs w:val="36"/>
          <w:vertAlign w:val="superscript"/>
          <w:rtl/>
        </w:rPr>
      </w:pPr>
      <w:r w:rsidRPr="00BB7123">
        <w:rPr>
          <w:rFonts w:ascii="Arial" w:hAnsi="Arial" w:cs="Arial"/>
          <w:spacing w:val="10"/>
          <w:sz w:val="36"/>
          <w:szCs w:val="36"/>
          <w:vertAlign w:val="superscript"/>
          <w:rtl/>
        </w:rPr>
        <w:tab/>
        <w:t>אין צורך להזכיר כי:</w:t>
      </w:r>
    </w:p>
    <w:p w14:paraId="5B8743B4" w14:textId="77777777" w:rsidR="00BB7123" w:rsidRPr="00BB7123" w:rsidRDefault="00BB7123" w:rsidP="00BB7123">
      <w:pPr>
        <w:pStyle w:val="Ruller5"/>
        <w:spacing w:line="276" w:lineRule="auto"/>
        <w:rPr>
          <w:rFonts w:ascii="Arial" w:hAnsi="Arial" w:cs="Arial"/>
          <w:sz w:val="36"/>
          <w:szCs w:val="36"/>
          <w:vertAlign w:val="superscript"/>
          <w:rtl/>
        </w:rPr>
      </w:pPr>
      <w:r w:rsidRPr="00BB7123">
        <w:rPr>
          <w:rFonts w:ascii="Arial" w:hAnsi="Arial" w:cs="Arial"/>
          <w:sz w:val="36"/>
          <w:szCs w:val="36"/>
          <w:vertAlign w:val="superscript"/>
          <w:rtl/>
        </w:rPr>
        <w:t>"התקופה בה אנו חיים היא עקובה מדם, והכול, ובעיקר אלה החייבים נאמנות למדינת ישראל, מצווים לנקוט בכל אמצעי אשר עשוי לצמצם את היקפם של מעשי הטרור. לאותה מטרה מצווים גם בתי המשפט להרים את תרומתם כדי להרתיע את הרבים, ומנקודת השקפה זאת לא זו בלבד שאין בעונש פן של חומרה אשר יצדיק את התערבותנו, אלא אף נכון לומר כי הוא מתון במידה אשר עלולה להחמיץ את מטרת ההרתעה" (</w:t>
      </w:r>
      <w:hyperlink r:id="rId36" w:history="1">
        <w:r w:rsidR="00AF5665" w:rsidRPr="00AF5665">
          <w:rPr>
            <w:rFonts w:ascii="Arial" w:hAnsi="Arial" w:cs="Arial"/>
            <w:color w:val="0000FF"/>
            <w:sz w:val="36"/>
            <w:szCs w:val="36"/>
            <w:u w:val="single"/>
            <w:vertAlign w:val="superscript"/>
            <w:rtl/>
          </w:rPr>
          <w:t>ע"פ 2131/03</w:t>
        </w:r>
      </w:hyperlink>
      <w:r w:rsidRPr="00BB7123">
        <w:rPr>
          <w:rFonts w:ascii="Arial" w:hAnsi="Arial" w:cs="Arial"/>
          <w:sz w:val="36"/>
          <w:szCs w:val="36"/>
          <w:vertAlign w:val="superscript"/>
          <w:rtl/>
        </w:rPr>
        <w:t xml:space="preserve"> </w:t>
      </w:r>
      <w:r w:rsidRPr="00BB7123">
        <w:rPr>
          <w:rFonts w:ascii="Arial" w:hAnsi="Arial" w:cs="Arial"/>
          <w:spacing w:val="0"/>
          <w:sz w:val="36"/>
          <w:szCs w:val="36"/>
          <w:vertAlign w:val="superscript"/>
          <w:rtl/>
        </w:rPr>
        <w:t>סעדי נ' מדינת ישראל</w:t>
      </w:r>
      <w:r w:rsidRPr="00BB7123">
        <w:rPr>
          <w:rFonts w:ascii="Arial" w:hAnsi="Arial" w:cs="Arial"/>
          <w:sz w:val="36"/>
          <w:szCs w:val="36"/>
          <w:vertAlign w:val="superscript"/>
          <w:rtl/>
        </w:rPr>
        <w:t xml:space="preserve"> (לא פורסם, ניתן ביום 22.12.03)"</w:t>
      </w:r>
      <w:r w:rsidRPr="00BB7123">
        <w:rPr>
          <w:rFonts w:ascii="Arial" w:hAnsi="Arial" w:cs="Arial"/>
          <w:sz w:val="36"/>
          <w:szCs w:val="36"/>
          <w:vertAlign w:val="superscript"/>
        </w:rPr>
        <w:t>S</w:t>
      </w:r>
      <w:r w:rsidRPr="00BB7123">
        <w:rPr>
          <w:rFonts w:ascii="Arial" w:hAnsi="Arial" w:cs="Arial"/>
          <w:sz w:val="36"/>
          <w:szCs w:val="36"/>
          <w:vertAlign w:val="superscript"/>
          <w:rtl/>
        </w:rPr>
        <w:t>.</w:t>
      </w:r>
    </w:p>
    <w:p w14:paraId="6F3D2EB9" w14:textId="77777777" w:rsidR="00BB7123" w:rsidRPr="00BB7123" w:rsidRDefault="00BB7123" w:rsidP="00BB7123">
      <w:pPr>
        <w:spacing w:line="276" w:lineRule="auto"/>
        <w:jc w:val="both"/>
        <w:rPr>
          <w:rFonts w:ascii="Arial" w:hAnsi="Arial" w:cs="Arial"/>
          <w:spacing w:val="10"/>
          <w:sz w:val="36"/>
          <w:szCs w:val="36"/>
          <w:vertAlign w:val="superscript"/>
          <w:rtl/>
        </w:rPr>
      </w:pPr>
      <w:r w:rsidRPr="00BB7123">
        <w:rPr>
          <w:rFonts w:ascii="Arial" w:hAnsi="Arial" w:cs="Arial"/>
          <w:spacing w:val="10"/>
          <w:sz w:val="36"/>
          <w:szCs w:val="36"/>
          <w:vertAlign w:val="superscript"/>
          <w:rtl/>
        </w:rPr>
        <w:t xml:space="preserve"> </w:t>
      </w:r>
    </w:p>
    <w:p w14:paraId="19366359" w14:textId="77777777" w:rsidR="00BB7123" w:rsidRPr="00BB7123" w:rsidRDefault="00BB7123" w:rsidP="00BB7123">
      <w:pPr>
        <w:spacing w:line="276" w:lineRule="auto"/>
        <w:ind w:left="720"/>
        <w:jc w:val="both"/>
        <w:rPr>
          <w:rFonts w:ascii="Arial" w:hAnsi="Arial" w:cs="Arial"/>
          <w:spacing w:val="10"/>
          <w:sz w:val="36"/>
          <w:szCs w:val="36"/>
          <w:vertAlign w:val="superscript"/>
          <w:rtl/>
        </w:rPr>
      </w:pPr>
      <w:r w:rsidRPr="00BB7123">
        <w:rPr>
          <w:rFonts w:ascii="Arial" w:hAnsi="Arial" w:cs="Arial"/>
          <w:spacing w:val="10"/>
          <w:sz w:val="36"/>
          <w:szCs w:val="36"/>
          <w:vertAlign w:val="superscript"/>
          <w:rtl/>
        </w:rPr>
        <w:t>אכן, בימים אלה בהם נעשה מאמץ עילאי להבטיח את שלומם של אזרחי המדינה כולם מפני אלה המבקשים לפגוע בהם, קיימת חשיבות בענישה מרתיעה שתביא למשיכת היד מעיסוק בכל פעילות שיש בה להקל או לסייע לפעילותם של ארגוני הטרור".</w:t>
      </w:r>
    </w:p>
    <w:p w14:paraId="568E15C9" w14:textId="77777777" w:rsidR="00BB7123" w:rsidRPr="00BB7123" w:rsidRDefault="00BB7123" w:rsidP="00BB7123">
      <w:pPr>
        <w:spacing w:line="276" w:lineRule="auto"/>
        <w:jc w:val="both"/>
        <w:rPr>
          <w:rFonts w:ascii="Arial" w:hAnsi="Arial" w:cs="Arial"/>
          <w:spacing w:val="10"/>
          <w:sz w:val="36"/>
          <w:szCs w:val="36"/>
          <w:vertAlign w:val="superscript"/>
          <w:rtl/>
        </w:rPr>
      </w:pPr>
      <w:r w:rsidRPr="00BB7123">
        <w:rPr>
          <w:rFonts w:ascii="Arial" w:hAnsi="Arial" w:cs="Arial"/>
          <w:spacing w:val="10"/>
          <w:sz w:val="36"/>
          <w:szCs w:val="36"/>
          <w:vertAlign w:val="superscript"/>
          <w:rtl/>
        </w:rPr>
        <w:t xml:space="preserve"> </w:t>
      </w:r>
    </w:p>
    <w:p w14:paraId="23E6B2A9" w14:textId="77777777" w:rsidR="00BB7123" w:rsidRPr="00BB7123" w:rsidRDefault="00BB7123" w:rsidP="00BB7123">
      <w:pPr>
        <w:spacing w:line="276" w:lineRule="auto"/>
        <w:jc w:val="both"/>
        <w:rPr>
          <w:rFonts w:ascii="Arial" w:hAnsi="Arial" w:cs="Arial"/>
          <w:b/>
          <w:bCs/>
          <w:spacing w:val="10"/>
          <w:sz w:val="36"/>
          <w:szCs w:val="36"/>
          <w:u w:val="single"/>
          <w:vertAlign w:val="superscript"/>
          <w:rtl/>
        </w:rPr>
      </w:pPr>
      <w:r w:rsidRPr="00BB7123">
        <w:rPr>
          <w:rFonts w:ascii="Arial" w:hAnsi="Arial" w:cs="Arial"/>
          <w:b/>
          <w:bCs/>
          <w:spacing w:val="10"/>
          <w:sz w:val="36"/>
          <w:szCs w:val="36"/>
          <w:u w:val="single"/>
          <w:vertAlign w:val="superscript"/>
          <w:rtl/>
        </w:rPr>
        <w:t>מתחם הענישה:</w:t>
      </w:r>
    </w:p>
    <w:p w14:paraId="6460D3C9"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 xml:space="preserve"> ב"כ הצדדים הגישו פסיקה לתמיכה בעמדתן העונשית:</w:t>
      </w:r>
    </w:p>
    <w:p w14:paraId="71A9B06A" w14:textId="77777777" w:rsidR="00BB7123" w:rsidRPr="00BB7123" w:rsidRDefault="00BB7123" w:rsidP="00BB7123">
      <w:pPr>
        <w:pStyle w:val="Ruller40"/>
        <w:spacing w:line="276" w:lineRule="auto"/>
        <w:rPr>
          <w:rFonts w:ascii="Arial" w:hAnsi="Arial" w:cs="Arial"/>
          <w:sz w:val="36"/>
          <w:szCs w:val="36"/>
          <w:vertAlign w:val="superscript"/>
          <w:rtl/>
        </w:rPr>
      </w:pPr>
    </w:p>
    <w:p w14:paraId="15E1D004" w14:textId="77777777" w:rsidR="00BB7123" w:rsidRPr="00BB7123" w:rsidRDefault="00AF5665" w:rsidP="00BB7123">
      <w:pPr>
        <w:pStyle w:val="Ruller40"/>
        <w:spacing w:line="276" w:lineRule="auto"/>
        <w:rPr>
          <w:rFonts w:ascii="Arial" w:hAnsi="Arial" w:cs="Arial"/>
          <w:sz w:val="36"/>
          <w:szCs w:val="36"/>
          <w:vertAlign w:val="superscript"/>
          <w:rtl/>
        </w:rPr>
      </w:pPr>
      <w:hyperlink r:id="rId37" w:history="1">
        <w:r w:rsidRPr="00AF5665">
          <w:rPr>
            <w:rFonts w:ascii="Arial" w:hAnsi="Arial" w:cs="Arial"/>
            <w:color w:val="0000FF"/>
            <w:sz w:val="36"/>
            <w:szCs w:val="36"/>
            <w:u w:val="single"/>
            <w:vertAlign w:val="superscript"/>
            <w:rtl/>
          </w:rPr>
          <w:t>ע"פ 401/16</w:t>
        </w:r>
      </w:hyperlink>
      <w:r w:rsidR="00BB7123" w:rsidRPr="00BB7123">
        <w:rPr>
          <w:rFonts w:ascii="Arial" w:hAnsi="Arial" w:cs="Arial"/>
          <w:sz w:val="36"/>
          <w:szCs w:val="36"/>
          <w:vertAlign w:val="superscript"/>
          <w:rtl/>
        </w:rPr>
        <w:t xml:space="preserve"> וערעור שכנגד </w:t>
      </w:r>
      <w:r w:rsidR="00BB7123" w:rsidRPr="00BB7123">
        <w:rPr>
          <w:rFonts w:ascii="Arial" w:hAnsi="Arial" w:cs="Arial"/>
          <w:b/>
          <w:bCs/>
          <w:sz w:val="36"/>
          <w:szCs w:val="36"/>
          <w:vertAlign w:val="superscript"/>
          <w:rtl/>
        </w:rPr>
        <w:t>מדינת ישראל נ' יצחק גבאי</w:t>
      </w:r>
      <w:r w:rsidR="00BB7123" w:rsidRPr="00BB7123">
        <w:rPr>
          <w:rFonts w:ascii="Arial" w:hAnsi="Arial" w:cs="Arial"/>
          <w:sz w:val="36"/>
          <w:szCs w:val="36"/>
          <w:vertAlign w:val="superscript"/>
          <w:rtl/>
        </w:rPr>
        <w:t xml:space="preserve"> נפסק על ידי בית המשפט המחוזי מתחם ענישה לעבירת ההסתה הנע בין 6 ל – 18 חודשי מאסר בפועל. בית המשפט העליון לא התערב במתחם הענישה.</w:t>
      </w:r>
    </w:p>
    <w:p w14:paraId="12F5E686" w14:textId="77777777" w:rsidR="00BB7123" w:rsidRPr="00BB7123" w:rsidRDefault="00BB7123" w:rsidP="00BB7123">
      <w:pPr>
        <w:pStyle w:val="Ruller40"/>
        <w:spacing w:line="276" w:lineRule="auto"/>
        <w:rPr>
          <w:rFonts w:ascii="Arial" w:hAnsi="Arial" w:cs="Arial"/>
          <w:sz w:val="36"/>
          <w:szCs w:val="36"/>
          <w:vertAlign w:val="superscript"/>
          <w:rtl/>
        </w:rPr>
      </w:pPr>
    </w:p>
    <w:p w14:paraId="7E995793"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ב</w:t>
      </w:r>
      <w:hyperlink r:id="rId38" w:history="1">
        <w:r w:rsidR="00AF5665" w:rsidRPr="00AF5665">
          <w:rPr>
            <w:rFonts w:ascii="Arial" w:hAnsi="Arial" w:cs="Arial"/>
            <w:color w:val="0000FF"/>
            <w:sz w:val="36"/>
            <w:szCs w:val="36"/>
            <w:u w:val="single"/>
            <w:vertAlign w:val="superscript"/>
            <w:rtl/>
          </w:rPr>
          <w:t>ת.פ. 17491-10-17</w:t>
        </w:r>
      </w:hyperlink>
      <w:r w:rsidRPr="00BB7123">
        <w:rPr>
          <w:rFonts w:ascii="Arial" w:hAnsi="Arial" w:cs="Arial"/>
          <w:sz w:val="36"/>
          <w:szCs w:val="36"/>
          <w:vertAlign w:val="superscript"/>
          <w:rtl/>
        </w:rPr>
        <w:t xml:space="preserve"> (</w:t>
      </w:r>
      <w:r w:rsidRPr="00BB7123">
        <w:rPr>
          <w:rFonts w:ascii="Arial" w:hAnsi="Arial" w:cs="Arial" w:hint="cs"/>
          <w:sz w:val="36"/>
          <w:szCs w:val="36"/>
          <w:vertAlign w:val="superscript"/>
          <w:rtl/>
        </w:rPr>
        <w:t>שלום</w:t>
      </w:r>
      <w:r w:rsidRPr="00BB7123">
        <w:rPr>
          <w:rFonts w:ascii="Arial" w:hAnsi="Arial" w:cs="Arial"/>
          <w:sz w:val="36"/>
          <w:szCs w:val="36"/>
          <w:vertAlign w:val="superscript"/>
          <w:rtl/>
        </w:rPr>
        <w:t xml:space="preserve"> חיפה) </w:t>
      </w:r>
      <w:r w:rsidRPr="00BB7123">
        <w:rPr>
          <w:rFonts w:ascii="Arial" w:hAnsi="Arial" w:cs="Arial" w:hint="cs"/>
          <w:b/>
          <w:bCs/>
          <w:sz w:val="36"/>
          <w:szCs w:val="36"/>
          <w:vertAlign w:val="superscript"/>
          <w:rtl/>
        </w:rPr>
        <w:t xml:space="preserve">מדינת ישראל נ' חלף </w:t>
      </w:r>
      <w:r w:rsidRPr="00BB7123">
        <w:rPr>
          <w:rFonts w:ascii="Arial" w:hAnsi="Arial" w:cs="Arial"/>
          <w:sz w:val="36"/>
          <w:szCs w:val="36"/>
          <w:vertAlign w:val="superscript"/>
          <w:rtl/>
        </w:rPr>
        <w:t>נקבע מתחם של 7 – 18 חודשי מאסר לעבירת ההסתה.</w:t>
      </w:r>
    </w:p>
    <w:p w14:paraId="5BC1ABBF" w14:textId="77777777" w:rsidR="00BB7123" w:rsidRPr="00BB7123" w:rsidRDefault="00BB7123" w:rsidP="00BB7123">
      <w:pPr>
        <w:pStyle w:val="Ruller40"/>
        <w:spacing w:line="276" w:lineRule="auto"/>
        <w:rPr>
          <w:rFonts w:ascii="Arial" w:hAnsi="Arial" w:cs="Arial"/>
          <w:sz w:val="36"/>
          <w:szCs w:val="36"/>
          <w:vertAlign w:val="superscript"/>
          <w:rtl/>
        </w:rPr>
      </w:pPr>
    </w:p>
    <w:p w14:paraId="2FE69647"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ב</w:t>
      </w:r>
      <w:hyperlink r:id="rId39" w:history="1">
        <w:r w:rsidR="00AF5665" w:rsidRPr="00AF5665">
          <w:rPr>
            <w:rFonts w:ascii="Arial" w:hAnsi="Arial" w:cs="Arial"/>
            <w:color w:val="0000FF"/>
            <w:sz w:val="36"/>
            <w:szCs w:val="36"/>
            <w:u w:val="single"/>
            <w:vertAlign w:val="superscript"/>
            <w:rtl/>
          </w:rPr>
          <w:t>ת.פ. 65043-07-17</w:t>
        </w:r>
      </w:hyperlink>
      <w:r w:rsidRPr="00BB7123">
        <w:rPr>
          <w:rFonts w:ascii="Arial" w:hAnsi="Arial" w:cs="Arial"/>
          <w:sz w:val="36"/>
          <w:szCs w:val="36"/>
          <w:vertAlign w:val="superscript"/>
          <w:rtl/>
        </w:rPr>
        <w:t xml:space="preserve"> (שלום ירושלים) </w:t>
      </w:r>
      <w:r w:rsidRPr="00BB7123">
        <w:rPr>
          <w:rFonts w:ascii="Arial" w:hAnsi="Arial" w:cs="Arial"/>
          <w:b/>
          <w:bCs/>
          <w:sz w:val="36"/>
          <w:szCs w:val="36"/>
          <w:vertAlign w:val="superscript"/>
          <w:rtl/>
        </w:rPr>
        <w:t>מדינת ישראל נ' או גומעה</w:t>
      </w:r>
      <w:r w:rsidRPr="00BB7123">
        <w:rPr>
          <w:rFonts w:ascii="Arial" w:hAnsi="Arial" w:cs="Arial"/>
          <w:sz w:val="36"/>
          <w:szCs w:val="36"/>
          <w:vertAlign w:val="superscript"/>
          <w:rtl/>
        </w:rPr>
        <w:t xml:space="preserve"> נקבע מתחם ענישה הנע בין 6 ל – 18 חודשי מאסר לעבירת ההסתה לטרור וכך גם ב</w:t>
      </w:r>
      <w:hyperlink r:id="rId40" w:history="1">
        <w:r w:rsidR="00AF5665" w:rsidRPr="00AF5665">
          <w:rPr>
            <w:rFonts w:ascii="Arial" w:hAnsi="Arial" w:cs="Arial"/>
            <w:color w:val="0000FF"/>
            <w:sz w:val="36"/>
            <w:szCs w:val="36"/>
            <w:u w:val="single"/>
            <w:vertAlign w:val="superscript"/>
            <w:rtl/>
          </w:rPr>
          <w:t>ת.פ. 44836-12-14</w:t>
        </w:r>
      </w:hyperlink>
      <w:r w:rsidRPr="00BB7123">
        <w:rPr>
          <w:rFonts w:ascii="Arial" w:hAnsi="Arial" w:cs="Arial"/>
          <w:sz w:val="36"/>
          <w:szCs w:val="36"/>
          <w:vertAlign w:val="superscript"/>
          <w:rtl/>
        </w:rPr>
        <w:t xml:space="preserve"> (שלום ירושלים) </w:t>
      </w:r>
      <w:r w:rsidRPr="00BB7123">
        <w:rPr>
          <w:rFonts w:ascii="Arial" w:hAnsi="Arial" w:cs="Arial"/>
          <w:b/>
          <w:bCs/>
          <w:sz w:val="36"/>
          <w:szCs w:val="36"/>
          <w:vertAlign w:val="superscript"/>
          <w:rtl/>
        </w:rPr>
        <w:t>מדינת ישראל נ' הדמי</w:t>
      </w:r>
      <w:r w:rsidRPr="00BB7123">
        <w:rPr>
          <w:rFonts w:ascii="Arial" w:hAnsi="Arial" w:cs="Arial"/>
          <w:sz w:val="36"/>
          <w:szCs w:val="36"/>
          <w:vertAlign w:val="superscript"/>
          <w:rtl/>
        </w:rPr>
        <w:t>.</w:t>
      </w:r>
    </w:p>
    <w:p w14:paraId="3C1FFE1B" w14:textId="77777777" w:rsidR="00BB7123" w:rsidRPr="00BB7123" w:rsidRDefault="00BB7123" w:rsidP="00BB7123">
      <w:pPr>
        <w:pStyle w:val="Ruller40"/>
        <w:spacing w:line="276" w:lineRule="auto"/>
        <w:rPr>
          <w:rFonts w:ascii="Arial" w:hAnsi="Arial" w:cs="Arial"/>
          <w:sz w:val="36"/>
          <w:szCs w:val="36"/>
          <w:vertAlign w:val="superscript"/>
          <w:rtl/>
        </w:rPr>
      </w:pPr>
    </w:p>
    <w:p w14:paraId="32642342"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ב</w:t>
      </w:r>
      <w:hyperlink r:id="rId41" w:history="1">
        <w:r w:rsidR="00AF5665" w:rsidRPr="00AF5665">
          <w:rPr>
            <w:rFonts w:ascii="Arial" w:hAnsi="Arial" w:cs="Arial"/>
            <w:color w:val="0000FF"/>
            <w:sz w:val="36"/>
            <w:szCs w:val="36"/>
            <w:u w:val="single"/>
            <w:vertAlign w:val="superscript"/>
            <w:rtl/>
          </w:rPr>
          <w:t>ע"פ 2834/18</w:t>
        </w:r>
      </w:hyperlink>
      <w:r w:rsidRPr="00BB7123">
        <w:rPr>
          <w:rFonts w:ascii="Arial" w:hAnsi="Arial" w:cs="Arial"/>
          <w:sz w:val="36"/>
          <w:szCs w:val="36"/>
          <w:vertAlign w:val="superscript"/>
          <w:rtl/>
        </w:rPr>
        <w:t xml:space="preserve"> </w:t>
      </w:r>
      <w:r w:rsidRPr="00BB7123">
        <w:rPr>
          <w:rFonts w:ascii="Arial" w:hAnsi="Arial" w:cs="Arial"/>
          <w:b/>
          <w:bCs/>
          <w:sz w:val="36"/>
          <w:szCs w:val="36"/>
          <w:vertAlign w:val="superscript"/>
          <w:rtl/>
        </w:rPr>
        <w:t>ג'אבר נ' מדינת ישראל</w:t>
      </w:r>
      <w:r w:rsidRPr="00BB7123">
        <w:rPr>
          <w:rFonts w:ascii="Arial" w:hAnsi="Arial" w:cs="Arial"/>
          <w:sz w:val="36"/>
          <w:szCs w:val="36"/>
          <w:vertAlign w:val="superscript"/>
          <w:rtl/>
        </w:rPr>
        <w:t xml:space="preserve"> נקבע על ידי בית המשפט המחוזי מתחם ענישה</w:t>
      </w:r>
      <w:r w:rsidRPr="00BB7123">
        <w:rPr>
          <w:rFonts w:ascii="Arial" w:hAnsi="Arial" w:cs="Arial" w:hint="cs"/>
          <w:sz w:val="36"/>
          <w:szCs w:val="36"/>
          <w:vertAlign w:val="superscript"/>
          <w:rtl/>
        </w:rPr>
        <w:t xml:space="preserve"> הנע בין</w:t>
      </w:r>
      <w:r w:rsidRPr="00BB7123">
        <w:rPr>
          <w:rFonts w:ascii="Arial" w:hAnsi="Arial" w:cs="Arial"/>
          <w:sz w:val="36"/>
          <w:szCs w:val="36"/>
          <w:vertAlign w:val="superscript"/>
          <w:rtl/>
        </w:rPr>
        <w:t xml:space="preserve"> 20 חודשי מאסר עד ארבע שנים לעבירות של סחר בנשק ולעבירות התיווך שלא הגיעו לכדי סחר נקבע מתחם ענישה הנע בין 15 חודשי מאסר לשלוש שנות מאסר. בית המשפט העליון קבע כי מתחמי הענישה שקבע בית המשפט המחוזי אינם חורגים ממדיניות הענישה הנוהגת ו</w:t>
      </w:r>
      <w:r w:rsidRPr="00BB7123">
        <w:rPr>
          <w:rFonts w:ascii="Arial" w:hAnsi="Arial" w:cs="Arial" w:hint="cs"/>
          <w:sz w:val="36"/>
          <w:szCs w:val="36"/>
          <w:vertAlign w:val="superscript"/>
          <w:rtl/>
        </w:rPr>
        <w:t xml:space="preserve">ציין </w:t>
      </w:r>
      <w:r w:rsidRPr="00BB7123">
        <w:rPr>
          <w:rFonts w:ascii="Arial" w:hAnsi="Arial" w:cs="Arial"/>
          <w:sz w:val="36"/>
          <w:szCs w:val="36"/>
          <w:vertAlign w:val="superscript"/>
          <w:rtl/>
        </w:rPr>
        <w:t>את המגמה בפסיקה לגדוע את התופעה המסוכנת של סחר בלתי חוקי בנשק.</w:t>
      </w:r>
    </w:p>
    <w:p w14:paraId="46A95F76" w14:textId="77777777" w:rsidR="00BB7123" w:rsidRPr="00BB7123" w:rsidRDefault="00BB7123" w:rsidP="00BB7123">
      <w:pPr>
        <w:pStyle w:val="Ruller40"/>
        <w:spacing w:line="276" w:lineRule="auto"/>
        <w:rPr>
          <w:rFonts w:ascii="Arial" w:hAnsi="Arial" w:cs="Arial"/>
          <w:sz w:val="36"/>
          <w:szCs w:val="36"/>
          <w:vertAlign w:val="superscript"/>
          <w:rtl/>
        </w:rPr>
      </w:pPr>
    </w:p>
    <w:p w14:paraId="6AC00C74"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ב</w:t>
      </w:r>
      <w:hyperlink r:id="rId42" w:history="1">
        <w:r w:rsidR="00AF5665" w:rsidRPr="00AF5665">
          <w:rPr>
            <w:rFonts w:ascii="Arial" w:hAnsi="Arial" w:cs="Arial"/>
            <w:color w:val="0000FF"/>
            <w:sz w:val="36"/>
            <w:szCs w:val="36"/>
            <w:u w:val="single"/>
            <w:vertAlign w:val="superscript"/>
            <w:rtl/>
          </w:rPr>
          <w:t>ע"פ 2293/19</w:t>
        </w:r>
      </w:hyperlink>
      <w:r w:rsidRPr="00BB7123">
        <w:rPr>
          <w:rFonts w:ascii="Arial" w:hAnsi="Arial" w:cs="Arial"/>
          <w:sz w:val="36"/>
          <w:szCs w:val="36"/>
          <w:vertAlign w:val="superscript"/>
          <w:rtl/>
        </w:rPr>
        <w:t xml:space="preserve"> ו</w:t>
      </w:r>
      <w:hyperlink r:id="rId43" w:history="1">
        <w:r w:rsidR="00AF5665" w:rsidRPr="00AF5665">
          <w:rPr>
            <w:rFonts w:ascii="Arial" w:hAnsi="Arial" w:cs="Arial"/>
            <w:color w:val="0000FF"/>
            <w:sz w:val="36"/>
            <w:szCs w:val="36"/>
            <w:u w:val="single"/>
            <w:vertAlign w:val="superscript"/>
            <w:rtl/>
          </w:rPr>
          <w:t>ע"פ 2318/19</w:t>
        </w:r>
      </w:hyperlink>
      <w:r w:rsidRPr="00BB7123">
        <w:rPr>
          <w:rFonts w:ascii="Arial" w:hAnsi="Arial" w:cs="Arial"/>
          <w:sz w:val="36"/>
          <w:szCs w:val="36"/>
          <w:vertAlign w:val="superscript"/>
          <w:rtl/>
        </w:rPr>
        <w:t xml:space="preserve"> </w:t>
      </w:r>
      <w:r w:rsidRPr="00BB7123">
        <w:rPr>
          <w:rFonts w:ascii="Arial" w:hAnsi="Arial" w:cs="Arial"/>
          <w:b/>
          <w:bCs/>
          <w:sz w:val="36"/>
          <w:szCs w:val="36"/>
          <w:vertAlign w:val="superscript"/>
          <w:rtl/>
        </w:rPr>
        <w:t>גווליס ואח' נ' מדינת ישראל</w:t>
      </w:r>
      <w:r w:rsidRPr="00BB7123">
        <w:rPr>
          <w:rFonts w:ascii="Arial" w:hAnsi="Arial" w:cs="Arial"/>
          <w:sz w:val="36"/>
          <w:szCs w:val="36"/>
          <w:vertAlign w:val="superscript"/>
          <w:rtl/>
        </w:rPr>
        <w:t xml:space="preserve"> נקבעו על ידי בית המשפט המחוזי מתחמי הענישה הבאים: לעבירות של סחר בנשק וניסיון קשירת קשר – 30 – 60 חודשי מאסר; לעבירות של סחר בנשק, נשיאה והובלה וקשירת קשר מתחם הנע בין 3 ל – 6 שנות מאסר ובעבירה של סיוע לניסיון סחר בנשק, נשיאה והובלה מתחם הנע בין שנתיים לארבע שנות מאסר. בית המשפט העליון דחה את הערעורים ולא התערב במתחמי הענישה.</w:t>
      </w:r>
    </w:p>
    <w:p w14:paraId="64AAAF21" w14:textId="77777777" w:rsidR="00BB7123" w:rsidRPr="00BB7123" w:rsidRDefault="00BB7123" w:rsidP="00BB7123">
      <w:pPr>
        <w:pStyle w:val="Ruller40"/>
        <w:spacing w:line="276" w:lineRule="auto"/>
        <w:rPr>
          <w:rFonts w:ascii="Arial" w:hAnsi="Arial" w:cs="Arial"/>
          <w:sz w:val="36"/>
          <w:szCs w:val="36"/>
          <w:vertAlign w:val="superscript"/>
          <w:rtl/>
        </w:rPr>
      </w:pPr>
    </w:p>
    <w:p w14:paraId="030D81E6" w14:textId="77777777" w:rsidR="00BB7123" w:rsidRPr="00BB7123" w:rsidRDefault="00AF5665" w:rsidP="00BB7123">
      <w:pPr>
        <w:pStyle w:val="Ruller40"/>
        <w:spacing w:line="276" w:lineRule="auto"/>
        <w:rPr>
          <w:rFonts w:ascii="Arial" w:hAnsi="Arial" w:cs="Arial"/>
          <w:sz w:val="36"/>
          <w:szCs w:val="36"/>
          <w:vertAlign w:val="superscript"/>
          <w:rtl/>
        </w:rPr>
      </w:pPr>
      <w:hyperlink r:id="rId44" w:history="1">
        <w:r w:rsidRPr="00AF5665">
          <w:rPr>
            <w:rFonts w:ascii="Arial" w:hAnsi="Arial" w:cs="Arial"/>
            <w:color w:val="0000FF"/>
            <w:sz w:val="36"/>
            <w:szCs w:val="36"/>
            <w:u w:val="single"/>
            <w:vertAlign w:val="superscript"/>
            <w:rtl/>
          </w:rPr>
          <w:t>ת.פ. 54150-10-13</w:t>
        </w:r>
      </w:hyperlink>
      <w:r w:rsidR="00BB7123" w:rsidRPr="00BB7123">
        <w:rPr>
          <w:rFonts w:ascii="Arial" w:hAnsi="Arial" w:cs="Arial"/>
          <w:sz w:val="36"/>
          <w:szCs w:val="36"/>
          <w:vertAlign w:val="superscript"/>
          <w:rtl/>
        </w:rPr>
        <w:t xml:space="preserve">(מחוזי מרכז) </w:t>
      </w:r>
      <w:r w:rsidR="00BB7123" w:rsidRPr="00BB7123">
        <w:rPr>
          <w:rFonts w:ascii="Arial" w:hAnsi="Arial" w:cs="Arial"/>
          <w:b/>
          <w:bCs/>
          <w:sz w:val="36"/>
          <w:szCs w:val="36"/>
          <w:vertAlign w:val="superscript"/>
          <w:rtl/>
        </w:rPr>
        <w:t>מדינת ישראל נ' עיסא ואח'</w:t>
      </w:r>
      <w:r w:rsidR="00BB7123" w:rsidRPr="00BB7123">
        <w:rPr>
          <w:rFonts w:ascii="Arial" w:hAnsi="Arial" w:cs="Arial"/>
          <w:sz w:val="36"/>
          <w:szCs w:val="36"/>
          <w:vertAlign w:val="superscript"/>
          <w:rtl/>
        </w:rPr>
        <w:t xml:space="preserve"> נקבע מתחם ענישה לאירוע אחד של קשירת קשר וסחר בנ</w:t>
      </w:r>
      <w:r w:rsidR="00BB7123" w:rsidRPr="00BB7123">
        <w:rPr>
          <w:rFonts w:ascii="Arial" w:hAnsi="Arial" w:cs="Arial" w:hint="cs"/>
          <w:sz w:val="36"/>
          <w:szCs w:val="36"/>
          <w:vertAlign w:val="superscript"/>
          <w:rtl/>
        </w:rPr>
        <w:t>ש</w:t>
      </w:r>
      <w:r w:rsidR="00BB7123" w:rsidRPr="00BB7123">
        <w:rPr>
          <w:rFonts w:ascii="Arial" w:hAnsi="Arial" w:cs="Arial"/>
          <w:sz w:val="36"/>
          <w:szCs w:val="36"/>
          <w:vertAlign w:val="superscript"/>
          <w:rtl/>
        </w:rPr>
        <w:t>ק או עסקה בנשק הנע בין 20 ל- 30 חודשי מאסר.</w:t>
      </w:r>
    </w:p>
    <w:p w14:paraId="383D002A" w14:textId="77777777" w:rsidR="00BB7123" w:rsidRPr="00BB7123" w:rsidRDefault="00BB7123" w:rsidP="00BB7123">
      <w:pPr>
        <w:pStyle w:val="Ruller40"/>
        <w:spacing w:line="276" w:lineRule="auto"/>
        <w:rPr>
          <w:rFonts w:ascii="Arial" w:hAnsi="Arial" w:cs="Arial"/>
          <w:sz w:val="36"/>
          <w:szCs w:val="36"/>
          <w:vertAlign w:val="superscript"/>
          <w:rtl/>
        </w:rPr>
      </w:pPr>
    </w:p>
    <w:p w14:paraId="173C1A2A" w14:textId="77777777" w:rsidR="00BB7123" w:rsidRPr="00BB7123" w:rsidRDefault="00AF5665" w:rsidP="00BB7123">
      <w:pPr>
        <w:pStyle w:val="Ruller40"/>
        <w:spacing w:line="276" w:lineRule="auto"/>
        <w:rPr>
          <w:rFonts w:ascii="Arial" w:hAnsi="Arial" w:cs="Arial"/>
          <w:sz w:val="36"/>
          <w:szCs w:val="36"/>
          <w:vertAlign w:val="superscript"/>
          <w:rtl/>
        </w:rPr>
      </w:pPr>
      <w:hyperlink r:id="rId45" w:history="1">
        <w:r w:rsidRPr="00AF5665">
          <w:rPr>
            <w:rFonts w:ascii="Arial" w:hAnsi="Arial" w:cs="Arial"/>
            <w:color w:val="0000FF"/>
            <w:sz w:val="36"/>
            <w:szCs w:val="36"/>
            <w:u w:val="single"/>
            <w:vertAlign w:val="superscript"/>
            <w:rtl/>
          </w:rPr>
          <w:t>ת.פ. 39945-01-13</w:t>
        </w:r>
      </w:hyperlink>
      <w:r w:rsidR="00BB7123" w:rsidRPr="00BB7123">
        <w:rPr>
          <w:rFonts w:ascii="Arial" w:hAnsi="Arial" w:cs="Arial"/>
          <w:sz w:val="36"/>
          <w:szCs w:val="36"/>
          <w:vertAlign w:val="superscript"/>
          <w:rtl/>
        </w:rPr>
        <w:t xml:space="preserve"> (מחוזי ב"ש) </w:t>
      </w:r>
      <w:r w:rsidR="00BB7123" w:rsidRPr="00BB7123">
        <w:rPr>
          <w:rFonts w:ascii="Arial" w:hAnsi="Arial" w:cs="Arial"/>
          <w:b/>
          <w:bCs/>
          <w:sz w:val="36"/>
          <w:szCs w:val="36"/>
          <w:vertAlign w:val="superscript"/>
          <w:rtl/>
        </w:rPr>
        <w:t>מדינת ישראל נ' אבו הרביד</w:t>
      </w:r>
      <w:r w:rsidR="00BB7123" w:rsidRPr="00BB7123">
        <w:rPr>
          <w:rFonts w:ascii="Arial" w:hAnsi="Arial" w:cs="Arial"/>
          <w:sz w:val="36"/>
          <w:szCs w:val="36"/>
          <w:vertAlign w:val="superscript"/>
          <w:rtl/>
        </w:rPr>
        <w:t xml:space="preserve"> נקבע מתחם ענישה הנע בין 8 ל – 32 חודשי מאסר על עבירה של מגע עם סוכן חוץ וניסיון לקשירת קשר לביצוע פשע.</w:t>
      </w:r>
    </w:p>
    <w:p w14:paraId="77C46BA3" w14:textId="77777777" w:rsidR="00BB7123" w:rsidRPr="00BB7123" w:rsidRDefault="00BB7123" w:rsidP="00BB7123">
      <w:pPr>
        <w:pStyle w:val="Ruller40"/>
        <w:spacing w:line="276" w:lineRule="auto"/>
        <w:rPr>
          <w:rFonts w:ascii="Arial" w:hAnsi="Arial" w:cs="Arial"/>
          <w:sz w:val="36"/>
          <w:szCs w:val="36"/>
          <w:vertAlign w:val="superscript"/>
          <w:rtl/>
        </w:rPr>
      </w:pPr>
    </w:p>
    <w:p w14:paraId="456236C3" w14:textId="77777777" w:rsidR="00BB7123" w:rsidRPr="00BB7123" w:rsidRDefault="00AF5665" w:rsidP="00BB7123">
      <w:pPr>
        <w:pStyle w:val="Ruller40"/>
        <w:spacing w:line="276" w:lineRule="auto"/>
        <w:rPr>
          <w:rFonts w:ascii="Arial" w:hAnsi="Arial" w:cs="Arial"/>
          <w:sz w:val="36"/>
          <w:szCs w:val="36"/>
          <w:vertAlign w:val="superscript"/>
          <w:rtl/>
        </w:rPr>
      </w:pPr>
      <w:hyperlink r:id="rId46" w:history="1">
        <w:r w:rsidRPr="00AF5665">
          <w:rPr>
            <w:rFonts w:ascii="Arial" w:hAnsi="Arial" w:cs="Arial"/>
            <w:color w:val="0000FF"/>
            <w:sz w:val="36"/>
            <w:szCs w:val="36"/>
            <w:u w:val="single"/>
            <w:vertAlign w:val="superscript"/>
            <w:rtl/>
          </w:rPr>
          <w:t>ת.פ. 33235-09-15</w:t>
        </w:r>
      </w:hyperlink>
      <w:r w:rsidR="00BB7123" w:rsidRPr="00BB7123">
        <w:rPr>
          <w:rFonts w:ascii="Arial" w:hAnsi="Arial" w:cs="Arial"/>
          <w:sz w:val="36"/>
          <w:szCs w:val="36"/>
          <w:vertAlign w:val="superscript"/>
          <w:rtl/>
        </w:rPr>
        <w:t xml:space="preserve"> (מחוזי חיפה) </w:t>
      </w:r>
      <w:r w:rsidR="00BB7123" w:rsidRPr="00BB7123">
        <w:rPr>
          <w:rFonts w:ascii="Arial" w:hAnsi="Arial" w:cs="Arial"/>
          <w:b/>
          <w:bCs/>
          <w:sz w:val="36"/>
          <w:szCs w:val="36"/>
          <w:vertAlign w:val="superscript"/>
          <w:rtl/>
        </w:rPr>
        <w:t>מדינת ישראל נ' כנג'ו</w:t>
      </w:r>
      <w:r w:rsidR="00BB7123" w:rsidRPr="00BB7123">
        <w:rPr>
          <w:rFonts w:ascii="Arial" w:hAnsi="Arial" w:cs="Arial"/>
          <w:sz w:val="36"/>
          <w:szCs w:val="36"/>
          <w:vertAlign w:val="superscript"/>
          <w:rtl/>
        </w:rPr>
        <w:t xml:space="preserve"> נקבע מתחם ענישה הנע בין 22 ל – 36 חודשי מאסר על עבירה של יצירת קשר עם סוכן </w:t>
      </w:r>
      <w:r w:rsidR="00BB7123" w:rsidRPr="00BB7123">
        <w:rPr>
          <w:rFonts w:ascii="Arial" w:hAnsi="Arial" w:cs="Arial" w:hint="cs"/>
          <w:sz w:val="36"/>
          <w:szCs w:val="36"/>
          <w:vertAlign w:val="superscript"/>
          <w:rtl/>
        </w:rPr>
        <w:t>חוץ</w:t>
      </w:r>
      <w:r w:rsidR="00BB7123" w:rsidRPr="00BB7123">
        <w:rPr>
          <w:rFonts w:ascii="Arial" w:hAnsi="Arial" w:cs="Arial"/>
          <w:sz w:val="36"/>
          <w:szCs w:val="36"/>
          <w:vertAlign w:val="superscript"/>
          <w:rtl/>
        </w:rPr>
        <w:t xml:space="preserve"> וניסיון יציאה מהארץ שלא כדין.</w:t>
      </w:r>
    </w:p>
    <w:p w14:paraId="63DBBC11" w14:textId="77777777" w:rsidR="00BB7123" w:rsidRPr="00BB7123" w:rsidRDefault="00BB7123" w:rsidP="00BB7123">
      <w:pPr>
        <w:pStyle w:val="Ruller40"/>
        <w:spacing w:line="276" w:lineRule="auto"/>
        <w:rPr>
          <w:rFonts w:ascii="Arial" w:hAnsi="Arial" w:cs="Arial"/>
          <w:sz w:val="36"/>
          <w:szCs w:val="36"/>
          <w:vertAlign w:val="superscript"/>
          <w:rtl/>
        </w:rPr>
      </w:pPr>
    </w:p>
    <w:p w14:paraId="7FCAC139"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ב</w:t>
      </w:r>
      <w:hyperlink r:id="rId47" w:history="1">
        <w:r w:rsidR="00AF5665" w:rsidRPr="00AF5665">
          <w:rPr>
            <w:rFonts w:ascii="Arial" w:hAnsi="Arial" w:cs="Arial"/>
            <w:color w:val="0000FF"/>
            <w:sz w:val="36"/>
            <w:szCs w:val="36"/>
            <w:u w:val="single"/>
            <w:vertAlign w:val="superscript"/>
            <w:rtl/>
          </w:rPr>
          <w:t>תפ"ח 43336-09-15</w:t>
        </w:r>
      </w:hyperlink>
      <w:r w:rsidRPr="00BB7123">
        <w:rPr>
          <w:rFonts w:ascii="Arial" w:hAnsi="Arial" w:cs="Arial"/>
          <w:sz w:val="36"/>
          <w:szCs w:val="36"/>
          <w:vertAlign w:val="superscript"/>
          <w:rtl/>
        </w:rPr>
        <w:t xml:space="preserve"> (מחוזי ב"ש) </w:t>
      </w:r>
      <w:r w:rsidRPr="00BB7123">
        <w:rPr>
          <w:rFonts w:ascii="Arial" w:hAnsi="Arial" w:cs="Arial" w:hint="cs"/>
          <w:b/>
          <w:bCs/>
          <w:sz w:val="36"/>
          <w:szCs w:val="36"/>
          <w:vertAlign w:val="superscript"/>
          <w:rtl/>
        </w:rPr>
        <w:t xml:space="preserve">מדינת ישראל נ' סמהדאן </w:t>
      </w:r>
      <w:r w:rsidRPr="00BB7123">
        <w:rPr>
          <w:rFonts w:ascii="Arial" w:hAnsi="Arial" w:cs="Arial"/>
          <w:sz w:val="36"/>
          <w:szCs w:val="36"/>
          <w:vertAlign w:val="superscript"/>
          <w:rtl/>
        </w:rPr>
        <w:t>נקבע מתחם ענישה הנע בין שנתיים לארבע שנות מאסר בגין עבירה  של מגע עם סוכן חוץ ויציאה מן הארץ שלא כדין.</w:t>
      </w:r>
    </w:p>
    <w:p w14:paraId="20639AE0" w14:textId="77777777" w:rsidR="00BB7123" w:rsidRPr="00BB7123" w:rsidRDefault="00BB7123" w:rsidP="00BB7123">
      <w:pPr>
        <w:pStyle w:val="Ruller40"/>
        <w:spacing w:line="276" w:lineRule="auto"/>
        <w:rPr>
          <w:rFonts w:ascii="Arial" w:hAnsi="Arial" w:cs="Arial"/>
          <w:sz w:val="36"/>
          <w:szCs w:val="36"/>
          <w:vertAlign w:val="superscript"/>
          <w:rtl/>
        </w:rPr>
      </w:pPr>
    </w:p>
    <w:p w14:paraId="28393DE5"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חלק מן הפסיקה שהוגשה על ידי ב"כ הנאשם עניינה הכרעות דין (</w:t>
      </w:r>
      <w:hyperlink r:id="rId48" w:history="1">
        <w:r w:rsidR="00AF5665" w:rsidRPr="00AF5665">
          <w:rPr>
            <w:rFonts w:ascii="Arial" w:hAnsi="Arial" w:cs="Arial"/>
            <w:color w:val="0000FF"/>
            <w:sz w:val="36"/>
            <w:szCs w:val="36"/>
            <w:u w:val="single"/>
            <w:vertAlign w:val="superscript"/>
            <w:rtl/>
          </w:rPr>
          <w:t>ת.פ. 17491-10-17</w:t>
        </w:r>
      </w:hyperlink>
      <w:r w:rsidRPr="00BB7123">
        <w:rPr>
          <w:rFonts w:ascii="Arial" w:hAnsi="Arial" w:cs="Arial"/>
          <w:sz w:val="36"/>
          <w:szCs w:val="36"/>
          <w:vertAlign w:val="superscript"/>
          <w:rtl/>
        </w:rPr>
        <w:t xml:space="preserve"> פרקליטות מחוז חיפה נ' חלף ו</w:t>
      </w:r>
      <w:hyperlink r:id="rId49" w:history="1">
        <w:r w:rsidR="00AF5665" w:rsidRPr="00AF5665">
          <w:rPr>
            <w:rFonts w:ascii="Arial" w:hAnsi="Arial" w:cs="Arial"/>
            <w:color w:val="0000FF"/>
            <w:sz w:val="36"/>
            <w:szCs w:val="36"/>
            <w:u w:val="single"/>
            <w:vertAlign w:val="superscript"/>
            <w:rtl/>
          </w:rPr>
          <w:t>ע"פ 6434/15</w:t>
        </w:r>
      </w:hyperlink>
      <w:r w:rsidRPr="00BB7123">
        <w:rPr>
          <w:rFonts w:ascii="Arial" w:hAnsi="Arial" w:cs="Arial"/>
          <w:sz w:val="36"/>
          <w:szCs w:val="36"/>
          <w:vertAlign w:val="superscript"/>
          <w:rtl/>
        </w:rPr>
        <w:t xml:space="preserve"> ו</w:t>
      </w:r>
      <w:hyperlink r:id="rId50" w:history="1">
        <w:r w:rsidR="00AF5665" w:rsidRPr="00AF5665">
          <w:rPr>
            <w:rFonts w:ascii="Arial" w:hAnsi="Arial" w:cs="Arial"/>
            <w:color w:val="0000FF"/>
            <w:sz w:val="36"/>
            <w:szCs w:val="36"/>
            <w:u w:val="single"/>
            <w:vertAlign w:val="superscript"/>
            <w:rtl/>
          </w:rPr>
          <w:t>ע"פ 838/16</w:t>
        </w:r>
      </w:hyperlink>
      <w:r w:rsidRPr="00BB7123">
        <w:rPr>
          <w:rFonts w:ascii="Arial" w:hAnsi="Arial" w:cs="Arial"/>
          <w:sz w:val="36"/>
          <w:szCs w:val="36"/>
          <w:vertAlign w:val="superscript"/>
          <w:rtl/>
        </w:rPr>
        <w:t xml:space="preserve"> מדינת ישראל נ' שביר ומשרהאוי נ' מדינת ישראל כמו גם </w:t>
      </w:r>
      <w:hyperlink r:id="rId51" w:history="1">
        <w:r w:rsidR="00AF5665" w:rsidRPr="00AF5665">
          <w:rPr>
            <w:rFonts w:ascii="Arial" w:hAnsi="Arial" w:cs="Arial"/>
            <w:color w:val="0000FF"/>
            <w:sz w:val="36"/>
            <w:szCs w:val="36"/>
            <w:u w:val="single"/>
            <w:vertAlign w:val="superscript"/>
            <w:rtl/>
          </w:rPr>
          <w:t>ע"פ 10680/04</w:t>
        </w:r>
      </w:hyperlink>
      <w:r w:rsidRPr="00BB7123">
        <w:rPr>
          <w:rFonts w:ascii="Arial" w:hAnsi="Arial" w:cs="Arial"/>
          <w:sz w:val="36"/>
          <w:szCs w:val="36"/>
          <w:vertAlign w:val="superscript"/>
          <w:rtl/>
        </w:rPr>
        <w:t xml:space="preserve"> מדינת ישראל נ' כנעאנה בו הוחמר עונשו של המערער אשר הורשע בעבירות של מגע עם סוכן חוץ).</w:t>
      </w:r>
    </w:p>
    <w:p w14:paraId="37084EB6" w14:textId="77777777" w:rsidR="00BB7123" w:rsidRPr="00BB7123" w:rsidRDefault="00BB7123" w:rsidP="00BB7123">
      <w:pPr>
        <w:pStyle w:val="Ruller40"/>
        <w:spacing w:line="276" w:lineRule="auto"/>
        <w:rPr>
          <w:rFonts w:ascii="Arial" w:hAnsi="Arial" w:cs="Arial"/>
          <w:sz w:val="36"/>
          <w:szCs w:val="36"/>
          <w:vertAlign w:val="superscript"/>
          <w:rtl/>
        </w:rPr>
      </w:pPr>
    </w:p>
    <w:p w14:paraId="54C071C2"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לאחר עיון בכלל פסקי הדין שהוגשו על ידי ב"כ הצדדים מצאתי כי מתחם הענישה אותו ביקשה ב"כ המאשימה לקבוע הולם את הפסיקה הנוהגת ולפיכך הנני קובעת כי מתחמי הענישה ביחס לכל אחת מן העבירות הם כדלקמן:</w:t>
      </w:r>
    </w:p>
    <w:p w14:paraId="75D910EA" w14:textId="77777777" w:rsidR="00BB7123" w:rsidRPr="00BB7123" w:rsidRDefault="00BB7123" w:rsidP="00BB7123">
      <w:pPr>
        <w:pStyle w:val="Ruller40"/>
        <w:spacing w:line="276" w:lineRule="auto"/>
        <w:rPr>
          <w:rFonts w:ascii="Arial" w:hAnsi="Arial" w:cs="Arial"/>
          <w:sz w:val="36"/>
          <w:szCs w:val="36"/>
          <w:vertAlign w:val="superscript"/>
          <w:rtl/>
        </w:rPr>
      </w:pPr>
    </w:p>
    <w:p w14:paraId="236AE15D"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לאישום הראשון שעניינו מגע עם סוכן חוץ ומתן שירות – 6 – 18 חודשי מאסר.</w:t>
      </w:r>
    </w:p>
    <w:p w14:paraId="5654661B"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לאישום השני שעניינו הסתה לאלימות או מעשה טרור – 6 – 18 חודשי מאסר.</w:t>
      </w:r>
    </w:p>
    <w:p w14:paraId="7EDDF1EC"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לאישומים השלישי והרביעי שעניינם סחר בנשק, עסקה אחרת בנשק וניסיון לסחר בנשק – 4 – 7 שנות מאסר וזאת לאור ריבוי העבירות וסוג הנשק - רובים.</w:t>
      </w:r>
    </w:p>
    <w:p w14:paraId="2396DBF4" w14:textId="77777777" w:rsidR="00BB7123" w:rsidRPr="00BB7123" w:rsidRDefault="00BB7123" w:rsidP="00BB7123">
      <w:pPr>
        <w:pStyle w:val="Ruller40"/>
        <w:spacing w:line="276" w:lineRule="auto"/>
        <w:rPr>
          <w:rFonts w:ascii="Arial" w:hAnsi="Arial" w:cs="Arial"/>
          <w:b/>
          <w:bCs/>
          <w:sz w:val="36"/>
          <w:szCs w:val="36"/>
          <w:u w:val="single"/>
          <w:vertAlign w:val="superscript"/>
          <w:rtl/>
        </w:rPr>
      </w:pPr>
    </w:p>
    <w:p w14:paraId="6D80E4CC" w14:textId="77777777" w:rsidR="00BB7123" w:rsidRPr="00BB7123" w:rsidRDefault="00BB7123" w:rsidP="00BB7123">
      <w:pPr>
        <w:pStyle w:val="Ruller40"/>
        <w:spacing w:line="276" w:lineRule="auto"/>
        <w:rPr>
          <w:rFonts w:ascii="Arial" w:hAnsi="Arial" w:cs="Arial"/>
          <w:b/>
          <w:bCs/>
          <w:sz w:val="36"/>
          <w:szCs w:val="36"/>
          <w:u w:val="single"/>
          <w:vertAlign w:val="superscript"/>
          <w:rtl/>
        </w:rPr>
      </w:pPr>
      <w:r w:rsidRPr="00BB7123">
        <w:rPr>
          <w:rFonts w:ascii="Arial" w:hAnsi="Arial" w:cs="Arial"/>
          <w:b/>
          <w:bCs/>
          <w:sz w:val="36"/>
          <w:szCs w:val="36"/>
          <w:u w:val="single"/>
          <w:vertAlign w:val="superscript"/>
          <w:rtl/>
        </w:rPr>
        <w:t>קביעת עונשו של הנאשם:</w:t>
      </w:r>
    </w:p>
    <w:p w14:paraId="04D6590E"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הנאשם, אזרח ישראלי המתגורר ברמלה, יצר קשר עם פעיל חמאס- מוראד רג'וב, בידיעה כי מדובר בפעיל חמאס ממשוחררי עסקת שליט, העביר לו פרטי אחר בסוברו שהדבר נדרש לצורך בחינת אפשרות גיוסו של  האחר לחמאס, הנאשם אמר כי הבין מדבריו של מוראד שמוראד רוצה שיפעל במסגרת החמאס מטעמו ויבצע פיגועים בישראל והוא הביע את הסכמתו לכך.</w:t>
      </w:r>
    </w:p>
    <w:p w14:paraId="2E2313C7" w14:textId="77777777" w:rsidR="00BB7123" w:rsidRPr="00BB7123" w:rsidRDefault="00BB7123" w:rsidP="00BB7123">
      <w:pPr>
        <w:spacing w:line="276" w:lineRule="auto"/>
        <w:jc w:val="both"/>
        <w:rPr>
          <w:rFonts w:ascii="Arial" w:hAnsi="Arial" w:cs="Arial"/>
          <w:sz w:val="36"/>
          <w:szCs w:val="36"/>
          <w:vertAlign w:val="superscript"/>
          <w:rtl/>
        </w:rPr>
      </w:pPr>
    </w:p>
    <w:p w14:paraId="12BA7AC9" w14:textId="77777777" w:rsidR="00BB7123" w:rsidRPr="00BB7123" w:rsidRDefault="00BB7123" w:rsidP="00BB7123">
      <w:pPr>
        <w:spacing w:line="276" w:lineRule="auto"/>
        <w:jc w:val="both"/>
        <w:rPr>
          <w:rFonts w:ascii="Arial" w:hAnsi="Arial" w:cs="Arial"/>
          <w:sz w:val="36"/>
          <w:szCs w:val="36"/>
          <w:vertAlign w:val="superscript"/>
          <w:rtl/>
        </w:rPr>
      </w:pPr>
      <w:r w:rsidRPr="00BB7123">
        <w:rPr>
          <w:rFonts w:ascii="Arial" w:hAnsi="Arial" w:cs="Arial"/>
          <w:sz w:val="36"/>
          <w:szCs w:val="36"/>
          <w:vertAlign w:val="superscript"/>
          <w:rtl/>
        </w:rPr>
        <w:t xml:space="preserve">הנאשם כתב למוראד ש"בעזרת השם ה' ייתן לך אורך שנים ואראה את היהודים כמו כלבים נשרפים" וכן: "בה' אתה צודק. חייב אדם לעשות משהו לאנשים ולמולדת" . בהודעתו במשטרה אמר הנאשם כי הוא, על דעת עצמו, הציע לחבר אחר, איאד להתגייס לחמאס באמצעות מוראד. </w:t>
      </w:r>
    </w:p>
    <w:p w14:paraId="17051B0F" w14:textId="77777777" w:rsidR="00BB7123" w:rsidRPr="00BB7123" w:rsidRDefault="00BB7123" w:rsidP="00BB7123">
      <w:pPr>
        <w:spacing w:line="276" w:lineRule="auto"/>
        <w:jc w:val="both"/>
        <w:rPr>
          <w:rFonts w:ascii="Arial" w:hAnsi="Arial" w:cs="Arial"/>
          <w:sz w:val="36"/>
          <w:szCs w:val="36"/>
          <w:vertAlign w:val="superscript"/>
          <w:rtl/>
        </w:rPr>
      </w:pPr>
      <w:r w:rsidRPr="00BB7123">
        <w:rPr>
          <w:rFonts w:ascii="Arial" w:hAnsi="Arial" w:cs="Arial"/>
          <w:sz w:val="36"/>
          <w:szCs w:val="36"/>
          <w:vertAlign w:val="superscript"/>
          <w:rtl/>
        </w:rPr>
        <w:t>הנאשם מסר לחוקריו שהוא שמח שנעצ</w:t>
      </w:r>
      <w:r w:rsidRPr="00BB7123">
        <w:rPr>
          <w:rFonts w:ascii="Arial" w:hAnsi="Arial" w:cs="Arial" w:hint="cs"/>
          <w:sz w:val="36"/>
          <w:szCs w:val="36"/>
          <w:vertAlign w:val="superscript"/>
          <w:rtl/>
        </w:rPr>
        <w:t xml:space="preserve">ר שכן אם </w:t>
      </w:r>
      <w:r w:rsidRPr="00BB7123">
        <w:rPr>
          <w:rFonts w:ascii="Arial" w:hAnsi="Arial" w:cs="Arial"/>
          <w:sz w:val="36"/>
          <w:szCs w:val="36"/>
          <w:vertAlign w:val="superscript"/>
          <w:rtl/>
        </w:rPr>
        <w:t>לא היה נעצר יתכן ובתוך כשבוע לערך היה פועל להקים חוליה צבאית.</w:t>
      </w:r>
    </w:p>
    <w:p w14:paraId="39EBBE1B" w14:textId="77777777" w:rsidR="00BB7123" w:rsidRPr="00BB7123" w:rsidRDefault="00BB7123" w:rsidP="00BB7123">
      <w:pPr>
        <w:spacing w:line="276" w:lineRule="auto"/>
        <w:jc w:val="both"/>
        <w:rPr>
          <w:rFonts w:ascii="Arial" w:hAnsi="Arial" w:cs="Arial"/>
          <w:sz w:val="36"/>
          <w:szCs w:val="36"/>
          <w:vertAlign w:val="superscript"/>
        </w:rPr>
      </w:pPr>
    </w:p>
    <w:p w14:paraId="23E8D95E" w14:textId="77777777" w:rsidR="00BB7123" w:rsidRPr="00BB7123" w:rsidRDefault="00BB7123" w:rsidP="00BB7123">
      <w:pPr>
        <w:spacing w:line="276" w:lineRule="auto"/>
        <w:jc w:val="both"/>
        <w:rPr>
          <w:rFonts w:ascii="Arial" w:hAnsi="Arial" w:cs="Arial"/>
          <w:sz w:val="36"/>
          <w:szCs w:val="36"/>
          <w:vertAlign w:val="superscript"/>
          <w:rtl/>
        </w:rPr>
      </w:pPr>
      <w:r w:rsidRPr="00BB7123">
        <w:rPr>
          <w:rFonts w:ascii="Arial" w:hAnsi="Arial" w:cs="Arial"/>
          <w:sz w:val="36"/>
          <w:szCs w:val="36"/>
          <w:vertAlign w:val="superscript"/>
          <w:rtl/>
        </w:rPr>
        <w:t>כן אמר הנאשם שאם מוראד היה מבקש ממנו לבצע פיגוע הוא היה עושה זאת תמורת כסף ולא ממניעים לאומיים, יורה על מישהו, שורף משהו, מבצע פיגוע .</w:t>
      </w:r>
    </w:p>
    <w:p w14:paraId="36E7B088" w14:textId="77777777" w:rsidR="00BB7123" w:rsidRPr="00BB7123" w:rsidRDefault="00BB7123" w:rsidP="00BB7123">
      <w:pPr>
        <w:spacing w:line="276" w:lineRule="auto"/>
        <w:jc w:val="both"/>
        <w:rPr>
          <w:rFonts w:ascii="Arial" w:hAnsi="Arial" w:cs="Arial"/>
          <w:sz w:val="36"/>
          <w:szCs w:val="36"/>
          <w:vertAlign w:val="superscript"/>
          <w:rtl/>
        </w:rPr>
      </w:pPr>
    </w:p>
    <w:p w14:paraId="716C32E3" w14:textId="77777777" w:rsidR="00BB7123" w:rsidRPr="00BB7123" w:rsidRDefault="00BB7123" w:rsidP="00BB7123">
      <w:pPr>
        <w:spacing w:line="276" w:lineRule="auto"/>
        <w:jc w:val="both"/>
        <w:rPr>
          <w:rFonts w:ascii="Arial" w:hAnsi="Arial" w:cs="Arial"/>
          <w:sz w:val="36"/>
          <w:szCs w:val="36"/>
          <w:vertAlign w:val="superscript"/>
          <w:rtl/>
        </w:rPr>
      </w:pPr>
      <w:r w:rsidRPr="00BB7123">
        <w:rPr>
          <w:rFonts w:ascii="Arial" w:hAnsi="Arial" w:cs="Arial"/>
          <w:sz w:val="36"/>
          <w:szCs w:val="36"/>
          <w:vertAlign w:val="superscript"/>
          <w:rtl/>
        </w:rPr>
        <w:t>בתכתובת בפייסבוק כתב למוראד: "חושב לבוא לעזה ולהילחם למען ה'" .</w:t>
      </w:r>
    </w:p>
    <w:p w14:paraId="5EE9145E" w14:textId="77777777" w:rsidR="00BB7123" w:rsidRPr="00BB7123" w:rsidRDefault="00BB7123" w:rsidP="00BB7123">
      <w:pPr>
        <w:spacing w:line="276" w:lineRule="auto"/>
        <w:jc w:val="both"/>
        <w:rPr>
          <w:rFonts w:ascii="Arial" w:hAnsi="Arial" w:cs="Arial"/>
          <w:sz w:val="36"/>
          <w:szCs w:val="36"/>
          <w:vertAlign w:val="superscript"/>
          <w:rtl/>
        </w:rPr>
      </w:pPr>
    </w:p>
    <w:p w14:paraId="2EBF3530" w14:textId="77777777" w:rsidR="00BB7123" w:rsidRPr="00BB7123" w:rsidRDefault="00BB7123" w:rsidP="00BB7123">
      <w:pPr>
        <w:spacing w:line="276" w:lineRule="auto"/>
        <w:jc w:val="both"/>
        <w:rPr>
          <w:rFonts w:ascii="Arial" w:hAnsi="Arial" w:cs="Arial"/>
          <w:sz w:val="36"/>
          <w:szCs w:val="36"/>
          <w:vertAlign w:val="superscript"/>
          <w:rtl/>
        </w:rPr>
      </w:pPr>
      <w:r w:rsidRPr="00BB7123">
        <w:rPr>
          <w:rFonts w:ascii="Arial" w:hAnsi="Arial" w:cs="Arial"/>
          <w:sz w:val="36"/>
          <w:szCs w:val="36"/>
          <w:vertAlign w:val="superscript"/>
          <w:rtl/>
        </w:rPr>
        <w:t>הנאשם פרסם תמונות בפייסבוק , באחת התמונות נראה חייל צה"ל כשידיו מורמות ושלושה חמושים מכוונים אליו את נשקם. על ראש אחד החמושים מטפחת ירוקה, המייצגת את החמאס , צילומים רבים של כלי נשק ואנשים אוחזים כלי נשק; רעול פנים יורה בנשק; תמונת חייל צה"ל ארז אורבך ז"ל, שנרצח בפיגוע ולצידה הסטטוס שפרסם הנאשם: "שאללה ינקום בך, זו דמות של חייל יא זונה, אללה ישרוף את עצמות משפחתך כמו טווס".</w:t>
      </w:r>
    </w:p>
    <w:p w14:paraId="78684082" w14:textId="77777777" w:rsidR="00BB7123" w:rsidRPr="00BB7123" w:rsidRDefault="00BB7123" w:rsidP="00BB7123">
      <w:pPr>
        <w:spacing w:line="276" w:lineRule="auto"/>
        <w:jc w:val="both"/>
        <w:rPr>
          <w:rFonts w:ascii="Arial" w:hAnsi="Arial" w:cs="Arial"/>
          <w:sz w:val="36"/>
          <w:szCs w:val="36"/>
          <w:vertAlign w:val="superscript"/>
          <w:rtl/>
        </w:rPr>
      </w:pPr>
    </w:p>
    <w:p w14:paraId="527FC5C5" w14:textId="77777777" w:rsidR="00BB7123" w:rsidRPr="00BB7123" w:rsidRDefault="00BB7123" w:rsidP="00BB7123">
      <w:pPr>
        <w:spacing w:line="276" w:lineRule="auto"/>
        <w:jc w:val="both"/>
        <w:rPr>
          <w:rFonts w:ascii="Arial" w:hAnsi="Arial" w:cs="Arial"/>
          <w:sz w:val="36"/>
          <w:szCs w:val="36"/>
          <w:vertAlign w:val="superscript"/>
          <w:rtl/>
        </w:rPr>
      </w:pPr>
      <w:r w:rsidRPr="00BB7123">
        <w:rPr>
          <w:rFonts w:ascii="Arial" w:hAnsi="Arial" w:cs="Arial"/>
          <w:sz w:val="36"/>
          <w:szCs w:val="36"/>
          <w:vertAlign w:val="superscript"/>
          <w:rtl/>
        </w:rPr>
        <w:t xml:space="preserve">כמו כן סחר הנאשם בנשק, תיווך בעסקאות נשק ואף ניסה לסחור בנשק. המדובר במספר לא מבוטל של רובים מסוג קרלו. </w:t>
      </w:r>
    </w:p>
    <w:p w14:paraId="0AD2EADD" w14:textId="77777777" w:rsidR="00BB7123" w:rsidRPr="00BB7123" w:rsidRDefault="00BB7123" w:rsidP="00BB7123">
      <w:pPr>
        <w:spacing w:line="276" w:lineRule="auto"/>
        <w:rPr>
          <w:rFonts w:ascii="Arial" w:hAnsi="Arial" w:cs="Arial"/>
          <w:sz w:val="36"/>
          <w:szCs w:val="36"/>
          <w:vertAlign w:val="superscript"/>
          <w:rtl/>
        </w:rPr>
      </w:pPr>
    </w:p>
    <w:p w14:paraId="5888E106"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העבירות אותן ביצע הנאשם הינן עבירות חמורות ביותר ומשנה תוקף לחומרתן נובע מהיותו של הנאשם אזרח ישראלי ממנו מצופה לשמור על נאמנות למדינה.</w:t>
      </w:r>
    </w:p>
    <w:p w14:paraId="162D7AA0"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ב</w:t>
      </w:r>
      <w:hyperlink r:id="rId52" w:history="1">
        <w:r w:rsidR="00AF5665" w:rsidRPr="00AF5665">
          <w:rPr>
            <w:rFonts w:ascii="Arial" w:hAnsi="Arial" w:cs="Arial"/>
            <w:color w:val="0000FF"/>
            <w:sz w:val="36"/>
            <w:szCs w:val="36"/>
            <w:u w:val="single"/>
            <w:vertAlign w:val="superscript"/>
            <w:rtl/>
          </w:rPr>
          <w:t>עפ"ג 5007-06-17</w:t>
        </w:r>
      </w:hyperlink>
      <w:r w:rsidRPr="00BB7123">
        <w:rPr>
          <w:rFonts w:ascii="Arial" w:hAnsi="Arial" w:cs="Arial"/>
          <w:sz w:val="36"/>
          <w:szCs w:val="36"/>
          <w:vertAlign w:val="superscript"/>
          <w:rtl/>
        </w:rPr>
        <w:t xml:space="preserve"> (מחוזי ירושלים) </w:t>
      </w:r>
      <w:r w:rsidRPr="00BB7123">
        <w:rPr>
          <w:rFonts w:ascii="Arial" w:hAnsi="Arial" w:cs="Arial"/>
          <w:b/>
          <w:bCs/>
          <w:sz w:val="36"/>
          <w:szCs w:val="36"/>
          <w:vertAlign w:val="superscript"/>
          <w:rtl/>
        </w:rPr>
        <w:t>מדינת ישראל נ' זידאני</w:t>
      </w:r>
      <w:r w:rsidRPr="00BB7123">
        <w:rPr>
          <w:rFonts w:ascii="Arial" w:hAnsi="Arial" w:cs="Arial"/>
          <w:sz w:val="36"/>
          <w:szCs w:val="36"/>
          <w:vertAlign w:val="superscript"/>
          <w:rtl/>
        </w:rPr>
        <w:t xml:space="preserve"> נפסק כי:</w:t>
      </w:r>
    </w:p>
    <w:p w14:paraId="69C5FEA0" w14:textId="77777777" w:rsidR="00BB7123" w:rsidRPr="00BB7123" w:rsidRDefault="00BB7123" w:rsidP="00BB7123">
      <w:pPr>
        <w:spacing w:after="240" w:line="276" w:lineRule="auto"/>
        <w:ind w:left="720"/>
        <w:jc w:val="both"/>
        <w:rPr>
          <w:rFonts w:ascii="Arial" w:hAnsi="Arial" w:cs="Arial"/>
          <w:sz w:val="36"/>
          <w:szCs w:val="36"/>
          <w:vertAlign w:val="superscript"/>
          <w:rtl/>
        </w:rPr>
      </w:pPr>
      <w:r w:rsidRPr="00BB7123">
        <w:rPr>
          <w:rFonts w:ascii="Arial" w:hAnsi="Arial" w:cs="Arial"/>
          <w:sz w:val="36"/>
          <w:szCs w:val="36"/>
          <w:vertAlign w:val="superscript"/>
          <w:rtl/>
        </w:rPr>
        <w:t>"ריבוי הפיגועים ומעשי האלימות האחרים על רקע לאומני שהתרחשו בתקופה הרלוונטית, וההכרה כי תמיכה של ציבורים רלוונטים במפגעים תורמת למוטיבציה של נוספים לחקות את קודמיהם, הם המחייבים התייחסות מחמירה לפרסומים שיש בהם דברי שבח, תמיכה עידוד והסתה לעבירות אלימות. במציאות הקיימת אין מנוס מלהכביד את היד, לא רק על מבצעי עבירות אלימות, אלא גם על אלה התורמים בהתבטאויותיהם ליצירת אווירה התומכת במעשים והמקנה יוקרה למבצעיהם.</w:t>
      </w:r>
    </w:p>
    <w:p w14:paraId="6BC62A4C" w14:textId="77777777" w:rsidR="00BB7123" w:rsidRPr="00BB7123" w:rsidRDefault="00BB7123" w:rsidP="00BB7123">
      <w:pPr>
        <w:spacing w:after="240" w:line="276" w:lineRule="auto"/>
        <w:ind w:left="720"/>
        <w:jc w:val="both"/>
        <w:rPr>
          <w:rFonts w:ascii="Arial" w:hAnsi="Arial" w:cs="Arial"/>
          <w:sz w:val="36"/>
          <w:szCs w:val="36"/>
          <w:vertAlign w:val="superscript"/>
        </w:rPr>
      </w:pPr>
      <w:r w:rsidRPr="00BB7123">
        <w:rPr>
          <w:rFonts w:ascii="Arial" w:hAnsi="Arial" w:cs="Arial"/>
          <w:sz w:val="36"/>
          <w:szCs w:val="36"/>
          <w:vertAlign w:val="superscript"/>
          <w:rtl/>
        </w:rPr>
        <w:t xml:space="preserve">צעירים לא מעטים מוכנים ליטול את חייהם של אחרים ואף להקריב את חייהם שלהם, בין היתר בהשפעתה של היוקרה שלה זוכים מפגעים לאחר מותם. ענישה מכבידה הכוללת מרכיב של מאסר לריצוי בפועל, הולמת את חומרתם של פרסומים שכאלה ובנוסף יש בה כדי להרתיע אחרים מלהפיץ פרסומים דומים בעתיד”. </w:t>
      </w:r>
    </w:p>
    <w:p w14:paraId="2C518E36" w14:textId="77777777" w:rsidR="00BB7123" w:rsidRPr="00BB7123" w:rsidRDefault="00BB7123" w:rsidP="00BB7123">
      <w:pPr>
        <w:spacing w:after="240" w:line="276" w:lineRule="auto"/>
        <w:jc w:val="both"/>
        <w:rPr>
          <w:rFonts w:ascii="Arial" w:hAnsi="Arial" w:cs="Arial"/>
          <w:sz w:val="36"/>
          <w:szCs w:val="36"/>
          <w:vertAlign w:val="superscript"/>
          <w:rtl/>
        </w:rPr>
      </w:pPr>
      <w:r w:rsidRPr="00BB7123">
        <w:rPr>
          <w:rFonts w:ascii="Arial" w:hAnsi="Arial" w:cs="Arial"/>
          <w:sz w:val="36"/>
          <w:szCs w:val="36"/>
          <w:vertAlign w:val="superscript"/>
          <w:rtl/>
        </w:rPr>
        <w:t>באשר לעבירות הנשק, נפסק ב</w:t>
      </w:r>
      <w:hyperlink r:id="rId53" w:history="1">
        <w:r w:rsidR="00AF5665" w:rsidRPr="00AF5665">
          <w:rPr>
            <w:rFonts w:ascii="Arial" w:hAnsi="Arial" w:cs="Arial"/>
            <w:color w:val="0000FF"/>
            <w:sz w:val="36"/>
            <w:szCs w:val="36"/>
            <w:u w:val="single"/>
            <w:vertAlign w:val="superscript"/>
            <w:rtl/>
          </w:rPr>
          <w:t>ע"פ 3336/18</w:t>
        </w:r>
      </w:hyperlink>
      <w:r w:rsidRPr="00BB7123">
        <w:rPr>
          <w:rFonts w:ascii="Arial" w:hAnsi="Arial" w:cs="Arial"/>
          <w:sz w:val="36"/>
          <w:szCs w:val="36"/>
          <w:vertAlign w:val="superscript"/>
          <w:rtl/>
        </w:rPr>
        <w:t xml:space="preserve"> </w:t>
      </w:r>
      <w:r w:rsidRPr="00BB7123">
        <w:rPr>
          <w:rFonts w:ascii="Arial" w:hAnsi="Arial" w:cs="Arial"/>
          <w:b/>
          <w:bCs/>
          <w:sz w:val="36"/>
          <w:szCs w:val="36"/>
          <w:vertAlign w:val="superscript"/>
          <w:rtl/>
        </w:rPr>
        <w:t>מדינת ישראל נ' סמארה</w:t>
      </w:r>
      <w:r w:rsidRPr="00BB7123">
        <w:rPr>
          <w:rFonts w:ascii="Arial" w:hAnsi="Arial" w:cs="Arial"/>
          <w:sz w:val="36"/>
          <w:szCs w:val="36"/>
          <w:vertAlign w:val="superscript"/>
          <w:rtl/>
        </w:rPr>
        <w:t xml:space="preserve"> בהאי לישנא:</w:t>
      </w:r>
    </w:p>
    <w:p w14:paraId="4FC976F9" w14:textId="77777777" w:rsidR="00BB7123" w:rsidRPr="00BB7123" w:rsidRDefault="00BB7123" w:rsidP="00BB7123">
      <w:pPr>
        <w:spacing w:after="240" w:line="276" w:lineRule="auto"/>
        <w:ind w:left="720"/>
        <w:jc w:val="both"/>
        <w:rPr>
          <w:rFonts w:ascii="Arial" w:hAnsi="Arial" w:cs="Arial"/>
          <w:sz w:val="36"/>
          <w:szCs w:val="36"/>
          <w:vertAlign w:val="superscript"/>
        </w:rPr>
      </w:pPr>
      <w:r w:rsidRPr="00BB7123">
        <w:rPr>
          <w:rFonts w:ascii="Arial" w:hAnsi="Arial" w:cs="Arial"/>
          <w:sz w:val="36"/>
          <w:szCs w:val="36"/>
          <w:vertAlign w:val="superscript"/>
          <w:rtl/>
        </w:rPr>
        <w:t>"בית משפט זה נקט בשנים האחרונות מגמה מוצהרת של החמרת רמת הענישה בעבירות נשק, ועמד על כך פעמים רבות בשורה ארוכה של פסקי דין. ראו למשל את דבריו של השופט אדמונד לוי (אליהם גם התייחסה המערערת):</w:t>
      </w:r>
    </w:p>
    <w:p w14:paraId="7EE601A0" w14:textId="77777777" w:rsidR="00BB7123" w:rsidRPr="00BB7123" w:rsidRDefault="00BB7123" w:rsidP="00BB7123">
      <w:pPr>
        <w:pStyle w:val="Ruller5"/>
        <w:spacing w:line="276" w:lineRule="auto"/>
        <w:rPr>
          <w:rFonts w:ascii="Arial" w:hAnsi="Arial" w:cs="Arial"/>
          <w:sz w:val="36"/>
          <w:szCs w:val="36"/>
          <w:vertAlign w:val="superscript"/>
          <w:rtl/>
        </w:rPr>
      </w:pPr>
      <w:r w:rsidRPr="00BB7123">
        <w:rPr>
          <w:rFonts w:ascii="Arial" w:hAnsi="Arial" w:cs="Arial"/>
          <w:sz w:val="36"/>
          <w:szCs w:val="36"/>
          <w:vertAlign w:val="superscript"/>
          <w:rtl/>
        </w:rPr>
        <w:t xml:space="preserve">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w:t>
      </w:r>
    </w:p>
    <w:p w14:paraId="58D948CA" w14:textId="77777777" w:rsidR="00BB7123" w:rsidRPr="00BB7123" w:rsidRDefault="00BB7123" w:rsidP="00BB7123">
      <w:pPr>
        <w:pStyle w:val="Ruller5"/>
        <w:spacing w:line="276" w:lineRule="auto"/>
        <w:rPr>
          <w:rFonts w:ascii="Arial" w:hAnsi="Arial" w:cs="Arial"/>
          <w:sz w:val="36"/>
          <w:szCs w:val="36"/>
          <w:vertAlign w:val="superscript"/>
          <w:rtl/>
        </w:rPr>
      </w:pPr>
    </w:p>
    <w:p w14:paraId="22CA5C5B" w14:textId="77777777" w:rsidR="00BB7123" w:rsidRPr="00BB7123" w:rsidRDefault="00BB7123" w:rsidP="00BB7123">
      <w:pPr>
        <w:pStyle w:val="Ruller5"/>
        <w:spacing w:line="276" w:lineRule="auto"/>
        <w:rPr>
          <w:rFonts w:ascii="Arial" w:hAnsi="Arial" w:cs="Arial"/>
          <w:sz w:val="36"/>
          <w:szCs w:val="36"/>
          <w:vertAlign w:val="superscript"/>
          <w:rtl/>
        </w:rPr>
      </w:pPr>
    </w:p>
    <w:p w14:paraId="4845C2E9" w14:textId="77777777" w:rsidR="00BB7123" w:rsidRPr="00BB7123" w:rsidRDefault="00BB7123" w:rsidP="00BB7123">
      <w:pPr>
        <w:pStyle w:val="Ruller5"/>
        <w:spacing w:line="276" w:lineRule="auto"/>
        <w:rPr>
          <w:rFonts w:ascii="Arial" w:hAnsi="Arial" w:cs="Arial"/>
          <w:sz w:val="36"/>
          <w:szCs w:val="36"/>
          <w:vertAlign w:val="superscript"/>
          <w:rtl/>
        </w:rPr>
      </w:pPr>
    </w:p>
    <w:p w14:paraId="375332CC" w14:textId="77777777" w:rsidR="00BB7123" w:rsidRPr="00BB7123" w:rsidRDefault="00BB7123" w:rsidP="00BB7123">
      <w:pPr>
        <w:pStyle w:val="Ruller5"/>
        <w:spacing w:line="276" w:lineRule="auto"/>
        <w:rPr>
          <w:rFonts w:ascii="Arial" w:hAnsi="Arial" w:cs="Arial"/>
          <w:sz w:val="36"/>
          <w:szCs w:val="36"/>
          <w:vertAlign w:val="superscript"/>
          <w:rtl/>
        </w:rPr>
      </w:pPr>
    </w:p>
    <w:p w14:paraId="0DD080E6" w14:textId="77777777" w:rsidR="00BB7123" w:rsidRPr="00BB7123" w:rsidRDefault="00BB7123" w:rsidP="00BB7123">
      <w:pPr>
        <w:pStyle w:val="Ruller5"/>
        <w:spacing w:line="276" w:lineRule="auto"/>
        <w:rPr>
          <w:rFonts w:ascii="Arial" w:hAnsi="Arial" w:cs="Arial"/>
          <w:sz w:val="36"/>
          <w:szCs w:val="36"/>
          <w:vertAlign w:val="superscript"/>
          <w:rtl/>
        </w:rPr>
      </w:pPr>
      <w:r w:rsidRPr="00BB7123">
        <w:rPr>
          <w:rFonts w:ascii="Arial" w:hAnsi="Arial" w:cs="Arial"/>
          <w:sz w:val="36"/>
          <w:szCs w:val="36"/>
          <w:vertAlign w:val="superscript"/>
          <w:rtl/>
        </w:rPr>
        <w:t>מכך שהם נקלעו בדרך מקרה לזירת הפשע. כדי להלחם בכל אלה צריך העונש לבטא את סלידתה של החברה ודעתה הנחרצת שלא להשלים עם עבריינות בכלל, ומסוג זה בפרט (</w:t>
      </w:r>
      <w:hyperlink r:id="rId54" w:history="1">
        <w:r w:rsidR="00AF5665" w:rsidRPr="00AF5665">
          <w:rPr>
            <w:rFonts w:ascii="Arial" w:hAnsi="Arial" w:cs="Arial"/>
            <w:color w:val="0000FF"/>
            <w:sz w:val="36"/>
            <w:szCs w:val="36"/>
            <w:u w:val="single"/>
            <w:vertAlign w:val="superscript"/>
            <w:rtl/>
          </w:rPr>
          <w:t>ע"פ 761/07</w:t>
        </w:r>
      </w:hyperlink>
      <w:r w:rsidRPr="00BB7123">
        <w:rPr>
          <w:rFonts w:ascii="Arial" w:hAnsi="Arial" w:cs="Arial"/>
          <w:sz w:val="36"/>
          <w:szCs w:val="36"/>
          <w:vertAlign w:val="superscript"/>
          <w:rtl/>
        </w:rPr>
        <w:t xml:space="preserve"> </w:t>
      </w:r>
      <w:r w:rsidRPr="00BB7123">
        <w:rPr>
          <w:rFonts w:ascii="Arial" w:hAnsi="Arial" w:cs="Arial"/>
          <w:spacing w:val="0"/>
          <w:sz w:val="36"/>
          <w:szCs w:val="36"/>
          <w:vertAlign w:val="superscript"/>
          <w:rtl/>
        </w:rPr>
        <w:t>מדינת ישראל נ' אדרי</w:t>
      </w:r>
      <w:r w:rsidRPr="00BB7123">
        <w:rPr>
          <w:rFonts w:ascii="Arial" w:hAnsi="Arial" w:cs="Arial"/>
          <w:sz w:val="36"/>
          <w:szCs w:val="36"/>
          <w:vertAlign w:val="superscript"/>
          <w:rtl/>
        </w:rPr>
        <w:t xml:space="preserve"> </w:t>
      </w:r>
      <w:r w:rsidRPr="00BB7123">
        <w:rPr>
          <w:rFonts w:ascii="Arial" w:hAnsi="Arial" w:cs="Arial"/>
          <w:spacing w:val="0"/>
          <w:sz w:val="36"/>
          <w:szCs w:val="36"/>
          <w:vertAlign w:val="superscript"/>
          <w:rtl/>
        </w:rPr>
        <w:t xml:space="preserve">[פורסם בנבו] </w:t>
      </w:r>
      <w:r w:rsidRPr="00BB7123">
        <w:rPr>
          <w:rFonts w:ascii="Arial" w:hAnsi="Arial" w:cs="Arial"/>
          <w:sz w:val="36"/>
          <w:szCs w:val="36"/>
          <w:vertAlign w:val="superscript"/>
          <w:rtl/>
        </w:rPr>
        <w:t xml:space="preserve">(22.2.2007), להלן: </w:t>
      </w:r>
      <w:r w:rsidRPr="00BB7123">
        <w:rPr>
          <w:rFonts w:ascii="Arial" w:hAnsi="Arial" w:cs="Arial"/>
          <w:spacing w:val="0"/>
          <w:sz w:val="36"/>
          <w:szCs w:val="36"/>
          <w:vertAlign w:val="superscript"/>
          <w:rtl/>
        </w:rPr>
        <w:t>"עניין אדרי")</w:t>
      </w:r>
      <w:r w:rsidRPr="00BB7123">
        <w:rPr>
          <w:rFonts w:ascii="Arial" w:hAnsi="Arial" w:cs="Arial"/>
          <w:sz w:val="36"/>
          <w:szCs w:val="36"/>
          <w:vertAlign w:val="superscript"/>
          <w:rtl/>
        </w:rPr>
        <w:t>.</w:t>
      </w:r>
    </w:p>
    <w:p w14:paraId="12EDA14B"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ab/>
      </w:r>
      <w:r w:rsidRPr="00BB7123">
        <w:rPr>
          <w:rFonts w:ascii="Arial" w:hAnsi="Arial" w:cs="Arial"/>
          <w:sz w:val="36"/>
          <w:szCs w:val="36"/>
          <w:vertAlign w:val="superscript"/>
          <w:rtl/>
        </w:rPr>
        <w:tab/>
        <w:t xml:space="preserve">כן ראו דבריה של השופטת </w:t>
      </w:r>
      <w:r w:rsidRPr="00BB7123">
        <w:rPr>
          <w:rFonts w:ascii="Arial" w:hAnsi="Arial" w:cs="Arial"/>
          <w:spacing w:val="0"/>
          <w:sz w:val="36"/>
          <w:szCs w:val="36"/>
          <w:vertAlign w:val="superscript"/>
          <w:rtl/>
        </w:rPr>
        <w:t>עדנה ארבל</w:t>
      </w:r>
      <w:r w:rsidRPr="00BB7123">
        <w:rPr>
          <w:rFonts w:ascii="Arial" w:hAnsi="Arial" w:cs="Arial"/>
          <w:sz w:val="36"/>
          <w:szCs w:val="36"/>
          <w:vertAlign w:val="superscript"/>
          <w:rtl/>
        </w:rPr>
        <w:t xml:space="preserve">: </w:t>
      </w:r>
    </w:p>
    <w:p w14:paraId="41517464" w14:textId="77777777" w:rsidR="00BB7123" w:rsidRPr="00BB7123" w:rsidRDefault="00BB7123" w:rsidP="00BB7123">
      <w:pPr>
        <w:pStyle w:val="Ruller5"/>
        <w:spacing w:line="276" w:lineRule="auto"/>
        <w:rPr>
          <w:rFonts w:ascii="Arial" w:hAnsi="Arial" w:cs="Arial"/>
          <w:sz w:val="36"/>
          <w:szCs w:val="36"/>
          <w:vertAlign w:val="superscript"/>
          <w:rtl/>
        </w:rPr>
      </w:pPr>
      <w:r w:rsidRPr="00BB7123">
        <w:rPr>
          <w:rFonts w:ascii="Arial" w:hAnsi="Arial" w:cs="Arial"/>
          <w:sz w:val="36"/>
          <w:szCs w:val="36"/>
          <w:vertAlign w:val="superscript"/>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w:t>
      </w:r>
      <w:hyperlink r:id="rId55" w:history="1">
        <w:r w:rsidR="00AF5665" w:rsidRPr="00AF5665">
          <w:rPr>
            <w:rFonts w:ascii="Arial" w:hAnsi="Arial" w:cs="Arial"/>
            <w:color w:val="0000FF"/>
            <w:sz w:val="36"/>
            <w:szCs w:val="36"/>
            <w:u w:val="single"/>
            <w:vertAlign w:val="superscript"/>
            <w:rtl/>
          </w:rPr>
          <w:t>ע"פ 1323/13</w:t>
        </w:r>
      </w:hyperlink>
      <w:r w:rsidRPr="00BB7123">
        <w:rPr>
          <w:rFonts w:ascii="Arial" w:hAnsi="Arial" w:cs="Arial"/>
          <w:sz w:val="36"/>
          <w:szCs w:val="36"/>
          <w:vertAlign w:val="superscript"/>
          <w:rtl/>
        </w:rPr>
        <w:t xml:space="preserve"> </w:t>
      </w:r>
      <w:r w:rsidRPr="00BB7123">
        <w:rPr>
          <w:rFonts w:ascii="Arial" w:hAnsi="Arial" w:cs="Arial"/>
          <w:spacing w:val="0"/>
          <w:sz w:val="36"/>
          <w:szCs w:val="36"/>
          <w:vertAlign w:val="superscript"/>
          <w:rtl/>
        </w:rPr>
        <w:t>חסן נ' מדינת ישראל</w:t>
      </w:r>
      <w:r w:rsidRPr="00BB7123">
        <w:rPr>
          <w:rFonts w:ascii="Arial" w:hAnsi="Arial" w:cs="Arial"/>
          <w:sz w:val="36"/>
          <w:szCs w:val="36"/>
          <w:vertAlign w:val="superscript"/>
          <w:rtl/>
        </w:rPr>
        <w:t xml:space="preserve">, </w:t>
      </w:r>
      <w:r w:rsidRPr="00BB7123">
        <w:rPr>
          <w:rFonts w:ascii="Arial" w:hAnsi="Arial" w:cs="Arial"/>
          <w:spacing w:val="0"/>
          <w:sz w:val="36"/>
          <w:szCs w:val="36"/>
          <w:vertAlign w:val="superscript"/>
          <w:rtl/>
        </w:rPr>
        <w:t xml:space="preserve">[פורסם בנבו] </w:t>
      </w:r>
      <w:r w:rsidRPr="00BB7123">
        <w:rPr>
          <w:rFonts w:ascii="Arial" w:hAnsi="Arial" w:cs="Arial"/>
          <w:sz w:val="36"/>
          <w:szCs w:val="36"/>
          <w:vertAlign w:val="superscript"/>
          <w:rtl/>
        </w:rPr>
        <w:t xml:space="preserve">פסקה 12 לפסק דינה של השופטת </w:t>
      </w:r>
      <w:r w:rsidRPr="00BB7123">
        <w:rPr>
          <w:rFonts w:ascii="Arial" w:hAnsi="Arial" w:cs="Arial"/>
          <w:spacing w:val="0"/>
          <w:sz w:val="36"/>
          <w:szCs w:val="36"/>
          <w:vertAlign w:val="superscript"/>
          <w:rtl/>
        </w:rPr>
        <w:t>עדנה ארבל</w:t>
      </w:r>
      <w:r w:rsidRPr="00BB7123">
        <w:rPr>
          <w:rFonts w:ascii="Arial" w:hAnsi="Arial" w:cs="Arial"/>
          <w:sz w:val="36"/>
          <w:szCs w:val="36"/>
          <w:vertAlign w:val="superscript"/>
          <w:rtl/>
        </w:rPr>
        <w:t xml:space="preserve"> (5.6.2013))".</w:t>
      </w:r>
    </w:p>
    <w:p w14:paraId="6CEAF85E" w14:textId="77777777" w:rsidR="00BB7123" w:rsidRPr="00BB7123" w:rsidRDefault="00BB7123" w:rsidP="00BB7123">
      <w:pPr>
        <w:spacing w:after="240" w:line="276" w:lineRule="auto"/>
        <w:jc w:val="both"/>
        <w:rPr>
          <w:rFonts w:ascii="Arial" w:hAnsi="Arial" w:cs="Arial"/>
          <w:sz w:val="36"/>
          <w:szCs w:val="36"/>
          <w:vertAlign w:val="superscript"/>
          <w:rtl/>
        </w:rPr>
      </w:pPr>
    </w:p>
    <w:p w14:paraId="0D471866" w14:textId="77777777" w:rsidR="00BB7123" w:rsidRPr="00BB7123" w:rsidRDefault="00BB7123" w:rsidP="00BB7123">
      <w:pPr>
        <w:spacing w:after="240" w:line="276" w:lineRule="auto"/>
        <w:jc w:val="both"/>
        <w:rPr>
          <w:rFonts w:ascii="Arial" w:hAnsi="Arial" w:cs="Arial"/>
          <w:sz w:val="36"/>
          <w:szCs w:val="36"/>
          <w:vertAlign w:val="superscript"/>
          <w:rtl/>
        </w:rPr>
      </w:pPr>
      <w:r w:rsidRPr="00BB7123">
        <w:rPr>
          <w:rFonts w:ascii="Arial" w:hAnsi="Arial" w:cs="Arial"/>
          <w:sz w:val="36"/>
          <w:szCs w:val="36"/>
          <w:vertAlign w:val="superscript"/>
          <w:rtl/>
        </w:rPr>
        <w:t>וב</w:t>
      </w:r>
      <w:hyperlink r:id="rId56" w:history="1">
        <w:r w:rsidR="00AF5665" w:rsidRPr="00AF5665">
          <w:rPr>
            <w:rFonts w:ascii="Arial" w:hAnsi="Arial" w:cs="Arial"/>
            <w:color w:val="0000FF"/>
            <w:sz w:val="36"/>
            <w:szCs w:val="36"/>
            <w:u w:val="single"/>
            <w:vertAlign w:val="superscript"/>
            <w:rtl/>
          </w:rPr>
          <w:t>ע"פ 9349/07</w:t>
        </w:r>
      </w:hyperlink>
      <w:r w:rsidRPr="00BB7123">
        <w:rPr>
          <w:rFonts w:ascii="Arial" w:hAnsi="Arial" w:cs="Arial"/>
          <w:sz w:val="36"/>
          <w:szCs w:val="36"/>
          <w:vertAlign w:val="superscript"/>
          <w:rtl/>
        </w:rPr>
        <w:t xml:space="preserve"> </w:t>
      </w:r>
      <w:r w:rsidRPr="00BB7123">
        <w:rPr>
          <w:rFonts w:ascii="Arial" w:hAnsi="Arial" w:cs="Arial"/>
          <w:b/>
          <w:bCs/>
          <w:sz w:val="36"/>
          <w:szCs w:val="36"/>
          <w:vertAlign w:val="superscript"/>
          <w:rtl/>
        </w:rPr>
        <w:t>חאמד נ' מדינת ישראל</w:t>
      </w:r>
      <w:r w:rsidRPr="00BB7123">
        <w:rPr>
          <w:rFonts w:ascii="Arial" w:hAnsi="Arial" w:cs="Arial"/>
          <w:sz w:val="36"/>
          <w:szCs w:val="36"/>
          <w:vertAlign w:val="superscript"/>
          <w:rtl/>
        </w:rPr>
        <w:t xml:space="preserve"> נפסק על ידי כבוד השופטת פרוקצ'יה:</w:t>
      </w:r>
    </w:p>
    <w:p w14:paraId="7B7FCA68" w14:textId="77777777" w:rsidR="00BB7123" w:rsidRPr="00BB7123" w:rsidRDefault="00BB7123" w:rsidP="00BB7123">
      <w:pPr>
        <w:pStyle w:val="Ruller40"/>
        <w:spacing w:line="240" w:lineRule="auto"/>
        <w:ind w:left="720"/>
        <w:rPr>
          <w:rFonts w:ascii="Arial" w:hAnsi="Arial" w:cs="Arial"/>
          <w:sz w:val="36"/>
          <w:szCs w:val="36"/>
          <w:vertAlign w:val="superscript"/>
          <w:rtl/>
        </w:rPr>
      </w:pPr>
      <w:r w:rsidRPr="00BB7123">
        <w:rPr>
          <w:rFonts w:ascii="Arial" w:hAnsi="Arial" w:cs="Arial"/>
          <w:sz w:val="36"/>
          <w:szCs w:val="36"/>
          <w:vertAlign w:val="superscript"/>
          <w:rtl/>
        </w:rPr>
        <w:tab/>
        <w:t>"מדינת ישראל חבה חובה עליונה להגן על תושביה, ובכלל זה גם על חיילי צה"ל המופקדים על ביטחון המדינה. מעשי טרור המכוונים לפגוע בחיי ישראלים - חיילים או אזרחים - מחייבת ענישה מחמירה במיוחד, אשר תטמיע את מסר הגמול וההרתעה כלפי כל מי שמעורב בפעילות בלתי חוקית המסכנת חיים. צדק בית המשפט קמא כאשר הניח שבסוג זה של עבירות הנסיבות האישיות של הנאשם מתגמדות במשקלן לנוכח חומרת המעשים והסיכונים הטמונים בהם, למען יידע כל גורם עויין למדינה ולתושביה כי הוא צפוי לעונש חמור ביותר אם יימצא מעורב בפעולות טרור שנועדו לפגוע בביטחון אזרחי ישראל, ולקטול חיים".</w:t>
      </w:r>
    </w:p>
    <w:p w14:paraId="7084F150" w14:textId="77777777" w:rsidR="00BB7123" w:rsidRPr="00BB7123" w:rsidRDefault="00BB7123" w:rsidP="00BB7123">
      <w:pPr>
        <w:pStyle w:val="Ruller40"/>
        <w:spacing w:line="276" w:lineRule="auto"/>
        <w:rPr>
          <w:rFonts w:ascii="Arial" w:hAnsi="Arial" w:cs="Arial"/>
          <w:sz w:val="12"/>
          <w:szCs w:val="12"/>
          <w:vertAlign w:val="superscript"/>
          <w:rtl/>
        </w:rPr>
      </w:pPr>
    </w:p>
    <w:p w14:paraId="372A7BE1" w14:textId="77777777" w:rsidR="00BB7123" w:rsidRPr="00BB7123" w:rsidRDefault="00BB7123" w:rsidP="00BB7123">
      <w:pPr>
        <w:pStyle w:val="Ruller40"/>
        <w:spacing w:line="276" w:lineRule="auto"/>
        <w:rPr>
          <w:rFonts w:ascii="Arial" w:hAnsi="Arial" w:cs="Arial"/>
          <w:sz w:val="36"/>
          <w:szCs w:val="36"/>
          <w:vertAlign w:val="superscript"/>
        </w:rPr>
      </w:pPr>
      <w:r w:rsidRPr="00BB7123">
        <w:rPr>
          <w:rFonts w:ascii="Arial" w:hAnsi="Arial" w:cs="Arial"/>
          <w:sz w:val="36"/>
          <w:szCs w:val="36"/>
          <w:vertAlign w:val="superscript"/>
          <w:rtl/>
        </w:rPr>
        <w:t>נוכח חומרתן של העבירות, ריבוין, הנזק הפוטנציאלי הצפוי מביצוען של אלה, העובדה כי נעשו על ידי מי שחב חובת נאמנות למדינת ישראל וניהול המשפט עד תום, מחייבים ענישה מחמירה ומרתיעה כשנסיבותיו האישיות של הנאשם מתגמדות לנוכח הסיכון הטמון בהן לב</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טחונם של אזרחי ישראל.</w:t>
      </w:r>
    </w:p>
    <w:p w14:paraId="73DF3D47" w14:textId="77777777" w:rsidR="00BB7123" w:rsidRPr="00BB7123" w:rsidRDefault="00BB7123" w:rsidP="00BB7123">
      <w:pPr>
        <w:pStyle w:val="Ruller40"/>
        <w:spacing w:line="276" w:lineRule="auto"/>
        <w:rPr>
          <w:rFonts w:ascii="Arial" w:hAnsi="Arial" w:cs="Arial"/>
          <w:szCs w:val="20"/>
          <w:vertAlign w:val="superscript"/>
          <w:rtl/>
        </w:rPr>
      </w:pPr>
    </w:p>
    <w:p w14:paraId="563EC520"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לנוכח האמור , הנני גוזרת על הנאשם את העונשים הבאים:</w:t>
      </w:r>
    </w:p>
    <w:p w14:paraId="411D520A" w14:textId="77777777" w:rsidR="00BB7123" w:rsidRPr="00BB7123" w:rsidRDefault="00BB7123" w:rsidP="00BB7123">
      <w:pPr>
        <w:pStyle w:val="Ruller40"/>
        <w:numPr>
          <w:ilvl w:val="0"/>
          <w:numId w:val="2"/>
        </w:numPr>
        <w:spacing w:line="276" w:lineRule="auto"/>
        <w:rPr>
          <w:rFonts w:ascii="Arial" w:hAnsi="Arial" w:cs="Arial"/>
          <w:sz w:val="36"/>
          <w:szCs w:val="36"/>
          <w:vertAlign w:val="superscript"/>
        </w:rPr>
      </w:pPr>
      <w:r w:rsidRPr="00BB7123">
        <w:rPr>
          <w:rFonts w:ascii="Arial" w:hAnsi="Arial" w:cs="Arial"/>
          <w:sz w:val="36"/>
          <w:szCs w:val="36"/>
          <w:vertAlign w:val="superscript"/>
          <w:rtl/>
        </w:rPr>
        <w:t>שש וחצי שנות מאסר שמניינן מיום מעצרו של הנאשם, 16.2.18.</w:t>
      </w:r>
    </w:p>
    <w:p w14:paraId="1CE11550" w14:textId="77777777" w:rsidR="00BB7123" w:rsidRPr="00BB7123" w:rsidRDefault="00BB7123" w:rsidP="00BB7123">
      <w:pPr>
        <w:pStyle w:val="Ruller40"/>
        <w:spacing w:line="276" w:lineRule="auto"/>
        <w:ind w:left="720"/>
        <w:rPr>
          <w:rFonts w:ascii="Arial" w:hAnsi="Arial" w:cs="Arial"/>
          <w:sz w:val="2"/>
          <w:szCs w:val="2"/>
          <w:vertAlign w:val="superscript"/>
          <w:rtl/>
        </w:rPr>
      </w:pPr>
    </w:p>
    <w:p w14:paraId="01FB6313" w14:textId="77777777" w:rsidR="00BB7123" w:rsidRPr="00BB7123" w:rsidRDefault="00BB7123" w:rsidP="00BB7123">
      <w:pPr>
        <w:pStyle w:val="Ruller40"/>
        <w:numPr>
          <w:ilvl w:val="0"/>
          <w:numId w:val="2"/>
        </w:numPr>
        <w:spacing w:line="276" w:lineRule="auto"/>
        <w:rPr>
          <w:rFonts w:ascii="Arial" w:hAnsi="Arial" w:cs="Arial"/>
          <w:sz w:val="36"/>
          <w:szCs w:val="36"/>
          <w:vertAlign w:val="superscript"/>
        </w:rPr>
      </w:pPr>
      <w:r w:rsidRPr="00BB7123">
        <w:rPr>
          <w:rFonts w:ascii="Arial" w:hAnsi="Arial" w:cs="Arial"/>
          <w:sz w:val="36"/>
          <w:szCs w:val="36"/>
          <w:vertAlign w:val="superscript"/>
          <w:rtl/>
        </w:rPr>
        <w:t>12 חודשי מאסר על ת</w:t>
      </w:r>
      <w:r w:rsidRPr="00BB7123">
        <w:rPr>
          <w:rFonts w:ascii="Arial" w:hAnsi="Arial" w:cs="Arial" w:hint="cs"/>
          <w:sz w:val="36"/>
          <w:szCs w:val="36"/>
          <w:vertAlign w:val="superscript"/>
          <w:rtl/>
        </w:rPr>
        <w:t>נ</w:t>
      </w:r>
      <w:r w:rsidRPr="00BB7123">
        <w:rPr>
          <w:rFonts w:ascii="Arial" w:hAnsi="Arial" w:cs="Arial"/>
          <w:sz w:val="36"/>
          <w:szCs w:val="36"/>
          <w:vertAlign w:val="superscript"/>
          <w:rtl/>
        </w:rPr>
        <w:t>אי והתנאי שהנאשם לא יעבור</w:t>
      </w:r>
      <w:r w:rsidRPr="00BB7123">
        <w:rPr>
          <w:rFonts w:ascii="Arial" w:hAnsi="Arial" w:cs="Arial" w:hint="cs"/>
          <w:sz w:val="36"/>
          <w:szCs w:val="36"/>
          <w:vertAlign w:val="superscript"/>
          <w:rtl/>
        </w:rPr>
        <w:t xml:space="preserve"> במשך שנתיים </w:t>
      </w:r>
      <w:r w:rsidRPr="00BB7123">
        <w:rPr>
          <w:rFonts w:ascii="Arial" w:hAnsi="Arial" w:cs="Arial"/>
          <w:sz w:val="36"/>
          <w:szCs w:val="36"/>
          <w:vertAlign w:val="superscript"/>
          <w:rtl/>
        </w:rPr>
        <w:t xml:space="preserve"> מיום שחרורו ממאסר עבירה מן העבירות בהן הורשע.</w:t>
      </w:r>
    </w:p>
    <w:p w14:paraId="24148E8B" w14:textId="77777777" w:rsidR="00BB7123" w:rsidRPr="00BB7123" w:rsidRDefault="00BB7123" w:rsidP="00BB7123">
      <w:pPr>
        <w:pStyle w:val="Ruller40"/>
        <w:spacing w:line="276" w:lineRule="auto"/>
        <w:ind w:left="720"/>
        <w:rPr>
          <w:rFonts w:ascii="Arial" w:hAnsi="Arial" w:cs="Arial"/>
          <w:sz w:val="2"/>
          <w:szCs w:val="2"/>
          <w:vertAlign w:val="superscript"/>
        </w:rPr>
      </w:pPr>
    </w:p>
    <w:p w14:paraId="43AD3EA5" w14:textId="77777777" w:rsidR="00BB7123" w:rsidRPr="00BB7123" w:rsidRDefault="00AF5665" w:rsidP="00BB7123">
      <w:pPr>
        <w:pStyle w:val="Ruller40"/>
        <w:numPr>
          <w:ilvl w:val="0"/>
          <w:numId w:val="2"/>
        </w:numPr>
        <w:spacing w:line="276" w:lineRule="auto"/>
        <w:rPr>
          <w:rFonts w:ascii="Arial" w:hAnsi="Arial" w:cs="Arial"/>
          <w:sz w:val="36"/>
          <w:szCs w:val="36"/>
          <w:vertAlign w:val="superscript"/>
        </w:rPr>
      </w:pPr>
      <w:r w:rsidRPr="00AF5665">
        <w:rPr>
          <w:rFonts w:ascii="Arial" w:hAnsi="Arial" w:cs="Arial"/>
          <w:color w:val="FFFFFF"/>
          <w:sz w:val="2"/>
          <w:szCs w:val="2"/>
          <w:vertAlign w:val="superscript"/>
          <w:rtl/>
        </w:rPr>
        <w:t>5129371</w:t>
      </w:r>
      <w:r w:rsidR="00BB7123" w:rsidRPr="00BB7123">
        <w:rPr>
          <w:rFonts w:ascii="Arial" w:hAnsi="Arial" w:cs="Arial"/>
          <w:sz w:val="36"/>
          <w:szCs w:val="36"/>
          <w:vertAlign w:val="superscript"/>
          <w:rtl/>
        </w:rPr>
        <w:t>5,000 ₪ קנס או 45 ימי מאסר תמורתו.</w:t>
      </w:r>
    </w:p>
    <w:p w14:paraId="684909BE" w14:textId="77777777" w:rsidR="00BB7123" w:rsidRPr="00BB7123" w:rsidRDefault="00AF5665" w:rsidP="00BB7123">
      <w:pPr>
        <w:pStyle w:val="Ruller40"/>
        <w:spacing w:line="276" w:lineRule="auto"/>
        <w:rPr>
          <w:rFonts w:ascii="Arial" w:hAnsi="Arial" w:cs="Arial"/>
          <w:sz w:val="36"/>
          <w:szCs w:val="36"/>
          <w:vertAlign w:val="superscript"/>
        </w:rPr>
      </w:pPr>
      <w:r w:rsidRPr="00AF5665">
        <w:rPr>
          <w:rFonts w:ascii="Arial" w:hAnsi="Arial" w:cs="Arial"/>
          <w:b/>
          <w:bCs/>
          <w:color w:val="FFFFFF"/>
          <w:sz w:val="2"/>
          <w:szCs w:val="2"/>
          <w:vertAlign w:val="superscript"/>
          <w:rtl/>
        </w:rPr>
        <w:t>54678313</w:t>
      </w:r>
      <w:r w:rsidR="00BB7123" w:rsidRPr="00BB7123">
        <w:rPr>
          <w:rFonts w:ascii="Arial" w:hAnsi="Arial" w:cs="Arial"/>
          <w:b/>
          <w:bCs/>
          <w:sz w:val="36"/>
          <w:szCs w:val="36"/>
          <w:vertAlign w:val="superscript"/>
          <w:rtl/>
        </w:rPr>
        <w:t>זכות ערעור לבית המשפט העליון תוף 45 יום מהיום</w:t>
      </w:r>
      <w:r w:rsidR="00BB7123" w:rsidRPr="00BB7123">
        <w:rPr>
          <w:rFonts w:ascii="Arial" w:hAnsi="Arial" w:cs="Arial"/>
          <w:sz w:val="36"/>
          <w:szCs w:val="36"/>
          <w:vertAlign w:val="superscript"/>
          <w:rtl/>
        </w:rPr>
        <w:t>.</w:t>
      </w:r>
    </w:p>
    <w:p w14:paraId="5507BB01" w14:textId="77777777" w:rsidR="00BB7123" w:rsidRPr="00BB7123" w:rsidRDefault="00AF5665" w:rsidP="00BB7123">
      <w:pPr>
        <w:spacing w:line="276" w:lineRule="auto"/>
        <w:jc w:val="both"/>
        <w:rPr>
          <w:rFonts w:ascii="Arial" w:hAnsi="Arial" w:cs="Arial"/>
          <w:sz w:val="36"/>
          <w:szCs w:val="36"/>
          <w:vertAlign w:val="superscript"/>
        </w:rPr>
      </w:pPr>
      <w:bookmarkStart w:id="7" w:name="Nitan"/>
      <w:r>
        <w:rPr>
          <w:rFonts w:ascii="Arial" w:hAnsi="Arial" w:cs="Arial"/>
          <w:sz w:val="36"/>
          <w:szCs w:val="36"/>
          <w:vertAlign w:val="superscript"/>
          <w:rtl/>
        </w:rPr>
        <w:t xml:space="preserve">ניתן היום,  ט"ו אלול תשע"ט, 15 ספטמבר 2019, במעמד ב"כ המאשימה עו"ד יעל בן שמואל, </w:t>
      </w:r>
      <w:bookmarkEnd w:id="7"/>
      <w:r w:rsidR="00BB7123" w:rsidRPr="00BB7123">
        <w:rPr>
          <w:rFonts w:ascii="Arial" w:hAnsi="Arial" w:cs="Arial" w:hint="cs"/>
          <w:sz w:val="36"/>
          <w:szCs w:val="36"/>
          <w:vertAlign w:val="superscript"/>
          <w:rtl/>
        </w:rPr>
        <w:t>הנאשם אשר הובא על ידי שב"ס וב"כ הנאשם עו"ד אימאני איברהים</w:t>
      </w:r>
      <w:r w:rsidR="00BB7123" w:rsidRPr="00BB7123">
        <w:rPr>
          <w:rFonts w:ascii="Arial" w:hAnsi="Arial" w:cs="Arial"/>
          <w:sz w:val="36"/>
          <w:szCs w:val="36"/>
          <w:vertAlign w:val="superscript"/>
          <w:rtl/>
        </w:rPr>
        <w:t>.</w:t>
      </w:r>
    </w:p>
    <w:p w14:paraId="249DEE4E" w14:textId="77777777" w:rsidR="00BB7123" w:rsidRPr="00BB7123" w:rsidRDefault="00BB7123" w:rsidP="00BB7123">
      <w:pPr>
        <w:spacing w:line="276" w:lineRule="auto"/>
        <w:jc w:val="center"/>
        <w:rPr>
          <w:rFonts w:ascii="Arial" w:hAnsi="Arial" w:cs="Arial"/>
          <w:sz w:val="36"/>
          <w:szCs w:val="36"/>
          <w:vertAlign w:val="superscript"/>
          <w:rtl/>
        </w:rPr>
      </w:pPr>
    </w:p>
    <w:p w14:paraId="59CBF11D" w14:textId="77777777" w:rsidR="00BB7123" w:rsidRPr="006B17F8" w:rsidRDefault="00BB7123" w:rsidP="00AF5665">
      <w:pPr>
        <w:spacing w:line="276" w:lineRule="auto"/>
        <w:jc w:val="center"/>
      </w:pPr>
      <w:r w:rsidRPr="00BB7123">
        <w:rPr>
          <w:rFonts w:ascii="Arial" w:hAnsi="Arial" w:cs="Arial"/>
          <w:sz w:val="36"/>
          <w:szCs w:val="36"/>
          <w:vertAlign w:val="superscript"/>
          <w:rtl/>
        </w:rPr>
        <w:t xml:space="preserve">   </w:t>
      </w:r>
      <w:r w:rsidRPr="00BB7123">
        <w:rPr>
          <w:rFonts w:ascii="Arial" w:hAnsi="Arial" w:cs="Arial"/>
          <w:sz w:val="36"/>
          <w:szCs w:val="36"/>
          <w:vertAlign w:val="superscript"/>
          <w:rtl/>
        </w:rPr>
        <w:tab/>
      </w:r>
      <w:r w:rsidRPr="00BB7123">
        <w:rPr>
          <w:rFonts w:ascii="Arial" w:hAnsi="Arial" w:cs="Arial"/>
          <w:sz w:val="36"/>
          <w:szCs w:val="36"/>
          <w:vertAlign w:val="superscript"/>
          <w:rtl/>
        </w:rPr>
        <w:tab/>
      </w:r>
      <w:r w:rsidRPr="00BB7123">
        <w:rPr>
          <w:rFonts w:ascii="Arial" w:hAnsi="Arial" w:cs="Arial"/>
          <w:sz w:val="36"/>
          <w:szCs w:val="36"/>
          <w:vertAlign w:val="superscript"/>
          <w:rtl/>
        </w:rPr>
        <w:tab/>
      </w:r>
      <w:r w:rsidRPr="00BB7123">
        <w:rPr>
          <w:rFonts w:ascii="Arial" w:hAnsi="Arial" w:cs="Arial"/>
          <w:sz w:val="36"/>
          <w:szCs w:val="36"/>
          <w:vertAlign w:val="superscript"/>
          <w:rtl/>
        </w:rPr>
        <w:tab/>
      </w:r>
      <w:r w:rsidRPr="00BB7123">
        <w:rPr>
          <w:rFonts w:ascii="Arial" w:hAnsi="Arial" w:cs="Arial"/>
          <w:sz w:val="36"/>
          <w:szCs w:val="36"/>
          <w:vertAlign w:val="superscript"/>
          <w:rtl/>
        </w:rPr>
        <w:tab/>
      </w:r>
    </w:p>
    <w:p w14:paraId="7FEDCA03" w14:textId="77777777" w:rsidR="00BB7123" w:rsidRPr="00BB7123" w:rsidRDefault="00BB7123" w:rsidP="00BB7123">
      <w:pPr>
        <w:spacing w:line="276" w:lineRule="auto"/>
        <w:jc w:val="center"/>
        <w:rPr>
          <w:rFonts w:ascii="Arial" w:hAnsi="Arial" w:cs="Arial"/>
          <w:sz w:val="36"/>
          <w:szCs w:val="36"/>
          <w:vertAlign w:val="superscript"/>
          <w:rtl/>
        </w:rPr>
      </w:pPr>
    </w:p>
    <w:p w14:paraId="606BC52E" w14:textId="77777777" w:rsidR="00473CCD" w:rsidRPr="00AF5665" w:rsidRDefault="00473CCD" w:rsidP="00AF5665">
      <w:pPr>
        <w:keepNext/>
        <w:rPr>
          <w:rFonts w:ascii="David" w:hAnsi="David"/>
          <w:color w:val="000000"/>
          <w:sz w:val="22"/>
          <w:szCs w:val="22"/>
          <w:rtl/>
        </w:rPr>
      </w:pPr>
    </w:p>
    <w:p w14:paraId="21786BBA" w14:textId="77777777" w:rsidR="00AF5665" w:rsidRPr="00AF5665" w:rsidRDefault="00AF5665" w:rsidP="00AF5665">
      <w:pPr>
        <w:keepNext/>
        <w:rPr>
          <w:rFonts w:ascii="David" w:hAnsi="David"/>
          <w:color w:val="000000"/>
          <w:sz w:val="22"/>
          <w:szCs w:val="22"/>
          <w:rtl/>
        </w:rPr>
      </w:pPr>
      <w:r w:rsidRPr="00AF5665">
        <w:rPr>
          <w:rFonts w:ascii="David" w:hAnsi="David"/>
          <w:color w:val="000000"/>
          <w:sz w:val="22"/>
          <w:szCs w:val="22"/>
          <w:rtl/>
        </w:rPr>
        <w:t>מיכל ברנט 54678313</w:t>
      </w:r>
    </w:p>
    <w:p w14:paraId="23C97545" w14:textId="77777777" w:rsidR="00AF5665" w:rsidRDefault="00AF5665" w:rsidP="00AF5665">
      <w:r w:rsidRPr="00AF5665">
        <w:rPr>
          <w:color w:val="000000"/>
          <w:rtl/>
        </w:rPr>
        <w:t>נוסח מסמך זה כפוף לשינויי ניסוח ועריכה</w:t>
      </w:r>
    </w:p>
    <w:p w14:paraId="02A4A279" w14:textId="77777777" w:rsidR="00AF5665" w:rsidRDefault="00AF5665" w:rsidP="00AF5665">
      <w:pPr>
        <w:rPr>
          <w:rtl/>
        </w:rPr>
      </w:pPr>
    </w:p>
    <w:p w14:paraId="00F9BD99" w14:textId="77777777" w:rsidR="00AF5665" w:rsidRDefault="00AF5665" w:rsidP="00AF5665">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07EB4E8F" w14:textId="77777777" w:rsidR="00AF5665" w:rsidRPr="00AF5665" w:rsidRDefault="00AF5665" w:rsidP="00AF5665">
      <w:pPr>
        <w:jc w:val="center"/>
        <w:rPr>
          <w:color w:val="0000FF"/>
          <w:u w:val="single"/>
        </w:rPr>
      </w:pPr>
    </w:p>
    <w:sectPr w:rsidR="00AF5665" w:rsidRPr="00AF5665" w:rsidSect="00AF5665">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95385" w14:textId="77777777" w:rsidR="008B052F" w:rsidRDefault="008B052F" w:rsidP="004A041C">
      <w:r>
        <w:separator/>
      </w:r>
    </w:p>
  </w:endnote>
  <w:endnote w:type="continuationSeparator" w:id="0">
    <w:p w14:paraId="17B94F3C" w14:textId="77777777" w:rsidR="008B052F" w:rsidRDefault="008B052F" w:rsidP="004A0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851D6" w14:textId="77777777" w:rsidR="00AF5665" w:rsidRDefault="00AF5665" w:rsidP="00AF56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087162" w14:textId="77777777" w:rsidR="000D6056" w:rsidRPr="00AF5665" w:rsidRDefault="00AF5665" w:rsidP="00AF566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C46A" w14:textId="77777777" w:rsidR="00AF5665" w:rsidRDefault="00AF5665" w:rsidP="00AF56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3B9C">
      <w:rPr>
        <w:rFonts w:ascii="FrankRuehl" w:hAnsi="FrankRuehl" w:cs="FrankRuehl"/>
        <w:noProof/>
        <w:rtl/>
      </w:rPr>
      <w:t>1</w:t>
    </w:r>
    <w:r>
      <w:rPr>
        <w:rFonts w:ascii="FrankRuehl" w:hAnsi="FrankRuehl" w:cs="FrankRuehl"/>
        <w:rtl/>
      </w:rPr>
      <w:fldChar w:fldCharType="end"/>
    </w:r>
  </w:p>
  <w:p w14:paraId="4C92E568" w14:textId="77777777" w:rsidR="000D6056" w:rsidRPr="00AF5665" w:rsidRDefault="00AF5665" w:rsidP="00AF566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4A6B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2D5E7" w14:textId="77777777" w:rsidR="008B052F" w:rsidRDefault="008B052F" w:rsidP="004A041C">
      <w:r>
        <w:separator/>
      </w:r>
    </w:p>
  </w:footnote>
  <w:footnote w:type="continuationSeparator" w:id="0">
    <w:p w14:paraId="754651B0" w14:textId="77777777" w:rsidR="008B052F" w:rsidRDefault="008B052F" w:rsidP="004A0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0487" w14:textId="77777777" w:rsidR="00AF5665" w:rsidRPr="00AF5665" w:rsidRDefault="00AF5665" w:rsidP="00AF566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36982-03-18</w:t>
    </w:r>
    <w:r>
      <w:rPr>
        <w:rFonts w:ascii="David" w:hAnsi="David"/>
        <w:color w:val="000000"/>
        <w:sz w:val="22"/>
        <w:szCs w:val="22"/>
        <w:rtl/>
      </w:rPr>
      <w:tab/>
      <w:t xml:space="preserve"> מדינת ישראל נ' סאלם אלרג'וב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6EBC" w14:textId="77777777" w:rsidR="00AF5665" w:rsidRPr="00AF5665" w:rsidRDefault="00AF5665" w:rsidP="00AF566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36982-03-18</w:t>
    </w:r>
    <w:r>
      <w:rPr>
        <w:rFonts w:ascii="David" w:hAnsi="David"/>
        <w:color w:val="000000"/>
        <w:sz w:val="22"/>
        <w:szCs w:val="22"/>
        <w:rtl/>
      </w:rPr>
      <w:tab/>
      <w:t xml:space="preserve"> מדינת ישראל נ' סאלם אלרג'וב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82512"/>
    <w:multiLevelType w:val="hybridMultilevel"/>
    <w:tmpl w:val="A31AC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6410623"/>
    <w:multiLevelType w:val="hybridMultilevel"/>
    <w:tmpl w:val="1D5EF0BC"/>
    <w:lvl w:ilvl="0" w:tplc="F1EC8F04">
      <w:start w:val="1"/>
      <w:numFmt w:val="hebrew1"/>
      <w:lvlText w:val="%1."/>
      <w:lvlJc w:val="left"/>
      <w:pPr>
        <w:ind w:left="714" w:hanging="360"/>
      </w:pPr>
      <w:rPr>
        <w:rFonts w:cs="Times New Roman"/>
      </w:rPr>
    </w:lvl>
    <w:lvl w:ilvl="1" w:tplc="04090019">
      <w:start w:val="1"/>
      <w:numFmt w:val="lowerLetter"/>
      <w:lvlText w:val="%2."/>
      <w:lvlJc w:val="left"/>
      <w:pPr>
        <w:ind w:left="1434" w:hanging="360"/>
      </w:pPr>
      <w:rPr>
        <w:rFonts w:cs="Times New Roman"/>
      </w:rPr>
    </w:lvl>
    <w:lvl w:ilvl="2" w:tplc="0409001B">
      <w:start w:val="1"/>
      <w:numFmt w:val="lowerRoman"/>
      <w:lvlText w:val="%3."/>
      <w:lvlJc w:val="right"/>
      <w:pPr>
        <w:ind w:left="2154" w:hanging="180"/>
      </w:pPr>
      <w:rPr>
        <w:rFonts w:cs="Times New Roman"/>
      </w:rPr>
    </w:lvl>
    <w:lvl w:ilvl="3" w:tplc="0409000F">
      <w:start w:val="1"/>
      <w:numFmt w:val="decimal"/>
      <w:lvlText w:val="%4."/>
      <w:lvlJc w:val="left"/>
      <w:pPr>
        <w:ind w:left="2874" w:hanging="360"/>
      </w:pPr>
      <w:rPr>
        <w:rFonts w:cs="Times New Roman"/>
      </w:rPr>
    </w:lvl>
    <w:lvl w:ilvl="4" w:tplc="04090019">
      <w:start w:val="1"/>
      <w:numFmt w:val="lowerLetter"/>
      <w:lvlText w:val="%5."/>
      <w:lvlJc w:val="left"/>
      <w:pPr>
        <w:ind w:left="3594" w:hanging="360"/>
      </w:pPr>
      <w:rPr>
        <w:rFonts w:cs="Times New Roman"/>
      </w:rPr>
    </w:lvl>
    <w:lvl w:ilvl="5" w:tplc="0409001B">
      <w:start w:val="1"/>
      <w:numFmt w:val="lowerRoman"/>
      <w:lvlText w:val="%6."/>
      <w:lvlJc w:val="right"/>
      <w:pPr>
        <w:ind w:left="4314" w:hanging="180"/>
      </w:pPr>
      <w:rPr>
        <w:rFonts w:cs="Times New Roman"/>
      </w:rPr>
    </w:lvl>
    <w:lvl w:ilvl="6" w:tplc="0409000F">
      <w:start w:val="1"/>
      <w:numFmt w:val="decimal"/>
      <w:lvlText w:val="%7."/>
      <w:lvlJc w:val="left"/>
      <w:pPr>
        <w:ind w:left="5034" w:hanging="360"/>
      </w:pPr>
      <w:rPr>
        <w:rFonts w:cs="Times New Roman"/>
      </w:rPr>
    </w:lvl>
    <w:lvl w:ilvl="7" w:tplc="04090019">
      <w:start w:val="1"/>
      <w:numFmt w:val="lowerLetter"/>
      <w:lvlText w:val="%8."/>
      <w:lvlJc w:val="left"/>
      <w:pPr>
        <w:ind w:left="5754" w:hanging="360"/>
      </w:pPr>
      <w:rPr>
        <w:rFonts w:cs="Times New Roman"/>
      </w:rPr>
    </w:lvl>
    <w:lvl w:ilvl="8" w:tplc="0409001B">
      <w:start w:val="1"/>
      <w:numFmt w:val="lowerRoman"/>
      <w:lvlText w:val="%9."/>
      <w:lvlJc w:val="right"/>
      <w:pPr>
        <w:ind w:left="6474" w:hanging="180"/>
      </w:pPr>
      <w:rPr>
        <w:rFonts w:cs="Times New Roman"/>
      </w:rPr>
    </w:lvl>
  </w:abstractNum>
  <w:num w:numId="1" w16cid:durableId="14720142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3672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B7123"/>
    <w:rsid w:val="000103BC"/>
    <w:rsid w:val="000D6056"/>
    <w:rsid w:val="002A3B9C"/>
    <w:rsid w:val="00381020"/>
    <w:rsid w:val="00473CCD"/>
    <w:rsid w:val="004A041C"/>
    <w:rsid w:val="008B052F"/>
    <w:rsid w:val="00986614"/>
    <w:rsid w:val="00AF5665"/>
    <w:rsid w:val="00BA5838"/>
    <w:rsid w:val="00BB7123"/>
    <w:rsid w:val="00BE58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11AB0F"/>
  <w15:chartTrackingRefBased/>
  <w15:docId w15:val="{1413A9AA-5A71-4F6B-BF8B-0816F3A3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712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B7123"/>
    <w:pPr>
      <w:tabs>
        <w:tab w:val="center" w:pos="4153"/>
        <w:tab w:val="right" w:pos="8306"/>
      </w:tabs>
    </w:pPr>
  </w:style>
  <w:style w:type="character" w:customStyle="1" w:styleId="a4">
    <w:name w:val="כותרת עליונה תו"/>
    <w:link w:val="a3"/>
    <w:rsid w:val="00BB7123"/>
    <w:rPr>
      <w:rFonts w:ascii="Times New Roman" w:eastAsia="Times New Roman" w:hAnsi="Times New Roman" w:cs="David"/>
      <w:sz w:val="24"/>
      <w:szCs w:val="24"/>
    </w:rPr>
  </w:style>
  <w:style w:type="paragraph" w:styleId="a5">
    <w:name w:val="footer"/>
    <w:basedOn w:val="a"/>
    <w:link w:val="a6"/>
    <w:rsid w:val="00BB7123"/>
    <w:pPr>
      <w:tabs>
        <w:tab w:val="center" w:pos="4153"/>
        <w:tab w:val="right" w:pos="8306"/>
      </w:tabs>
    </w:pPr>
  </w:style>
  <w:style w:type="character" w:customStyle="1" w:styleId="a6">
    <w:name w:val="כותרת תחתונה תו"/>
    <w:link w:val="a5"/>
    <w:rsid w:val="00BB7123"/>
    <w:rPr>
      <w:rFonts w:ascii="Times New Roman" w:eastAsia="Times New Roman" w:hAnsi="Times New Roman" w:cs="David"/>
      <w:sz w:val="24"/>
      <w:szCs w:val="24"/>
    </w:rPr>
  </w:style>
  <w:style w:type="table" w:styleId="a7">
    <w:name w:val="Table Grid"/>
    <w:basedOn w:val="a1"/>
    <w:rsid w:val="00BB712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B7123"/>
  </w:style>
  <w:style w:type="character" w:styleId="Hyperlink">
    <w:name w:val="Hyperlink"/>
    <w:rsid w:val="00BB7123"/>
    <w:rPr>
      <w:color w:val="0000FF"/>
      <w:u w:val="single"/>
    </w:rPr>
  </w:style>
  <w:style w:type="paragraph" w:styleId="a9">
    <w:name w:val="List Paragraph"/>
    <w:basedOn w:val="a"/>
    <w:qFormat/>
    <w:rsid w:val="00BB7123"/>
    <w:pPr>
      <w:spacing w:after="160" w:line="256"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BB7123"/>
    <w:pPr>
      <w:spacing w:line="360" w:lineRule="auto"/>
      <w:jc w:val="both"/>
    </w:pPr>
  </w:style>
  <w:style w:type="character" w:customStyle="1" w:styleId="Ruller4">
    <w:name w:val="Ruller4 תו"/>
    <w:link w:val="Ruller40"/>
    <w:locked/>
    <w:rsid w:val="00BB7123"/>
    <w:rPr>
      <w:rFonts w:ascii="Arial TUR" w:hAnsi="Arial TUR" w:cs="FrankRuehl"/>
      <w:spacing w:val="10"/>
      <w:szCs w:val="28"/>
      <w:lang w:eastAsia="he-IL"/>
    </w:rPr>
  </w:style>
  <w:style w:type="paragraph" w:customStyle="1" w:styleId="Ruller40">
    <w:name w:val="Ruller4"/>
    <w:basedOn w:val="a"/>
    <w:link w:val="Ruller4"/>
    <w:rsid w:val="00BB7123"/>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lang w:eastAsia="he-IL"/>
    </w:rPr>
  </w:style>
  <w:style w:type="paragraph" w:customStyle="1" w:styleId="Ruller5">
    <w:name w:val="Ruller5"/>
    <w:basedOn w:val="a"/>
    <w:rsid w:val="00BB7123"/>
    <w:pPr>
      <w:overflowPunct w:val="0"/>
      <w:autoSpaceDE w:val="0"/>
      <w:autoSpaceDN w:val="0"/>
      <w:adjustRightInd w:val="0"/>
      <w:ind w:left="1642" w:right="1282"/>
      <w:jc w:val="both"/>
    </w:pPr>
    <w:rPr>
      <w:rFonts w:ascii="Arial TUR" w:hAnsi="Arial TUR" w:cs="FrankRuehl"/>
      <w:spacing w:val="10"/>
      <w:sz w:val="22"/>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141771/24.b.2" TargetMode="External"/><Relationship Id="rId18" Type="http://schemas.openxmlformats.org/officeDocument/2006/relationships/hyperlink" Target="http://www.nevo.co.il/law/141771/24.b.2"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2867411" TargetMode="External"/><Relationship Id="rId21" Type="http://schemas.openxmlformats.org/officeDocument/2006/relationships/hyperlink" Target="http://www.nevo.co.il/law/70301/144.b2" TargetMode="External"/><Relationship Id="rId34" Type="http://schemas.openxmlformats.org/officeDocument/2006/relationships/hyperlink" Target="http://www.nevo.co.il/case/5951999" TargetMode="External"/><Relationship Id="rId42" Type="http://schemas.openxmlformats.org/officeDocument/2006/relationships/hyperlink" Target="http://www.nevo.co.il/case/25581149" TargetMode="External"/><Relationship Id="rId47" Type="http://schemas.openxmlformats.org/officeDocument/2006/relationships/hyperlink" Target="http://www.nevo.co.il/case/20594156" TargetMode="External"/><Relationship Id="rId50" Type="http://schemas.openxmlformats.org/officeDocument/2006/relationships/hyperlink" Target="http://www.nevo.co.il/case/20930827" TargetMode="External"/><Relationship Id="rId55" Type="http://schemas.openxmlformats.org/officeDocument/2006/relationships/hyperlink" Target="http://www.nevo.co.il/case/6473037"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141771/23" TargetMode="External"/><Relationship Id="rId29" Type="http://schemas.openxmlformats.org/officeDocument/2006/relationships/hyperlink" Target="http://www.nevo.co.il/law/70301/25" TargetMode="External"/><Relationship Id="rId11" Type="http://schemas.openxmlformats.org/officeDocument/2006/relationships/hyperlink" Target="http://www.nevo.co.il/law/141771" TargetMode="External"/><Relationship Id="rId24" Type="http://schemas.openxmlformats.org/officeDocument/2006/relationships/hyperlink" Target="http://www.nevo.co.il/law/141771/24.b.2"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0911367" TargetMode="External"/><Relationship Id="rId40" Type="http://schemas.openxmlformats.org/officeDocument/2006/relationships/hyperlink" Target="http://www.nevo.co.il/case/18750106" TargetMode="External"/><Relationship Id="rId45" Type="http://schemas.openxmlformats.org/officeDocument/2006/relationships/hyperlink" Target="http://www.nevo.co.il/case/4674881" TargetMode="External"/><Relationship Id="rId53" Type="http://schemas.openxmlformats.org/officeDocument/2006/relationships/hyperlink" Target="http://www.nevo.co.il/case/24140726"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144.b2" TargetMode="External"/><Relationship Id="rId14" Type="http://schemas.openxmlformats.org/officeDocument/2006/relationships/hyperlink" Target="http://www.nevo.co.il/law/70301/114.a"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144.b2" TargetMode="External"/><Relationship Id="rId30" Type="http://schemas.openxmlformats.org/officeDocument/2006/relationships/hyperlink" Target="http://www.nevo.co.il/law/70301/144.b2" TargetMode="External"/><Relationship Id="rId35" Type="http://schemas.openxmlformats.org/officeDocument/2006/relationships/hyperlink" Target="http://www.nevo.co.il/case/6173293" TargetMode="External"/><Relationship Id="rId43" Type="http://schemas.openxmlformats.org/officeDocument/2006/relationships/hyperlink" Target="http://www.nevo.co.il/case/25585373" TargetMode="External"/><Relationship Id="rId48" Type="http://schemas.openxmlformats.org/officeDocument/2006/relationships/hyperlink" Target="http://www.nevo.co.il/case/23139166" TargetMode="External"/><Relationship Id="rId56" Type="http://schemas.openxmlformats.org/officeDocument/2006/relationships/hyperlink" Target="http://www.nevo.co.il/case/6150971"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6173293" TargetMode="External"/><Relationship Id="rId3" Type="http://schemas.openxmlformats.org/officeDocument/2006/relationships/settings" Target="settings.xml"/><Relationship Id="rId12" Type="http://schemas.openxmlformats.org/officeDocument/2006/relationships/hyperlink" Target="http://www.nevo.co.il/law/141771/23" TargetMode="External"/><Relationship Id="rId17" Type="http://schemas.openxmlformats.org/officeDocument/2006/relationships/hyperlink" Target="http://www.nevo.co.il/law/141771" TargetMode="External"/><Relationship Id="rId25" Type="http://schemas.openxmlformats.org/officeDocument/2006/relationships/hyperlink" Target="http://www.nevo.co.il/law/70301/144.b2" TargetMode="External"/><Relationship Id="rId33" Type="http://schemas.openxmlformats.org/officeDocument/2006/relationships/hyperlink" Target="http://www.nevo.co.il/case/20594156" TargetMode="External"/><Relationship Id="rId38" Type="http://schemas.openxmlformats.org/officeDocument/2006/relationships/hyperlink" Target="http://www.nevo.co.il/case/23139166" TargetMode="External"/><Relationship Id="rId46" Type="http://schemas.openxmlformats.org/officeDocument/2006/relationships/hyperlink" Target="http://www.nevo.co.il/case/20581955" TargetMode="External"/><Relationship Id="rId59"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case/23850993" TargetMode="External"/><Relationship Id="rId54" Type="http://schemas.openxmlformats.org/officeDocument/2006/relationships/hyperlink" Target="http://www.nevo.co.il/case/5724364"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case/5813431" TargetMode="External"/><Relationship Id="rId49" Type="http://schemas.openxmlformats.org/officeDocument/2006/relationships/hyperlink" Target="http://www.nevo.co.il/case/20593844"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144.b2" TargetMode="External"/><Relationship Id="rId31" Type="http://schemas.openxmlformats.org/officeDocument/2006/relationships/hyperlink" Target="http://www.nevo.co.il/law/70301/25" TargetMode="External"/><Relationship Id="rId44" Type="http://schemas.openxmlformats.org/officeDocument/2006/relationships/hyperlink" Target="http://www.nevo.co.il/case/8466781" TargetMode="External"/><Relationship Id="rId52" Type="http://schemas.openxmlformats.org/officeDocument/2006/relationships/hyperlink" Target="http://www.nevo.co.il/case/22702670"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1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3830</Words>
  <Characters>19150</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22935</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3866738</vt:i4>
      </vt:variant>
      <vt:variant>
        <vt:i4>147</vt:i4>
      </vt:variant>
      <vt:variant>
        <vt:i4>0</vt:i4>
      </vt:variant>
      <vt:variant>
        <vt:i4>5</vt:i4>
      </vt:variant>
      <vt:variant>
        <vt:lpwstr>http://www.nevo.co.il/case/6150971</vt:lpwstr>
      </vt:variant>
      <vt:variant>
        <vt:lpwstr/>
      </vt:variant>
      <vt:variant>
        <vt:i4>3539056</vt:i4>
      </vt:variant>
      <vt:variant>
        <vt:i4>144</vt:i4>
      </vt:variant>
      <vt:variant>
        <vt:i4>0</vt:i4>
      </vt:variant>
      <vt:variant>
        <vt:i4>5</vt:i4>
      </vt:variant>
      <vt:variant>
        <vt:lpwstr>http://www.nevo.co.il/case/6473037</vt:lpwstr>
      </vt:variant>
      <vt:variant>
        <vt:lpwstr/>
      </vt:variant>
      <vt:variant>
        <vt:i4>3145841</vt:i4>
      </vt:variant>
      <vt:variant>
        <vt:i4>141</vt:i4>
      </vt:variant>
      <vt:variant>
        <vt:i4>0</vt:i4>
      </vt:variant>
      <vt:variant>
        <vt:i4>5</vt:i4>
      </vt:variant>
      <vt:variant>
        <vt:lpwstr>http://www.nevo.co.il/case/5724364</vt:lpwstr>
      </vt:variant>
      <vt:variant>
        <vt:lpwstr/>
      </vt:variant>
      <vt:variant>
        <vt:i4>3211379</vt:i4>
      </vt:variant>
      <vt:variant>
        <vt:i4>138</vt:i4>
      </vt:variant>
      <vt:variant>
        <vt:i4>0</vt:i4>
      </vt:variant>
      <vt:variant>
        <vt:i4>5</vt:i4>
      </vt:variant>
      <vt:variant>
        <vt:lpwstr>http://www.nevo.co.il/case/24140726</vt:lpwstr>
      </vt:variant>
      <vt:variant>
        <vt:lpwstr/>
      </vt:variant>
      <vt:variant>
        <vt:i4>3145840</vt:i4>
      </vt:variant>
      <vt:variant>
        <vt:i4>135</vt:i4>
      </vt:variant>
      <vt:variant>
        <vt:i4>0</vt:i4>
      </vt:variant>
      <vt:variant>
        <vt:i4>5</vt:i4>
      </vt:variant>
      <vt:variant>
        <vt:lpwstr>http://www.nevo.co.il/case/22702670</vt:lpwstr>
      </vt:variant>
      <vt:variant>
        <vt:lpwstr/>
      </vt:variant>
      <vt:variant>
        <vt:i4>3145855</vt:i4>
      </vt:variant>
      <vt:variant>
        <vt:i4>132</vt:i4>
      </vt:variant>
      <vt:variant>
        <vt:i4>0</vt:i4>
      </vt:variant>
      <vt:variant>
        <vt:i4>5</vt:i4>
      </vt:variant>
      <vt:variant>
        <vt:lpwstr>http://www.nevo.co.il/case/6173293</vt:lpwstr>
      </vt:variant>
      <vt:variant>
        <vt:lpwstr/>
      </vt:variant>
      <vt:variant>
        <vt:i4>3735679</vt:i4>
      </vt:variant>
      <vt:variant>
        <vt:i4>129</vt:i4>
      </vt:variant>
      <vt:variant>
        <vt:i4>0</vt:i4>
      </vt:variant>
      <vt:variant>
        <vt:i4>5</vt:i4>
      </vt:variant>
      <vt:variant>
        <vt:lpwstr>http://www.nevo.co.il/case/20930827</vt:lpwstr>
      </vt:variant>
      <vt:variant>
        <vt:lpwstr/>
      </vt:variant>
      <vt:variant>
        <vt:i4>3145845</vt:i4>
      </vt:variant>
      <vt:variant>
        <vt:i4>126</vt:i4>
      </vt:variant>
      <vt:variant>
        <vt:i4>0</vt:i4>
      </vt:variant>
      <vt:variant>
        <vt:i4>5</vt:i4>
      </vt:variant>
      <vt:variant>
        <vt:lpwstr>http://www.nevo.co.il/case/20593844</vt:lpwstr>
      </vt:variant>
      <vt:variant>
        <vt:lpwstr/>
      </vt:variant>
      <vt:variant>
        <vt:i4>3932277</vt:i4>
      </vt:variant>
      <vt:variant>
        <vt:i4>123</vt:i4>
      </vt:variant>
      <vt:variant>
        <vt:i4>0</vt:i4>
      </vt:variant>
      <vt:variant>
        <vt:i4>5</vt:i4>
      </vt:variant>
      <vt:variant>
        <vt:lpwstr>http://www.nevo.co.il/case/23139166</vt:lpwstr>
      </vt:variant>
      <vt:variant>
        <vt:lpwstr/>
      </vt:variant>
      <vt:variant>
        <vt:i4>3539068</vt:i4>
      </vt:variant>
      <vt:variant>
        <vt:i4>120</vt:i4>
      </vt:variant>
      <vt:variant>
        <vt:i4>0</vt:i4>
      </vt:variant>
      <vt:variant>
        <vt:i4>5</vt:i4>
      </vt:variant>
      <vt:variant>
        <vt:lpwstr>http://www.nevo.co.il/case/20594156</vt:lpwstr>
      </vt:variant>
      <vt:variant>
        <vt:lpwstr/>
      </vt:variant>
      <vt:variant>
        <vt:i4>3342453</vt:i4>
      </vt:variant>
      <vt:variant>
        <vt:i4>117</vt:i4>
      </vt:variant>
      <vt:variant>
        <vt:i4>0</vt:i4>
      </vt:variant>
      <vt:variant>
        <vt:i4>5</vt:i4>
      </vt:variant>
      <vt:variant>
        <vt:lpwstr>http://www.nevo.co.il/case/20581955</vt:lpwstr>
      </vt:variant>
      <vt:variant>
        <vt:lpwstr/>
      </vt:variant>
      <vt:variant>
        <vt:i4>3801214</vt:i4>
      </vt:variant>
      <vt:variant>
        <vt:i4>114</vt:i4>
      </vt:variant>
      <vt:variant>
        <vt:i4>0</vt:i4>
      </vt:variant>
      <vt:variant>
        <vt:i4>5</vt:i4>
      </vt:variant>
      <vt:variant>
        <vt:lpwstr>http://www.nevo.co.il/case/4674881</vt:lpwstr>
      </vt:variant>
      <vt:variant>
        <vt:lpwstr/>
      </vt:variant>
      <vt:variant>
        <vt:i4>3670142</vt:i4>
      </vt:variant>
      <vt:variant>
        <vt:i4>111</vt:i4>
      </vt:variant>
      <vt:variant>
        <vt:i4>0</vt:i4>
      </vt:variant>
      <vt:variant>
        <vt:i4>5</vt:i4>
      </vt:variant>
      <vt:variant>
        <vt:lpwstr>http://www.nevo.co.il/case/8466781</vt:lpwstr>
      </vt:variant>
      <vt:variant>
        <vt:lpwstr/>
      </vt:variant>
      <vt:variant>
        <vt:i4>3473530</vt:i4>
      </vt:variant>
      <vt:variant>
        <vt:i4>108</vt:i4>
      </vt:variant>
      <vt:variant>
        <vt:i4>0</vt:i4>
      </vt:variant>
      <vt:variant>
        <vt:i4>5</vt:i4>
      </vt:variant>
      <vt:variant>
        <vt:lpwstr>http://www.nevo.co.il/case/25585373</vt:lpwstr>
      </vt:variant>
      <vt:variant>
        <vt:lpwstr/>
      </vt:variant>
      <vt:variant>
        <vt:i4>3276920</vt:i4>
      </vt:variant>
      <vt:variant>
        <vt:i4>105</vt:i4>
      </vt:variant>
      <vt:variant>
        <vt:i4>0</vt:i4>
      </vt:variant>
      <vt:variant>
        <vt:i4>5</vt:i4>
      </vt:variant>
      <vt:variant>
        <vt:lpwstr>http://www.nevo.co.il/case/25581149</vt:lpwstr>
      </vt:variant>
      <vt:variant>
        <vt:lpwstr/>
      </vt:variant>
      <vt:variant>
        <vt:i4>3342459</vt:i4>
      </vt:variant>
      <vt:variant>
        <vt:i4>102</vt:i4>
      </vt:variant>
      <vt:variant>
        <vt:i4>0</vt:i4>
      </vt:variant>
      <vt:variant>
        <vt:i4>5</vt:i4>
      </vt:variant>
      <vt:variant>
        <vt:lpwstr>http://www.nevo.co.il/case/23850993</vt:lpwstr>
      </vt:variant>
      <vt:variant>
        <vt:lpwstr/>
      </vt:variant>
      <vt:variant>
        <vt:i4>3539064</vt:i4>
      </vt:variant>
      <vt:variant>
        <vt:i4>99</vt:i4>
      </vt:variant>
      <vt:variant>
        <vt:i4>0</vt:i4>
      </vt:variant>
      <vt:variant>
        <vt:i4>5</vt:i4>
      </vt:variant>
      <vt:variant>
        <vt:lpwstr>http://www.nevo.co.il/case/18750106</vt:lpwstr>
      </vt:variant>
      <vt:variant>
        <vt:lpwstr/>
      </vt:variant>
      <vt:variant>
        <vt:i4>3932276</vt:i4>
      </vt:variant>
      <vt:variant>
        <vt:i4>96</vt:i4>
      </vt:variant>
      <vt:variant>
        <vt:i4>0</vt:i4>
      </vt:variant>
      <vt:variant>
        <vt:i4>5</vt:i4>
      </vt:variant>
      <vt:variant>
        <vt:lpwstr>http://www.nevo.co.il/case/22867411</vt:lpwstr>
      </vt:variant>
      <vt:variant>
        <vt:lpwstr/>
      </vt:variant>
      <vt:variant>
        <vt:i4>3932277</vt:i4>
      </vt:variant>
      <vt:variant>
        <vt:i4>93</vt:i4>
      </vt:variant>
      <vt:variant>
        <vt:i4>0</vt:i4>
      </vt:variant>
      <vt:variant>
        <vt:i4>5</vt:i4>
      </vt:variant>
      <vt:variant>
        <vt:lpwstr>http://www.nevo.co.il/case/23139166</vt:lpwstr>
      </vt:variant>
      <vt:variant>
        <vt:lpwstr/>
      </vt:variant>
      <vt:variant>
        <vt:i4>3932278</vt:i4>
      </vt:variant>
      <vt:variant>
        <vt:i4>90</vt:i4>
      </vt:variant>
      <vt:variant>
        <vt:i4>0</vt:i4>
      </vt:variant>
      <vt:variant>
        <vt:i4>5</vt:i4>
      </vt:variant>
      <vt:variant>
        <vt:lpwstr>http://www.nevo.co.il/case/20911367</vt:lpwstr>
      </vt:variant>
      <vt:variant>
        <vt:lpwstr/>
      </vt:variant>
      <vt:variant>
        <vt:i4>3211388</vt:i4>
      </vt:variant>
      <vt:variant>
        <vt:i4>87</vt:i4>
      </vt:variant>
      <vt:variant>
        <vt:i4>0</vt:i4>
      </vt:variant>
      <vt:variant>
        <vt:i4>5</vt:i4>
      </vt:variant>
      <vt:variant>
        <vt:lpwstr>http://www.nevo.co.il/case/5813431</vt:lpwstr>
      </vt:variant>
      <vt:variant>
        <vt:lpwstr/>
      </vt:variant>
      <vt:variant>
        <vt:i4>3145855</vt:i4>
      </vt:variant>
      <vt:variant>
        <vt:i4>84</vt:i4>
      </vt:variant>
      <vt:variant>
        <vt:i4>0</vt:i4>
      </vt:variant>
      <vt:variant>
        <vt:i4>5</vt:i4>
      </vt:variant>
      <vt:variant>
        <vt:lpwstr>http://www.nevo.co.il/case/6173293</vt:lpwstr>
      </vt:variant>
      <vt:variant>
        <vt:lpwstr/>
      </vt:variant>
      <vt:variant>
        <vt:i4>3145845</vt:i4>
      </vt:variant>
      <vt:variant>
        <vt:i4>81</vt:i4>
      </vt:variant>
      <vt:variant>
        <vt:i4>0</vt:i4>
      </vt:variant>
      <vt:variant>
        <vt:i4>5</vt:i4>
      </vt:variant>
      <vt:variant>
        <vt:lpwstr>http://www.nevo.co.il/case/5951999</vt:lpwstr>
      </vt:variant>
      <vt:variant>
        <vt:lpwstr/>
      </vt:variant>
      <vt:variant>
        <vt:i4>3539068</vt:i4>
      </vt:variant>
      <vt:variant>
        <vt:i4>78</vt:i4>
      </vt:variant>
      <vt:variant>
        <vt:i4>0</vt:i4>
      </vt:variant>
      <vt:variant>
        <vt:i4>5</vt:i4>
      </vt:variant>
      <vt:variant>
        <vt:lpwstr>http://www.nevo.co.il/case/20594156</vt:lpwstr>
      </vt:variant>
      <vt:variant>
        <vt:lpwstr/>
      </vt:variant>
      <vt:variant>
        <vt:i4>7995492</vt:i4>
      </vt:variant>
      <vt:variant>
        <vt:i4>75</vt:i4>
      </vt:variant>
      <vt:variant>
        <vt:i4>0</vt:i4>
      </vt:variant>
      <vt:variant>
        <vt:i4>5</vt:i4>
      </vt:variant>
      <vt:variant>
        <vt:lpwstr>http://www.nevo.co.il/law/70301</vt:lpwstr>
      </vt:variant>
      <vt:variant>
        <vt:lpwstr/>
      </vt:variant>
      <vt:variant>
        <vt:i4>6291559</vt:i4>
      </vt:variant>
      <vt:variant>
        <vt:i4>72</vt:i4>
      </vt:variant>
      <vt:variant>
        <vt:i4>0</vt:i4>
      </vt:variant>
      <vt:variant>
        <vt:i4>5</vt:i4>
      </vt:variant>
      <vt:variant>
        <vt:lpwstr>http://www.nevo.co.il/law/70301/25</vt:lpwstr>
      </vt:variant>
      <vt:variant>
        <vt:lpwstr/>
      </vt:variant>
      <vt:variant>
        <vt:i4>8192050</vt:i4>
      </vt:variant>
      <vt:variant>
        <vt:i4>69</vt:i4>
      </vt:variant>
      <vt:variant>
        <vt:i4>0</vt:i4>
      </vt:variant>
      <vt:variant>
        <vt:i4>5</vt:i4>
      </vt:variant>
      <vt:variant>
        <vt:lpwstr>http://www.nevo.co.il/law/70301/144.b2</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8192050</vt:i4>
      </vt:variant>
      <vt:variant>
        <vt:i4>63</vt:i4>
      </vt:variant>
      <vt:variant>
        <vt:i4>0</vt:i4>
      </vt:variant>
      <vt:variant>
        <vt:i4>5</vt:i4>
      </vt:variant>
      <vt:variant>
        <vt:lpwstr>http://www.nevo.co.il/law/70301/144.b2</vt:lpwstr>
      </vt:variant>
      <vt:variant>
        <vt:lpwstr/>
      </vt:variant>
      <vt:variant>
        <vt:i4>8192050</vt:i4>
      </vt:variant>
      <vt:variant>
        <vt:i4>60</vt:i4>
      </vt:variant>
      <vt:variant>
        <vt:i4>0</vt:i4>
      </vt:variant>
      <vt:variant>
        <vt:i4>5</vt:i4>
      </vt:variant>
      <vt:variant>
        <vt:lpwstr>http://www.nevo.co.il/law/70301/144.b2</vt:lpwstr>
      </vt:variant>
      <vt:variant>
        <vt:lpwstr/>
      </vt:variant>
      <vt:variant>
        <vt:i4>7995492</vt:i4>
      </vt:variant>
      <vt:variant>
        <vt:i4>57</vt:i4>
      </vt:variant>
      <vt:variant>
        <vt:i4>0</vt:i4>
      </vt:variant>
      <vt:variant>
        <vt:i4>5</vt:i4>
      </vt:variant>
      <vt:variant>
        <vt:lpwstr>http://www.nevo.co.il/law/70301</vt:lpwstr>
      </vt:variant>
      <vt:variant>
        <vt:lpwstr/>
      </vt:variant>
      <vt:variant>
        <vt:i4>8192050</vt:i4>
      </vt:variant>
      <vt:variant>
        <vt:i4>54</vt:i4>
      </vt:variant>
      <vt:variant>
        <vt:i4>0</vt:i4>
      </vt:variant>
      <vt:variant>
        <vt:i4>5</vt:i4>
      </vt:variant>
      <vt:variant>
        <vt:lpwstr>http://www.nevo.co.il/law/70301/144.b2</vt:lpwstr>
      </vt:variant>
      <vt:variant>
        <vt:lpwstr/>
      </vt:variant>
      <vt:variant>
        <vt:i4>7995438</vt:i4>
      </vt:variant>
      <vt:variant>
        <vt:i4>51</vt:i4>
      </vt:variant>
      <vt:variant>
        <vt:i4>0</vt:i4>
      </vt:variant>
      <vt:variant>
        <vt:i4>5</vt:i4>
      </vt:variant>
      <vt:variant>
        <vt:lpwstr>http://www.nevo.co.il/law/141771/24.b.2</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7995492</vt:i4>
      </vt:variant>
      <vt:variant>
        <vt:i4>39</vt:i4>
      </vt:variant>
      <vt:variant>
        <vt:i4>0</vt:i4>
      </vt:variant>
      <vt:variant>
        <vt:i4>5</vt:i4>
      </vt:variant>
      <vt:variant>
        <vt:lpwstr>http://www.nevo.co.il/law/70301</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7995438</vt:i4>
      </vt:variant>
      <vt:variant>
        <vt:i4>33</vt:i4>
      </vt:variant>
      <vt:variant>
        <vt:i4>0</vt:i4>
      </vt:variant>
      <vt:variant>
        <vt:i4>5</vt:i4>
      </vt:variant>
      <vt:variant>
        <vt:lpwstr>http://www.nevo.co.il/law/141771/24.b.2</vt:lpwstr>
      </vt:variant>
      <vt:variant>
        <vt:lpwstr/>
      </vt:variant>
      <vt:variant>
        <vt:i4>4718679</vt:i4>
      </vt:variant>
      <vt:variant>
        <vt:i4>30</vt:i4>
      </vt:variant>
      <vt:variant>
        <vt:i4>0</vt:i4>
      </vt:variant>
      <vt:variant>
        <vt:i4>5</vt:i4>
      </vt:variant>
      <vt:variant>
        <vt:lpwstr>http://www.nevo.co.il/law/141771</vt:lpwstr>
      </vt:variant>
      <vt:variant>
        <vt:lpwstr/>
      </vt:variant>
      <vt:variant>
        <vt:i4>7995512</vt:i4>
      </vt:variant>
      <vt:variant>
        <vt:i4>27</vt:i4>
      </vt:variant>
      <vt:variant>
        <vt:i4>0</vt:i4>
      </vt:variant>
      <vt:variant>
        <vt:i4>5</vt:i4>
      </vt:variant>
      <vt:variant>
        <vt:lpwstr>http://www.nevo.co.il/law/141771/23</vt:lpwstr>
      </vt:variant>
      <vt:variant>
        <vt:lpwstr/>
      </vt:variant>
      <vt:variant>
        <vt:i4>7995492</vt:i4>
      </vt:variant>
      <vt:variant>
        <vt:i4>24</vt:i4>
      </vt:variant>
      <vt:variant>
        <vt:i4>0</vt:i4>
      </vt:variant>
      <vt:variant>
        <vt:i4>5</vt:i4>
      </vt:variant>
      <vt:variant>
        <vt:lpwstr>http://www.nevo.co.il/law/70301</vt:lpwstr>
      </vt:variant>
      <vt:variant>
        <vt:lpwstr/>
      </vt:variant>
      <vt:variant>
        <vt:i4>4849744</vt:i4>
      </vt:variant>
      <vt:variant>
        <vt:i4>21</vt:i4>
      </vt:variant>
      <vt:variant>
        <vt:i4>0</vt:i4>
      </vt:variant>
      <vt:variant>
        <vt:i4>5</vt:i4>
      </vt:variant>
      <vt:variant>
        <vt:lpwstr>http://www.nevo.co.il/law/70301/114.a</vt:lpwstr>
      </vt:variant>
      <vt:variant>
        <vt:lpwstr/>
      </vt:variant>
      <vt:variant>
        <vt:i4>7995438</vt:i4>
      </vt:variant>
      <vt:variant>
        <vt:i4>18</vt:i4>
      </vt:variant>
      <vt:variant>
        <vt:i4>0</vt:i4>
      </vt:variant>
      <vt:variant>
        <vt:i4>5</vt:i4>
      </vt:variant>
      <vt:variant>
        <vt:lpwstr>http://www.nevo.co.il/law/141771/24.b.2</vt:lpwstr>
      </vt:variant>
      <vt:variant>
        <vt:lpwstr/>
      </vt:variant>
      <vt:variant>
        <vt:i4>7995512</vt:i4>
      </vt:variant>
      <vt:variant>
        <vt:i4>15</vt:i4>
      </vt:variant>
      <vt:variant>
        <vt:i4>0</vt:i4>
      </vt:variant>
      <vt:variant>
        <vt:i4>5</vt:i4>
      </vt:variant>
      <vt:variant>
        <vt:lpwstr>http://www.nevo.co.il/law/141771/23</vt:lpwstr>
      </vt:variant>
      <vt:variant>
        <vt:lpwstr/>
      </vt:variant>
      <vt:variant>
        <vt:i4>4718679</vt:i4>
      </vt:variant>
      <vt:variant>
        <vt:i4>12</vt:i4>
      </vt:variant>
      <vt:variant>
        <vt:i4>0</vt:i4>
      </vt:variant>
      <vt:variant>
        <vt:i4>5</vt:i4>
      </vt:variant>
      <vt:variant>
        <vt:lpwstr>http://www.nevo.co.il/law/141771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4849744</vt:i4>
      </vt:variant>
      <vt:variant>
        <vt:i4>6</vt:i4>
      </vt:variant>
      <vt:variant>
        <vt:i4>0</vt:i4>
      </vt:variant>
      <vt:variant>
        <vt:i4>5</vt:i4>
      </vt:variant>
      <vt:variant>
        <vt:lpwstr>http://www.nevo.co.il/law/70301/114.a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2023-12-07T12:05:00Z</dcterms:created>
  <dcterms:modified xsi:type="dcterms:W3CDTF">2023-12-07T12:05:00Z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36982</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סאלם אלרג'וב</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20190915</vt:lpwstr>
  </property>
  <property fmtid="{D5CDD505-2E9C-101B-9397-08002B2CF9AE}" pid="13" name="TYPE_N_DATE">
    <vt:lpwstr>39020190915</vt:lpwstr>
  </property>
  <property fmtid="{D5CDD505-2E9C-101B-9397-08002B2CF9AE}" pid="14" name="CASESLISTTMP1">
    <vt:lpwstr>20594156:2;5951999;6173293:2;5813431;20911367;23139166:2;22867411;18750106;23850993;25581149;25585373;8466781;4674881;20581955;20593844;20930827;22702670;24140726;5724364;6473037;6150971</vt:lpwstr>
  </property>
  <property fmtid="{D5CDD505-2E9C-101B-9397-08002B2CF9AE}" pid="15" name="WORDNUMPAGES">
    <vt:lpwstr>16</vt:lpwstr>
  </property>
  <property fmtid="{D5CDD505-2E9C-101B-9397-08002B2CF9AE}" pid="16" name="TYPE_ABS_DATE">
    <vt:lpwstr>390020190915</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70301/114.a;144.b2:6;025:3</vt:lpwstr>
  </property>
  <property fmtid="{D5CDD505-2E9C-101B-9397-08002B2CF9AE}" pid="37" name="LAWLISTTMP2">
    <vt:lpwstr>141771/023;024.b.2:2</vt:lpwstr>
  </property>
</Properties>
</file>