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9224" w:type="dxa"/>
        <w:jc w:val="center"/>
        <w:tblLook w:val="0000" w:firstRow="0" w:lastRow="0" w:firstColumn="0" w:lastColumn="0" w:noHBand="0" w:noVBand="0"/>
      </w:tblPr>
      <w:tblGrid>
        <w:gridCol w:w="3671"/>
        <w:gridCol w:w="1256"/>
        <w:gridCol w:w="4297"/>
      </w:tblGrid>
      <w:tr w:rsidR="002C7F25" w:rsidRPr="005B1437" w14:paraId="1C7E128F" w14:textId="77777777" w:rsidTr="00D34B21">
        <w:trPr>
          <w:trHeight w:hRule="exact" w:val="339"/>
          <w:jc w:val="center"/>
        </w:trPr>
        <w:tc>
          <w:tcPr>
            <w:tcW w:w="9224" w:type="dxa"/>
            <w:gridSpan w:val="3"/>
          </w:tcPr>
          <w:p w14:paraId="6A2B5C3A" w14:textId="77777777" w:rsidR="002C7F25" w:rsidRPr="005B1437" w:rsidRDefault="002C7F25" w:rsidP="00D34B21">
            <w:pPr>
              <w:pStyle w:val="a3"/>
              <w:jc w:val="center"/>
              <w:rPr>
                <w:rFonts w:ascii="Tahoma" w:hAnsi="Tahoma"/>
                <w:rtl/>
              </w:rPr>
            </w:pPr>
            <w:bookmarkStart w:id="0" w:name="LastJudge"/>
            <w:r w:rsidRPr="005B1437">
              <w:rPr>
                <w:rFonts w:ascii="Tahoma" w:hAnsi="Tahoma" w:hint="cs"/>
                <w:b/>
                <w:bCs/>
                <w:rtl/>
              </w:rPr>
              <w:t>בתי המשפט</w:t>
            </w:r>
          </w:p>
        </w:tc>
      </w:tr>
      <w:tr w:rsidR="002C7F25" w:rsidRPr="005B1437" w14:paraId="16FCB7C2" w14:textId="77777777" w:rsidTr="00D34B21">
        <w:trPr>
          <w:trHeight w:val="337"/>
          <w:jc w:val="center"/>
        </w:trPr>
        <w:tc>
          <w:tcPr>
            <w:tcW w:w="4927" w:type="dxa"/>
            <w:gridSpan w:val="2"/>
          </w:tcPr>
          <w:p w14:paraId="2B9ACA99" w14:textId="77777777" w:rsidR="002C7F25" w:rsidRPr="005B1437" w:rsidRDefault="002C7F25" w:rsidP="00D34B21">
            <w:pPr>
              <w:pStyle w:val="a3"/>
              <w:rPr>
                <w:b/>
                <w:bCs/>
                <w:sz w:val="32"/>
                <w:szCs w:val="32"/>
                <w:rtl/>
              </w:rPr>
            </w:pPr>
            <w:r w:rsidRPr="005B1437">
              <w:rPr>
                <w:rFonts w:hint="cs"/>
                <w:b/>
                <w:bCs/>
                <w:sz w:val="32"/>
                <w:szCs w:val="32"/>
                <w:rtl/>
              </w:rPr>
              <w:t>בבית המשפט המחוזי</w:t>
            </w:r>
          </w:p>
          <w:p w14:paraId="6C5B1078" w14:textId="77777777" w:rsidR="002C7F25" w:rsidRPr="005B1437" w:rsidRDefault="002C7F25" w:rsidP="00D34B21">
            <w:pPr>
              <w:pStyle w:val="a3"/>
              <w:rPr>
                <w:sz w:val="28"/>
                <w:szCs w:val="28"/>
                <w:rtl/>
              </w:rPr>
            </w:pPr>
            <w:r w:rsidRPr="005B1437">
              <w:rPr>
                <w:rFonts w:hint="cs"/>
                <w:b/>
                <w:bCs/>
                <w:sz w:val="32"/>
                <w:szCs w:val="32"/>
                <w:rtl/>
              </w:rPr>
              <w:t>בירושלים</w:t>
            </w:r>
          </w:p>
        </w:tc>
        <w:tc>
          <w:tcPr>
            <w:tcW w:w="4297" w:type="dxa"/>
          </w:tcPr>
          <w:p w14:paraId="7C93B0F8" w14:textId="77777777" w:rsidR="002C7F25" w:rsidRPr="005B1437" w:rsidRDefault="002C7F25" w:rsidP="00D34B21">
            <w:pPr>
              <w:jc w:val="right"/>
              <w:rPr>
                <w:b/>
                <w:bCs/>
                <w:sz w:val="32"/>
                <w:szCs w:val="32"/>
                <w:rtl/>
              </w:rPr>
            </w:pPr>
            <w:r w:rsidRPr="005B1437">
              <w:rPr>
                <w:b/>
                <w:bCs/>
                <w:sz w:val="32"/>
                <w:szCs w:val="32"/>
                <w:rtl/>
              </w:rPr>
              <w:t>ת"פ</w:t>
            </w:r>
            <w:r w:rsidRPr="005B1437">
              <w:rPr>
                <w:rFonts w:hint="cs"/>
                <w:b/>
                <w:bCs/>
                <w:sz w:val="32"/>
                <w:szCs w:val="32"/>
                <w:rtl/>
              </w:rPr>
              <w:t xml:space="preserve"> </w:t>
            </w:r>
            <w:r w:rsidRPr="005B1437">
              <w:rPr>
                <w:b/>
                <w:bCs/>
                <w:sz w:val="32"/>
                <w:szCs w:val="32"/>
                <w:rtl/>
              </w:rPr>
              <w:t>42976-08-17</w:t>
            </w:r>
            <w:r w:rsidRPr="005B1437">
              <w:rPr>
                <w:rFonts w:hint="cs"/>
                <w:b/>
                <w:bCs/>
                <w:sz w:val="32"/>
                <w:szCs w:val="32"/>
                <w:rtl/>
              </w:rPr>
              <w:t xml:space="preserve"> </w:t>
            </w:r>
          </w:p>
          <w:p w14:paraId="48F91128" w14:textId="77777777" w:rsidR="002C7F25" w:rsidRPr="005B1437" w:rsidRDefault="002C7F25" w:rsidP="00D34B21">
            <w:pPr>
              <w:pStyle w:val="a3"/>
              <w:jc w:val="right"/>
              <w:rPr>
                <w:rtl/>
              </w:rPr>
            </w:pPr>
          </w:p>
          <w:p w14:paraId="1613F723" w14:textId="77777777" w:rsidR="002C7F25" w:rsidRPr="005B1437" w:rsidRDefault="002C7F25" w:rsidP="00D34B21">
            <w:pPr>
              <w:pStyle w:val="a3"/>
              <w:jc w:val="right"/>
              <w:rPr>
                <w:b/>
                <w:bCs/>
                <w:sz w:val="32"/>
                <w:szCs w:val="32"/>
                <w:rtl/>
              </w:rPr>
            </w:pPr>
          </w:p>
        </w:tc>
      </w:tr>
      <w:tr w:rsidR="002C7F25" w:rsidRPr="005B1437" w14:paraId="0EB33838" w14:textId="77777777" w:rsidTr="00D34B21">
        <w:trPr>
          <w:trHeight w:val="337"/>
          <w:jc w:val="center"/>
        </w:trPr>
        <w:tc>
          <w:tcPr>
            <w:tcW w:w="3671" w:type="dxa"/>
          </w:tcPr>
          <w:p w14:paraId="7822503C" w14:textId="77777777" w:rsidR="002C7F25" w:rsidRPr="005B1437" w:rsidRDefault="002C7F25" w:rsidP="00D34B21">
            <w:pPr>
              <w:rPr>
                <w:rFonts w:ascii="Arial" w:hAnsi="Arial"/>
                <w:b/>
                <w:bCs/>
                <w:sz w:val="28"/>
                <w:szCs w:val="28"/>
                <w:rtl/>
              </w:rPr>
            </w:pPr>
          </w:p>
          <w:p w14:paraId="576D07EE" w14:textId="77777777" w:rsidR="002C7F25" w:rsidRPr="005B1437" w:rsidRDefault="002C7F25" w:rsidP="00D34B21">
            <w:r w:rsidRPr="005B1437">
              <w:rPr>
                <w:rFonts w:ascii="Arial" w:hAnsi="Arial" w:hint="cs"/>
                <w:b/>
                <w:bCs/>
                <w:sz w:val="28"/>
                <w:szCs w:val="28"/>
                <w:rtl/>
              </w:rPr>
              <w:t>ב</w:t>
            </w:r>
            <w:r w:rsidRPr="005B1437">
              <w:rPr>
                <w:rFonts w:ascii="Arial" w:hAnsi="Arial"/>
                <w:b/>
                <w:bCs/>
                <w:sz w:val="28"/>
                <w:szCs w:val="28"/>
                <w:rtl/>
              </w:rPr>
              <w:t>פני</w:t>
            </w:r>
            <w:r w:rsidRPr="005B1437">
              <w:rPr>
                <w:rFonts w:ascii="Arial" w:hAnsi="Arial" w:hint="cs"/>
                <w:b/>
                <w:bCs/>
                <w:sz w:val="28"/>
                <w:szCs w:val="28"/>
                <w:rtl/>
              </w:rPr>
              <w:t>: כב' ה</w:t>
            </w:r>
            <w:r w:rsidRPr="005B1437">
              <w:rPr>
                <w:rFonts w:ascii="Arial" w:hAnsi="Arial"/>
                <w:b/>
                <w:bCs/>
                <w:sz w:val="28"/>
                <w:szCs w:val="28"/>
                <w:rtl/>
              </w:rPr>
              <w:t>שופט</w:t>
            </w:r>
            <w:r w:rsidRPr="005B1437">
              <w:rPr>
                <w:rFonts w:ascii="Arial" w:hAnsi="Arial" w:hint="cs"/>
                <w:b/>
                <w:bCs/>
                <w:sz w:val="28"/>
                <w:szCs w:val="28"/>
                <w:rtl/>
              </w:rPr>
              <w:t xml:space="preserve"> </w:t>
            </w:r>
            <w:r w:rsidRPr="005B1437">
              <w:rPr>
                <w:rFonts w:ascii="Arial" w:hAnsi="Arial"/>
                <w:b/>
                <w:bCs/>
                <w:sz w:val="28"/>
                <w:szCs w:val="28"/>
                <w:rtl/>
              </w:rPr>
              <w:t>אלכסנדר רון</w:t>
            </w:r>
          </w:p>
          <w:p w14:paraId="0CD6124D" w14:textId="77777777" w:rsidR="002C7F25" w:rsidRPr="005B1437" w:rsidRDefault="002C7F25" w:rsidP="00D34B21">
            <w:pPr>
              <w:jc w:val="right"/>
              <w:rPr>
                <w:b/>
                <w:bCs/>
                <w:sz w:val="32"/>
                <w:szCs w:val="32"/>
              </w:rPr>
            </w:pPr>
          </w:p>
        </w:tc>
        <w:tc>
          <w:tcPr>
            <w:tcW w:w="5553" w:type="dxa"/>
            <w:gridSpan w:val="2"/>
          </w:tcPr>
          <w:p w14:paraId="0B88C97A" w14:textId="77777777" w:rsidR="002C7F25" w:rsidRPr="005B1437" w:rsidRDefault="002C7F25" w:rsidP="00D34B21">
            <w:pPr>
              <w:jc w:val="right"/>
              <w:rPr>
                <w:b/>
                <w:bCs/>
                <w:sz w:val="28"/>
                <w:szCs w:val="28"/>
                <w:rtl/>
              </w:rPr>
            </w:pPr>
          </w:p>
          <w:p w14:paraId="19A5F4F6" w14:textId="77777777" w:rsidR="002C7F25" w:rsidRPr="005B1437" w:rsidRDefault="002C7F25" w:rsidP="00D34B21">
            <w:pPr>
              <w:jc w:val="right"/>
              <w:rPr>
                <w:b/>
                <w:bCs/>
                <w:sz w:val="32"/>
                <w:szCs w:val="32"/>
                <w:rtl/>
              </w:rPr>
            </w:pPr>
            <w:r w:rsidRPr="005B1437">
              <w:rPr>
                <w:rFonts w:hint="cs"/>
                <w:b/>
                <w:bCs/>
                <w:sz w:val="28"/>
                <w:szCs w:val="28"/>
                <w:rtl/>
              </w:rPr>
              <w:t>תאריך: ז' תמוז תשע"ט, 10 יולי 2019</w:t>
            </w:r>
          </w:p>
        </w:tc>
      </w:tr>
    </w:tbl>
    <w:p w14:paraId="0C806E53" w14:textId="77777777" w:rsidR="002C7F25" w:rsidRPr="005B1437" w:rsidRDefault="002C7F25" w:rsidP="002C7F25">
      <w:pPr>
        <w:pStyle w:val="a3"/>
        <w:rPr>
          <w:rtl/>
        </w:rPr>
      </w:pPr>
      <w:r w:rsidRPr="005B1437">
        <w:rPr>
          <w:rFonts w:hint="cs"/>
          <w:rtl/>
        </w:rPr>
        <w:t xml:space="preserve"> </w:t>
      </w:r>
    </w:p>
    <w:p w14:paraId="36151F8C" w14:textId="77777777" w:rsidR="002C7F25" w:rsidRPr="005B1437" w:rsidRDefault="002C7F25" w:rsidP="002C7F25">
      <w:pPr>
        <w:spacing w:line="480" w:lineRule="auto"/>
        <w:jc w:val="center"/>
        <w:rPr>
          <w:rFonts w:ascii="Arial" w:hAnsi="Arial"/>
          <w:b/>
          <w:bCs/>
          <w:sz w:val="36"/>
          <w:szCs w:val="36"/>
          <w:rtl/>
        </w:rPr>
      </w:pPr>
    </w:p>
    <w:p w14:paraId="63681CF1" w14:textId="77777777" w:rsidR="002C7F25" w:rsidRPr="005B1437" w:rsidRDefault="002C7F25" w:rsidP="002C7F25">
      <w:pPr>
        <w:spacing w:line="480" w:lineRule="auto"/>
        <w:jc w:val="center"/>
        <w:rPr>
          <w:rFonts w:ascii="Arial" w:hAnsi="Arial"/>
          <w:b/>
          <w:bCs/>
          <w:sz w:val="36"/>
          <w:szCs w:val="36"/>
          <w:rtl/>
        </w:rPr>
      </w:pP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4480"/>
        <w:gridCol w:w="3499"/>
        <w:gridCol w:w="380"/>
      </w:tblGrid>
      <w:tr w:rsidR="002C7F25" w:rsidRPr="005B1437" w14:paraId="10DC43C4" w14:textId="77777777" w:rsidTr="00736ADC">
        <w:trPr>
          <w:trHeight w:val="395"/>
          <w:jc w:val="center"/>
        </w:trPr>
        <w:tc>
          <w:tcPr>
            <w:tcW w:w="9200" w:type="dxa"/>
            <w:gridSpan w:val="4"/>
            <w:tcBorders>
              <w:top w:val="nil"/>
              <w:left w:val="nil"/>
              <w:bottom w:val="nil"/>
              <w:right w:val="nil"/>
            </w:tcBorders>
            <w:shd w:val="clear" w:color="auto" w:fill="auto"/>
          </w:tcPr>
          <w:p w14:paraId="2C2B36A6" w14:textId="77777777" w:rsidR="002C7F25" w:rsidRPr="005B1437" w:rsidRDefault="002C7F25" w:rsidP="002C7F25">
            <w:pPr>
              <w:jc w:val="right"/>
              <w:rPr>
                <w:rFonts w:ascii="Arial" w:hAnsi="Arial"/>
                <w:b/>
                <w:bCs/>
                <w:rtl/>
              </w:rPr>
            </w:pPr>
          </w:p>
        </w:tc>
      </w:tr>
      <w:tr w:rsidR="002C7F25" w:rsidRPr="005B1437" w14:paraId="0FED3369" w14:textId="77777777" w:rsidTr="00736ADC">
        <w:trPr>
          <w:trHeight w:val="355"/>
          <w:jc w:val="center"/>
        </w:trPr>
        <w:tc>
          <w:tcPr>
            <w:tcW w:w="841" w:type="dxa"/>
            <w:tcBorders>
              <w:top w:val="nil"/>
              <w:left w:val="nil"/>
              <w:bottom w:val="nil"/>
              <w:right w:val="nil"/>
            </w:tcBorders>
            <w:shd w:val="clear" w:color="auto" w:fill="auto"/>
          </w:tcPr>
          <w:p w14:paraId="6D20784A" w14:textId="77777777" w:rsidR="002C7F25" w:rsidRPr="005B1437" w:rsidRDefault="002C7F25" w:rsidP="002C7F25">
            <w:pPr>
              <w:jc w:val="both"/>
              <w:rPr>
                <w:rFonts w:ascii="Arial" w:hAnsi="Arial"/>
                <w:b/>
                <w:bCs/>
              </w:rPr>
            </w:pPr>
            <w:bookmarkStart w:id="1" w:name="FirstAppellant"/>
            <w:r w:rsidRPr="005B1437">
              <w:rPr>
                <w:rFonts w:ascii="Arial" w:hAnsi="Arial" w:hint="cs"/>
                <w:b/>
                <w:bCs/>
                <w:rtl/>
              </w:rPr>
              <w:t>בעניין:</w:t>
            </w:r>
          </w:p>
        </w:tc>
        <w:tc>
          <w:tcPr>
            <w:tcW w:w="4480" w:type="dxa"/>
            <w:tcBorders>
              <w:top w:val="nil"/>
              <w:left w:val="nil"/>
              <w:bottom w:val="nil"/>
              <w:right w:val="nil"/>
            </w:tcBorders>
            <w:shd w:val="clear" w:color="auto" w:fill="auto"/>
          </w:tcPr>
          <w:p w14:paraId="11B390AB" w14:textId="77777777" w:rsidR="002C7F25" w:rsidRPr="005B1437" w:rsidRDefault="002C7F25" w:rsidP="002C7F25">
            <w:pPr>
              <w:spacing w:line="360" w:lineRule="auto"/>
              <w:rPr>
                <w:b/>
                <w:bCs/>
              </w:rPr>
            </w:pPr>
            <w:r w:rsidRPr="005B1437">
              <w:rPr>
                <w:rFonts w:ascii="Arial" w:hAnsi="Arial"/>
                <w:b/>
                <w:bCs/>
                <w:rtl/>
              </w:rPr>
              <w:t>מ</w:t>
            </w:r>
            <w:r w:rsidRPr="005B1437">
              <w:rPr>
                <w:rFonts w:ascii="Arial" w:hAnsi="Arial" w:hint="cs"/>
                <w:b/>
                <w:bCs/>
                <w:rtl/>
              </w:rPr>
              <w:t>דינת ישראל [המ</w:t>
            </w:r>
            <w:r w:rsidRPr="005B1437">
              <w:rPr>
                <w:rFonts w:ascii="Arial" w:hAnsi="Arial"/>
                <w:b/>
                <w:bCs/>
                <w:rtl/>
              </w:rPr>
              <w:t>חלקה לחקירות שוטרים</w:t>
            </w:r>
            <w:r w:rsidRPr="005B1437">
              <w:rPr>
                <w:rFonts w:ascii="Arial" w:hAnsi="Arial" w:hint="cs"/>
                <w:b/>
                <w:bCs/>
                <w:rtl/>
              </w:rPr>
              <w:t>]</w:t>
            </w:r>
          </w:p>
        </w:tc>
        <w:tc>
          <w:tcPr>
            <w:tcW w:w="3879" w:type="dxa"/>
            <w:gridSpan w:val="2"/>
            <w:tcBorders>
              <w:top w:val="nil"/>
              <w:left w:val="nil"/>
              <w:bottom w:val="nil"/>
              <w:right w:val="nil"/>
            </w:tcBorders>
            <w:shd w:val="clear" w:color="auto" w:fill="auto"/>
            <w:vAlign w:val="bottom"/>
          </w:tcPr>
          <w:p w14:paraId="30C1A53F" w14:textId="77777777" w:rsidR="002C7F25" w:rsidRPr="005B1437" w:rsidRDefault="002C7F25" w:rsidP="00D34B21">
            <w:pPr>
              <w:rPr>
                <w:rFonts w:ascii="Arial" w:hAnsi="Arial"/>
              </w:rPr>
            </w:pPr>
            <w:r w:rsidRPr="005B1437">
              <w:rPr>
                <w:rFonts w:ascii="Arial" w:hAnsi="Arial" w:hint="cs"/>
                <w:b/>
                <w:bCs/>
                <w:rtl/>
              </w:rPr>
              <w:t>ה</w:t>
            </w:r>
            <w:r w:rsidRPr="005B1437">
              <w:rPr>
                <w:rFonts w:ascii="Arial" w:hAnsi="Arial"/>
                <w:b/>
                <w:bCs/>
                <w:rtl/>
              </w:rPr>
              <w:t>מאשימה</w:t>
            </w:r>
          </w:p>
        </w:tc>
      </w:tr>
      <w:bookmarkEnd w:id="1"/>
      <w:tr w:rsidR="002C7F25" w:rsidRPr="005B1437" w14:paraId="41EDD596" w14:textId="77777777" w:rsidTr="00736ADC">
        <w:trPr>
          <w:trHeight w:val="355"/>
          <w:jc w:val="center"/>
        </w:trPr>
        <w:tc>
          <w:tcPr>
            <w:tcW w:w="841" w:type="dxa"/>
            <w:tcBorders>
              <w:top w:val="nil"/>
              <w:left w:val="nil"/>
              <w:bottom w:val="nil"/>
              <w:right w:val="nil"/>
            </w:tcBorders>
            <w:shd w:val="clear" w:color="auto" w:fill="auto"/>
          </w:tcPr>
          <w:p w14:paraId="19DA0E9A" w14:textId="77777777" w:rsidR="002C7F25" w:rsidRPr="005B1437" w:rsidRDefault="002C7F25" w:rsidP="002C7F25">
            <w:pPr>
              <w:jc w:val="both"/>
              <w:rPr>
                <w:rFonts w:ascii="Arial" w:hAnsi="Arial" w:cs="FrankRuehl"/>
                <w:sz w:val="28"/>
                <w:szCs w:val="28"/>
                <w:rtl/>
              </w:rPr>
            </w:pPr>
          </w:p>
        </w:tc>
        <w:tc>
          <w:tcPr>
            <w:tcW w:w="8359" w:type="dxa"/>
            <w:gridSpan w:val="3"/>
            <w:tcBorders>
              <w:top w:val="nil"/>
              <w:left w:val="nil"/>
              <w:bottom w:val="nil"/>
              <w:right w:val="nil"/>
            </w:tcBorders>
            <w:shd w:val="clear" w:color="auto" w:fill="auto"/>
          </w:tcPr>
          <w:p w14:paraId="5D6EDA0C" w14:textId="77777777" w:rsidR="002C7F25" w:rsidRPr="005B1437" w:rsidRDefault="002C7F25" w:rsidP="002C7F25">
            <w:pPr>
              <w:jc w:val="center"/>
              <w:rPr>
                <w:rFonts w:ascii="Arial" w:hAnsi="Arial"/>
                <w:b/>
                <w:bCs/>
                <w:rtl/>
              </w:rPr>
            </w:pPr>
          </w:p>
          <w:p w14:paraId="00AFEFBB" w14:textId="77777777" w:rsidR="002C7F25" w:rsidRPr="005B1437" w:rsidRDefault="002C7F25" w:rsidP="002C7F25">
            <w:pPr>
              <w:jc w:val="center"/>
              <w:rPr>
                <w:rFonts w:ascii="Arial" w:hAnsi="Arial"/>
                <w:b/>
                <w:bCs/>
                <w:rtl/>
              </w:rPr>
            </w:pPr>
            <w:r w:rsidRPr="005B1437">
              <w:rPr>
                <w:rFonts w:ascii="Arial" w:hAnsi="Arial"/>
                <w:b/>
                <w:bCs/>
                <w:rtl/>
              </w:rPr>
              <w:t>נ</w:t>
            </w:r>
            <w:r w:rsidRPr="005B1437">
              <w:rPr>
                <w:rFonts w:ascii="Arial" w:hAnsi="Arial" w:hint="cs"/>
                <w:b/>
                <w:bCs/>
                <w:rtl/>
              </w:rPr>
              <w:t xml:space="preserve"> </w:t>
            </w:r>
            <w:r w:rsidRPr="005B1437">
              <w:rPr>
                <w:rFonts w:ascii="Arial" w:hAnsi="Arial"/>
                <w:b/>
                <w:bCs/>
                <w:rtl/>
              </w:rPr>
              <w:t>ג</w:t>
            </w:r>
            <w:r w:rsidRPr="005B1437">
              <w:rPr>
                <w:rFonts w:ascii="Arial" w:hAnsi="Arial" w:hint="cs"/>
                <w:b/>
                <w:bCs/>
                <w:rtl/>
              </w:rPr>
              <w:t xml:space="preserve"> </w:t>
            </w:r>
            <w:r w:rsidRPr="005B1437">
              <w:rPr>
                <w:rFonts w:ascii="Arial" w:hAnsi="Arial"/>
                <w:b/>
                <w:bCs/>
                <w:rtl/>
              </w:rPr>
              <w:t>ד</w:t>
            </w:r>
          </w:p>
          <w:p w14:paraId="788C8596" w14:textId="77777777" w:rsidR="002C7F25" w:rsidRPr="005B1437" w:rsidRDefault="002C7F25" w:rsidP="002C7F25">
            <w:pPr>
              <w:jc w:val="both"/>
              <w:rPr>
                <w:rFonts w:ascii="Arial" w:hAnsi="Arial"/>
              </w:rPr>
            </w:pPr>
          </w:p>
        </w:tc>
      </w:tr>
      <w:tr w:rsidR="002C7F25" w:rsidRPr="005B1437" w14:paraId="37EA8D68" w14:textId="77777777" w:rsidTr="00736ADC">
        <w:trPr>
          <w:trHeight w:val="355"/>
          <w:jc w:val="center"/>
        </w:trPr>
        <w:tc>
          <w:tcPr>
            <w:tcW w:w="841" w:type="dxa"/>
            <w:tcBorders>
              <w:top w:val="nil"/>
              <w:left w:val="nil"/>
              <w:bottom w:val="nil"/>
              <w:right w:val="nil"/>
            </w:tcBorders>
            <w:shd w:val="clear" w:color="auto" w:fill="auto"/>
          </w:tcPr>
          <w:p w14:paraId="5C27B7E1" w14:textId="77777777" w:rsidR="002C7F25" w:rsidRPr="005B1437" w:rsidRDefault="002C7F25" w:rsidP="002C7F25">
            <w:pPr>
              <w:jc w:val="both"/>
              <w:rPr>
                <w:rFonts w:ascii="Arial" w:hAnsi="Arial" w:cs="FrankRuehl"/>
                <w:sz w:val="28"/>
                <w:szCs w:val="28"/>
                <w:rtl/>
              </w:rPr>
            </w:pPr>
          </w:p>
        </w:tc>
        <w:tc>
          <w:tcPr>
            <w:tcW w:w="4480" w:type="dxa"/>
            <w:tcBorders>
              <w:top w:val="nil"/>
              <w:left w:val="nil"/>
              <w:bottom w:val="nil"/>
              <w:right w:val="nil"/>
            </w:tcBorders>
            <w:shd w:val="clear" w:color="auto" w:fill="auto"/>
          </w:tcPr>
          <w:p w14:paraId="7AC60B27" w14:textId="77777777" w:rsidR="002C7F25" w:rsidRPr="005B1437" w:rsidRDefault="002C7F25" w:rsidP="002C7F25">
            <w:pPr>
              <w:spacing w:line="360" w:lineRule="auto"/>
              <w:rPr>
                <w:b/>
                <w:bCs/>
                <w:rtl/>
              </w:rPr>
            </w:pPr>
            <w:r w:rsidRPr="005B1437">
              <w:rPr>
                <w:rFonts w:ascii="Arial" w:hAnsi="Arial"/>
                <w:b/>
                <w:bCs/>
                <w:rtl/>
              </w:rPr>
              <w:t>1</w:t>
            </w:r>
            <w:r w:rsidRPr="005B1437">
              <w:rPr>
                <w:rFonts w:ascii="Arial" w:hAnsi="Arial" w:hint="cs"/>
                <w:b/>
                <w:bCs/>
                <w:rtl/>
              </w:rPr>
              <w:t>.</w:t>
            </w:r>
            <w:r w:rsidRPr="005B1437">
              <w:rPr>
                <w:rFonts w:ascii="Arial" w:hAnsi="Arial"/>
                <w:b/>
                <w:bCs/>
                <w:rtl/>
              </w:rPr>
              <w:t>צאלח ג'בר</w:t>
            </w:r>
          </w:p>
          <w:p w14:paraId="1AA6BDE6" w14:textId="77777777" w:rsidR="002C7F25" w:rsidRPr="005B1437" w:rsidRDefault="002C7F25" w:rsidP="002C7F25">
            <w:pPr>
              <w:spacing w:line="360" w:lineRule="auto"/>
              <w:rPr>
                <w:b/>
                <w:bCs/>
                <w:rtl/>
              </w:rPr>
            </w:pPr>
            <w:r w:rsidRPr="005B1437">
              <w:rPr>
                <w:rFonts w:ascii="Arial" w:hAnsi="Arial"/>
                <w:b/>
                <w:bCs/>
                <w:rtl/>
              </w:rPr>
              <w:t>2</w:t>
            </w:r>
            <w:r w:rsidRPr="005B1437">
              <w:rPr>
                <w:rFonts w:ascii="Arial" w:hAnsi="Arial" w:hint="cs"/>
                <w:b/>
                <w:bCs/>
                <w:rtl/>
              </w:rPr>
              <w:t>.</w:t>
            </w:r>
            <w:r w:rsidRPr="005B1437">
              <w:rPr>
                <w:rFonts w:ascii="Arial" w:hAnsi="Arial"/>
                <w:b/>
                <w:bCs/>
                <w:rtl/>
              </w:rPr>
              <w:t>האדי ג'בר</w:t>
            </w:r>
          </w:p>
          <w:p w14:paraId="09CFD53C" w14:textId="77777777" w:rsidR="002C7F25" w:rsidRPr="005B1437" w:rsidRDefault="002C7F25" w:rsidP="002C7F25">
            <w:pPr>
              <w:spacing w:line="360" w:lineRule="auto"/>
              <w:rPr>
                <w:b/>
                <w:bCs/>
                <w:rtl/>
              </w:rPr>
            </w:pPr>
            <w:r w:rsidRPr="005B1437">
              <w:rPr>
                <w:rFonts w:ascii="Arial" w:hAnsi="Arial"/>
                <w:b/>
                <w:bCs/>
                <w:rtl/>
              </w:rPr>
              <w:t>3</w:t>
            </w:r>
            <w:r w:rsidRPr="005B1437">
              <w:rPr>
                <w:rFonts w:ascii="Arial" w:hAnsi="Arial" w:hint="cs"/>
                <w:b/>
                <w:bCs/>
                <w:rtl/>
              </w:rPr>
              <w:t>.</w:t>
            </w:r>
            <w:r w:rsidRPr="005B1437">
              <w:rPr>
                <w:rFonts w:ascii="Arial" w:hAnsi="Arial"/>
                <w:b/>
                <w:bCs/>
                <w:rtl/>
              </w:rPr>
              <w:t>ודאע אבוקטיש</w:t>
            </w:r>
          </w:p>
        </w:tc>
        <w:tc>
          <w:tcPr>
            <w:tcW w:w="3879" w:type="dxa"/>
            <w:gridSpan w:val="2"/>
            <w:tcBorders>
              <w:top w:val="nil"/>
              <w:left w:val="nil"/>
              <w:bottom w:val="nil"/>
              <w:right w:val="nil"/>
            </w:tcBorders>
            <w:shd w:val="clear" w:color="auto" w:fill="auto"/>
            <w:vAlign w:val="bottom"/>
          </w:tcPr>
          <w:p w14:paraId="05340683" w14:textId="77777777" w:rsidR="002C7F25" w:rsidRPr="005B1437" w:rsidRDefault="002C7F25" w:rsidP="00D34B21">
            <w:pPr>
              <w:rPr>
                <w:rFonts w:ascii="Arial" w:hAnsi="Arial"/>
              </w:rPr>
            </w:pPr>
            <w:r w:rsidRPr="005B1437">
              <w:rPr>
                <w:rFonts w:ascii="Arial" w:hAnsi="Arial" w:hint="cs"/>
                <w:b/>
                <w:bCs/>
                <w:rtl/>
              </w:rPr>
              <w:t>הנאשמים</w:t>
            </w:r>
          </w:p>
        </w:tc>
      </w:tr>
      <w:tr w:rsidR="002C7F25" w:rsidRPr="005B1437" w14:paraId="05C90E02" w14:textId="77777777" w:rsidTr="002C7F25">
        <w:trPr>
          <w:gridAfter w:val="1"/>
          <w:wAfter w:w="380" w:type="dxa"/>
          <w:trHeight w:val="355"/>
          <w:jc w:val="center"/>
        </w:trPr>
        <w:tc>
          <w:tcPr>
            <w:tcW w:w="8820" w:type="dxa"/>
            <w:gridSpan w:val="3"/>
            <w:tcBorders>
              <w:top w:val="nil"/>
              <w:left w:val="nil"/>
              <w:bottom w:val="nil"/>
              <w:right w:val="nil"/>
            </w:tcBorders>
            <w:shd w:val="clear" w:color="auto" w:fill="auto"/>
          </w:tcPr>
          <w:p w14:paraId="3C3FA300" w14:textId="77777777" w:rsidR="002C7F25" w:rsidRPr="005B1437" w:rsidRDefault="002C7F25" w:rsidP="002C7F25">
            <w:pPr>
              <w:spacing w:line="360" w:lineRule="auto"/>
              <w:rPr>
                <w:rFonts w:ascii="Arial" w:hAnsi="Arial"/>
                <w:rtl/>
              </w:rPr>
            </w:pPr>
            <w:bookmarkStart w:id="2" w:name="FirstLawyer"/>
          </w:p>
          <w:p w14:paraId="705D1721" w14:textId="77777777" w:rsidR="002C7F25" w:rsidRPr="005B1437" w:rsidRDefault="002C7F25" w:rsidP="002C7F25">
            <w:pPr>
              <w:spacing w:line="360" w:lineRule="auto"/>
              <w:rPr>
                <w:rFonts w:ascii="Arial" w:hAnsi="Arial"/>
                <w:b/>
                <w:bCs/>
                <w:rtl/>
              </w:rPr>
            </w:pPr>
            <w:r w:rsidRPr="005B1437">
              <w:rPr>
                <w:rFonts w:ascii="Arial" w:hAnsi="Arial" w:hint="cs"/>
                <w:rtl/>
              </w:rPr>
              <w:t xml:space="preserve">       </w:t>
            </w:r>
            <w:r w:rsidRPr="005B1437">
              <w:rPr>
                <w:rFonts w:ascii="Arial" w:hAnsi="Arial" w:hint="cs"/>
                <w:b/>
                <w:bCs/>
                <w:rtl/>
              </w:rPr>
              <w:t>נוכחים:-</w:t>
            </w:r>
          </w:p>
          <w:p w14:paraId="3E4D4EEA" w14:textId="77777777" w:rsidR="002C7F25" w:rsidRPr="005B1437" w:rsidRDefault="002C7F25" w:rsidP="002C7F25">
            <w:pPr>
              <w:spacing w:line="360" w:lineRule="auto"/>
              <w:rPr>
                <w:rFonts w:ascii="Arial" w:hAnsi="Arial"/>
                <w:rtl/>
              </w:rPr>
            </w:pPr>
            <w:r w:rsidRPr="005B1437">
              <w:rPr>
                <w:rFonts w:ascii="Arial" w:hAnsi="Arial" w:hint="cs"/>
                <w:b/>
                <w:bCs/>
                <w:rtl/>
              </w:rPr>
              <w:t xml:space="preserve">       </w:t>
            </w:r>
            <w:r w:rsidRPr="005B1437">
              <w:rPr>
                <w:rFonts w:ascii="Arial" w:hAnsi="Arial" w:hint="cs"/>
                <w:rtl/>
              </w:rPr>
              <w:t>ב"כ המאשימה עו"ד בתיה קוליץ</w:t>
            </w:r>
          </w:p>
          <w:p w14:paraId="36D93FA6" w14:textId="77777777" w:rsidR="002C7F25" w:rsidRPr="005B1437" w:rsidRDefault="002C7F25" w:rsidP="002C7F25">
            <w:pPr>
              <w:spacing w:line="360" w:lineRule="auto"/>
              <w:rPr>
                <w:rFonts w:ascii="Arial" w:hAnsi="Arial"/>
                <w:rtl/>
              </w:rPr>
            </w:pPr>
            <w:r w:rsidRPr="005B1437">
              <w:rPr>
                <w:rFonts w:ascii="Arial" w:hAnsi="Arial" w:hint="cs"/>
                <w:rtl/>
              </w:rPr>
              <w:t xml:space="preserve">       הנאשמים וב"כ עו"ד אבי אודיז</w:t>
            </w:r>
          </w:p>
          <w:p w14:paraId="476B9893" w14:textId="77777777" w:rsidR="002C7F25" w:rsidRPr="005B1437" w:rsidRDefault="002C7F25" w:rsidP="002C7F25">
            <w:pPr>
              <w:jc w:val="center"/>
              <w:rPr>
                <w:rFonts w:ascii="Arial" w:hAnsi="Arial"/>
                <w:sz w:val="36"/>
                <w:szCs w:val="36"/>
                <w:rtl/>
              </w:rPr>
            </w:pPr>
          </w:p>
        </w:tc>
      </w:tr>
    </w:tbl>
    <w:p w14:paraId="0D2B0499" w14:textId="77777777" w:rsidR="00A952DC" w:rsidRDefault="00A952DC" w:rsidP="00A952DC">
      <w:pPr>
        <w:spacing w:after="120" w:line="240" w:lineRule="exact"/>
        <w:ind w:left="283" w:hanging="283"/>
        <w:jc w:val="both"/>
        <w:rPr>
          <w:rFonts w:ascii="FrankRuehl" w:hAnsi="FrankRuehl" w:cs="FrankRuehl"/>
          <w:rtl/>
        </w:rPr>
      </w:pPr>
      <w:bookmarkStart w:id="3" w:name="PsakDin"/>
      <w:bookmarkStart w:id="4" w:name="LawTable"/>
      <w:bookmarkEnd w:id="0"/>
      <w:bookmarkEnd w:id="2"/>
      <w:bookmarkEnd w:id="4"/>
    </w:p>
    <w:p w14:paraId="465C18F4" w14:textId="77777777" w:rsidR="00A952DC" w:rsidRPr="00A952DC" w:rsidRDefault="00A952DC" w:rsidP="00A952DC">
      <w:pPr>
        <w:spacing w:before="120" w:after="120" w:line="240" w:lineRule="exact"/>
        <w:ind w:left="283" w:hanging="283"/>
        <w:jc w:val="both"/>
        <w:rPr>
          <w:rFonts w:ascii="FrankRuehl" w:hAnsi="FrankRuehl" w:cs="FrankRuehl"/>
          <w:rtl/>
        </w:rPr>
      </w:pPr>
    </w:p>
    <w:p w14:paraId="56362B65" w14:textId="77777777" w:rsidR="00A952DC" w:rsidRPr="00A952DC" w:rsidRDefault="00A952DC" w:rsidP="00A952DC">
      <w:pPr>
        <w:spacing w:before="120" w:after="120" w:line="240" w:lineRule="exact"/>
        <w:ind w:left="283" w:hanging="283"/>
        <w:jc w:val="both"/>
        <w:rPr>
          <w:rFonts w:ascii="FrankRuehl" w:hAnsi="FrankRuehl" w:cs="FrankRuehl"/>
          <w:rtl/>
        </w:rPr>
      </w:pPr>
    </w:p>
    <w:p w14:paraId="772BAAF6" w14:textId="77777777" w:rsidR="00A952DC" w:rsidRPr="00A952DC" w:rsidRDefault="00A952DC" w:rsidP="00A952DC">
      <w:pPr>
        <w:spacing w:before="120" w:after="120" w:line="240" w:lineRule="exact"/>
        <w:ind w:left="283" w:hanging="283"/>
        <w:jc w:val="both"/>
        <w:rPr>
          <w:rFonts w:ascii="FrankRuehl" w:hAnsi="FrankRuehl" w:cs="FrankRuehl"/>
          <w:rtl/>
        </w:rPr>
      </w:pPr>
      <w:r w:rsidRPr="00A952DC">
        <w:rPr>
          <w:rFonts w:ascii="FrankRuehl" w:hAnsi="FrankRuehl" w:cs="FrankRuehl"/>
          <w:rtl/>
        </w:rPr>
        <w:t xml:space="preserve">חקיקה שאוזכרה: </w:t>
      </w:r>
    </w:p>
    <w:p w14:paraId="614AA76F" w14:textId="77777777" w:rsidR="00A952DC" w:rsidRPr="00A952DC" w:rsidRDefault="00A952DC" w:rsidP="00A952DC">
      <w:pPr>
        <w:spacing w:before="120" w:after="120" w:line="240" w:lineRule="exact"/>
        <w:ind w:left="283" w:hanging="283"/>
        <w:jc w:val="both"/>
        <w:rPr>
          <w:rFonts w:ascii="FrankRuehl" w:hAnsi="FrankRuehl" w:cs="FrankRuehl"/>
          <w:rtl/>
        </w:rPr>
      </w:pPr>
      <w:hyperlink r:id="rId6" w:history="1">
        <w:r w:rsidRPr="00A952DC">
          <w:rPr>
            <w:rStyle w:val="Hyperlink"/>
            <w:rFonts w:ascii="FrankRuehl" w:hAnsi="FrankRuehl" w:cs="FrankRuehl"/>
            <w:u w:val="none"/>
            <w:rtl/>
          </w:rPr>
          <w:t>חוק העונשין, תשל"ז-</w:t>
        </w:r>
        <w:r w:rsidRPr="00A952DC">
          <w:rPr>
            <w:rStyle w:val="Hyperlink"/>
            <w:rFonts w:ascii="FrankRuehl" w:hAnsi="FrankRuehl" w:cs="FrankRuehl"/>
            <w:color w:val="auto"/>
            <w:u w:val="none"/>
            <w:rtl/>
          </w:rPr>
          <w:t>1977</w:t>
        </w:r>
      </w:hyperlink>
      <w:r w:rsidRPr="00A952DC">
        <w:rPr>
          <w:rFonts w:ascii="FrankRuehl" w:hAnsi="FrankRuehl" w:cs="FrankRuehl"/>
          <w:rtl/>
        </w:rPr>
        <w:t xml:space="preserve">: סע'  </w:t>
      </w:r>
      <w:hyperlink r:id="rId7" w:history="1">
        <w:r w:rsidRPr="00A952DC">
          <w:rPr>
            <w:rStyle w:val="Hyperlink"/>
            <w:rFonts w:ascii="FrankRuehl" w:hAnsi="FrankRuehl" w:cs="FrankRuehl"/>
            <w:color w:val="auto"/>
            <w:u w:val="none"/>
          </w:rPr>
          <w:t>51</w:t>
        </w:r>
        <w:r w:rsidRPr="00A952DC">
          <w:rPr>
            <w:rStyle w:val="Hyperlink"/>
            <w:rFonts w:ascii="FrankRuehl" w:hAnsi="FrankRuehl" w:cs="FrankRuehl"/>
            <w:color w:val="auto"/>
            <w:u w:val="none"/>
            <w:rtl/>
          </w:rPr>
          <w:t>ב</w:t>
        </w:r>
      </w:hyperlink>
      <w:r w:rsidRPr="00A952DC">
        <w:rPr>
          <w:rFonts w:ascii="FrankRuehl" w:hAnsi="FrankRuehl" w:cs="FrankRuehl"/>
          <w:rtl/>
        </w:rPr>
        <w:t xml:space="preserve">, </w:t>
      </w:r>
      <w:hyperlink r:id="rId8" w:history="1">
        <w:r w:rsidRPr="00A952DC">
          <w:rPr>
            <w:rStyle w:val="Hyperlink"/>
            <w:rFonts w:ascii="FrankRuehl" w:hAnsi="FrankRuehl" w:cs="FrankRuehl"/>
            <w:u w:val="none"/>
          </w:rPr>
          <w:t>51</w:t>
        </w:r>
        <w:r w:rsidRPr="00A952DC">
          <w:rPr>
            <w:rStyle w:val="Hyperlink"/>
            <w:rFonts w:ascii="FrankRuehl" w:hAnsi="FrankRuehl" w:cs="FrankRuehl"/>
            <w:u w:val="none"/>
            <w:rtl/>
          </w:rPr>
          <w:t>ב(ב1)</w:t>
        </w:r>
      </w:hyperlink>
      <w:r w:rsidRPr="00A952DC">
        <w:rPr>
          <w:rFonts w:ascii="FrankRuehl" w:hAnsi="FrankRuehl" w:cs="FrankRuehl"/>
          <w:rtl/>
        </w:rPr>
        <w:t xml:space="preserve">, </w:t>
      </w:r>
      <w:hyperlink r:id="rId9" w:history="1">
        <w:r w:rsidRPr="00A952DC">
          <w:rPr>
            <w:rStyle w:val="Hyperlink"/>
            <w:rFonts w:ascii="FrankRuehl" w:hAnsi="FrankRuehl" w:cs="FrankRuehl"/>
            <w:color w:val="auto"/>
            <w:u w:val="none"/>
          </w:rPr>
          <w:t>144</w:t>
        </w:r>
      </w:hyperlink>
      <w:r w:rsidRPr="00A952DC">
        <w:rPr>
          <w:rFonts w:ascii="FrankRuehl" w:hAnsi="FrankRuehl" w:cs="FrankRuehl"/>
          <w:rtl/>
        </w:rPr>
        <w:t xml:space="preserve">, </w:t>
      </w:r>
      <w:hyperlink r:id="rId10" w:history="1">
        <w:r w:rsidRPr="00A952DC">
          <w:rPr>
            <w:rStyle w:val="Hyperlink"/>
            <w:rFonts w:ascii="FrankRuehl" w:hAnsi="FrankRuehl" w:cs="FrankRuehl"/>
            <w:u w:val="none"/>
          </w:rPr>
          <w:t>144(</w:t>
        </w:r>
        <w:r w:rsidRPr="00A952DC">
          <w:rPr>
            <w:rStyle w:val="Hyperlink"/>
            <w:rFonts w:ascii="FrankRuehl" w:hAnsi="FrankRuehl" w:cs="FrankRuehl"/>
            <w:u w:val="none"/>
            <w:rtl/>
          </w:rPr>
          <w:t>ב2</w:t>
        </w:r>
        <w:r w:rsidRPr="00A952DC">
          <w:rPr>
            <w:rStyle w:val="Hyperlink"/>
            <w:rFonts w:ascii="FrankRuehl" w:hAnsi="FrankRuehl" w:cs="FrankRuehl"/>
            <w:u w:val="none"/>
          </w:rPr>
          <w:t>)</w:t>
        </w:r>
      </w:hyperlink>
      <w:r w:rsidRPr="00A952DC">
        <w:rPr>
          <w:rFonts w:ascii="FrankRuehl" w:hAnsi="FrankRuehl" w:cs="FrankRuehl"/>
          <w:rtl/>
        </w:rPr>
        <w:t xml:space="preserve">, </w:t>
      </w:r>
      <w:hyperlink r:id="rId11" w:history="1">
        <w:r w:rsidRPr="00A952DC">
          <w:rPr>
            <w:rStyle w:val="Hyperlink"/>
            <w:rFonts w:ascii="FrankRuehl" w:hAnsi="FrankRuehl" w:cs="FrankRuehl"/>
            <w:u w:val="none"/>
          </w:rPr>
          <w:t>499(1)(</w:t>
        </w:r>
        <w:r w:rsidRPr="00A952DC">
          <w:rPr>
            <w:rStyle w:val="Hyperlink"/>
            <w:rFonts w:ascii="FrankRuehl" w:hAnsi="FrankRuehl" w:cs="FrankRuehl"/>
            <w:u w:val="none"/>
            <w:rtl/>
          </w:rPr>
          <w:t>א</w:t>
        </w:r>
        <w:r w:rsidRPr="00A952DC">
          <w:rPr>
            <w:rStyle w:val="Hyperlink"/>
            <w:rFonts w:ascii="FrankRuehl" w:hAnsi="FrankRuehl" w:cs="FrankRuehl"/>
            <w:u w:val="none"/>
          </w:rPr>
          <w:t>)</w:t>
        </w:r>
      </w:hyperlink>
      <w:r w:rsidRPr="00A952DC">
        <w:rPr>
          <w:rFonts w:ascii="FrankRuehl" w:hAnsi="FrankRuehl" w:cs="FrankRuehl"/>
          <w:rtl/>
        </w:rPr>
        <w:t xml:space="preserve">, </w:t>
      </w:r>
      <w:hyperlink r:id="rId12" w:history="1">
        <w:r w:rsidRPr="00A952DC">
          <w:rPr>
            <w:rStyle w:val="Hyperlink"/>
            <w:rFonts w:ascii="FrankRuehl" w:hAnsi="FrankRuehl" w:cs="FrankRuehl"/>
            <w:u w:val="none"/>
          </w:rPr>
          <w:t>500(7)</w:t>
        </w:r>
      </w:hyperlink>
    </w:p>
    <w:p w14:paraId="08064823" w14:textId="77777777" w:rsidR="00736ADC" w:rsidRPr="00736ADC" w:rsidRDefault="00736ADC" w:rsidP="00A952DC">
      <w:pPr>
        <w:spacing w:after="120" w:line="240" w:lineRule="exact"/>
        <w:ind w:left="283" w:hanging="283"/>
        <w:jc w:val="both"/>
        <w:rPr>
          <w:rFonts w:ascii="FrankRuehl" w:hAnsi="FrankRuehl" w:cs="FrankRuehl"/>
          <w:rtl/>
        </w:rPr>
      </w:pPr>
      <w:bookmarkStart w:id="5" w:name="LawTable_End"/>
      <w:bookmarkEnd w:id="5"/>
      <w:r w:rsidRPr="00A952DC">
        <w:rPr>
          <w:rFonts w:ascii="FrankRuehl" w:hAnsi="FrankRuehl" w:cs="FrankRuehl"/>
          <w:rtl/>
        </w:rPr>
        <w:t>חקיקה</w:t>
      </w:r>
      <w:r w:rsidRPr="00736ADC">
        <w:rPr>
          <w:rFonts w:ascii="FrankRuehl" w:hAnsi="FrankRuehl" w:cs="FrankRuehl"/>
          <w:rtl/>
        </w:rPr>
        <w:t xml:space="preserve"> שאוזכרה: </w:t>
      </w:r>
    </w:p>
    <w:p w14:paraId="740A0F06" w14:textId="77777777" w:rsidR="00736ADC" w:rsidRPr="00736ADC" w:rsidRDefault="00736ADC" w:rsidP="00736ADC">
      <w:pPr>
        <w:spacing w:after="120" w:line="240" w:lineRule="exact"/>
        <w:ind w:left="283" w:hanging="283"/>
        <w:jc w:val="both"/>
        <w:rPr>
          <w:rFonts w:ascii="FrankRuehl" w:hAnsi="FrankRuehl" w:cs="FrankRuehl"/>
          <w:rtl/>
        </w:rPr>
      </w:pPr>
      <w:hyperlink r:id="rId13" w:history="1">
        <w:r w:rsidRPr="00736ADC">
          <w:rPr>
            <w:rFonts w:ascii="FrankRuehl" w:hAnsi="FrankRuehl" w:cs="FrankRuehl"/>
            <w:color w:val="0000FF"/>
            <w:u w:val="single"/>
            <w:rtl/>
          </w:rPr>
          <w:t>חוק העונשין, תשל"ז-1977</w:t>
        </w:r>
      </w:hyperlink>
      <w:r w:rsidRPr="00736ADC">
        <w:rPr>
          <w:rFonts w:ascii="FrankRuehl" w:hAnsi="FrankRuehl" w:cs="FrankRuehl"/>
          <w:rtl/>
        </w:rPr>
        <w:t xml:space="preserve">: סע'  </w:t>
      </w:r>
      <w:hyperlink r:id="rId14" w:history="1">
        <w:r w:rsidRPr="00736ADC">
          <w:rPr>
            <w:rFonts w:ascii="FrankRuehl" w:hAnsi="FrankRuehl" w:cs="FrankRuehl"/>
            <w:color w:val="0000FF"/>
            <w:u w:val="single"/>
            <w:rtl/>
          </w:rPr>
          <w:t>51ב</w:t>
        </w:r>
      </w:hyperlink>
      <w:r w:rsidRPr="00736ADC">
        <w:rPr>
          <w:rFonts w:ascii="FrankRuehl" w:hAnsi="FrankRuehl" w:cs="FrankRuehl"/>
          <w:rtl/>
        </w:rPr>
        <w:t xml:space="preserve">, </w:t>
      </w:r>
      <w:hyperlink r:id="rId15" w:history="1">
        <w:r w:rsidRPr="00736ADC">
          <w:rPr>
            <w:rFonts w:ascii="FrankRuehl" w:hAnsi="FrankRuehl" w:cs="FrankRuehl"/>
            <w:color w:val="0000FF"/>
            <w:u w:val="single"/>
            <w:rtl/>
          </w:rPr>
          <w:t>51ב(ב1)</w:t>
        </w:r>
      </w:hyperlink>
      <w:r w:rsidRPr="00736ADC">
        <w:rPr>
          <w:rFonts w:ascii="FrankRuehl" w:hAnsi="FrankRuehl" w:cs="FrankRuehl"/>
          <w:rtl/>
        </w:rPr>
        <w:t xml:space="preserve">, </w:t>
      </w:r>
      <w:hyperlink r:id="rId16" w:history="1">
        <w:r w:rsidRPr="00736ADC">
          <w:rPr>
            <w:rFonts w:ascii="FrankRuehl" w:hAnsi="FrankRuehl" w:cs="FrankRuehl"/>
            <w:color w:val="0000FF"/>
            <w:u w:val="single"/>
            <w:rtl/>
          </w:rPr>
          <w:t>144</w:t>
        </w:r>
      </w:hyperlink>
      <w:r w:rsidRPr="00736ADC">
        <w:rPr>
          <w:rFonts w:ascii="FrankRuehl" w:hAnsi="FrankRuehl" w:cs="FrankRuehl"/>
          <w:rtl/>
        </w:rPr>
        <w:t xml:space="preserve">, </w:t>
      </w:r>
      <w:hyperlink r:id="rId17" w:history="1">
        <w:r w:rsidRPr="00736ADC">
          <w:rPr>
            <w:rFonts w:ascii="FrankRuehl" w:hAnsi="FrankRuehl" w:cs="FrankRuehl"/>
            <w:color w:val="0000FF"/>
            <w:u w:val="single"/>
            <w:rtl/>
          </w:rPr>
          <w:t>144(ב2)</w:t>
        </w:r>
      </w:hyperlink>
      <w:r w:rsidRPr="00736ADC">
        <w:rPr>
          <w:rFonts w:ascii="FrankRuehl" w:hAnsi="FrankRuehl" w:cs="FrankRuehl"/>
          <w:rtl/>
        </w:rPr>
        <w:t xml:space="preserve">, </w:t>
      </w:r>
      <w:hyperlink r:id="rId18" w:history="1">
        <w:r w:rsidRPr="00736ADC">
          <w:rPr>
            <w:rFonts w:ascii="FrankRuehl" w:hAnsi="FrankRuehl" w:cs="FrankRuehl"/>
            <w:color w:val="0000FF"/>
            <w:u w:val="single"/>
            <w:rtl/>
          </w:rPr>
          <w:t>499(1)(א)</w:t>
        </w:r>
      </w:hyperlink>
      <w:r w:rsidRPr="00736ADC">
        <w:rPr>
          <w:rFonts w:ascii="FrankRuehl" w:hAnsi="FrankRuehl" w:cs="FrankRuehl"/>
          <w:rtl/>
        </w:rPr>
        <w:t xml:space="preserve">, </w:t>
      </w:r>
      <w:hyperlink r:id="rId19" w:history="1">
        <w:r w:rsidRPr="00736ADC">
          <w:rPr>
            <w:rFonts w:ascii="FrankRuehl" w:hAnsi="FrankRuehl" w:cs="FrankRuehl"/>
            <w:color w:val="0000FF"/>
            <w:u w:val="single"/>
            <w:rtl/>
          </w:rPr>
          <w:t>500(7)</w:t>
        </w:r>
      </w:hyperlink>
    </w:p>
    <w:p w14:paraId="40EF4EBE" w14:textId="77777777" w:rsidR="00736ADC" w:rsidRPr="00736ADC" w:rsidRDefault="00736ADC" w:rsidP="00736ADC">
      <w:pPr>
        <w:spacing w:after="120" w:line="240" w:lineRule="exact"/>
        <w:ind w:left="283" w:hanging="283"/>
        <w:jc w:val="both"/>
        <w:rPr>
          <w:rFonts w:ascii="FrankRuehl" w:hAnsi="FrankRuehl" w:cs="FrankRuehl"/>
          <w:rtl/>
        </w:rPr>
      </w:pPr>
    </w:p>
    <w:p w14:paraId="37ACA8B7" w14:textId="77777777" w:rsidR="00736ADC" w:rsidRPr="00736ADC" w:rsidRDefault="00736ADC" w:rsidP="005B1437">
      <w:pPr>
        <w:spacing w:line="360" w:lineRule="auto"/>
        <w:ind w:left="720"/>
        <w:jc w:val="center"/>
        <w:rPr>
          <w:rFonts w:ascii="Arial" w:hAnsi="Arial"/>
          <w:sz w:val="36"/>
          <w:szCs w:val="36"/>
          <w:rtl/>
        </w:rPr>
      </w:pPr>
    </w:p>
    <w:p w14:paraId="75D13836" w14:textId="77777777" w:rsidR="005B1437" w:rsidRPr="005B1437" w:rsidRDefault="005B1437" w:rsidP="005B1437">
      <w:pPr>
        <w:spacing w:line="360" w:lineRule="auto"/>
        <w:ind w:left="720"/>
        <w:jc w:val="center"/>
        <w:rPr>
          <w:rFonts w:ascii="Arial" w:hAnsi="Arial"/>
          <w:b/>
          <w:bCs/>
          <w:sz w:val="36"/>
          <w:szCs w:val="36"/>
          <w:u w:val="single"/>
          <w:rtl/>
        </w:rPr>
      </w:pPr>
      <w:r w:rsidRPr="005B1437">
        <w:rPr>
          <w:rFonts w:ascii="Arial" w:hAnsi="Arial"/>
          <w:b/>
          <w:bCs/>
          <w:sz w:val="36"/>
          <w:szCs w:val="36"/>
          <w:u w:val="single"/>
          <w:rtl/>
        </w:rPr>
        <w:t>גזר דין</w:t>
      </w:r>
    </w:p>
    <w:bookmarkEnd w:id="3"/>
    <w:p w14:paraId="7666779C" w14:textId="77777777" w:rsidR="002C7F25" w:rsidRDefault="002C7F25" w:rsidP="002C7F25">
      <w:pPr>
        <w:spacing w:line="360" w:lineRule="auto"/>
        <w:ind w:left="720"/>
        <w:jc w:val="both"/>
        <w:rPr>
          <w:b/>
          <w:bCs/>
          <w:sz w:val="26"/>
          <w:szCs w:val="26"/>
          <w:rtl/>
        </w:rPr>
      </w:pPr>
    </w:p>
    <w:p w14:paraId="54078F96" w14:textId="77777777" w:rsidR="002C7F25" w:rsidRDefault="002C7F25" w:rsidP="002C7F25">
      <w:pPr>
        <w:spacing w:line="480" w:lineRule="auto"/>
        <w:ind w:left="510" w:hanging="510"/>
        <w:jc w:val="both"/>
        <w:rPr>
          <w:rtl/>
        </w:rPr>
      </w:pPr>
      <w:r>
        <w:rPr>
          <w:rtl/>
        </w:rPr>
        <w:lastRenderedPageBreak/>
        <w:t>1.</w:t>
      </w:r>
      <w:r>
        <w:rPr>
          <w:rFonts w:hint="cs"/>
          <w:rtl/>
        </w:rPr>
        <w:tab/>
      </w:r>
      <w:r w:rsidRPr="00D5730C">
        <w:rPr>
          <w:rFonts w:hint="cs"/>
          <w:b/>
          <w:bCs/>
          <w:u w:val="single"/>
          <w:rtl/>
        </w:rPr>
        <w:t>כתב האישום (המתוקן)</w:t>
      </w:r>
      <w:r>
        <w:rPr>
          <w:rFonts w:hint="cs"/>
          <w:rtl/>
        </w:rPr>
        <w:t xml:space="preserve"> </w:t>
      </w:r>
    </w:p>
    <w:p w14:paraId="411C4755" w14:textId="77777777" w:rsidR="002C7F25" w:rsidRDefault="002C7F25" w:rsidP="002C7F25">
      <w:pPr>
        <w:spacing w:line="480" w:lineRule="auto"/>
        <w:ind w:left="510" w:hanging="510"/>
        <w:jc w:val="both"/>
        <w:rPr>
          <w:rtl/>
        </w:rPr>
      </w:pPr>
    </w:p>
    <w:p w14:paraId="74E9598C" w14:textId="77777777" w:rsidR="002C7F25" w:rsidRDefault="002C7F25" w:rsidP="002C7F25">
      <w:pPr>
        <w:spacing w:line="480" w:lineRule="auto"/>
        <w:ind w:left="510" w:hanging="510"/>
        <w:jc w:val="both"/>
        <w:rPr>
          <w:rtl/>
        </w:rPr>
      </w:pPr>
      <w:r>
        <w:rPr>
          <w:rtl/>
        </w:rPr>
        <w:tab/>
      </w:r>
      <w:bookmarkStart w:id="6" w:name="ABSTRACT_START"/>
      <w:bookmarkEnd w:id="6"/>
      <w:r>
        <w:rPr>
          <w:rFonts w:hint="cs"/>
          <w:rtl/>
        </w:rPr>
        <w:t xml:space="preserve">לא נמצא טעם לשוב על כל פרטי כתב האישום (המתוקן) בו הודו הנאשמים, ועם זאת נכון ליתן ביטוי לתמצית הדברים. </w:t>
      </w:r>
    </w:p>
    <w:p w14:paraId="371D4F9D" w14:textId="77777777" w:rsidR="002C7F25" w:rsidRDefault="002C7F25" w:rsidP="002C7F25">
      <w:pPr>
        <w:spacing w:line="480" w:lineRule="auto"/>
        <w:ind w:left="510" w:hanging="510"/>
        <w:jc w:val="both"/>
        <w:rPr>
          <w:rtl/>
        </w:rPr>
      </w:pPr>
    </w:p>
    <w:p w14:paraId="7A840855" w14:textId="77777777" w:rsidR="002C7F25" w:rsidRDefault="002C7F25" w:rsidP="002C7F25">
      <w:pPr>
        <w:spacing w:line="480" w:lineRule="auto"/>
        <w:ind w:left="1440" w:hanging="930"/>
        <w:jc w:val="both"/>
        <w:rPr>
          <w:rtl/>
        </w:rPr>
      </w:pPr>
      <w:r>
        <w:rPr>
          <w:rFonts w:hint="cs"/>
          <w:rtl/>
        </w:rPr>
        <w:t>א.</w:t>
      </w:r>
      <w:r>
        <w:rPr>
          <w:rFonts w:hint="cs"/>
          <w:rtl/>
        </w:rPr>
        <w:tab/>
        <w:t xml:space="preserve">על פי החלק הכללי, בתקופה הרלוונטית לכתב האישום, שרת נאשם 1 (יליד 1967) כאחראי נשקיה במרחב דוד, במשטרת ישראל. הנאשם 2 (יליד 1979) </w:t>
      </w:r>
      <w:r>
        <w:rPr>
          <w:rtl/>
        </w:rPr>
        <w:t>–</w:t>
      </w:r>
      <w:r>
        <w:rPr>
          <w:rFonts w:hint="cs"/>
          <w:rtl/>
        </w:rPr>
        <w:t xml:space="preserve"> בן דודו של הנאשם 1, והנאשם 3 (יליד 1988) </w:t>
      </w:r>
      <w:r>
        <w:rPr>
          <w:rtl/>
        </w:rPr>
        <w:t>–</w:t>
      </w:r>
      <w:r>
        <w:rPr>
          <w:rFonts w:hint="cs"/>
          <w:rtl/>
        </w:rPr>
        <w:t xml:space="preserve"> חברו של הנאשם 2. </w:t>
      </w:r>
    </w:p>
    <w:p w14:paraId="36409DF7" w14:textId="77777777" w:rsidR="002C7F25" w:rsidRDefault="002C7F25" w:rsidP="002C7F25">
      <w:pPr>
        <w:spacing w:line="480" w:lineRule="auto"/>
        <w:ind w:left="1440" w:hanging="930"/>
        <w:jc w:val="both"/>
        <w:rPr>
          <w:rtl/>
        </w:rPr>
      </w:pPr>
    </w:p>
    <w:p w14:paraId="67F8D496" w14:textId="77777777" w:rsidR="002C7F25" w:rsidRDefault="002C7F25" w:rsidP="002C7F25">
      <w:pPr>
        <w:spacing w:line="480" w:lineRule="auto"/>
        <w:ind w:left="1440" w:hanging="930"/>
        <w:jc w:val="both"/>
        <w:rPr>
          <w:rtl/>
        </w:rPr>
      </w:pPr>
      <w:r>
        <w:rPr>
          <w:rFonts w:hint="cs"/>
          <w:rtl/>
        </w:rPr>
        <w:t>ב.</w:t>
      </w:r>
      <w:r>
        <w:rPr>
          <w:rFonts w:hint="cs"/>
          <w:rtl/>
        </w:rPr>
        <w:tab/>
        <w:t xml:space="preserve">האישום הראשון מתמקד בנאשם 1 בלבד. על פיו, העביר נאשם זה במשך תקופה של כשמונה חודשים בשנת 2017 (בשלוש הזדמנויות לפחות) מאות כדורי אקדח לאחר. נוכח זאת, הורשע על פי הודאתו בעבירה לפי </w:t>
      </w:r>
      <w:hyperlink r:id="rId20" w:history="1">
        <w:r w:rsidR="00736ADC" w:rsidRPr="00736ADC">
          <w:rPr>
            <w:color w:val="0000FF"/>
            <w:u w:val="single"/>
            <w:rtl/>
          </w:rPr>
          <w:t>סעיף 144(ב2)</w:t>
        </w:r>
      </w:hyperlink>
      <w:r>
        <w:rPr>
          <w:rFonts w:hint="cs"/>
          <w:rtl/>
        </w:rPr>
        <w:t xml:space="preserve"> ל</w:t>
      </w:r>
      <w:hyperlink r:id="rId21" w:history="1">
        <w:r w:rsidR="005B1437" w:rsidRPr="005B1437">
          <w:rPr>
            <w:color w:val="0000FF"/>
            <w:u w:val="single"/>
            <w:rtl/>
          </w:rPr>
          <w:t>חוק העונשין</w:t>
        </w:r>
      </w:hyperlink>
      <w:r>
        <w:rPr>
          <w:rFonts w:hint="cs"/>
          <w:rtl/>
        </w:rPr>
        <w:t xml:space="preserve"> [להלן: "</w:t>
      </w:r>
      <w:r w:rsidRPr="00F02F1A">
        <w:rPr>
          <w:rFonts w:hint="cs"/>
          <w:b/>
          <w:bCs/>
          <w:rtl/>
        </w:rPr>
        <w:t>החוק</w:t>
      </w:r>
      <w:r>
        <w:rPr>
          <w:rFonts w:hint="cs"/>
          <w:rtl/>
        </w:rPr>
        <w:t xml:space="preserve">"].  </w:t>
      </w:r>
    </w:p>
    <w:p w14:paraId="50005FC0" w14:textId="77777777" w:rsidR="002C7F25" w:rsidRDefault="002C7F25" w:rsidP="002C7F25">
      <w:pPr>
        <w:spacing w:line="480" w:lineRule="auto"/>
        <w:ind w:left="1440" w:hanging="930"/>
        <w:jc w:val="both"/>
        <w:rPr>
          <w:rtl/>
        </w:rPr>
      </w:pPr>
    </w:p>
    <w:p w14:paraId="396619C0" w14:textId="77777777" w:rsidR="002C7F25" w:rsidRDefault="002C7F25" w:rsidP="002C7F25">
      <w:pPr>
        <w:spacing w:line="480" w:lineRule="auto"/>
        <w:ind w:left="1440" w:hanging="930"/>
        <w:jc w:val="both"/>
        <w:rPr>
          <w:rtl/>
        </w:rPr>
      </w:pPr>
      <w:r>
        <w:rPr>
          <w:rFonts w:hint="cs"/>
          <w:rtl/>
        </w:rPr>
        <w:t>ג.</w:t>
      </w:r>
      <w:r>
        <w:rPr>
          <w:rFonts w:hint="cs"/>
          <w:rtl/>
        </w:rPr>
        <w:tab/>
        <w:t xml:space="preserve">האישום השני עוסק בכל הנאשמים. על פיו, בתקופה שבין 5.7.17 לבין 2.8.17, בארבעה מועדים שונים, קשרו השלושה קשר לביצוע עסקאות בקפיץ או נוקר וכדורים של אקדח. הקשר התבטא בשיחות בין השלושה ופגישות מתוכננות, ואולם, יודגש, לא נכלל באישום זה מעשה אקטיבי מעבר לשיחות המגלמות בחובן את הקשר. על פי פרטי אישום זה, הורשעו הנאשמים 1 ו-2 בקשירת קשר לביצוע פשע, עבירה לפי </w:t>
      </w:r>
      <w:hyperlink r:id="rId22" w:history="1">
        <w:r w:rsidR="00736ADC" w:rsidRPr="00736ADC">
          <w:rPr>
            <w:color w:val="0000FF"/>
            <w:u w:val="single"/>
            <w:rtl/>
          </w:rPr>
          <w:t>סעיף 499(1)(א)</w:t>
        </w:r>
      </w:hyperlink>
      <w:r>
        <w:rPr>
          <w:rFonts w:hint="cs"/>
          <w:rtl/>
        </w:rPr>
        <w:t xml:space="preserve"> לחוק, והנאשם 3 הורשע בקשירת קשר להשגת מטרה אסורה, עבירה לפי </w:t>
      </w:r>
      <w:hyperlink r:id="rId23" w:history="1">
        <w:r w:rsidR="00736ADC" w:rsidRPr="00736ADC">
          <w:rPr>
            <w:color w:val="0000FF"/>
            <w:u w:val="single"/>
            <w:rtl/>
          </w:rPr>
          <w:t>סעיף 500(7)</w:t>
        </w:r>
      </w:hyperlink>
      <w:r>
        <w:rPr>
          <w:rFonts w:hint="cs"/>
          <w:rtl/>
        </w:rPr>
        <w:t xml:space="preserve"> לחוק. </w:t>
      </w:r>
    </w:p>
    <w:p w14:paraId="1CF69BCA" w14:textId="77777777" w:rsidR="002C7F25" w:rsidRDefault="002C7F25" w:rsidP="002C7F25">
      <w:pPr>
        <w:spacing w:line="480" w:lineRule="auto"/>
        <w:ind w:left="1440" w:hanging="930"/>
        <w:jc w:val="both"/>
        <w:rPr>
          <w:rtl/>
        </w:rPr>
      </w:pPr>
      <w:bookmarkStart w:id="7" w:name="ABSTRACT_END"/>
      <w:bookmarkEnd w:id="7"/>
    </w:p>
    <w:p w14:paraId="3BC36156" w14:textId="77777777" w:rsidR="002C7F25" w:rsidRDefault="002C7F25" w:rsidP="002C7F25">
      <w:pPr>
        <w:spacing w:line="480" w:lineRule="auto"/>
        <w:ind w:left="1440" w:hanging="930"/>
        <w:jc w:val="both"/>
        <w:rPr>
          <w:rtl/>
        </w:rPr>
      </w:pPr>
      <w:r>
        <w:rPr>
          <w:rFonts w:hint="cs"/>
          <w:rtl/>
        </w:rPr>
        <w:t>ד.</w:t>
      </w:r>
      <w:r>
        <w:rPr>
          <w:rtl/>
        </w:rPr>
        <w:tab/>
      </w:r>
      <w:r>
        <w:rPr>
          <w:rFonts w:hint="cs"/>
          <w:rtl/>
        </w:rPr>
        <w:t xml:space="preserve">עובדה רלוונטית נוספת מצאה את מקומה בהסדר הטיעון, אך באשר על הפרק רכיב עובדתי מוסכם, נכון לראותו כנכלל מהותית באמור לעיל. על פיו, אותו אחר הנזכר באישום הראשון ושלידיו העביר הנאשם 1 כדורים, מתגורר באבו גוש, וחשוב מכך </w:t>
      </w:r>
      <w:r>
        <w:rPr>
          <w:rtl/>
        </w:rPr>
        <w:t>–</w:t>
      </w:r>
      <w:r>
        <w:rPr>
          <w:rFonts w:hint="cs"/>
          <w:rtl/>
        </w:rPr>
        <w:t xml:space="preserve"> אינו גורם עוין. </w:t>
      </w:r>
    </w:p>
    <w:p w14:paraId="5179E89F" w14:textId="77777777" w:rsidR="002C7F25" w:rsidRDefault="002C7F25" w:rsidP="002C7F25">
      <w:pPr>
        <w:spacing w:line="480" w:lineRule="auto"/>
        <w:jc w:val="both"/>
        <w:rPr>
          <w:rtl/>
        </w:rPr>
      </w:pPr>
    </w:p>
    <w:p w14:paraId="4CDE076F" w14:textId="77777777" w:rsidR="002C7F25" w:rsidRDefault="002C7F25" w:rsidP="002C7F25">
      <w:pPr>
        <w:spacing w:line="480" w:lineRule="auto"/>
        <w:ind w:left="510" w:hanging="510"/>
        <w:jc w:val="both"/>
        <w:rPr>
          <w:rtl/>
        </w:rPr>
      </w:pPr>
      <w:r>
        <w:rPr>
          <w:rtl/>
        </w:rPr>
        <w:lastRenderedPageBreak/>
        <w:t>2.</w:t>
      </w:r>
      <w:r>
        <w:rPr>
          <w:rFonts w:hint="cs"/>
          <w:rtl/>
        </w:rPr>
        <w:tab/>
      </w:r>
      <w:r w:rsidRPr="00D5730C">
        <w:rPr>
          <w:rFonts w:hint="cs"/>
          <w:b/>
          <w:bCs/>
          <w:u w:val="single"/>
          <w:rtl/>
        </w:rPr>
        <w:t>עמדת המאשימה</w:t>
      </w:r>
      <w:r>
        <w:rPr>
          <w:rFonts w:hint="cs"/>
          <w:rtl/>
        </w:rPr>
        <w:t xml:space="preserve"> </w:t>
      </w:r>
    </w:p>
    <w:p w14:paraId="7CD007D6" w14:textId="77777777" w:rsidR="002C7F25" w:rsidRDefault="002C7F25" w:rsidP="002C7F25">
      <w:pPr>
        <w:spacing w:line="480" w:lineRule="auto"/>
        <w:ind w:left="510" w:hanging="510"/>
        <w:jc w:val="both"/>
        <w:rPr>
          <w:rtl/>
        </w:rPr>
      </w:pPr>
    </w:p>
    <w:p w14:paraId="53C986C4" w14:textId="77777777" w:rsidR="002C7F25" w:rsidRDefault="002C7F25" w:rsidP="002C7F25">
      <w:pPr>
        <w:spacing w:line="480" w:lineRule="auto"/>
        <w:ind w:left="1440" w:hanging="930"/>
        <w:jc w:val="both"/>
        <w:rPr>
          <w:rtl/>
        </w:rPr>
      </w:pPr>
      <w:r>
        <w:rPr>
          <w:rFonts w:hint="cs"/>
          <w:rtl/>
        </w:rPr>
        <w:t>א.</w:t>
      </w:r>
      <w:r>
        <w:rPr>
          <w:rFonts w:hint="cs"/>
          <w:rtl/>
        </w:rPr>
        <w:tab/>
        <w:t xml:space="preserve">מקום בו על הפרק ערכים מוגנים ברורים, דומה, לא נדרש בית המשפט ליתר הרחבה. ועם זאת, נכון בנקודה זו לשקף, כי, בפרט ביחס לנאשם 1, על הפרק, בין היתר, אמון הציבור במשטרת ישראל, האמון שניתן בו ע"י מעבידיו, וכל זאת לצד הסיכון הגלום במסירת אמל"ח לידיים שאינן נאמנות וכמובן גניבת האמל"ח ממעבידיו (הגם שלא הורשע הוא בכך). ואשר לשאר הנאשמים שעל הפרק, במישור המהותי, הכוונה לסחר באמל"ח, גם אם פורמלית מחויב בית המשפט להיצמד בקפידה לכתב האישום, ובאשר על הפרק קשירת קשר, לא ארחיב עוד במישור זה. </w:t>
      </w:r>
    </w:p>
    <w:p w14:paraId="7543E7F0" w14:textId="77777777" w:rsidR="002C7F25" w:rsidRDefault="002C7F25" w:rsidP="002C7F25">
      <w:pPr>
        <w:spacing w:line="480" w:lineRule="auto"/>
        <w:ind w:left="1440" w:hanging="930"/>
        <w:jc w:val="both"/>
        <w:rPr>
          <w:rtl/>
        </w:rPr>
      </w:pPr>
    </w:p>
    <w:p w14:paraId="4925E11E" w14:textId="77777777" w:rsidR="002C7F25" w:rsidRDefault="002C7F25" w:rsidP="002C7F25">
      <w:pPr>
        <w:spacing w:line="480" w:lineRule="auto"/>
        <w:ind w:left="1440" w:hanging="930"/>
        <w:jc w:val="both"/>
        <w:rPr>
          <w:rtl/>
        </w:rPr>
      </w:pPr>
      <w:r>
        <w:rPr>
          <w:rFonts w:hint="cs"/>
          <w:rtl/>
        </w:rPr>
        <w:t>ב.</w:t>
      </w:r>
      <w:r>
        <w:rPr>
          <w:rtl/>
        </w:rPr>
        <w:tab/>
      </w:r>
      <w:r>
        <w:rPr>
          <w:rFonts w:hint="cs"/>
          <w:rtl/>
        </w:rPr>
        <w:t xml:space="preserve">ביחס לאישום הראשון, נטען על ידי המאשימה כי יש לקבוע את המתחם על הטווח שבין 12 לבין 36 חודשי מאסר. בהמשך דבריה, ציינה ב"כ המאשימה, כי ביחס לאישום השני, יש לקבוע מתחם עונש שבין מספר מועט של חודשי מאסר לבין 10 חודשי מאסר; ואשר לענישה ההולמת לדעתה, ביחס לכל הנאשמים, עתרה ל </w:t>
      </w:r>
      <w:r>
        <w:rPr>
          <w:rtl/>
        </w:rPr>
        <w:t>–</w:t>
      </w:r>
      <w:r>
        <w:rPr>
          <w:rFonts w:hint="cs"/>
          <w:rtl/>
        </w:rPr>
        <w:t xml:space="preserve"> 5 חודשי מאסר בצירוף ענישה נלווית. </w:t>
      </w:r>
    </w:p>
    <w:p w14:paraId="4D3A0A59" w14:textId="77777777" w:rsidR="002C7F25" w:rsidRDefault="002C7F25" w:rsidP="002C7F25">
      <w:pPr>
        <w:spacing w:line="480" w:lineRule="auto"/>
        <w:ind w:left="1440" w:hanging="930"/>
        <w:jc w:val="both"/>
        <w:rPr>
          <w:rtl/>
        </w:rPr>
      </w:pPr>
    </w:p>
    <w:p w14:paraId="46ABD8FD" w14:textId="77777777" w:rsidR="002C7F25" w:rsidRDefault="002C7F25" w:rsidP="002C7F25">
      <w:pPr>
        <w:spacing w:line="480" w:lineRule="auto"/>
        <w:ind w:left="510" w:hanging="510"/>
        <w:jc w:val="both"/>
        <w:rPr>
          <w:rtl/>
        </w:rPr>
      </w:pPr>
      <w:r>
        <w:rPr>
          <w:rtl/>
        </w:rPr>
        <w:t>3.</w:t>
      </w:r>
      <w:r>
        <w:rPr>
          <w:rFonts w:hint="cs"/>
          <w:rtl/>
        </w:rPr>
        <w:tab/>
      </w:r>
      <w:r w:rsidRPr="00A85DFA">
        <w:rPr>
          <w:rFonts w:hint="cs"/>
          <w:b/>
          <w:bCs/>
          <w:u w:val="single"/>
          <w:rtl/>
        </w:rPr>
        <w:t>טיעוני ההגנה</w:t>
      </w:r>
    </w:p>
    <w:p w14:paraId="49B047E3" w14:textId="77777777" w:rsidR="002C7F25" w:rsidRDefault="002C7F25" w:rsidP="002C7F25">
      <w:pPr>
        <w:spacing w:line="480" w:lineRule="auto"/>
        <w:ind w:left="510" w:hanging="510"/>
        <w:jc w:val="both"/>
        <w:rPr>
          <w:rtl/>
        </w:rPr>
      </w:pPr>
    </w:p>
    <w:p w14:paraId="0AC2B17A" w14:textId="77777777" w:rsidR="002C7F25" w:rsidRDefault="002C7F25" w:rsidP="002C7F25">
      <w:pPr>
        <w:spacing w:line="480" w:lineRule="auto"/>
        <w:ind w:left="510" w:hanging="510"/>
        <w:jc w:val="both"/>
        <w:rPr>
          <w:rtl/>
        </w:rPr>
      </w:pPr>
      <w:r>
        <w:rPr>
          <w:rtl/>
        </w:rPr>
        <w:tab/>
      </w:r>
      <w:r>
        <w:rPr>
          <w:rFonts w:hint="cs"/>
          <w:rtl/>
        </w:rPr>
        <w:t xml:space="preserve">במישור זה יש להבחין בין טענות רבות, הנכונות, גם אם במידה משתנה, לכל הנאשמים, לבין טענות שהינן רלוונטיות לדיון הפרטני ביחס לכל אחד מהם. אפתח במישור הכללי, באשר יש בכך כדי לתרום להבנת התמונה הכוללת. </w:t>
      </w:r>
    </w:p>
    <w:p w14:paraId="6A1F38E9" w14:textId="77777777" w:rsidR="002C7F25" w:rsidRDefault="002C7F25" w:rsidP="002C7F25">
      <w:pPr>
        <w:spacing w:line="480" w:lineRule="auto"/>
        <w:ind w:left="510" w:hanging="510"/>
        <w:jc w:val="both"/>
        <w:rPr>
          <w:rtl/>
        </w:rPr>
      </w:pPr>
    </w:p>
    <w:p w14:paraId="4AD72733" w14:textId="77777777" w:rsidR="002C7F25" w:rsidRDefault="002C7F25" w:rsidP="002C7F25">
      <w:pPr>
        <w:spacing w:line="480" w:lineRule="auto"/>
        <w:ind w:left="1440" w:hanging="930"/>
        <w:jc w:val="both"/>
        <w:rPr>
          <w:rtl/>
        </w:rPr>
      </w:pPr>
      <w:r>
        <w:rPr>
          <w:rFonts w:hint="cs"/>
          <w:rtl/>
        </w:rPr>
        <w:t>א.</w:t>
      </w:r>
      <w:r>
        <w:rPr>
          <w:rFonts w:hint="cs"/>
          <w:rtl/>
        </w:rPr>
        <w:tab/>
        <w:t xml:space="preserve">תחילה, ראוי, לרבות משיקולי מדיניות, ליתן ביטוי לכך שעל הפרק נאשמים שקיבלו אחריות מלאה למעשיהם והודו במיוחס להם במסגרת כתב האישום שתוקן, תוך שנלקחו בחשבון השגותיהם כלפי כתב האישום המקורי שהיה חמור בהרבה מהנ"ל. </w:t>
      </w:r>
    </w:p>
    <w:p w14:paraId="3B07A03A" w14:textId="77777777" w:rsidR="002C7F25" w:rsidRDefault="002C7F25" w:rsidP="002C7F25">
      <w:pPr>
        <w:spacing w:line="480" w:lineRule="auto"/>
        <w:ind w:left="1440" w:hanging="930"/>
        <w:jc w:val="both"/>
        <w:rPr>
          <w:rtl/>
        </w:rPr>
      </w:pPr>
    </w:p>
    <w:p w14:paraId="2E9A9C99" w14:textId="77777777" w:rsidR="002C7F25" w:rsidRDefault="002C7F25" w:rsidP="002C7F25">
      <w:pPr>
        <w:spacing w:line="480" w:lineRule="auto"/>
        <w:ind w:left="1440" w:hanging="930"/>
        <w:jc w:val="both"/>
        <w:rPr>
          <w:rtl/>
        </w:rPr>
      </w:pPr>
      <w:r>
        <w:rPr>
          <w:rFonts w:hint="cs"/>
          <w:rtl/>
        </w:rPr>
        <w:t>ב.</w:t>
      </w:r>
      <w:r>
        <w:rPr>
          <w:rFonts w:hint="cs"/>
          <w:rtl/>
        </w:rPr>
        <w:tab/>
        <w:t xml:space="preserve">הנאשמים 1 ו -2, נעדרי עבר פלילי, היינו, כי על הפרק, כפי שהדגיש בצדק סנגורם הנכבד, עבירות ראשונות ויחידות, וגם ביחס אליהם נרשמה, כאמור, קבלת אחריות מלאה. </w:t>
      </w:r>
    </w:p>
    <w:p w14:paraId="7C767704" w14:textId="77777777" w:rsidR="002C7F25" w:rsidRDefault="002C7F25" w:rsidP="002C7F25">
      <w:pPr>
        <w:spacing w:line="480" w:lineRule="auto"/>
        <w:ind w:left="1440" w:hanging="930"/>
        <w:jc w:val="both"/>
        <w:rPr>
          <w:rtl/>
        </w:rPr>
      </w:pPr>
    </w:p>
    <w:p w14:paraId="67C0C1B2" w14:textId="77777777" w:rsidR="002C7F25" w:rsidRDefault="002C7F25" w:rsidP="002C7F25">
      <w:pPr>
        <w:spacing w:line="480" w:lineRule="auto"/>
        <w:ind w:left="1440" w:hanging="930"/>
        <w:jc w:val="both"/>
        <w:rPr>
          <w:rtl/>
        </w:rPr>
      </w:pPr>
      <w:r>
        <w:rPr>
          <w:rFonts w:hint="cs"/>
          <w:rtl/>
        </w:rPr>
        <w:t>ג.</w:t>
      </w:r>
      <w:r>
        <w:rPr>
          <w:rFonts w:hint="cs"/>
          <w:rtl/>
        </w:rPr>
        <w:tab/>
        <w:t xml:space="preserve">ביחס לשלושת הנאשמים הוכנו תסקירים ע"י שירות המבחן. במעט אדרש לכך בדיון הפרטני, ואולם, ניתן לאפיין את כל שלושת התסקירים כחיוביים, גם אם ניכר הבדל בין התסקירים שהוכנו ביחס לנאשמים 1 ו - 2 לבין הנאשם 3. לדעת שירות המבחן, ביחס לכל שלושת הנאשמים, נכון להמליץ על עבודות לתועלת הציבור (של"צ). </w:t>
      </w:r>
    </w:p>
    <w:p w14:paraId="68D3C392" w14:textId="77777777" w:rsidR="002C7F25" w:rsidRDefault="002C7F25" w:rsidP="002C7F25">
      <w:pPr>
        <w:spacing w:line="480" w:lineRule="auto"/>
        <w:ind w:left="1440" w:hanging="930"/>
        <w:jc w:val="both"/>
        <w:rPr>
          <w:rtl/>
        </w:rPr>
      </w:pPr>
    </w:p>
    <w:p w14:paraId="1F02A630" w14:textId="77777777" w:rsidR="002C7F25" w:rsidRDefault="002C7F25" w:rsidP="002C7F25">
      <w:pPr>
        <w:spacing w:line="480" w:lineRule="auto"/>
        <w:ind w:left="1440" w:hanging="930"/>
        <w:jc w:val="both"/>
        <w:rPr>
          <w:rtl/>
        </w:rPr>
      </w:pPr>
      <w:r>
        <w:rPr>
          <w:rFonts w:hint="cs"/>
          <w:rtl/>
        </w:rPr>
        <w:t>ד.</w:t>
      </w:r>
      <w:r>
        <w:rPr>
          <w:rFonts w:hint="cs"/>
          <w:rtl/>
        </w:rPr>
        <w:tab/>
        <w:t xml:space="preserve">ביחס לשלושת הנאשמים ביקש הסנגור, ואושרה לו בקשתו, להזמנת חוות דעת מהממונה על עבודות שירות. בנסיבותיו של הליך זה, קובעת סוגית עבודות השירות פרשה לעצמה, ואדרש לכך בפיסקה נפרדת. עם זאת אציין כבר עתה, כי בתחילה, ביחס לכל השלושה, סבר הממונה, שעקרונית ניתן היה לאשר את התאמתם, ואולם, נוכח עמדתו השלילית של קצין המשטרה שהתבסס על מידע מודיעין ביחס אליהם, סירב הממונה לאשרם. לאחר דיונים ובירורים ובחלוף מספר חודשים, חזר בו קצין המשטרה ביחס לנאשם 1. כמפורט להלן, אדרש לכך בנפרד במעלה הדרך, כאשר בפועל יהיה הדיון רלוונטי, לבסוף, רק ביחס לנאשם 2 (באשר ביחס לנאשם 1, הוסרה, כאמור, המכשלה, וביחס לנאשם 3, לא יהא נכון לאשר זאת ללא קשר להתנהלות קצין המשטרה והממונה). </w:t>
      </w:r>
    </w:p>
    <w:p w14:paraId="43AE335D" w14:textId="77777777" w:rsidR="002C7F25" w:rsidRDefault="002C7F25" w:rsidP="002C7F25">
      <w:pPr>
        <w:spacing w:line="480" w:lineRule="auto"/>
        <w:ind w:left="1440" w:hanging="930"/>
        <w:jc w:val="both"/>
        <w:rPr>
          <w:rtl/>
        </w:rPr>
      </w:pPr>
    </w:p>
    <w:p w14:paraId="0CF54BE8" w14:textId="77777777" w:rsidR="002C7F25" w:rsidRDefault="002C7F25" w:rsidP="002C7F25">
      <w:pPr>
        <w:spacing w:line="480" w:lineRule="auto"/>
        <w:ind w:left="1440" w:hanging="930"/>
        <w:jc w:val="both"/>
        <w:rPr>
          <w:rtl/>
        </w:rPr>
      </w:pPr>
      <w:r>
        <w:rPr>
          <w:rFonts w:hint="cs"/>
          <w:rtl/>
        </w:rPr>
        <w:t>ה.</w:t>
      </w:r>
      <w:r>
        <w:rPr>
          <w:rFonts w:hint="cs"/>
          <w:rtl/>
        </w:rPr>
        <w:tab/>
        <w:t xml:space="preserve">עוד נטען ע"י ההגנה שביחס לכל האישומים, מצויות העבירות הקונקרטיות, על נסיבותיהן, ברף התחתון. אשר לכדורים שהעביר הנאשם 1 לאחר, הופנה בית המשפט, בין היתר, להנחיית פרקליט המדינה מספר 9.16 (מדיניות ענישה בעבירות נשק ומטעני חבלה) ולסעיפים 9(1) ו </w:t>
      </w:r>
      <w:r>
        <w:rPr>
          <w:rtl/>
        </w:rPr>
        <w:t>–</w:t>
      </w:r>
      <w:r>
        <w:rPr>
          <w:rFonts w:hint="cs"/>
          <w:rtl/>
        </w:rPr>
        <w:t xml:space="preserve"> 20(1) להנחיה האמורה, המשרטטים מדרג ביחס לחומרה הגלומה בעבירות נשק, כאשר כדורים נמצאים בתחתית המדרג, ואף על בית המשפט מקובל שאין דומה סחר בחלקי חילוף בודדים מתוך נשק כגון קפיץ או נוקר, או כדורים, למשל, לסחר בנשק מלא ותקין. ואשר לעבירות קשירת הקשר נטען, שבהינתן קשירת קשר שלא עברה את סף השיחות הראשוניות ולבטח לא נסתיימה במעשה, הרי, על פני הדברים, על הפרק קשר ברף התחתון. אשר לנאשם 3, אף צוין שעל הפרק קשירת קשר לביצוע עוון. </w:t>
      </w:r>
    </w:p>
    <w:p w14:paraId="396DC3F2" w14:textId="77777777" w:rsidR="002C7F25" w:rsidRDefault="002C7F25" w:rsidP="002C7F25">
      <w:pPr>
        <w:spacing w:line="480" w:lineRule="auto"/>
        <w:ind w:left="1440" w:hanging="930"/>
        <w:jc w:val="both"/>
        <w:rPr>
          <w:rtl/>
        </w:rPr>
      </w:pPr>
    </w:p>
    <w:p w14:paraId="4302EB63" w14:textId="77777777" w:rsidR="002C7F25" w:rsidRDefault="002C7F25" w:rsidP="002C7F25">
      <w:pPr>
        <w:spacing w:line="480" w:lineRule="auto"/>
        <w:ind w:left="1440" w:hanging="930"/>
        <w:jc w:val="both"/>
        <w:rPr>
          <w:rtl/>
        </w:rPr>
      </w:pPr>
      <w:r>
        <w:rPr>
          <w:rFonts w:hint="cs"/>
          <w:rtl/>
        </w:rPr>
        <w:t>ו.</w:t>
      </w:r>
      <w:r>
        <w:rPr>
          <w:rtl/>
        </w:rPr>
        <w:tab/>
      </w:r>
      <w:r>
        <w:rPr>
          <w:rFonts w:hint="cs"/>
          <w:rtl/>
        </w:rPr>
        <w:t xml:space="preserve">חשיבות של ממש נתונה ביחס לשלושת הנאשמים לתקופת מעצרם - 36 ימי מעצר בפועל ועוד כחודשיים וחצי מעצר בית מלא. </w:t>
      </w:r>
    </w:p>
    <w:p w14:paraId="620D11F3" w14:textId="77777777" w:rsidR="002C7F25" w:rsidRDefault="002C7F25" w:rsidP="002C7F25">
      <w:pPr>
        <w:spacing w:line="480" w:lineRule="auto"/>
        <w:ind w:left="1440" w:hanging="930"/>
        <w:jc w:val="both"/>
        <w:rPr>
          <w:rtl/>
        </w:rPr>
      </w:pPr>
    </w:p>
    <w:p w14:paraId="2A768114" w14:textId="77777777" w:rsidR="002C7F25" w:rsidRDefault="002C7F25" w:rsidP="002C7F25">
      <w:pPr>
        <w:spacing w:line="480" w:lineRule="auto"/>
        <w:ind w:left="510"/>
        <w:jc w:val="both"/>
        <w:rPr>
          <w:rtl/>
        </w:rPr>
      </w:pPr>
      <w:r>
        <w:rPr>
          <w:rFonts w:hint="cs"/>
          <w:rtl/>
        </w:rPr>
        <w:t xml:space="preserve">לסופו של יום, מצדדת ההגנה בעמדת שירות המבחן, וככל שעלה בידי להבין, לחלופין, במעצר שירוצה בעבודות שירות. </w:t>
      </w:r>
    </w:p>
    <w:p w14:paraId="1F42A207" w14:textId="77777777" w:rsidR="002C7F25" w:rsidRDefault="002C7F25" w:rsidP="002C7F25">
      <w:pPr>
        <w:spacing w:line="480" w:lineRule="auto"/>
        <w:jc w:val="both"/>
        <w:rPr>
          <w:rtl/>
        </w:rPr>
      </w:pPr>
    </w:p>
    <w:p w14:paraId="5A4E9E23" w14:textId="77777777" w:rsidR="002C7F25" w:rsidRDefault="002C7F25" w:rsidP="002C7F25">
      <w:pPr>
        <w:spacing w:line="480" w:lineRule="auto"/>
        <w:ind w:left="510" w:hanging="510"/>
        <w:jc w:val="both"/>
        <w:rPr>
          <w:rtl/>
        </w:rPr>
      </w:pPr>
      <w:r>
        <w:rPr>
          <w:rtl/>
        </w:rPr>
        <w:t>4.</w:t>
      </w:r>
      <w:r>
        <w:rPr>
          <w:rFonts w:hint="cs"/>
          <w:rtl/>
        </w:rPr>
        <w:tab/>
      </w:r>
      <w:r>
        <w:rPr>
          <w:rFonts w:hint="cs"/>
          <w:b/>
          <w:bCs/>
          <w:u w:val="single"/>
          <w:rtl/>
        </w:rPr>
        <w:t xml:space="preserve">חומרת העבירות, </w:t>
      </w:r>
      <w:r w:rsidRPr="00A07717">
        <w:rPr>
          <w:rFonts w:hint="cs"/>
          <w:b/>
          <w:bCs/>
          <w:u w:val="single"/>
          <w:rtl/>
        </w:rPr>
        <w:t xml:space="preserve">מתחמי הענישה </w:t>
      </w:r>
      <w:r w:rsidRPr="00A07717">
        <w:rPr>
          <w:b/>
          <w:bCs/>
          <w:u w:val="single"/>
          <w:rtl/>
        </w:rPr>
        <w:t>–</w:t>
      </w:r>
      <w:r w:rsidRPr="00A07717">
        <w:rPr>
          <w:rFonts w:hint="cs"/>
          <w:b/>
          <w:bCs/>
          <w:u w:val="single"/>
          <w:rtl/>
        </w:rPr>
        <w:t xml:space="preserve"> הכרעת בית המשפט </w:t>
      </w:r>
    </w:p>
    <w:p w14:paraId="15159C61" w14:textId="77777777" w:rsidR="002C7F25" w:rsidRDefault="002C7F25" w:rsidP="002C7F25">
      <w:pPr>
        <w:spacing w:line="480" w:lineRule="auto"/>
        <w:ind w:left="510" w:hanging="510"/>
        <w:jc w:val="both"/>
        <w:rPr>
          <w:rtl/>
        </w:rPr>
      </w:pPr>
    </w:p>
    <w:p w14:paraId="791CEBC8" w14:textId="77777777" w:rsidR="002C7F25" w:rsidRDefault="002C7F25" w:rsidP="002C7F25">
      <w:pPr>
        <w:spacing w:line="480" w:lineRule="auto"/>
        <w:ind w:left="510" w:hanging="510"/>
        <w:jc w:val="both"/>
        <w:rPr>
          <w:rtl/>
        </w:rPr>
      </w:pPr>
      <w:r>
        <w:rPr>
          <w:rtl/>
        </w:rPr>
        <w:tab/>
      </w:r>
      <w:r>
        <w:rPr>
          <w:rFonts w:hint="cs"/>
          <w:rtl/>
        </w:rPr>
        <w:t>עבירות שבמרכזן סחר בנשק, ואפילו אין המדובר אלא בחלקי חילוף או כדורים, חומרתן יתירה:-</w:t>
      </w:r>
    </w:p>
    <w:p w14:paraId="658E60D9" w14:textId="77777777" w:rsidR="002C7F25" w:rsidRDefault="002C7F25" w:rsidP="002C7F25">
      <w:pPr>
        <w:spacing w:line="360" w:lineRule="auto"/>
        <w:ind w:left="1230" w:right="567"/>
        <w:jc w:val="both"/>
        <w:rPr>
          <w:b/>
          <w:bCs/>
          <w:rtl/>
        </w:rPr>
      </w:pPr>
    </w:p>
    <w:p w14:paraId="22265527" w14:textId="77777777" w:rsidR="002C7F25" w:rsidRPr="005E7AA4" w:rsidRDefault="002C7F25" w:rsidP="002C7F25">
      <w:pPr>
        <w:spacing w:line="360" w:lineRule="auto"/>
        <w:ind w:left="1230"/>
        <w:jc w:val="both"/>
        <w:rPr>
          <w:rtl/>
        </w:rPr>
      </w:pPr>
      <w:r>
        <w:rPr>
          <w:rFonts w:hint="cs"/>
          <w:b/>
          <w:bCs/>
          <w:rtl/>
        </w:rPr>
        <w:t>"</w:t>
      </w:r>
      <w:r w:rsidRPr="005E7AA4">
        <w:rPr>
          <w:b/>
          <w:bCs/>
          <w:rtl/>
        </w:rPr>
        <w:t>עבירות בנשק חומרתן מכופלת,</w:t>
      </w:r>
      <w:r>
        <w:rPr>
          <w:rFonts w:hint="cs"/>
          <w:b/>
          <w:bCs/>
          <w:rtl/>
        </w:rPr>
        <w:t xml:space="preserve"> </w:t>
      </w:r>
      <w:r w:rsidRPr="005E7AA4">
        <w:rPr>
          <w:b/>
          <w:bCs/>
          <w:rtl/>
        </w:rPr>
        <w:t>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 של נשק בידיים לא נכונות, עלול להביא בסופו של יום אף לקיפוד חיי אדם ר"ל. ב</w:t>
      </w:r>
      <w:hyperlink r:id="rId24" w:history="1">
        <w:r w:rsidR="005B1437" w:rsidRPr="005B1437">
          <w:rPr>
            <w:b/>
            <w:bCs/>
            <w:color w:val="0000FF"/>
            <w:u w:val="single"/>
            <w:rtl/>
          </w:rPr>
          <w:t>ע"פ 2251/11</w:t>
        </w:r>
      </w:hyperlink>
      <w:r w:rsidRPr="005E7AA4">
        <w:rPr>
          <w:b/>
          <w:bCs/>
          <w:rtl/>
        </w:rPr>
        <w:t xml:space="preserve"> נפאע נ' מדינת ישראל ([פורסם בנבו], 4.12.11) שעסק בפרשה זו עצמה לגבי נאשם אחר, ציינה השופטת חיות (פסקה 5), כי "סחר בלתי חוקי בנשק סולל את הדרך לפעילות אלימה ובלתי חוקית, והדבר חמור שבעתיים במציאות הישראלית בה קיים חשש תמיד כי נשק המוחזק באופן בלתי חוקי יתגלגל לא רק לידים עברייניות, עניין חמור לעצמו, כי אם לידיהם של אלה המבקשים להוציא אל הפועל פעילות חבלנית עוינת...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וראו גם האסמכתאות שם. דברים אלה, שאנו מצטרפים אליהם, ודומיהם שנכתבו לאורך השנים, משקפים את מדיניות הענישה המבקשת להחמיר עם העבריינים כדי להגן על הציבור באמצעות הרתעה וגמול, ולתרום את חלקם של בתי המשפט במאבק בכך</w:t>
      </w:r>
      <w:r>
        <w:rPr>
          <w:rFonts w:hint="cs"/>
          <w:b/>
          <w:bCs/>
          <w:rtl/>
        </w:rPr>
        <w:t>"</w:t>
      </w:r>
      <w:r w:rsidRPr="005E7AA4">
        <w:rPr>
          <w:rFonts w:hint="cs"/>
          <w:b/>
          <w:bCs/>
          <w:rtl/>
        </w:rPr>
        <w:t xml:space="preserve"> </w:t>
      </w:r>
      <w:r w:rsidRPr="005E7AA4">
        <w:rPr>
          <w:rFonts w:hint="cs"/>
          <w:rtl/>
        </w:rPr>
        <w:t>[</w:t>
      </w:r>
      <w:hyperlink r:id="rId25" w:history="1">
        <w:r w:rsidR="005B1437" w:rsidRPr="005B1437">
          <w:rPr>
            <w:color w:val="0000FF"/>
            <w:u w:val="single"/>
            <w:rtl/>
          </w:rPr>
          <w:t>ע"פ 6371/11</w:t>
        </w:r>
      </w:hyperlink>
      <w:r w:rsidRPr="005E7AA4">
        <w:rPr>
          <w:rFonts w:hint="cs"/>
          <w:b/>
          <w:bCs/>
          <w:rtl/>
        </w:rPr>
        <w:t xml:space="preserve"> מדינת ישראל נ' אנס הייבי </w:t>
      </w:r>
      <w:r w:rsidRPr="005E7AA4">
        <w:rPr>
          <w:rFonts w:hint="cs"/>
          <w:rtl/>
        </w:rPr>
        <w:t xml:space="preserve">(18.12.2011)]. </w:t>
      </w:r>
    </w:p>
    <w:p w14:paraId="339D775C" w14:textId="77777777" w:rsidR="002C7F25" w:rsidRDefault="002C7F25" w:rsidP="002C7F25">
      <w:pPr>
        <w:spacing w:line="480" w:lineRule="auto"/>
        <w:ind w:left="510" w:hanging="510"/>
        <w:jc w:val="both"/>
        <w:rPr>
          <w:rtl/>
        </w:rPr>
      </w:pPr>
    </w:p>
    <w:p w14:paraId="3AF8D51F" w14:textId="77777777" w:rsidR="002C7F25" w:rsidRDefault="002C7F25" w:rsidP="002C7F25">
      <w:pPr>
        <w:spacing w:line="480" w:lineRule="auto"/>
        <w:ind w:left="510" w:hanging="510"/>
        <w:jc w:val="both"/>
        <w:rPr>
          <w:rtl/>
        </w:rPr>
      </w:pPr>
      <w:r w:rsidRPr="00143504">
        <w:rPr>
          <w:rtl/>
        </w:rPr>
        <w:tab/>
      </w:r>
      <w:r>
        <w:rPr>
          <w:rFonts w:hint="cs"/>
          <w:rtl/>
        </w:rPr>
        <w:t>ואף לשיקולי מדיניות ניתן בפסיקה ביטוי ברור:-</w:t>
      </w:r>
    </w:p>
    <w:p w14:paraId="7714D1C9" w14:textId="77777777" w:rsidR="002C7F25" w:rsidRPr="00143504" w:rsidRDefault="002C7F25" w:rsidP="002C7F25">
      <w:pPr>
        <w:spacing w:line="480" w:lineRule="auto"/>
        <w:ind w:left="510" w:hanging="510"/>
        <w:jc w:val="both"/>
        <w:rPr>
          <w:rtl/>
        </w:rPr>
      </w:pPr>
      <w:r>
        <w:rPr>
          <w:rFonts w:hint="cs"/>
          <w:rtl/>
        </w:rPr>
        <w:t xml:space="preserve"> </w:t>
      </w:r>
    </w:p>
    <w:p w14:paraId="74C10FD1" w14:textId="77777777" w:rsidR="002C7F25" w:rsidRPr="00143504" w:rsidRDefault="002C7F25" w:rsidP="002C7F25">
      <w:pPr>
        <w:spacing w:line="360" w:lineRule="auto"/>
        <w:ind w:left="1230"/>
        <w:jc w:val="both"/>
        <w:rPr>
          <w:rtl/>
        </w:rPr>
      </w:pPr>
      <w:r w:rsidRPr="00143504">
        <w:rPr>
          <w:rtl/>
        </w:rPr>
        <w:t>"</w:t>
      </w:r>
      <w:r w:rsidRPr="00143504">
        <w:rPr>
          <w:b/>
          <w:bCs/>
          <w:rtl/>
        </w:rPr>
        <w:t xml:space="preserve">בפסיקתנו נקבע, לא אחת, כי יש לראות את תופעת הסחר הבלתי 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הדבר חמור שבעתיים במציאות הישראלית, שבה נשק המוחזק באופן בלתי חוקי עלול להגיע אף לידי מעורבים בפעילות חבלנית עוינת על רקע בטחוני... ואכן, המגמה בשנים האחרונות לגבי עבירות הנשק היא של החמרה ברמת ענישתם של המעורבים בהן ומתן ביטוי עונשי ההולם את הסכנה הנשקפת מהם" </w:t>
      </w:r>
      <w:r w:rsidRPr="00143504">
        <w:rPr>
          <w:rtl/>
        </w:rPr>
        <w:t>[</w:t>
      </w:r>
      <w:hyperlink r:id="rId26" w:history="1">
        <w:r w:rsidR="005B1437" w:rsidRPr="005B1437">
          <w:rPr>
            <w:color w:val="0000FF"/>
            <w:u w:val="single"/>
            <w:rtl/>
          </w:rPr>
          <w:t>ע"פ 4154/16</w:t>
        </w:r>
      </w:hyperlink>
      <w:r w:rsidRPr="00143504">
        <w:rPr>
          <w:rtl/>
        </w:rPr>
        <w:t xml:space="preserve"> </w:t>
      </w:r>
      <w:r w:rsidRPr="00143504">
        <w:rPr>
          <w:b/>
          <w:bCs/>
          <w:rtl/>
        </w:rPr>
        <w:t xml:space="preserve">רונן דהוד נ' מדינת ישראל, </w:t>
      </w:r>
      <w:r w:rsidRPr="00143504">
        <w:rPr>
          <w:rtl/>
        </w:rPr>
        <w:t xml:space="preserve">(19.1.2017)] וכן ראה </w:t>
      </w:r>
      <w:hyperlink r:id="rId27" w:history="1">
        <w:r w:rsidR="005B1437" w:rsidRPr="005B1437">
          <w:rPr>
            <w:color w:val="0000FF"/>
            <w:u w:val="single"/>
            <w:rtl/>
          </w:rPr>
          <w:t>ע"פ 2802/18</w:t>
        </w:r>
      </w:hyperlink>
      <w:r w:rsidRPr="00143504">
        <w:rPr>
          <w:rtl/>
        </w:rPr>
        <w:t xml:space="preserve"> </w:t>
      </w:r>
      <w:r w:rsidRPr="00143504">
        <w:rPr>
          <w:b/>
          <w:bCs/>
          <w:rtl/>
        </w:rPr>
        <w:t xml:space="preserve">איוב ג'ואמיס נ' מדינת ישראל </w:t>
      </w:r>
      <w:r w:rsidRPr="00143504">
        <w:rPr>
          <w:rtl/>
        </w:rPr>
        <w:t xml:space="preserve">(26.7.2018); </w:t>
      </w:r>
      <w:hyperlink r:id="rId28" w:history="1">
        <w:r w:rsidR="005B1437" w:rsidRPr="005B1437">
          <w:rPr>
            <w:color w:val="0000FF"/>
            <w:u w:val="single"/>
            <w:rtl/>
          </w:rPr>
          <w:t>ע"פ 536/17</w:t>
        </w:r>
      </w:hyperlink>
      <w:r w:rsidRPr="00143504">
        <w:rPr>
          <w:rtl/>
        </w:rPr>
        <w:t xml:space="preserve"> </w:t>
      </w:r>
      <w:r w:rsidRPr="00143504">
        <w:rPr>
          <w:b/>
          <w:bCs/>
          <w:rtl/>
        </w:rPr>
        <w:t xml:space="preserve">וסאם שלאלדה נ' מדינת ישראל </w:t>
      </w:r>
      <w:r w:rsidRPr="00143504">
        <w:rPr>
          <w:rtl/>
        </w:rPr>
        <w:t>(10.8.17)</w:t>
      </w:r>
      <w:r>
        <w:rPr>
          <w:rFonts w:hint="cs"/>
          <w:rtl/>
        </w:rPr>
        <w:t xml:space="preserve">; </w:t>
      </w:r>
      <w:hyperlink r:id="rId29" w:history="1">
        <w:r w:rsidR="005B1437" w:rsidRPr="005B1437">
          <w:rPr>
            <w:color w:val="0000FF"/>
            <w:u w:val="single"/>
            <w:rtl/>
          </w:rPr>
          <w:t>ע"פ 8045/17</w:t>
        </w:r>
      </w:hyperlink>
      <w:r>
        <w:rPr>
          <w:rFonts w:hint="cs"/>
          <w:rtl/>
        </w:rPr>
        <w:t xml:space="preserve"> </w:t>
      </w:r>
      <w:r w:rsidRPr="005E7AA4">
        <w:rPr>
          <w:rFonts w:hint="cs"/>
          <w:b/>
          <w:bCs/>
          <w:rtl/>
        </w:rPr>
        <w:t>מחמוד ברנסי נ' מדינת ישראל</w:t>
      </w:r>
      <w:r>
        <w:rPr>
          <w:rFonts w:hint="cs"/>
          <w:rtl/>
        </w:rPr>
        <w:t xml:space="preserve"> (16.8.2018]. </w:t>
      </w:r>
      <w:r w:rsidRPr="00143504">
        <w:rPr>
          <w:rtl/>
        </w:rPr>
        <w:t xml:space="preserve"> </w:t>
      </w:r>
    </w:p>
    <w:p w14:paraId="2D88B23F" w14:textId="77777777" w:rsidR="002C7F25" w:rsidRPr="00143504" w:rsidRDefault="002C7F25" w:rsidP="002C7F25">
      <w:pPr>
        <w:rPr>
          <w:rFonts w:cs="Times New Roman"/>
          <w:rtl/>
        </w:rPr>
      </w:pPr>
    </w:p>
    <w:p w14:paraId="702AF553" w14:textId="77777777" w:rsidR="002C7F25" w:rsidRPr="00143504" w:rsidRDefault="002C7F25" w:rsidP="002C7F25">
      <w:pPr>
        <w:rPr>
          <w:rFonts w:cs="Times New Roman"/>
          <w:rtl/>
        </w:rPr>
      </w:pPr>
    </w:p>
    <w:p w14:paraId="3B125435" w14:textId="77777777" w:rsidR="002C7F25" w:rsidRDefault="002C7F25" w:rsidP="002C7F25">
      <w:pPr>
        <w:spacing w:line="480" w:lineRule="auto"/>
        <w:ind w:left="510" w:hanging="510"/>
        <w:jc w:val="both"/>
        <w:rPr>
          <w:rtl/>
        </w:rPr>
      </w:pPr>
      <w:r>
        <w:rPr>
          <w:rtl/>
        </w:rPr>
        <w:tab/>
      </w:r>
      <w:r>
        <w:rPr>
          <w:rFonts w:hint="cs"/>
          <w:rtl/>
        </w:rPr>
        <w:t>ואשר לנאשם 1, אתקשה שלא להזכיר את פסיקת בית המשפט העליון בענין נסים עביד:-</w:t>
      </w:r>
    </w:p>
    <w:p w14:paraId="49355430" w14:textId="77777777" w:rsidR="002C7F25" w:rsidRDefault="002C7F25" w:rsidP="002C7F25">
      <w:pPr>
        <w:spacing w:line="360" w:lineRule="auto"/>
        <w:ind w:left="930" w:right="426"/>
        <w:jc w:val="both"/>
        <w:rPr>
          <w:b/>
          <w:bCs/>
          <w:rtl/>
        </w:rPr>
      </w:pPr>
    </w:p>
    <w:p w14:paraId="1DEB9499" w14:textId="77777777" w:rsidR="002C7F25" w:rsidRPr="00F02F1A" w:rsidRDefault="002C7F25" w:rsidP="002C7F25">
      <w:pPr>
        <w:spacing w:line="360" w:lineRule="auto"/>
        <w:ind w:left="930"/>
        <w:jc w:val="both"/>
        <w:rPr>
          <w:rtl/>
        </w:rPr>
      </w:pPr>
      <w:r w:rsidRPr="00F02F1A">
        <w:rPr>
          <w:rFonts w:hint="cs"/>
          <w:b/>
          <w:bCs/>
          <w:rtl/>
        </w:rPr>
        <w:t>"</w:t>
      </w:r>
      <w:r w:rsidRPr="00F02F1A">
        <w:rPr>
          <w:b/>
          <w:bCs/>
          <w:rtl/>
        </w:rPr>
        <w:t>המעשים בהם הורשע המערער חמורים הם. בינו לבין ג'אבר התקיימה מערכת יחסים פסולה של מתן וקבלת שוחד אותה המערער מינף כדי לבצע עסקה של מכירת אמצעי לחימה, אשר גנב מהבסיס שבו שירת. אין מדובר במעידה חד-פעמית אלא בדפוס פעולה חוזר אשר בא לסיומו בשל שיתוף הפעולה של ג'אבר עם המשטרה. המערער ביצע את המעשים בהיותו שוטר משמר הגבול ותוך שהוא מפר את האמון שניתן בו על ידי המשטרה ועל ידי הציבור, והנזק אשר היה עלול להיגרם ממעשיו רב לאין ערוך</w:t>
      </w:r>
      <w:r w:rsidRPr="00F02F1A">
        <w:rPr>
          <w:rFonts w:hint="cs"/>
          <w:b/>
          <w:bCs/>
          <w:rtl/>
        </w:rPr>
        <w:t xml:space="preserve">" </w:t>
      </w:r>
      <w:r w:rsidRPr="00FC769C">
        <w:rPr>
          <w:rFonts w:hint="cs"/>
          <w:rtl/>
        </w:rPr>
        <w:t>[</w:t>
      </w:r>
      <w:hyperlink r:id="rId30" w:history="1">
        <w:r w:rsidR="005B1437" w:rsidRPr="005B1437">
          <w:rPr>
            <w:color w:val="0000FF"/>
            <w:u w:val="single"/>
            <w:rtl/>
          </w:rPr>
          <w:t>ע"פ 5080/15</w:t>
        </w:r>
      </w:hyperlink>
      <w:r w:rsidRPr="00F02F1A">
        <w:rPr>
          <w:rFonts w:hint="cs"/>
          <w:rtl/>
        </w:rPr>
        <w:t xml:space="preserve"> </w:t>
      </w:r>
      <w:r w:rsidRPr="00F02F1A">
        <w:rPr>
          <w:rFonts w:hint="cs"/>
          <w:b/>
          <w:bCs/>
          <w:rtl/>
        </w:rPr>
        <w:t xml:space="preserve">נסים עביד נ' מדינת ישראל </w:t>
      </w:r>
      <w:r w:rsidRPr="00F02F1A">
        <w:rPr>
          <w:rFonts w:hint="cs"/>
          <w:rtl/>
        </w:rPr>
        <w:t xml:space="preserve">(10.3.2016)]. </w:t>
      </w:r>
    </w:p>
    <w:p w14:paraId="71B07F48" w14:textId="77777777" w:rsidR="002C7F25" w:rsidRDefault="002C7F25" w:rsidP="002C7F25">
      <w:pPr>
        <w:spacing w:line="480" w:lineRule="auto"/>
        <w:ind w:left="510" w:hanging="510"/>
        <w:jc w:val="both"/>
        <w:rPr>
          <w:rtl/>
        </w:rPr>
      </w:pPr>
    </w:p>
    <w:p w14:paraId="1B0FD4DC" w14:textId="77777777" w:rsidR="002C7F25" w:rsidRDefault="002C7F25" w:rsidP="002C7F25">
      <w:pPr>
        <w:spacing w:line="480" w:lineRule="auto"/>
        <w:ind w:left="510"/>
        <w:jc w:val="both"/>
        <w:rPr>
          <w:rtl/>
        </w:rPr>
      </w:pPr>
      <w:r>
        <w:rPr>
          <w:rFonts w:hint="cs"/>
          <w:rtl/>
        </w:rPr>
        <w:t>אשר למתחמים, מצאתי לנכון להגדירם בנפרד ביחס לכל אחד מהנאשמים. ואולם קודם שאגש לקביעת המתחמים, אתן ביטוי לכך שלהערכתי נקלעו ב"כ שני הצדדים לעמדות קצה, אולי אף מעבר למקובל: מצד המאשימה התקשיתי לקבל את התנגדותה לכך, שבנסיבות המתאימות יתחיל הרף ממאסר לריצוי בעבודות שירות, וכי בכל מקרה ובכל נסיבות, חייב המתחם להתחיל במאסר מאחורי סורג ובריח, ואפילו למי שתקפות ביחס אליו טענות ההגנה שפורטו, ומצד ההגנה מתקשה אני לקבל שעבירות מן הסוג שעל הפרק יסתיימו בעבודות לתועלת הציבור. זאת, גם אם כך הייתה עמדת שירות המבחן. כהערה שיהא בה כדי להקדים מסקנות שיפורטו בהמשך, נכון אני כבר עתה לנקוט בהערכה, שמאסר שירוצה בעבודות שירות, בודאי ביחס לנאשם שמודה ואין לו עבר פלילי קודם, הוא העונש ההולם הסמוך לנקודת האיזון המתבקשת. בצדק הפנה בנקודה זו הסניגור לסעיף 20(1) להנחיות פרקליט המדינה, ולא בכדי זוהתה נקודת איזון זו כבר בשלביו הקודמים של ההליך, ונעשה מאמץ לחתור לענישה במגמה זו, ועיין להלן.</w:t>
      </w:r>
    </w:p>
    <w:p w14:paraId="4965BE62" w14:textId="77777777" w:rsidR="002C7F25" w:rsidRDefault="002C7F25" w:rsidP="002C7F25">
      <w:pPr>
        <w:spacing w:line="480" w:lineRule="auto"/>
        <w:ind w:left="510" w:hanging="510"/>
        <w:jc w:val="both"/>
        <w:rPr>
          <w:rtl/>
        </w:rPr>
      </w:pPr>
    </w:p>
    <w:p w14:paraId="5F4593DC" w14:textId="77777777" w:rsidR="002C7F25" w:rsidRDefault="002C7F25" w:rsidP="002C7F25">
      <w:pPr>
        <w:spacing w:line="480" w:lineRule="auto"/>
        <w:ind w:left="1440" w:hanging="930"/>
        <w:jc w:val="both"/>
        <w:rPr>
          <w:rtl/>
        </w:rPr>
      </w:pPr>
      <w:r>
        <w:rPr>
          <w:rFonts w:hint="cs"/>
          <w:rtl/>
        </w:rPr>
        <w:t>א.</w:t>
      </w:r>
      <w:r>
        <w:rPr>
          <w:rFonts w:hint="cs"/>
          <w:rtl/>
        </w:rPr>
        <w:tab/>
      </w:r>
      <w:r w:rsidRPr="00614206">
        <w:rPr>
          <w:rFonts w:hint="cs"/>
          <w:u w:val="single"/>
          <w:rtl/>
        </w:rPr>
        <w:t>הנאשם 1</w:t>
      </w:r>
      <w:r>
        <w:rPr>
          <w:rFonts w:hint="cs"/>
          <w:rtl/>
        </w:rPr>
        <w:t xml:space="preserve"> </w:t>
      </w:r>
      <w:r>
        <w:rPr>
          <w:rtl/>
        </w:rPr>
        <w:t>–</w:t>
      </w:r>
      <w:r>
        <w:rPr>
          <w:rFonts w:hint="cs"/>
          <w:rtl/>
        </w:rPr>
        <w:t xml:space="preserve"> תוך שאציין שהורשע הוא בשני אישומים וניכר תפקידו המרכזי בפרשה, קובע אני ביחס למעשיו את המתחם כדלקמן: בין חמישה חודשי מאסר לריצוי בעבודות שירות ועד 18 חודשי מאסר בפועל. </w:t>
      </w:r>
    </w:p>
    <w:p w14:paraId="0B464C19" w14:textId="77777777" w:rsidR="002C7F25" w:rsidRDefault="002C7F25" w:rsidP="002C7F25">
      <w:pPr>
        <w:spacing w:line="480" w:lineRule="auto"/>
        <w:ind w:left="1440" w:hanging="930"/>
        <w:jc w:val="both"/>
        <w:rPr>
          <w:rtl/>
        </w:rPr>
      </w:pPr>
    </w:p>
    <w:p w14:paraId="22E20126" w14:textId="77777777" w:rsidR="002C7F25" w:rsidRDefault="002C7F25" w:rsidP="002C7F25">
      <w:pPr>
        <w:spacing w:line="480" w:lineRule="auto"/>
        <w:ind w:left="1440" w:hanging="930"/>
        <w:jc w:val="both"/>
        <w:rPr>
          <w:rtl/>
        </w:rPr>
      </w:pPr>
      <w:r>
        <w:rPr>
          <w:rFonts w:hint="cs"/>
          <w:rtl/>
        </w:rPr>
        <w:t>ב.</w:t>
      </w:r>
      <w:r>
        <w:rPr>
          <w:rFonts w:hint="cs"/>
          <w:rtl/>
        </w:rPr>
        <w:tab/>
      </w:r>
      <w:r w:rsidRPr="00614206">
        <w:rPr>
          <w:rFonts w:hint="cs"/>
          <w:u w:val="single"/>
          <w:rtl/>
        </w:rPr>
        <w:t>הנאשם 2</w:t>
      </w:r>
      <w:r>
        <w:rPr>
          <w:rFonts w:hint="cs"/>
          <w:rtl/>
        </w:rPr>
        <w:t xml:space="preserve"> </w:t>
      </w:r>
      <w:r>
        <w:rPr>
          <w:rtl/>
        </w:rPr>
        <w:t>–</w:t>
      </w:r>
      <w:r>
        <w:rPr>
          <w:rFonts w:hint="cs"/>
          <w:rtl/>
        </w:rPr>
        <w:t xml:space="preserve"> הורשע הוא, כאמור, בעבירה אחת של קשירת קשר לביצוע פשע, אך ללא כל מעשה עברייני אקטיבי מעבר לקשר זה, וקובע אני את המתחם בין ארבעה חודשי מאסר לריצוי בעבודות שירות ועד 12 חודשי מאסר בפועל. </w:t>
      </w:r>
    </w:p>
    <w:p w14:paraId="5352CCC5" w14:textId="77777777" w:rsidR="002C7F25" w:rsidRDefault="002C7F25" w:rsidP="002C7F25">
      <w:pPr>
        <w:spacing w:line="480" w:lineRule="auto"/>
        <w:ind w:left="1440" w:hanging="930"/>
        <w:jc w:val="both"/>
        <w:rPr>
          <w:rtl/>
        </w:rPr>
      </w:pPr>
    </w:p>
    <w:p w14:paraId="2A8683B9" w14:textId="77777777" w:rsidR="002C7F25" w:rsidRDefault="002C7F25" w:rsidP="002C7F25">
      <w:pPr>
        <w:spacing w:line="480" w:lineRule="auto"/>
        <w:ind w:left="1440" w:hanging="930"/>
        <w:jc w:val="both"/>
        <w:rPr>
          <w:rtl/>
        </w:rPr>
      </w:pPr>
      <w:r>
        <w:rPr>
          <w:rFonts w:hint="cs"/>
          <w:rtl/>
        </w:rPr>
        <w:t>ג.</w:t>
      </w:r>
      <w:r>
        <w:rPr>
          <w:rtl/>
        </w:rPr>
        <w:tab/>
      </w:r>
      <w:r w:rsidRPr="00357710">
        <w:rPr>
          <w:rFonts w:hint="cs"/>
          <w:u w:val="single"/>
          <w:rtl/>
        </w:rPr>
        <w:t>הנאשם 3</w:t>
      </w:r>
      <w:r>
        <w:rPr>
          <w:rFonts w:hint="cs"/>
          <w:rtl/>
        </w:rPr>
        <w:t xml:space="preserve"> </w:t>
      </w:r>
      <w:r>
        <w:rPr>
          <w:rtl/>
        </w:rPr>
        <w:t>–</w:t>
      </w:r>
      <w:r>
        <w:rPr>
          <w:rFonts w:hint="cs"/>
          <w:rtl/>
        </w:rPr>
        <w:t xml:space="preserve"> הורשע הוא, כאמור, בעבירה אחת של קשירת קשר, וצודק הסנגור שעל הפרק עוון. קובע אני את המתחם ביחס אליו על הטווח שבין שלושה חודשי מאסר לריצוי בעבודות שירות לבין עשרה חודשי מאסר בפועל. </w:t>
      </w:r>
    </w:p>
    <w:p w14:paraId="0578281A" w14:textId="77777777" w:rsidR="002C7F25" w:rsidRDefault="002C7F25" w:rsidP="002C7F25">
      <w:pPr>
        <w:spacing w:line="480" w:lineRule="auto"/>
        <w:ind w:left="1440"/>
        <w:jc w:val="both"/>
        <w:rPr>
          <w:rtl/>
        </w:rPr>
      </w:pPr>
    </w:p>
    <w:p w14:paraId="6DA72364" w14:textId="77777777" w:rsidR="002C7F25" w:rsidRDefault="002C7F25" w:rsidP="002C7F25">
      <w:pPr>
        <w:spacing w:line="480" w:lineRule="auto"/>
        <w:ind w:left="1440"/>
        <w:jc w:val="both"/>
        <w:rPr>
          <w:rtl/>
        </w:rPr>
      </w:pPr>
      <w:r>
        <w:rPr>
          <w:rFonts w:hint="cs"/>
          <w:rtl/>
        </w:rPr>
        <w:t xml:space="preserve">ומכאן לדיון הפרטני. </w:t>
      </w:r>
      <w:r>
        <w:rPr>
          <w:rtl/>
        </w:rPr>
        <w:tab/>
      </w:r>
      <w:r>
        <w:rPr>
          <w:rFonts w:hint="cs"/>
          <w:rtl/>
        </w:rPr>
        <w:t xml:space="preserve"> </w:t>
      </w:r>
    </w:p>
    <w:p w14:paraId="4005AB24" w14:textId="77777777" w:rsidR="002C7F25" w:rsidRDefault="002C7F25" w:rsidP="002C7F25">
      <w:pPr>
        <w:spacing w:line="480" w:lineRule="auto"/>
        <w:jc w:val="both"/>
        <w:rPr>
          <w:rtl/>
        </w:rPr>
      </w:pPr>
    </w:p>
    <w:p w14:paraId="348348A3" w14:textId="77777777" w:rsidR="002C7F25" w:rsidRDefault="002C7F25" w:rsidP="002C7F25">
      <w:pPr>
        <w:spacing w:line="480" w:lineRule="auto"/>
        <w:ind w:left="510" w:hanging="510"/>
        <w:jc w:val="both"/>
        <w:rPr>
          <w:rtl/>
        </w:rPr>
      </w:pPr>
      <w:r>
        <w:rPr>
          <w:rtl/>
        </w:rPr>
        <w:t>5.</w:t>
      </w:r>
      <w:r>
        <w:rPr>
          <w:rFonts w:hint="cs"/>
          <w:rtl/>
        </w:rPr>
        <w:tab/>
      </w:r>
      <w:r w:rsidRPr="00357710">
        <w:rPr>
          <w:rFonts w:hint="cs"/>
          <w:b/>
          <w:bCs/>
          <w:u w:val="single"/>
          <w:rtl/>
        </w:rPr>
        <w:t>הנאשם 1</w:t>
      </w:r>
      <w:r>
        <w:rPr>
          <w:rFonts w:hint="cs"/>
          <w:rtl/>
        </w:rPr>
        <w:t xml:space="preserve"> </w:t>
      </w:r>
    </w:p>
    <w:p w14:paraId="2B8676C6" w14:textId="77777777" w:rsidR="002C7F25" w:rsidRDefault="002C7F25" w:rsidP="002C7F25">
      <w:pPr>
        <w:spacing w:line="480" w:lineRule="auto"/>
        <w:ind w:left="510" w:hanging="510"/>
        <w:jc w:val="both"/>
        <w:rPr>
          <w:rtl/>
        </w:rPr>
      </w:pPr>
    </w:p>
    <w:p w14:paraId="60875070" w14:textId="77777777" w:rsidR="002C7F25" w:rsidRDefault="002C7F25" w:rsidP="002C7F25">
      <w:pPr>
        <w:spacing w:line="480" w:lineRule="auto"/>
        <w:ind w:left="1440" w:hanging="930"/>
        <w:jc w:val="both"/>
        <w:rPr>
          <w:rtl/>
        </w:rPr>
      </w:pPr>
      <w:r>
        <w:rPr>
          <w:rFonts w:hint="cs"/>
          <w:rtl/>
        </w:rPr>
        <w:t>א.</w:t>
      </w:r>
      <w:r>
        <w:rPr>
          <w:rtl/>
        </w:rPr>
        <w:tab/>
      </w:r>
      <w:r>
        <w:rPr>
          <w:rFonts w:hint="cs"/>
          <w:rtl/>
        </w:rPr>
        <w:t xml:space="preserve">דומני, שראוי לפתוח ביחס לנאשם זה בתמונה הכללית שנגד עיני בית המשפט. מן הצד האחד, על פני הדברים, חלקו בפרשה רב משל עמיתיו. לא זו בלבד שהורשע הוא בשני האישומים, אלא שיש בהם כדי ללמד על התדרדרות שמוציאה את עניינו מהאפשרות שאגדיר את מעשיו כאקראיים. למרות ההמלצות וההערכות החיוביות ביחס אליו שהוגשו לי, וכך, להערכתי, פני הדברים, הרי באשר העברת כדורים או חלקי נשק לאחרים, לא הייתה זו לדידו אירוע חד פעמי. העובדה שהיה הוא שוטר, אף מחמירה את מצבו. ואולם, מן הצד האחר, שילם הוא כבר את המחיר שבעתיים יותר מאשר עמיתיו, וראוי לבית המשפט שיקח זאת בחשבון במידה הראויה: פוטר הוא מהמשטרה ואיבד את משרתו, בכך איבד את מעמדו וירד מאיגרא רמא לבירא עמיקתא. נוכח כל זאת, גם מצבו הכלכלי התדרדר כפי שלמד בית המשפט מפיו ומבני משפחתו, ומאמין אני לדברים. לשון אחר: גם אם ראוי היה להחמיר עימו בהרבה ביחס לעמיתיו, ייתכן שראוי לבית המשפט לנקוט מידה של מתינות באשר, בפועל, שילם הוא כבר מחיר כבד ביותר עוד קודם מתן גזר דין זה. </w:t>
      </w:r>
    </w:p>
    <w:p w14:paraId="4225AF9B" w14:textId="77777777" w:rsidR="002C7F25" w:rsidRDefault="002C7F25" w:rsidP="002C7F25">
      <w:pPr>
        <w:spacing w:line="480" w:lineRule="auto"/>
        <w:ind w:left="1440" w:hanging="930"/>
        <w:jc w:val="both"/>
        <w:rPr>
          <w:rtl/>
        </w:rPr>
      </w:pPr>
    </w:p>
    <w:p w14:paraId="3ACE9BC2" w14:textId="77777777" w:rsidR="002C7F25" w:rsidRDefault="002C7F25" w:rsidP="002C7F25">
      <w:pPr>
        <w:spacing w:line="480" w:lineRule="auto"/>
        <w:ind w:left="1440" w:hanging="930"/>
        <w:jc w:val="both"/>
        <w:rPr>
          <w:rtl/>
        </w:rPr>
      </w:pPr>
      <w:r>
        <w:rPr>
          <w:rFonts w:hint="cs"/>
          <w:rtl/>
        </w:rPr>
        <w:t>ב.</w:t>
      </w:r>
      <w:r>
        <w:rPr>
          <w:rFonts w:hint="cs"/>
          <w:rtl/>
        </w:rPr>
        <w:tab/>
        <w:t xml:space="preserve">ולאחר זאת, אשוב ואזכיר שעל הפרק נאשם ללא עבר פלילי קודם, שנטל את מלוא האחריות על מעשיו. </w:t>
      </w:r>
    </w:p>
    <w:p w14:paraId="233A4223" w14:textId="77777777" w:rsidR="002C7F25" w:rsidRDefault="002C7F25" w:rsidP="002C7F25">
      <w:pPr>
        <w:spacing w:line="480" w:lineRule="auto"/>
        <w:ind w:left="1440" w:hanging="930"/>
        <w:jc w:val="both"/>
        <w:rPr>
          <w:rtl/>
        </w:rPr>
      </w:pPr>
    </w:p>
    <w:p w14:paraId="0D07F855" w14:textId="77777777" w:rsidR="002C7F25" w:rsidRDefault="002C7F25" w:rsidP="002C7F25">
      <w:pPr>
        <w:spacing w:line="480" w:lineRule="auto"/>
        <w:ind w:left="1440" w:hanging="930"/>
        <w:jc w:val="both"/>
        <w:rPr>
          <w:rtl/>
        </w:rPr>
      </w:pPr>
      <w:r>
        <w:rPr>
          <w:rFonts w:hint="cs"/>
          <w:rtl/>
        </w:rPr>
        <w:t>ג.</w:t>
      </w:r>
      <w:r>
        <w:rPr>
          <w:rFonts w:hint="cs"/>
          <w:rtl/>
        </w:rPr>
        <w:tab/>
        <w:t xml:space="preserve">בד בבד, תקפים נתונים נוספים שפורטו כבר במסגרת גזר דין זה: ישב הוא לראשונה מימיו במעצר למעלה מחודש, ובמעצר בית לאחר מכן. וכאמור, לאחר שכבר התאפשרה יציאתו לעבודה, נאלץ הוא לתור אחרי עבודה חדשה, באשר למשטרה לא ניתן לו עוד לשוב, ובצדק. </w:t>
      </w:r>
    </w:p>
    <w:p w14:paraId="05CE9087" w14:textId="77777777" w:rsidR="002C7F25" w:rsidRDefault="002C7F25" w:rsidP="002C7F25">
      <w:pPr>
        <w:spacing w:line="480" w:lineRule="auto"/>
        <w:ind w:left="1440" w:hanging="930"/>
        <w:jc w:val="both"/>
        <w:rPr>
          <w:rtl/>
        </w:rPr>
      </w:pPr>
    </w:p>
    <w:p w14:paraId="608B2EA2" w14:textId="77777777" w:rsidR="002C7F25" w:rsidRDefault="002C7F25" w:rsidP="002C7F25">
      <w:pPr>
        <w:spacing w:line="480" w:lineRule="auto"/>
        <w:ind w:left="1440" w:hanging="930"/>
        <w:jc w:val="both"/>
        <w:rPr>
          <w:rtl/>
        </w:rPr>
      </w:pPr>
      <w:r>
        <w:rPr>
          <w:rFonts w:hint="cs"/>
          <w:rtl/>
        </w:rPr>
        <w:t>ד.</w:t>
      </w:r>
      <w:r>
        <w:rPr>
          <w:rFonts w:hint="cs"/>
          <w:rtl/>
        </w:rPr>
        <w:tab/>
        <w:t xml:space="preserve">שירות המבחן התרשם ממנו לחיוב, ובמובהק. </w:t>
      </w:r>
    </w:p>
    <w:p w14:paraId="5688E167" w14:textId="77777777" w:rsidR="002C7F25" w:rsidRDefault="002C7F25" w:rsidP="002C7F25">
      <w:pPr>
        <w:spacing w:line="480" w:lineRule="auto"/>
        <w:ind w:left="1440" w:hanging="930"/>
        <w:jc w:val="both"/>
        <w:rPr>
          <w:rtl/>
        </w:rPr>
      </w:pPr>
    </w:p>
    <w:p w14:paraId="5C3C237A" w14:textId="77777777" w:rsidR="002C7F25" w:rsidRDefault="002C7F25" w:rsidP="002C7F25">
      <w:pPr>
        <w:spacing w:line="480" w:lineRule="auto"/>
        <w:ind w:left="1440" w:hanging="930"/>
        <w:jc w:val="both"/>
        <w:rPr>
          <w:rtl/>
        </w:rPr>
      </w:pPr>
      <w:r>
        <w:rPr>
          <w:rFonts w:hint="cs"/>
          <w:rtl/>
        </w:rPr>
        <w:t>ה.</w:t>
      </w:r>
      <w:r>
        <w:rPr>
          <w:rFonts w:hint="cs"/>
          <w:rtl/>
        </w:rPr>
        <w:tab/>
        <w:t xml:space="preserve">נוכח זאת, ובניגוד לעמדת המאשימה, נכון לגזור את עונשו על גבול הרף התחתון שבמתחם בו ראיתי לנכון להכיר, שהוא גבוה ממתחמיהם של האחרים </w:t>
      </w:r>
      <w:r>
        <w:rPr>
          <w:rtl/>
        </w:rPr>
        <w:t>–</w:t>
      </w:r>
      <w:r>
        <w:rPr>
          <w:rFonts w:hint="cs"/>
          <w:rtl/>
        </w:rPr>
        <w:t xml:space="preserve"> מאסר לתקופה של חמישה חודשים שירוצה בעבודות שירות לצד ענישה נלווית כדלהלן. </w:t>
      </w:r>
    </w:p>
    <w:p w14:paraId="0A29F137" w14:textId="77777777" w:rsidR="002C7F25" w:rsidRDefault="002C7F25" w:rsidP="002C7F25">
      <w:pPr>
        <w:spacing w:line="480" w:lineRule="auto"/>
        <w:jc w:val="both"/>
        <w:rPr>
          <w:rtl/>
        </w:rPr>
      </w:pPr>
    </w:p>
    <w:p w14:paraId="0617820E" w14:textId="77777777" w:rsidR="002C7F25" w:rsidRDefault="002C7F25" w:rsidP="002C7F25">
      <w:pPr>
        <w:spacing w:line="480" w:lineRule="auto"/>
        <w:ind w:left="510" w:hanging="510"/>
        <w:jc w:val="both"/>
        <w:rPr>
          <w:rtl/>
        </w:rPr>
      </w:pPr>
      <w:r>
        <w:rPr>
          <w:rtl/>
        </w:rPr>
        <w:t>6.</w:t>
      </w:r>
      <w:r>
        <w:rPr>
          <w:rFonts w:hint="cs"/>
          <w:rtl/>
        </w:rPr>
        <w:tab/>
      </w:r>
      <w:r w:rsidRPr="00F73A08">
        <w:rPr>
          <w:rFonts w:hint="cs"/>
          <w:b/>
          <w:bCs/>
          <w:u w:val="single"/>
          <w:rtl/>
        </w:rPr>
        <w:t>הנאשם 2</w:t>
      </w:r>
      <w:r>
        <w:rPr>
          <w:rFonts w:hint="cs"/>
          <w:rtl/>
        </w:rPr>
        <w:t xml:space="preserve"> </w:t>
      </w:r>
    </w:p>
    <w:p w14:paraId="4EE519F8" w14:textId="77777777" w:rsidR="002C7F25" w:rsidRDefault="002C7F25" w:rsidP="002C7F25">
      <w:pPr>
        <w:spacing w:line="480" w:lineRule="auto"/>
        <w:ind w:left="510" w:hanging="510"/>
        <w:jc w:val="both"/>
        <w:rPr>
          <w:rtl/>
        </w:rPr>
      </w:pPr>
    </w:p>
    <w:p w14:paraId="4622127D" w14:textId="77777777" w:rsidR="002C7F25" w:rsidRDefault="002C7F25" w:rsidP="002C7F25">
      <w:pPr>
        <w:spacing w:line="480" w:lineRule="auto"/>
        <w:ind w:left="510" w:hanging="510"/>
        <w:jc w:val="both"/>
        <w:rPr>
          <w:rtl/>
        </w:rPr>
      </w:pPr>
      <w:r>
        <w:rPr>
          <w:rtl/>
        </w:rPr>
        <w:tab/>
      </w:r>
      <w:r>
        <w:rPr>
          <w:rFonts w:hint="cs"/>
          <w:rtl/>
        </w:rPr>
        <w:t>א.</w:t>
      </w:r>
      <w:r>
        <w:rPr>
          <w:rFonts w:hint="cs"/>
          <w:rtl/>
        </w:rPr>
        <w:tab/>
      </w:r>
      <w:r>
        <w:rPr>
          <w:rFonts w:hint="cs"/>
          <w:rtl/>
        </w:rPr>
        <w:tab/>
        <w:t xml:space="preserve">כאמור הורשע הוא בעבירה אחת - קשירת קשר לביצוע פשע. </w:t>
      </w:r>
    </w:p>
    <w:p w14:paraId="242C259F" w14:textId="77777777" w:rsidR="002C7F25" w:rsidRDefault="002C7F25" w:rsidP="002C7F25">
      <w:pPr>
        <w:spacing w:line="480" w:lineRule="auto"/>
        <w:ind w:left="510" w:hanging="510"/>
        <w:jc w:val="both"/>
        <w:rPr>
          <w:rtl/>
        </w:rPr>
      </w:pPr>
    </w:p>
    <w:p w14:paraId="4CAC00EE" w14:textId="77777777" w:rsidR="002C7F25" w:rsidRDefault="002C7F25" w:rsidP="002C7F25">
      <w:pPr>
        <w:spacing w:line="480" w:lineRule="auto"/>
        <w:ind w:left="1440" w:hanging="930"/>
        <w:jc w:val="both"/>
        <w:rPr>
          <w:rtl/>
        </w:rPr>
      </w:pPr>
      <w:r>
        <w:rPr>
          <w:rFonts w:hint="cs"/>
          <w:rtl/>
        </w:rPr>
        <w:t>ב.</w:t>
      </w:r>
      <w:r>
        <w:rPr>
          <w:rFonts w:hint="cs"/>
          <w:rtl/>
        </w:rPr>
        <w:tab/>
        <w:t xml:space="preserve">גם ביחס אליו תקפים נתונים רלוונטיים שכבר פורטו, בכללן הודייתו והעדר עבר פלילי קודם. מקבל אני גם, שניתן לאפיין את עבירת הקשר ברף הנמוך באשר לא חרגו הדברים משיחות. משקל יינתן אף לתקופת מעצרו לראשונה בחייו, ומעצר הבית ותסקיר שירות המבחן. </w:t>
      </w:r>
    </w:p>
    <w:p w14:paraId="7DAC7ED4" w14:textId="77777777" w:rsidR="002C7F25" w:rsidRDefault="002C7F25" w:rsidP="002C7F25">
      <w:pPr>
        <w:spacing w:line="480" w:lineRule="auto"/>
        <w:ind w:left="1440" w:hanging="930"/>
        <w:jc w:val="both"/>
        <w:rPr>
          <w:rtl/>
        </w:rPr>
      </w:pPr>
    </w:p>
    <w:p w14:paraId="5D8A7915" w14:textId="77777777" w:rsidR="002C7F25" w:rsidRDefault="002C7F25" w:rsidP="002C7F25">
      <w:pPr>
        <w:spacing w:line="480" w:lineRule="auto"/>
        <w:ind w:left="1440" w:hanging="930"/>
        <w:jc w:val="both"/>
        <w:rPr>
          <w:rtl/>
        </w:rPr>
      </w:pPr>
      <w:r>
        <w:rPr>
          <w:rFonts w:hint="cs"/>
          <w:rtl/>
        </w:rPr>
        <w:t>ג.</w:t>
      </w:r>
      <w:r>
        <w:rPr>
          <w:rFonts w:hint="cs"/>
          <w:rtl/>
        </w:rPr>
        <w:tab/>
        <w:t xml:space="preserve">נוכח זאת, נכון, גם ביחס אליו, לגזור את עונשו ברף התחתון של המתחם </w:t>
      </w:r>
      <w:r>
        <w:rPr>
          <w:rtl/>
        </w:rPr>
        <w:t>–</w:t>
      </w:r>
      <w:r>
        <w:rPr>
          <w:rFonts w:hint="cs"/>
          <w:rtl/>
        </w:rPr>
        <w:t xml:space="preserve"> ארבעה חודשי מאסר לריצוי בעבודות שירות. ער אני לכך, שנכון למועד מתן גזר דין זה אין בידי אישור סופי מצד הממונה על עבודות שירות, וכאמור טעון נושא זה דיון נפרד. </w:t>
      </w:r>
    </w:p>
    <w:p w14:paraId="24541464" w14:textId="77777777" w:rsidR="002C7F25" w:rsidRDefault="002C7F25" w:rsidP="002C7F25">
      <w:pPr>
        <w:spacing w:line="480" w:lineRule="auto"/>
        <w:jc w:val="both"/>
        <w:rPr>
          <w:rtl/>
        </w:rPr>
      </w:pPr>
    </w:p>
    <w:p w14:paraId="489EFA2C" w14:textId="77777777" w:rsidR="002C7F25" w:rsidRDefault="002C7F25" w:rsidP="002C7F25">
      <w:pPr>
        <w:spacing w:line="480" w:lineRule="auto"/>
        <w:ind w:left="510" w:hanging="510"/>
        <w:jc w:val="both"/>
        <w:rPr>
          <w:rtl/>
        </w:rPr>
      </w:pPr>
      <w:r>
        <w:rPr>
          <w:rtl/>
        </w:rPr>
        <w:t>7.</w:t>
      </w:r>
      <w:r>
        <w:rPr>
          <w:rFonts w:hint="cs"/>
          <w:rtl/>
        </w:rPr>
        <w:tab/>
      </w:r>
      <w:r w:rsidRPr="0039313A">
        <w:rPr>
          <w:rFonts w:hint="cs"/>
          <w:b/>
          <w:bCs/>
          <w:u w:val="single"/>
          <w:rtl/>
        </w:rPr>
        <w:t>הנאשם 3</w:t>
      </w:r>
    </w:p>
    <w:p w14:paraId="15F04C85" w14:textId="77777777" w:rsidR="002C7F25" w:rsidRDefault="002C7F25" w:rsidP="002C7F25">
      <w:pPr>
        <w:spacing w:line="480" w:lineRule="auto"/>
        <w:ind w:left="510" w:hanging="510"/>
        <w:jc w:val="both"/>
        <w:rPr>
          <w:rtl/>
        </w:rPr>
      </w:pPr>
    </w:p>
    <w:p w14:paraId="3EB43853" w14:textId="77777777" w:rsidR="002C7F25" w:rsidRDefault="002C7F25" w:rsidP="002C7F25">
      <w:pPr>
        <w:spacing w:line="480" w:lineRule="auto"/>
        <w:ind w:left="1440" w:hanging="930"/>
        <w:jc w:val="both"/>
        <w:rPr>
          <w:rtl/>
        </w:rPr>
      </w:pPr>
      <w:r>
        <w:rPr>
          <w:rFonts w:hint="cs"/>
          <w:rtl/>
        </w:rPr>
        <w:t>א.</w:t>
      </w:r>
      <w:r>
        <w:rPr>
          <w:rFonts w:hint="cs"/>
          <w:rtl/>
        </w:rPr>
        <w:tab/>
        <w:t xml:space="preserve">בכל הקשור לעבירה בה הורשע, אין חולקין שהיא הקלה שבעבירות שבכתב אישום זה. אילו היה בפני נאשם ללא עבר פלילי קודם, מחויב הייתי לגישה עקבית ולעונש בתחתית מתחם הענישה. דא עקא, תמונת המצב ביחס לנאשם זה, מורכבת יותר. </w:t>
      </w:r>
    </w:p>
    <w:p w14:paraId="22E18FDC" w14:textId="77777777" w:rsidR="002C7F25" w:rsidRDefault="002C7F25" w:rsidP="002C7F25">
      <w:pPr>
        <w:spacing w:line="480" w:lineRule="auto"/>
        <w:ind w:left="1440" w:hanging="930"/>
        <w:jc w:val="both"/>
        <w:rPr>
          <w:rtl/>
        </w:rPr>
      </w:pPr>
    </w:p>
    <w:p w14:paraId="4258BE3E" w14:textId="77777777" w:rsidR="002C7F25" w:rsidRDefault="002C7F25" w:rsidP="002C7F25">
      <w:pPr>
        <w:spacing w:line="480" w:lineRule="auto"/>
        <w:ind w:left="1440" w:hanging="930"/>
        <w:jc w:val="both"/>
        <w:rPr>
          <w:rtl/>
        </w:rPr>
      </w:pPr>
      <w:r>
        <w:rPr>
          <w:rFonts w:hint="cs"/>
          <w:rtl/>
        </w:rPr>
        <w:t>ב.</w:t>
      </w:r>
      <w:r>
        <w:rPr>
          <w:rtl/>
        </w:rPr>
        <w:tab/>
      </w:r>
      <w:r>
        <w:rPr>
          <w:rFonts w:hint="cs"/>
          <w:rtl/>
        </w:rPr>
        <w:t>לחובתו שתי הרשעות קודמות. הראשונה, מבית משפט זה משנת 2012, ואף לא הייתה היא עבירה קלה: תקיפה וחבלה ממשית שבעקבותיה נדון ל-10 חודשי מאסר (</w:t>
      </w:r>
      <w:hyperlink r:id="rId31" w:history="1">
        <w:r w:rsidR="005B1437" w:rsidRPr="005B1437">
          <w:rPr>
            <w:color w:val="0000FF"/>
            <w:u w:val="single"/>
            <w:rtl/>
          </w:rPr>
          <w:t>ת"פ 16945-06-12</w:t>
        </w:r>
      </w:hyperlink>
      <w:r>
        <w:rPr>
          <w:rFonts w:hint="cs"/>
          <w:rtl/>
        </w:rPr>
        <w:t>). השנייה רלוונטית אף יותר לענייננו. בשנת 2015 הורשע נאשם זה, ושוב בבית משפט זה, בקשירת קשר בעקבותיה נדון לשישה חודשי מאסר בעבודות שירות (</w:t>
      </w:r>
      <w:hyperlink r:id="rId32" w:history="1">
        <w:r w:rsidR="005B1437" w:rsidRPr="005B1437">
          <w:rPr>
            <w:color w:val="0000FF"/>
            <w:u w:val="single"/>
            <w:rtl/>
          </w:rPr>
          <w:t>ת"פ 61193-11-15</w:t>
        </w:r>
      </w:hyperlink>
      <w:r>
        <w:rPr>
          <w:rFonts w:hint="cs"/>
          <w:rtl/>
        </w:rPr>
        <w:t xml:space="preserve">). ויותר מכך: נטען, שבוצעה העבירה דנן </w:t>
      </w:r>
      <w:r w:rsidRPr="0039313A">
        <w:rPr>
          <w:rFonts w:hint="cs"/>
          <w:u w:val="single"/>
          <w:rtl/>
        </w:rPr>
        <w:t>בתוך</w:t>
      </w:r>
      <w:r>
        <w:rPr>
          <w:rFonts w:hint="cs"/>
          <w:rtl/>
        </w:rPr>
        <w:t xml:space="preserve"> התקופה בה ריצה את עבודות השירות. </w:t>
      </w:r>
    </w:p>
    <w:p w14:paraId="618729C3" w14:textId="77777777" w:rsidR="002C7F25" w:rsidRDefault="002C7F25" w:rsidP="002C7F25">
      <w:pPr>
        <w:spacing w:line="480" w:lineRule="auto"/>
        <w:ind w:left="1440" w:hanging="930"/>
        <w:jc w:val="both"/>
        <w:rPr>
          <w:rtl/>
        </w:rPr>
      </w:pPr>
    </w:p>
    <w:p w14:paraId="195A047F" w14:textId="77777777" w:rsidR="002C7F25" w:rsidRDefault="002C7F25" w:rsidP="002C7F25">
      <w:pPr>
        <w:spacing w:line="480" w:lineRule="auto"/>
        <w:ind w:left="1440" w:hanging="930"/>
        <w:jc w:val="both"/>
        <w:rPr>
          <w:rtl/>
        </w:rPr>
      </w:pPr>
      <w:r>
        <w:rPr>
          <w:rFonts w:hint="cs"/>
          <w:rtl/>
        </w:rPr>
        <w:t>ג.</w:t>
      </w:r>
      <w:r>
        <w:rPr>
          <w:rFonts w:hint="cs"/>
          <w:rtl/>
        </w:rPr>
        <w:tab/>
        <w:t xml:space="preserve">ואם בכך לא סגי, במסגרת גזר הדין האחרון הוטל עליו מאסר על תנאי למשך ארבעה חודשים. התנאי הינו להפעלה ככל שיורשע הנאשם בעבירת קשירת קשר, וכאמור, אכן הורשע הוא בהתאם. לשון אחר: נקודת המוצא לבית משפט זה הינה בעובדה שכלפי הנאשם 3 תקף מאסר על תנאי בר הפעלה. </w:t>
      </w:r>
    </w:p>
    <w:p w14:paraId="2D6B29C5" w14:textId="77777777" w:rsidR="002C7F25" w:rsidRDefault="002C7F25" w:rsidP="002C7F25">
      <w:pPr>
        <w:spacing w:line="480" w:lineRule="auto"/>
        <w:ind w:left="1440" w:hanging="930"/>
        <w:jc w:val="both"/>
        <w:rPr>
          <w:rtl/>
        </w:rPr>
      </w:pPr>
    </w:p>
    <w:p w14:paraId="032E35CC" w14:textId="77777777" w:rsidR="002C7F25" w:rsidRDefault="002C7F25" w:rsidP="002C7F25">
      <w:pPr>
        <w:spacing w:line="480" w:lineRule="auto"/>
        <w:ind w:left="1440" w:hanging="930"/>
        <w:jc w:val="both"/>
        <w:rPr>
          <w:rtl/>
        </w:rPr>
      </w:pPr>
      <w:r>
        <w:rPr>
          <w:rFonts w:hint="cs"/>
          <w:rtl/>
        </w:rPr>
        <w:t>ג.</w:t>
      </w:r>
      <w:r>
        <w:rPr>
          <w:rFonts w:hint="cs"/>
          <w:rtl/>
        </w:rPr>
        <w:tab/>
        <w:t xml:space="preserve">נוכח העובדה שעל הפרק עבירה שלישית לנאשם זה, בשים לב לכך שבוצעה העבירה בזמן ריצוי עבודות שירות קודמות, ועל רקע התנאי דלעיל, לא ניתן לגזור את עונשו של נאשם זה על הרף התחתון שבמתחם, ואף לא יהא נכון לאשר עבודות שירות לנאשם שביצע את מעשיו בזמן ריצוי עבודות השירות הקודמות שהושתו עליו. יידרש, אפוא, בית המשפט להציב את הרף גבוה יותר. </w:t>
      </w:r>
    </w:p>
    <w:p w14:paraId="1ED294AD" w14:textId="77777777" w:rsidR="002C7F25" w:rsidRDefault="002C7F25" w:rsidP="002C7F25">
      <w:pPr>
        <w:spacing w:line="480" w:lineRule="auto"/>
        <w:ind w:left="1440" w:hanging="930"/>
        <w:jc w:val="both"/>
        <w:rPr>
          <w:rtl/>
        </w:rPr>
      </w:pPr>
    </w:p>
    <w:p w14:paraId="0F9E61DB" w14:textId="77777777" w:rsidR="002C7F25" w:rsidRDefault="002C7F25" w:rsidP="002C7F25">
      <w:pPr>
        <w:spacing w:line="480" w:lineRule="auto"/>
        <w:ind w:left="1440" w:hanging="930"/>
        <w:jc w:val="both"/>
        <w:rPr>
          <w:rtl/>
        </w:rPr>
      </w:pPr>
      <w:r>
        <w:rPr>
          <w:rFonts w:hint="cs"/>
          <w:rtl/>
        </w:rPr>
        <w:t>ד.</w:t>
      </w:r>
      <w:r>
        <w:rPr>
          <w:rFonts w:hint="cs"/>
          <w:rtl/>
        </w:rPr>
        <w:tab/>
        <w:t>נקודת האיזון, לטעמי, שתיתן ביטוי גם להודייתו, הינה במאסר בפועל לתקופה מקבילה לתנאי והפעלת התנאי בחופף. ביחס אליו, אף אהיה נכון להורות על ניכוי תקופת מעצרו מתקופת המאסר, דבר שלא אהיה נכון לאשרו לשאר הנאשמים שיבצעו עבודות שירות.</w:t>
      </w:r>
    </w:p>
    <w:p w14:paraId="4A1CD118" w14:textId="77777777" w:rsidR="002C7F25" w:rsidRDefault="002C7F25" w:rsidP="002C7F25">
      <w:pPr>
        <w:spacing w:line="480" w:lineRule="auto"/>
        <w:ind w:left="1440" w:hanging="930"/>
        <w:jc w:val="both"/>
        <w:rPr>
          <w:rtl/>
        </w:rPr>
      </w:pPr>
    </w:p>
    <w:p w14:paraId="4E8E6AF2" w14:textId="77777777" w:rsidR="002C7F25" w:rsidRDefault="002C7F25" w:rsidP="002C7F25">
      <w:pPr>
        <w:spacing w:line="480" w:lineRule="auto"/>
        <w:ind w:left="1440" w:hanging="930"/>
        <w:jc w:val="both"/>
        <w:rPr>
          <w:rtl/>
        </w:rPr>
      </w:pPr>
    </w:p>
    <w:p w14:paraId="48A9AEF7" w14:textId="77777777" w:rsidR="002C7F25" w:rsidRDefault="002C7F25" w:rsidP="002C7F25">
      <w:pPr>
        <w:spacing w:line="480" w:lineRule="auto"/>
        <w:ind w:left="1440" w:hanging="930"/>
        <w:jc w:val="both"/>
        <w:rPr>
          <w:rtl/>
        </w:rPr>
      </w:pPr>
    </w:p>
    <w:p w14:paraId="30AA0689" w14:textId="77777777" w:rsidR="002C7F25" w:rsidRDefault="002C7F25" w:rsidP="002C7F25">
      <w:pPr>
        <w:spacing w:line="480" w:lineRule="auto"/>
        <w:ind w:left="1440" w:hanging="930"/>
        <w:jc w:val="both"/>
        <w:rPr>
          <w:rtl/>
        </w:rPr>
      </w:pPr>
    </w:p>
    <w:p w14:paraId="05C97038" w14:textId="77777777" w:rsidR="002C7F25" w:rsidRDefault="002C7F25" w:rsidP="002C7F25">
      <w:pPr>
        <w:spacing w:line="480" w:lineRule="auto"/>
        <w:ind w:left="510" w:hanging="510"/>
        <w:jc w:val="both"/>
        <w:rPr>
          <w:rtl/>
        </w:rPr>
      </w:pPr>
      <w:r>
        <w:rPr>
          <w:rFonts w:hint="cs"/>
          <w:rtl/>
        </w:rPr>
        <w:t>8</w:t>
      </w:r>
      <w:r>
        <w:rPr>
          <w:rtl/>
        </w:rPr>
        <w:t>.</w:t>
      </w:r>
      <w:r>
        <w:rPr>
          <w:rFonts w:hint="cs"/>
          <w:rtl/>
        </w:rPr>
        <w:tab/>
      </w:r>
      <w:r w:rsidRPr="0039313A">
        <w:rPr>
          <w:rFonts w:hint="cs"/>
          <w:b/>
          <w:bCs/>
          <w:u w:val="single"/>
          <w:rtl/>
        </w:rPr>
        <w:t>סוגיית עבודות השירות</w:t>
      </w:r>
    </w:p>
    <w:p w14:paraId="1BE2BB89" w14:textId="77777777" w:rsidR="002C7F25" w:rsidRDefault="002C7F25" w:rsidP="002C7F25">
      <w:pPr>
        <w:spacing w:line="480" w:lineRule="auto"/>
        <w:ind w:left="510" w:hanging="510"/>
        <w:jc w:val="both"/>
        <w:rPr>
          <w:rtl/>
        </w:rPr>
      </w:pPr>
    </w:p>
    <w:p w14:paraId="64412A2B" w14:textId="77777777" w:rsidR="002C7F25" w:rsidRDefault="002C7F25" w:rsidP="002C7F25">
      <w:pPr>
        <w:spacing w:line="480" w:lineRule="auto"/>
        <w:ind w:left="1440" w:hanging="930"/>
        <w:jc w:val="both"/>
        <w:rPr>
          <w:rtl/>
        </w:rPr>
      </w:pPr>
      <w:r>
        <w:rPr>
          <w:rFonts w:hint="cs"/>
          <w:rtl/>
        </w:rPr>
        <w:t>א.</w:t>
      </w:r>
      <w:r>
        <w:rPr>
          <w:rtl/>
        </w:rPr>
        <w:tab/>
      </w:r>
      <w:r>
        <w:rPr>
          <w:rFonts w:hint="cs"/>
          <w:rtl/>
        </w:rPr>
        <w:t xml:space="preserve">נקודת המוצא לשלב זה של הדיון, הינה </w:t>
      </w:r>
      <w:hyperlink r:id="rId33" w:history="1">
        <w:r w:rsidR="00736ADC" w:rsidRPr="00736ADC">
          <w:rPr>
            <w:color w:val="0000FF"/>
            <w:u w:val="single"/>
            <w:rtl/>
          </w:rPr>
          <w:t>בסעיף 51ב(ב1)</w:t>
        </w:r>
      </w:hyperlink>
      <w:r>
        <w:rPr>
          <w:rFonts w:hint="cs"/>
          <w:rtl/>
        </w:rPr>
        <w:t xml:space="preserve"> ל</w:t>
      </w:r>
      <w:hyperlink r:id="rId34" w:history="1">
        <w:r w:rsidR="005B1437" w:rsidRPr="005B1437">
          <w:rPr>
            <w:color w:val="0000FF"/>
            <w:u w:val="single"/>
            <w:rtl/>
          </w:rPr>
          <w:t>חוק העונשין</w:t>
        </w:r>
      </w:hyperlink>
      <w:r>
        <w:rPr>
          <w:rFonts w:hint="cs"/>
          <w:rtl/>
        </w:rPr>
        <w:t xml:space="preserve">, המאפשר לממונה שלא לאשר את התאמתו של נאשם לביצוען של עבודות שירות </w:t>
      </w:r>
      <w:r>
        <w:rPr>
          <w:rtl/>
        </w:rPr>
        <w:t>–</w:t>
      </w:r>
      <w:r>
        <w:rPr>
          <w:rFonts w:hint="cs"/>
          <w:rtl/>
        </w:rPr>
        <w:t xml:space="preserve"> </w:t>
      </w:r>
      <w:r w:rsidRPr="0039313A">
        <w:rPr>
          <w:rFonts w:hint="cs"/>
          <w:b/>
          <w:bCs/>
          <w:rtl/>
        </w:rPr>
        <w:t>"...נוכח קיומו של חשד לפגיעה בגופו או בחייו של אדם...</w:t>
      </w:r>
      <w:r>
        <w:rPr>
          <w:rFonts w:hint="cs"/>
          <w:b/>
          <w:bCs/>
          <w:rtl/>
        </w:rPr>
        <w:t xml:space="preserve"> </w:t>
      </w:r>
      <w:r w:rsidRPr="0039313A">
        <w:rPr>
          <w:rFonts w:hint="cs"/>
          <w:b/>
          <w:bCs/>
          <w:rtl/>
        </w:rPr>
        <w:t>קביעת אי התאמתו...</w:t>
      </w:r>
      <w:r>
        <w:rPr>
          <w:rFonts w:hint="cs"/>
          <w:b/>
          <w:bCs/>
          <w:rtl/>
        </w:rPr>
        <w:t xml:space="preserve"> </w:t>
      </w:r>
      <w:r w:rsidRPr="0039313A">
        <w:rPr>
          <w:rFonts w:hint="cs"/>
          <w:b/>
          <w:bCs/>
          <w:rtl/>
        </w:rPr>
        <w:t>תתבסס על חוות דעת שקיבל הממונה... מקצין משטרה שהסמיך לכך ראש אגף החקירות והמודיעין במשטרת ישראל...".</w:t>
      </w:r>
      <w:r>
        <w:rPr>
          <w:rFonts w:hint="cs"/>
          <w:rtl/>
        </w:rPr>
        <w:t xml:space="preserve"> כאמור, בתחילה פסל הממונה את שלושת הנאשמים, ורק עובר למועד הטיעונים לעונש חזר בו ביחס לנאשם 1. בשלב זה, רלוונטי דיון זה, בפועל, רק ביחס לנאשם 2. </w:t>
      </w:r>
    </w:p>
    <w:p w14:paraId="32FBA4B0" w14:textId="77777777" w:rsidR="002C7F25" w:rsidRDefault="002C7F25" w:rsidP="002C7F25">
      <w:pPr>
        <w:spacing w:line="480" w:lineRule="auto"/>
        <w:ind w:left="1440" w:hanging="930"/>
        <w:jc w:val="both"/>
        <w:rPr>
          <w:rtl/>
        </w:rPr>
      </w:pPr>
    </w:p>
    <w:p w14:paraId="7AE9D172" w14:textId="77777777" w:rsidR="002C7F25" w:rsidRDefault="002C7F25" w:rsidP="002C7F25">
      <w:pPr>
        <w:spacing w:line="480" w:lineRule="auto"/>
        <w:ind w:left="1440" w:hanging="930"/>
        <w:jc w:val="both"/>
        <w:rPr>
          <w:rtl/>
        </w:rPr>
      </w:pPr>
      <w:r>
        <w:rPr>
          <w:rFonts w:hint="cs"/>
          <w:rtl/>
        </w:rPr>
        <w:t>ב.</w:t>
      </w:r>
      <w:r>
        <w:rPr>
          <w:rFonts w:hint="cs"/>
          <w:rtl/>
        </w:rPr>
        <w:tab/>
        <w:t>חוות הדעת שהוגשו ביום 3.9.18 וביום 16.5.19 ביחס לנאשם זה, מציינות באופן לקוני ביותר את העובדה שגורמי מודיעין הגישו חוות דעת שלילית, ובית המשפט מצידו ביקש לעיין בחומר, נערכו דיונים, ונתבקשו הבהרות. אציין כבר עתה, שלא היה בהן כדי לספק, ואך בשל כך שעל הפרק חומר מודיעין, אמנע מלהרחיב בנושא.</w:t>
      </w:r>
    </w:p>
    <w:p w14:paraId="7714F6A0" w14:textId="77777777" w:rsidR="002C7F25" w:rsidRDefault="002C7F25" w:rsidP="002C7F25">
      <w:pPr>
        <w:spacing w:line="480" w:lineRule="auto"/>
        <w:ind w:left="1440" w:hanging="930"/>
        <w:jc w:val="both"/>
        <w:rPr>
          <w:rtl/>
        </w:rPr>
      </w:pPr>
    </w:p>
    <w:p w14:paraId="7A464DD6" w14:textId="77777777" w:rsidR="002C7F25" w:rsidRDefault="002C7F25" w:rsidP="002C7F25">
      <w:pPr>
        <w:spacing w:line="480" w:lineRule="auto"/>
        <w:ind w:left="1440" w:hanging="930"/>
        <w:jc w:val="both"/>
        <w:rPr>
          <w:rtl/>
        </w:rPr>
      </w:pPr>
      <w:r>
        <w:rPr>
          <w:rFonts w:hint="cs"/>
          <w:rtl/>
        </w:rPr>
        <w:t>ג.</w:t>
      </w:r>
      <w:r>
        <w:rPr>
          <w:rFonts w:hint="cs"/>
          <w:rtl/>
        </w:rPr>
        <w:tab/>
        <w:t xml:space="preserve">כאמור, בשלב זה, לא נמצא עוד טעם להביא את האמור בכל הפרפרזות שהוכנו בהוראת בית המשפט ביחס לנאשם 1, ואסתפק בעניינו של הנאשם 2, שרק לגביו הנושא עדיין רלוונטי. עניינו הכללי במידע בדבר סחר באמל"ח. </w:t>
      </w:r>
    </w:p>
    <w:p w14:paraId="7624F25D" w14:textId="77777777" w:rsidR="002C7F25" w:rsidRDefault="002C7F25" w:rsidP="002C7F25">
      <w:pPr>
        <w:spacing w:line="480" w:lineRule="auto"/>
        <w:ind w:left="1440" w:hanging="930"/>
        <w:jc w:val="both"/>
        <w:rPr>
          <w:rtl/>
        </w:rPr>
      </w:pPr>
    </w:p>
    <w:p w14:paraId="0272E215" w14:textId="77777777" w:rsidR="002C7F25" w:rsidRDefault="002C7F25" w:rsidP="002C7F25">
      <w:pPr>
        <w:spacing w:line="480" w:lineRule="auto"/>
        <w:ind w:left="1440" w:hanging="930"/>
        <w:jc w:val="both"/>
        <w:rPr>
          <w:rtl/>
        </w:rPr>
      </w:pPr>
      <w:r>
        <w:rPr>
          <w:rFonts w:hint="cs"/>
          <w:rtl/>
        </w:rPr>
        <w:t>ד.</w:t>
      </w:r>
      <w:r>
        <w:rPr>
          <w:rFonts w:hint="cs"/>
          <w:rtl/>
        </w:rPr>
        <w:tab/>
        <w:t xml:space="preserve">כאמור, נוקט לשון החוק בקיומו של יסוד סביר לחשש לפגיעה בגופו או בחייו של אדם. ואולם, באשר מתבססת חוות הדעת על מידע מודיעין, שאין לבית המשפט כל יכולת אמיתית לתהות על קנקנו, נדרשת זהירות, ולכך ניתן ביטוי גם בפסיקה המועטת שהתגבשה לאחר שנחקק הסעיף הנ"ל. למיטב הידיעה, המקרה היחיד בו הובא הנושא בפני בית המשפט העליון, הינו בפרשת אלי יתח שמקורו בדיון בנסיבות מעט דומות וראשיתו בבית המשפט המחוזי בחיפה. בית המשפט העליון היה ער לבעייתיות המשפטית, ובהחלטתו שהורתה על החזרת הנושא לבית משפט המחוזי, היה כדי לשקף בבירור, שנתונה לבית המשפט המחוזי הסמכות למלוא שיקול הדעת לשאלה, האם ועד כמה יש במידע מודיעין כדי ללמד על סכנה לציבור: </w:t>
      </w:r>
    </w:p>
    <w:p w14:paraId="0C5802B1" w14:textId="77777777" w:rsidR="002C7F25" w:rsidRDefault="002C7F25" w:rsidP="002C7F25">
      <w:pPr>
        <w:spacing w:line="480" w:lineRule="auto"/>
        <w:ind w:left="1440" w:hanging="930"/>
        <w:jc w:val="both"/>
        <w:rPr>
          <w:rtl/>
        </w:rPr>
      </w:pPr>
    </w:p>
    <w:p w14:paraId="276C0996" w14:textId="77777777" w:rsidR="002C7F25" w:rsidRDefault="002C7F25" w:rsidP="002C7F25">
      <w:pPr>
        <w:spacing w:line="360" w:lineRule="auto"/>
        <w:ind w:left="2160"/>
        <w:jc w:val="both"/>
        <w:rPr>
          <w:rtl/>
        </w:rPr>
      </w:pPr>
      <w:r w:rsidRPr="003420B2">
        <w:rPr>
          <w:rFonts w:hint="cs"/>
          <w:b/>
          <w:bCs/>
          <w:rtl/>
        </w:rPr>
        <w:t>"...הערעור מתקבל בהסכמה במובן זה שהתיק יוחזר לבית משפט קמא להשלמת טיעונים בנושא יכולתו של המערער לבצע עבודות שירות, וזאת לאחר שיעיין בית המשפט בחומר לרבות החומר החדש, שלגביו תימסר למערער פרפרזה לקראת הדיון. בעקבות זאת ישוב ויכריע בית המשפט אם ביכולת המערער לבצע עבודות שירות אם לאו"</w:t>
      </w:r>
      <w:r>
        <w:rPr>
          <w:rFonts w:hint="cs"/>
          <w:rtl/>
        </w:rPr>
        <w:t xml:space="preserve"> [</w:t>
      </w:r>
      <w:hyperlink r:id="rId35" w:history="1">
        <w:r w:rsidR="005B1437" w:rsidRPr="005B1437">
          <w:rPr>
            <w:color w:val="0000FF"/>
            <w:u w:val="single"/>
            <w:rtl/>
          </w:rPr>
          <w:t>ע"פ 8850/16</w:t>
        </w:r>
      </w:hyperlink>
      <w:r>
        <w:rPr>
          <w:rFonts w:hint="cs"/>
          <w:rtl/>
        </w:rPr>
        <w:t xml:space="preserve">, </w:t>
      </w:r>
      <w:r w:rsidRPr="003420B2">
        <w:rPr>
          <w:rFonts w:hint="cs"/>
          <w:b/>
          <w:bCs/>
          <w:rtl/>
        </w:rPr>
        <w:t>אלי יתח נגד מדינת ישראל</w:t>
      </w:r>
      <w:r>
        <w:rPr>
          <w:rFonts w:hint="cs"/>
          <w:rtl/>
        </w:rPr>
        <w:t>].</w:t>
      </w:r>
    </w:p>
    <w:p w14:paraId="76B87C52" w14:textId="77777777" w:rsidR="002C7F25" w:rsidRDefault="002C7F25" w:rsidP="002C7F25">
      <w:pPr>
        <w:spacing w:line="480" w:lineRule="auto"/>
        <w:ind w:left="1440" w:hanging="930"/>
        <w:jc w:val="both"/>
        <w:rPr>
          <w:rtl/>
        </w:rPr>
      </w:pPr>
    </w:p>
    <w:p w14:paraId="1E8659A1" w14:textId="77777777" w:rsidR="002C7F25" w:rsidRDefault="002C7F25" w:rsidP="002C7F25">
      <w:pPr>
        <w:spacing w:line="480" w:lineRule="auto"/>
        <w:ind w:left="1440"/>
        <w:jc w:val="both"/>
        <w:rPr>
          <w:b/>
          <w:bCs/>
          <w:rtl/>
        </w:rPr>
      </w:pPr>
      <w:r>
        <w:rPr>
          <w:rFonts w:hint="cs"/>
          <w:rtl/>
        </w:rPr>
        <w:t>הגם שבסופו של דבר לא אושר יתח הנ"ל לעבודות שירות [</w:t>
      </w:r>
      <w:hyperlink r:id="rId36" w:history="1">
        <w:r w:rsidR="005B1437" w:rsidRPr="005B1437">
          <w:rPr>
            <w:color w:val="0000FF"/>
            <w:u w:val="single"/>
            <w:rtl/>
          </w:rPr>
          <w:t>ת.פ. 17110-08-15</w:t>
        </w:r>
      </w:hyperlink>
      <w:r>
        <w:rPr>
          <w:rFonts w:hint="cs"/>
          <w:rtl/>
        </w:rPr>
        <w:t xml:space="preserve">], עולה בבירור מהאמור, שסבור בית המשפט העליון שנתון לבית משפט זה שיקול הדעת, גם אם, אולי, דעת הממונה שאין בידו אפשרות, אלא לאמץ את חוות דעת קצין המשטרה, מעט שונה. דיון נרחב בסוגיה נכלל בהחלטת בית המשפט המחוזי בתל אביב מפי כב' השופט כבוב במסגרת </w:t>
      </w:r>
      <w:hyperlink r:id="rId37" w:history="1">
        <w:r w:rsidR="005B1437" w:rsidRPr="005B1437">
          <w:rPr>
            <w:color w:val="0000FF"/>
            <w:u w:val="single"/>
            <w:rtl/>
          </w:rPr>
          <w:t>ת.פ. 40267/08</w:t>
        </w:r>
      </w:hyperlink>
      <w:r>
        <w:rPr>
          <w:rFonts w:hint="cs"/>
          <w:rtl/>
        </w:rPr>
        <w:t xml:space="preserve"> </w:t>
      </w:r>
      <w:r w:rsidRPr="00C8121E">
        <w:rPr>
          <w:rFonts w:hint="cs"/>
          <w:b/>
          <w:bCs/>
          <w:rtl/>
        </w:rPr>
        <w:t>מ"י נ' יצחק חדיף</w:t>
      </w:r>
      <w:r>
        <w:rPr>
          <w:rFonts w:hint="cs"/>
          <w:rtl/>
        </w:rPr>
        <w:t xml:space="preserve">, עיין שם. קיימים אף מקרים נוספים בהם נכון היה בית המשפט להורות על עבודות שירות בניגוד לעמדת הממונה </w:t>
      </w:r>
      <w:r>
        <w:rPr>
          <w:rtl/>
        </w:rPr>
        <w:t>–</w:t>
      </w:r>
      <w:r>
        <w:rPr>
          <w:rFonts w:hint="cs"/>
          <w:rtl/>
        </w:rPr>
        <w:t xml:space="preserve"> [השווה, </w:t>
      </w:r>
      <w:hyperlink r:id="rId38" w:history="1">
        <w:r w:rsidR="005B1437" w:rsidRPr="005B1437">
          <w:rPr>
            <w:color w:val="0000FF"/>
            <w:u w:val="single"/>
            <w:rtl/>
          </w:rPr>
          <w:t>ת.פ. 41112-06-14</w:t>
        </w:r>
      </w:hyperlink>
      <w:r>
        <w:rPr>
          <w:rFonts w:hint="cs"/>
          <w:rtl/>
        </w:rPr>
        <w:t xml:space="preserve"> (שלום ק"ג) </w:t>
      </w:r>
      <w:r w:rsidRPr="003D3EDC">
        <w:rPr>
          <w:rFonts w:hint="cs"/>
          <w:b/>
          <w:bCs/>
          <w:rtl/>
        </w:rPr>
        <w:t>מ"י נ' גויטע ואח'</w:t>
      </w:r>
      <w:r>
        <w:rPr>
          <w:rFonts w:hint="cs"/>
          <w:rtl/>
        </w:rPr>
        <w:t xml:space="preserve">; </w:t>
      </w:r>
      <w:hyperlink r:id="rId39" w:history="1">
        <w:r w:rsidR="005B1437" w:rsidRPr="005B1437">
          <w:rPr>
            <w:color w:val="0000FF"/>
            <w:u w:val="single"/>
            <w:rtl/>
          </w:rPr>
          <w:t>פ"ל 8533-01-17</w:t>
        </w:r>
      </w:hyperlink>
      <w:r>
        <w:rPr>
          <w:rFonts w:hint="cs"/>
          <w:rtl/>
        </w:rPr>
        <w:t xml:space="preserve"> (שלום י-ם) </w:t>
      </w:r>
      <w:r w:rsidRPr="003D3EDC">
        <w:rPr>
          <w:rFonts w:hint="cs"/>
          <w:b/>
          <w:bCs/>
          <w:rtl/>
        </w:rPr>
        <w:t>מ"י נ' שוקרון</w:t>
      </w:r>
      <w:r>
        <w:rPr>
          <w:rFonts w:hint="cs"/>
          <w:rtl/>
        </w:rPr>
        <w:t>; ועוד].</w:t>
      </w:r>
      <w:r>
        <w:rPr>
          <w:rFonts w:hint="cs"/>
          <w:b/>
          <w:bCs/>
          <w:rtl/>
        </w:rPr>
        <w:t xml:space="preserve"> </w:t>
      </w:r>
    </w:p>
    <w:p w14:paraId="23292CB6" w14:textId="77777777" w:rsidR="002C7F25" w:rsidRDefault="002C7F25" w:rsidP="002C7F25">
      <w:pPr>
        <w:spacing w:line="480" w:lineRule="auto"/>
        <w:jc w:val="both"/>
        <w:rPr>
          <w:b/>
          <w:bCs/>
          <w:rtl/>
        </w:rPr>
      </w:pPr>
    </w:p>
    <w:p w14:paraId="7DA516EF" w14:textId="77777777" w:rsidR="002C7F25" w:rsidRDefault="002C7F25" w:rsidP="002C7F25">
      <w:pPr>
        <w:spacing w:line="480" w:lineRule="auto"/>
        <w:ind w:left="1440" w:hanging="930"/>
        <w:jc w:val="both"/>
        <w:rPr>
          <w:rtl/>
        </w:rPr>
      </w:pPr>
      <w:r>
        <w:rPr>
          <w:rFonts w:hint="cs"/>
          <w:rtl/>
        </w:rPr>
        <w:t>ה.</w:t>
      </w:r>
      <w:r>
        <w:rPr>
          <w:rtl/>
        </w:rPr>
        <w:tab/>
      </w:r>
      <w:r>
        <w:rPr>
          <w:rFonts w:hint="cs"/>
          <w:rtl/>
        </w:rPr>
        <w:t>גם אם במאמרות מוסגרים בלבד, מצאתי לנכון, קודם שאחתום פיסקה זאת, לכל הפחות להעלות בתמצית את השאלות הכרוכות בבעייתיות בחוק האמור. הגם שפשיטא ופשיטא, שמחייב החוק את בתי המשפט כרוחו וכלשונו, ניכרים קשייו, ויש מקום לשאלה האם לא יהא נכון ליתן במעט את הדעת לבעייתיות זאת. הבסיס לפסילת הממונה את בקשתו של נאשם נתון, לאישור התאמה לביצוע עבודות שירות, במצבים מן הסוג שעל הפרק, מקורו במידע מודיעין שמעולם לא הוצאה לגביו תעודת חיסיון, ואשר מעולם לא היווה בסיס להגשת כתב אישום כלשהו כנגד אותו נאשם. היינו, כי לא זו בלבד שלא הורשע הנאשם בעבירות אליהן מתייחס אותו מידע מודיעין, אף לא נקבע שיש בו כדי ללמד על סיכוי סביר להרשעה. לכן, הרי, לא הוגש כל כתב אישום. אינני בטוח שמצב דברים זה נקי לחלוטין מכל ספק בכל הקשור לזכויות היסוד של הנאשם. לכל נאשם עומדת גם חזקת חפות יחסית, לפיה, גם אם הורשע בתיק נתון (כפי שהורשעו הנאשמים בפרשתנו), זכותו שלא תיזקף לחובתו עבירה שביצע כביכול, בה לא הואשם מעולם, וממילא אף לא הורשע בגינה. ואף השוואה בין הנאשמים 2 ל-3 בהליך זה, יש בה כדי להמחיש את הבעייתיות. מבחינת הממונה, יש מקום לגזרה שווה בין הנאשם 2 לבין הנאשם 3. שניהם נפסלו על ידו. ואולם בעוד שביחס לנאשם 3, קיימות הרשעות קודמות (ומשום מה, לא בשל כך נפסל הוא, ואף לא בשל כך שבוצעה העבירה דנן במהלך עבודות שירות קודמות שנגזרו עליו), ביחס לנאשם 2 לא היה בידי הממונה, אלא מידע מודיעין, הא ותו לאו. ברם, לא היה בכך כדי להניא את הממונה להבחין בין השניים, ומבחינתו, גם אם על יסוד החוק, שימש המידע המודיעיני בסיס לפסילתו. יש, אפוא, מקום לשאלה, האם אין בפסילת נאשם על ידי קצין משטרה, שחוות דעתו מאומצת אוטומטית על ידי הממונה, כדי לכבול את ידי בית המשפט מעל המידה.</w:t>
      </w:r>
    </w:p>
    <w:p w14:paraId="416DC057" w14:textId="77777777" w:rsidR="002C7F25" w:rsidRDefault="002C7F25" w:rsidP="002C7F25">
      <w:pPr>
        <w:spacing w:line="480" w:lineRule="auto"/>
        <w:ind w:left="1440" w:hanging="930"/>
        <w:jc w:val="both"/>
        <w:rPr>
          <w:rtl/>
        </w:rPr>
      </w:pPr>
    </w:p>
    <w:p w14:paraId="2A78AAA4" w14:textId="77777777" w:rsidR="002C7F25" w:rsidRDefault="002C7F25" w:rsidP="002C7F25">
      <w:pPr>
        <w:spacing w:line="480" w:lineRule="auto"/>
        <w:ind w:left="1440" w:hanging="930"/>
        <w:jc w:val="both"/>
        <w:rPr>
          <w:rtl/>
        </w:rPr>
      </w:pPr>
      <w:r>
        <w:rPr>
          <w:rFonts w:hint="cs"/>
          <w:rtl/>
        </w:rPr>
        <w:t>ו.</w:t>
      </w:r>
      <w:r>
        <w:rPr>
          <w:rtl/>
        </w:rPr>
        <w:tab/>
      </w:r>
      <w:r>
        <w:rPr>
          <w:rFonts w:hint="cs"/>
          <w:rtl/>
        </w:rPr>
        <w:t xml:space="preserve">לא ארחיב עוד בסוגיה זו, אך נכון אני לתת ביטוי להערכתי שבנסיבות אלה ראוי, לכל הפחות, שיפורשו סמכויות הממונה לפסול נאשם על פי </w:t>
      </w:r>
      <w:hyperlink r:id="rId40" w:history="1">
        <w:r w:rsidR="00736ADC" w:rsidRPr="00736ADC">
          <w:rPr>
            <w:color w:val="0000FF"/>
            <w:u w:val="single"/>
            <w:rtl/>
          </w:rPr>
          <w:t>סעיף 51ב</w:t>
        </w:r>
      </w:hyperlink>
      <w:r>
        <w:rPr>
          <w:rFonts w:hint="cs"/>
          <w:rtl/>
        </w:rPr>
        <w:t xml:space="preserve"> לחוק בצמצום המירבי האפשרי, באשר מתחייב הדבר מעקרונות יסוד בכל הנוגעים לזכויות נאשמים. לתפיסתי, לא נועדו סמכויות קצין המשטרה והממונה שבסעיף הנ"ל, אלא למצבי קיצון מובהקים בלבד, וספק רב עד כמה ניתן לראות בנאשמים נעדרי עבר פלילי, ככאלה הנכנסים לאותן קטגוריות חריגות, בהן, נכון, אולי, לקבל את חוות דעתו השלילית של קצין משטרה בנסיבות כאמור. ודומני, שכך בדיוק עשה בית המשפט העליון בהלכת יתח הנ"ל, כאשר הבהיר שנתון שיקול הדעת הסופי לבית המשפט, ולו בלבד. </w:t>
      </w:r>
    </w:p>
    <w:p w14:paraId="723711AB" w14:textId="77777777" w:rsidR="002C7F25" w:rsidRDefault="002C7F25" w:rsidP="002C7F25">
      <w:pPr>
        <w:spacing w:line="480" w:lineRule="auto"/>
        <w:ind w:left="1440" w:hanging="930"/>
        <w:jc w:val="both"/>
        <w:rPr>
          <w:rtl/>
        </w:rPr>
      </w:pPr>
    </w:p>
    <w:p w14:paraId="45ADC0E3" w14:textId="77777777" w:rsidR="002C7F25" w:rsidRDefault="002C7F25" w:rsidP="002C7F25">
      <w:pPr>
        <w:spacing w:line="480" w:lineRule="auto"/>
        <w:ind w:left="1440" w:hanging="930"/>
        <w:jc w:val="both"/>
        <w:rPr>
          <w:rtl/>
        </w:rPr>
      </w:pPr>
      <w:r>
        <w:rPr>
          <w:rFonts w:hint="cs"/>
          <w:rtl/>
        </w:rPr>
        <w:t>ז.</w:t>
      </w:r>
      <w:r>
        <w:rPr>
          <w:rtl/>
        </w:rPr>
        <w:tab/>
      </w:r>
      <w:r>
        <w:rPr>
          <w:rFonts w:hint="cs"/>
          <w:rtl/>
        </w:rPr>
        <w:t xml:space="preserve">במהלך מקבץ הדיונים שקדמו לגזר הדין ושנבעו בחלקם מהתנגדות הממונה, ניתנה ביום 1.1.19 החלטת בית המשפט הדנה בהרחבה בסוגיה, ובסעיף 7 ניתנה הוראה לממונה לבחון את השמת הנאשמים לעבודות שירות בבתי עלמין. מעבר לכך, נכתב במפורשות כי </w:t>
      </w:r>
      <w:r>
        <w:rPr>
          <w:rtl/>
        </w:rPr>
        <w:t>–</w:t>
      </w:r>
      <w:r>
        <w:rPr>
          <w:rFonts w:hint="cs"/>
          <w:rtl/>
        </w:rPr>
        <w:t xml:space="preserve"> "וככל שיעמוד על דעתו המקורית, ינמק, מדוע, לדעתו, גם בהינתן חומר מודיעין כאמור לעיל, לא ניתן לבצע השמה בבתי קברות, ככל שיגזור על כך בית המשפט". הממונה אפילו לא סבר שעליו להתייחס לכך, ולהשיב לבית המשפט. אציין שגם עתה אינני מצליח להבין את הסיכון הציבורי בהשמת נאשם לריצוי מאסרו בעבודות שירות בבית עלמין, גם אם היה כלפיו חומר מודיעין בעייתי. בוודאי נאשם ללא עבר פלילי קודם כלשהו.</w:t>
      </w:r>
    </w:p>
    <w:p w14:paraId="35CD905E" w14:textId="77777777" w:rsidR="002C7F25" w:rsidRDefault="002C7F25" w:rsidP="002C7F25">
      <w:pPr>
        <w:spacing w:line="480" w:lineRule="auto"/>
        <w:ind w:left="1440" w:hanging="930"/>
        <w:jc w:val="both"/>
        <w:rPr>
          <w:rtl/>
        </w:rPr>
      </w:pPr>
    </w:p>
    <w:p w14:paraId="2A284010" w14:textId="77777777" w:rsidR="002C7F25" w:rsidRPr="003646FA" w:rsidRDefault="002C7F25" w:rsidP="002C7F25">
      <w:pPr>
        <w:spacing w:line="480" w:lineRule="auto"/>
        <w:ind w:left="1440" w:hanging="930"/>
        <w:jc w:val="both"/>
        <w:rPr>
          <w:rtl/>
        </w:rPr>
      </w:pPr>
      <w:r>
        <w:rPr>
          <w:rFonts w:hint="cs"/>
          <w:rtl/>
        </w:rPr>
        <w:t>ח.</w:t>
      </w:r>
      <w:r>
        <w:rPr>
          <w:rtl/>
        </w:rPr>
        <w:tab/>
      </w:r>
      <w:r>
        <w:rPr>
          <w:rFonts w:hint="cs"/>
          <w:rtl/>
        </w:rPr>
        <w:t xml:space="preserve">על יסוד כל האמור, ולמרות חוות דעתו השלילית של הממונה, נכון אני, לאחר עיון בחומר המודיעין שהוצג לי, ותוך שאדגיש שעל הפרק נאשם שזו היא הרשעתו הראשונה, ושמעולם לא הוגש כלפיו כל כתב אישום בהתבסס על אותו חומר מודיעין, לאשר לעבודות שירות את הנאשם 2. </w:t>
      </w:r>
    </w:p>
    <w:p w14:paraId="652E7E73" w14:textId="77777777" w:rsidR="002C7F25" w:rsidRDefault="002C7F25" w:rsidP="002C7F25">
      <w:pPr>
        <w:spacing w:line="480" w:lineRule="auto"/>
        <w:jc w:val="both"/>
        <w:rPr>
          <w:rtl/>
        </w:rPr>
      </w:pPr>
    </w:p>
    <w:p w14:paraId="43B5FD69" w14:textId="77777777" w:rsidR="002C7F25" w:rsidRDefault="002C7F25" w:rsidP="002C7F25">
      <w:pPr>
        <w:spacing w:line="480" w:lineRule="auto"/>
        <w:ind w:left="510" w:hanging="510"/>
        <w:jc w:val="both"/>
        <w:rPr>
          <w:rtl/>
        </w:rPr>
      </w:pPr>
      <w:r>
        <w:rPr>
          <w:rFonts w:hint="cs"/>
          <w:rtl/>
        </w:rPr>
        <w:t>9</w:t>
      </w:r>
      <w:r>
        <w:rPr>
          <w:rtl/>
        </w:rPr>
        <w:t>.</w:t>
      </w:r>
      <w:r>
        <w:rPr>
          <w:rFonts w:hint="cs"/>
          <w:rtl/>
        </w:rPr>
        <w:tab/>
      </w:r>
      <w:r w:rsidRPr="00260884">
        <w:rPr>
          <w:rFonts w:hint="cs"/>
          <w:b/>
          <w:bCs/>
          <w:u w:val="single"/>
          <w:rtl/>
        </w:rPr>
        <w:t>סוף דבר, גוזר אני כדלקמן:</w:t>
      </w:r>
      <w:r w:rsidRPr="00260884">
        <w:rPr>
          <w:rFonts w:hint="cs"/>
          <w:b/>
          <w:bCs/>
          <w:rtl/>
        </w:rPr>
        <w:t>-</w:t>
      </w:r>
      <w:r>
        <w:rPr>
          <w:rFonts w:hint="cs"/>
          <w:rtl/>
        </w:rPr>
        <w:t xml:space="preserve"> </w:t>
      </w:r>
    </w:p>
    <w:p w14:paraId="37C773BF" w14:textId="77777777" w:rsidR="002C7F25" w:rsidRDefault="002C7F25" w:rsidP="002C7F25">
      <w:pPr>
        <w:spacing w:line="480" w:lineRule="auto"/>
        <w:ind w:left="510" w:hanging="510"/>
        <w:jc w:val="both"/>
        <w:rPr>
          <w:rtl/>
        </w:rPr>
      </w:pPr>
    </w:p>
    <w:p w14:paraId="79B02E9D" w14:textId="77777777" w:rsidR="002C7F25" w:rsidRDefault="002C7F25" w:rsidP="002C7F25">
      <w:pPr>
        <w:spacing w:line="480" w:lineRule="auto"/>
        <w:ind w:left="1440" w:hanging="930"/>
        <w:jc w:val="both"/>
        <w:rPr>
          <w:rtl/>
        </w:rPr>
      </w:pPr>
      <w:r>
        <w:rPr>
          <w:rFonts w:hint="cs"/>
          <w:rtl/>
        </w:rPr>
        <w:t>א.</w:t>
      </w:r>
      <w:r>
        <w:rPr>
          <w:rtl/>
        </w:rPr>
        <w:tab/>
      </w:r>
      <w:r w:rsidRPr="00260884">
        <w:rPr>
          <w:rFonts w:hint="cs"/>
          <w:u w:val="single"/>
          <w:rtl/>
        </w:rPr>
        <w:t>הנאשם 1</w:t>
      </w:r>
      <w:r>
        <w:rPr>
          <w:rFonts w:hint="cs"/>
          <w:rtl/>
        </w:rPr>
        <w:t xml:space="preserve"> </w:t>
      </w:r>
      <w:r>
        <w:rPr>
          <w:rtl/>
        </w:rPr>
        <w:t>–</w:t>
      </w:r>
      <w:r>
        <w:rPr>
          <w:rFonts w:hint="cs"/>
          <w:rtl/>
        </w:rPr>
        <w:t xml:space="preserve"> מאסר בפועל לתקופה של חמישה חודשים לריצוי בעבודות שירות. מועד ההתחלה ומקום ההשמה ייקבעו ע"י הממונה; תחילת ריצוי עבודות השירות, לא לפני 1.9.2019. </w:t>
      </w:r>
    </w:p>
    <w:p w14:paraId="76F94121" w14:textId="77777777" w:rsidR="002C7F25" w:rsidRDefault="002C7F25" w:rsidP="002C7F25">
      <w:pPr>
        <w:spacing w:line="480" w:lineRule="auto"/>
        <w:ind w:left="1440" w:hanging="930"/>
        <w:jc w:val="both"/>
        <w:rPr>
          <w:rtl/>
        </w:rPr>
      </w:pPr>
    </w:p>
    <w:p w14:paraId="5344982E" w14:textId="77777777" w:rsidR="002C7F25" w:rsidRDefault="002C7F25" w:rsidP="002C7F25">
      <w:pPr>
        <w:spacing w:line="480" w:lineRule="auto"/>
        <w:ind w:left="1440" w:hanging="930"/>
        <w:jc w:val="both"/>
        <w:rPr>
          <w:rtl/>
        </w:rPr>
      </w:pPr>
      <w:r>
        <w:rPr>
          <w:rFonts w:hint="cs"/>
          <w:rtl/>
        </w:rPr>
        <w:t>ב.</w:t>
      </w:r>
      <w:r>
        <w:rPr>
          <w:rFonts w:hint="cs"/>
          <w:rtl/>
        </w:rPr>
        <w:tab/>
      </w:r>
      <w:r w:rsidRPr="00260884">
        <w:rPr>
          <w:rFonts w:hint="cs"/>
          <w:u w:val="single"/>
          <w:rtl/>
        </w:rPr>
        <w:t>הנאשם 2</w:t>
      </w:r>
      <w:r>
        <w:rPr>
          <w:rFonts w:hint="cs"/>
          <w:rtl/>
        </w:rPr>
        <w:t xml:space="preserve"> - מאסר בפועל לתקופה של ארבעה חודשים לריצוי בעבודות שירות. מועד ההתחלה ומקום ההשמה ייקבעו ע"י הממונה. </w:t>
      </w:r>
    </w:p>
    <w:p w14:paraId="098F0D08" w14:textId="77777777" w:rsidR="002C7F25" w:rsidRDefault="002C7F25" w:rsidP="002C7F25">
      <w:pPr>
        <w:spacing w:line="480" w:lineRule="auto"/>
        <w:ind w:left="1440" w:hanging="930"/>
        <w:jc w:val="both"/>
        <w:rPr>
          <w:rtl/>
        </w:rPr>
      </w:pPr>
    </w:p>
    <w:p w14:paraId="4FF3AA19" w14:textId="77777777" w:rsidR="002C7F25" w:rsidRDefault="002C7F25" w:rsidP="002C7F25">
      <w:pPr>
        <w:spacing w:line="480" w:lineRule="auto"/>
        <w:ind w:left="1440" w:hanging="930"/>
        <w:jc w:val="both"/>
        <w:rPr>
          <w:rtl/>
        </w:rPr>
      </w:pPr>
      <w:r>
        <w:rPr>
          <w:rFonts w:hint="cs"/>
          <w:rtl/>
        </w:rPr>
        <w:t>ג.</w:t>
      </w:r>
      <w:r>
        <w:rPr>
          <w:rtl/>
        </w:rPr>
        <w:tab/>
      </w:r>
      <w:r w:rsidRPr="00260884">
        <w:rPr>
          <w:rFonts w:hint="cs"/>
          <w:u w:val="single"/>
          <w:rtl/>
        </w:rPr>
        <w:t>הנאשם 3</w:t>
      </w:r>
      <w:r>
        <w:rPr>
          <w:rFonts w:hint="cs"/>
          <w:rtl/>
        </w:rPr>
        <w:t xml:space="preserve"> </w:t>
      </w:r>
      <w:r>
        <w:rPr>
          <w:rtl/>
        </w:rPr>
        <w:t>–</w:t>
      </w:r>
      <w:r>
        <w:rPr>
          <w:rFonts w:hint="cs"/>
          <w:rtl/>
        </w:rPr>
        <w:t xml:space="preserve"> מאסר בפועל לתקופה של ארבעה חודשים, ממנה ינוכו 36 ימי מעצרו. הנאשם יתייצב לריצוי לקראת עונשו בכלא ניצן ביום 16.9.2019. בשעה 10:00; כמו כן מופעל בזה בחופף להנ"ל מאסר על תנאי שאורכו ארבעה חודשים, שהוטל על הנאשם ב</w:t>
      </w:r>
      <w:hyperlink r:id="rId41" w:history="1">
        <w:r w:rsidR="005B1437" w:rsidRPr="005B1437">
          <w:rPr>
            <w:color w:val="0000FF"/>
            <w:u w:val="single"/>
            <w:rtl/>
          </w:rPr>
          <w:t>ת"פ 61193-11-15</w:t>
        </w:r>
      </w:hyperlink>
      <w:r>
        <w:rPr>
          <w:rFonts w:hint="cs"/>
          <w:rtl/>
        </w:rPr>
        <w:t xml:space="preserve">, של בית משפט זה. </w:t>
      </w:r>
    </w:p>
    <w:p w14:paraId="51D151C7" w14:textId="77777777" w:rsidR="002C7F25" w:rsidRDefault="002C7F25" w:rsidP="002C7F25">
      <w:pPr>
        <w:spacing w:line="480" w:lineRule="auto"/>
        <w:ind w:left="1440" w:hanging="930"/>
        <w:jc w:val="both"/>
        <w:rPr>
          <w:rtl/>
        </w:rPr>
      </w:pPr>
    </w:p>
    <w:p w14:paraId="663B312F" w14:textId="77777777" w:rsidR="002C7F25" w:rsidRDefault="002C7F25" w:rsidP="002C7F25">
      <w:pPr>
        <w:spacing w:line="480" w:lineRule="auto"/>
        <w:ind w:left="1440" w:hanging="930"/>
        <w:jc w:val="both"/>
        <w:rPr>
          <w:rtl/>
        </w:rPr>
      </w:pPr>
      <w:r>
        <w:rPr>
          <w:rFonts w:hint="cs"/>
          <w:rtl/>
        </w:rPr>
        <w:t>ד.</w:t>
      </w:r>
      <w:r>
        <w:rPr>
          <w:rtl/>
        </w:rPr>
        <w:tab/>
      </w:r>
      <w:r w:rsidRPr="00260884">
        <w:rPr>
          <w:rFonts w:hint="cs"/>
          <w:u w:val="single"/>
          <w:rtl/>
        </w:rPr>
        <w:t>כל הנאשמים</w:t>
      </w:r>
      <w:r>
        <w:rPr>
          <w:rFonts w:hint="cs"/>
          <w:rtl/>
        </w:rPr>
        <w:t xml:space="preserve"> </w:t>
      </w:r>
      <w:r>
        <w:rPr>
          <w:rtl/>
        </w:rPr>
        <w:t>–</w:t>
      </w:r>
      <w:r>
        <w:rPr>
          <w:rFonts w:hint="cs"/>
          <w:rtl/>
        </w:rPr>
        <w:t xml:space="preserve"> בשים לב למהות העבירות שעל הפרק, וגם אם אין הדבר תואם ביחס לחלק מהנאשמים את העבירות בהן הורשעו, הנכון הוא לגזור מאסר על תנאי שיוגדר לעבירות המצויות במהותן במוקד הפרשה. בהמשך לאמור, גוזר אני שישה חודשי מאסר, ככל שיורשע מי מבין הנאשמים בתקופה של שנתיים מהיום בעבירה נוספת לפי </w:t>
      </w:r>
      <w:hyperlink r:id="rId42" w:history="1">
        <w:r w:rsidR="00736ADC" w:rsidRPr="00736ADC">
          <w:rPr>
            <w:color w:val="0000FF"/>
            <w:u w:val="single"/>
            <w:rtl/>
          </w:rPr>
          <w:t>סעיף 144</w:t>
        </w:r>
      </w:hyperlink>
      <w:r>
        <w:rPr>
          <w:rFonts w:hint="cs"/>
          <w:rtl/>
        </w:rPr>
        <w:t xml:space="preserve"> ל</w:t>
      </w:r>
      <w:hyperlink r:id="rId43" w:history="1">
        <w:r w:rsidR="005B1437" w:rsidRPr="005B1437">
          <w:rPr>
            <w:color w:val="0000FF"/>
            <w:u w:val="single"/>
            <w:rtl/>
          </w:rPr>
          <w:t>חוק העונשין</w:t>
        </w:r>
      </w:hyperlink>
      <w:r>
        <w:rPr>
          <w:rFonts w:hint="cs"/>
          <w:rtl/>
        </w:rPr>
        <w:t xml:space="preserve">. </w:t>
      </w:r>
    </w:p>
    <w:p w14:paraId="07DAB583" w14:textId="77777777" w:rsidR="002C7F25" w:rsidRDefault="002C7F25" w:rsidP="002C7F25">
      <w:pPr>
        <w:spacing w:line="480" w:lineRule="auto"/>
        <w:jc w:val="both"/>
        <w:rPr>
          <w:rtl/>
        </w:rPr>
      </w:pPr>
    </w:p>
    <w:p w14:paraId="6C722978" w14:textId="77777777" w:rsidR="002C7F25" w:rsidRDefault="002C7F25" w:rsidP="002C7F25">
      <w:pPr>
        <w:spacing w:line="480" w:lineRule="auto"/>
        <w:jc w:val="both"/>
        <w:rPr>
          <w:rtl/>
        </w:rPr>
      </w:pPr>
    </w:p>
    <w:p w14:paraId="72ADDA59" w14:textId="77777777" w:rsidR="002C7F25" w:rsidRDefault="002C7F25" w:rsidP="002C7F25">
      <w:pPr>
        <w:spacing w:line="480" w:lineRule="auto"/>
        <w:jc w:val="both"/>
        <w:rPr>
          <w:rtl/>
        </w:rPr>
      </w:pPr>
    </w:p>
    <w:p w14:paraId="129E8EFB" w14:textId="77777777" w:rsidR="002C7F25" w:rsidRPr="00F112C8" w:rsidRDefault="005B1437" w:rsidP="002C7F25">
      <w:pPr>
        <w:spacing w:line="480" w:lineRule="auto"/>
        <w:jc w:val="both"/>
        <w:rPr>
          <w:rtl/>
        </w:rPr>
      </w:pPr>
      <w:r w:rsidRPr="005B1437">
        <w:rPr>
          <w:color w:val="FFFFFF"/>
          <w:sz w:val="2"/>
          <w:szCs w:val="2"/>
          <w:rtl/>
        </w:rPr>
        <w:t>5129371</w:t>
      </w:r>
      <w:r w:rsidR="002C7F25">
        <w:rPr>
          <w:rFonts w:hint="cs"/>
          <w:rtl/>
        </w:rPr>
        <w:t>זכות ערעור נתונה כחוק.</w:t>
      </w:r>
    </w:p>
    <w:p w14:paraId="67DFF664" w14:textId="77777777" w:rsidR="002C7F25" w:rsidRDefault="005B1437" w:rsidP="002C7F25">
      <w:pPr>
        <w:spacing w:line="480" w:lineRule="auto"/>
        <w:jc w:val="both"/>
        <w:rPr>
          <w:rFonts w:ascii="Arial" w:hAnsi="Arial"/>
          <w:b/>
          <w:bCs/>
          <w:rtl/>
        </w:rPr>
      </w:pPr>
      <w:bookmarkStart w:id="8" w:name="Nitan"/>
      <w:r w:rsidRPr="005B1437">
        <w:rPr>
          <w:rFonts w:ascii="Arial" w:hAnsi="Arial"/>
          <w:b/>
          <w:bCs/>
          <w:color w:val="FFFFFF"/>
          <w:sz w:val="2"/>
          <w:szCs w:val="2"/>
          <w:rtl/>
        </w:rPr>
        <w:t>54678313</w:t>
      </w:r>
      <w:r>
        <w:rPr>
          <w:rFonts w:ascii="Arial" w:hAnsi="Arial"/>
          <w:b/>
          <w:bCs/>
          <w:rtl/>
        </w:rPr>
        <w:t xml:space="preserve">ניתן היום, ז' תמוז תשע"ט, 10 יולי 2019, במעמד הצדדים. </w:t>
      </w:r>
      <w:bookmarkEnd w:id="8"/>
    </w:p>
    <w:p w14:paraId="15FC57E9" w14:textId="77777777" w:rsidR="002C7F25" w:rsidRDefault="002C7F25" w:rsidP="002C7F25">
      <w:pPr>
        <w:spacing w:line="480" w:lineRule="auto"/>
        <w:jc w:val="both"/>
        <w:rPr>
          <w:rFonts w:ascii="Arial" w:hAnsi="Arial"/>
          <w:b/>
          <w:bCs/>
          <w:rtl/>
        </w:rPr>
      </w:pPr>
    </w:p>
    <w:p w14:paraId="0CC5499C" w14:textId="77777777" w:rsidR="002C7F25" w:rsidRDefault="002C7F25" w:rsidP="002C7F25">
      <w:pPr>
        <w:spacing w:line="480" w:lineRule="auto"/>
        <w:jc w:val="both"/>
        <w:rPr>
          <w:rtl/>
        </w:rPr>
      </w:pPr>
    </w:p>
    <w:p w14:paraId="07A58F7C" w14:textId="77777777" w:rsidR="002C7F25" w:rsidRDefault="002C7F25" w:rsidP="002C7F25">
      <w:pPr>
        <w:spacing w:line="480" w:lineRule="auto"/>
        <w:jc w:val="both"/>
      </w:pPr>
    </w:p>
    <w:p w14:paraId="757E4928" w14:textId="77777777" w:rsidR="002C7F25" w:rsidRPr="00736ADC" w:rsidRDefault="00736ADC" w:rsidP="002C7F25">
      <w:pPr>
        <w:spacing w:line="480" w:lineRule="auto"/>
        <w:jc w:val="both"/>
        <w:rPr>
          <w:rFonts w:ascii="Arial" w:hAnsi="Arial" w:cs="FrankRuehl"/>
          <w:color w:val="FFFFFF"/>
          <w:sz w:val="2"/>
          <w:szCs w:val="2"/>
          <w:rtl/>
        </w:rPr>
      </w:pPr>
      <w:r w:rsidRPr="00736ADC">
        <w:rPr>
          <w:rFonts w:ascii="Arial" w:hAnsi="Arial" w:cs="FrankRuehl"/>
          <w:color w:val="FFFFFF"/>
          <w:sz w:val="2"/>
          <w:szCs w:val="2"/>
          <w:rtl/>
        </w:rPr>
        <w:t>5129371</w:t>
      </w:r>
    </w:p>
    <w:p w14:paraId="08C97DD1" w14:textId="77777777" w:rsidR="00A025AB" w:rsidRPr="00736ADC" w:rsidRDefault="00736ADC" w:rsidP="005B1437">
      <w:pPr>
        <w:keepNext/>
        <w:rPr>
          <w:rFonts w:ascii="David" w:hAnsi="David"/>
          <w:color w:val="FFFFFF"/>
          <w:sz w:val="2"/>
          <w:szCs w:val="2"/>
          <w:rtl/>
        </w:rPr>
      </w:pPr>
      <w:r w:rsidRPr="00736ADC">
        <w:rPr>
          <w:rFonts w:ascii="David" w:hAnsi="David"/>
          <w:color w:val="FFFFFF"/>
          <w:sz w:val="2"/>
          <w:szCs w:val="2"/>
          <w:rtl/>
        </w:rPr>
        <w:t>54678313</w:t>
      </w:r>
    </w:p>
    <w:p w14:paraId="34EC7F30" w14:textId="77777777" w:rsidR="005B1437" w:rsidRPr="005B1437" w:rsidRDefault="005B1437" w:rsidP="005B1437">
      <w:pPr>
        <w:keepNext/>
        <w:rPr>
          <w:rFonts w:ascii="David" w:hAnsi="David"/>
          <w:color w:val="000000"/>
          <w:sz w:val="22"/>
          <w:szCs w:val="22"/>
          <w:rtl/>
        </w:rPr>
      </w:pPr>
      <w:r w:rsidRPr="005B1437">
        <w:rPr>
          <w:rFonts w:ascii="David" w:hAnsi="David"/>
          <w:color w:val="000000"/>
          <w:sz w:val="22"/>
          <w:szCs w:val="22"/>
          <w:rtl/>
        </w:rPr>
        <w:t>אלכסנדר רון 54678313</w:t>
      </w:r>
    </w:p>
    <w:p w14:paraId="6FD81A1E" w14:textId="77777777" w:rsidR="005B1437" w:rsidRDefault="005B1437" w:rsidP="005B1437">
      <w:r w:rsidRPr="005B1437">
        <w:rPr>
          <w:color w:val="000000"/>
          <w:rtl/>
        </w:rPr>
        <w:t>נוסח מסמך זה כפוף לשינויי ניסוח ועריכה</w:t>
      </w:r>
    </w:p>
    <w:p w14:paraId="506EEE41" w14:textId="77777777" w:rsidR="005B1437" w:rsidRDefault="005B1437" w:rsidP="005B1437">
      <w:pPr>
        <w:rPr>
          <w:rtl/>
        </w:rPr>
      </w:pPr>
    </w:p>
    <w:p w14:paraId="4AB7091B" w14:textId="77777777" w:rsidR="005B1437" w:rsidRDefault="005B1437" w:rsidP="005B143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AE53450" w14:textId="77777777" w:rsidR="00736ADC" w:rsidRPr="00736ADC" w:rsidRDefault="00736ADC" w:rsidP="00736ADC">
      <w:pPr>
        <w:keepNext/>
        <w:rPr>
          <w:rFonts w:ascii="David" w:hAnsi="David"/>
          <w:color w:val="000000"/>
          <w:sz w:val="22"/>
          <w:szCs w:val="22"/>
          <w:rtl/>
        </w:rPr>
      </w:pPr>
    </w:p>
    <w:p w14:paraId="7614C34A" w14:textId="77777777" w:rsidR="005B1437" w:rsidRPr="005B1437" w:rsidRDefault="005B1437" w:rsidP="00736ADC">
      <w:pPr>
        <w:rPr>
          <w:color w:val="0000FF"/>
          <w:u w:val="single"/>
        </w:rPr>
      </w:pPr>
    </w:p>
    <w:sectPr w:rsidR="005B1437" w:rsidRPr="005B1437" w:rsidSect="00736AD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2461" w14:textId="77777777" w:rsidR="006758A5" w:rsidRDefault="006758A5" w:rsidP="002435BF">
      <w:r>
        <w:separator/>
      </w:r>
    </w:p>
  </w:endnote>
  <w:endnote w:type="continuationSeparator" w:id="0">
    <w:p w14:paraId="10DF2E24" w14:textId="77777777" w:rsidR="006758A5" w:rsidRDefault="006758A5" w:rsidP="0024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4F27" w14:textId="77777777" w:rsidR="00736ADC" w:rsidRDefault="00736ADC" w:rsidP="00736AD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7F614C" w14:textId="77777777" w:rsidR="005B1437" w:rsidRPr="00736ADC" w:rsidRDefault="00736ADC" w:rsidP="00736ADC">
    <w:pPr>
      <w:pStyle w:val="a6"/>
      <w:pBdr>
        <w:top w:val="single" w:sz="4" w:space="1" w:color="auto"/>
        <w:between w:val="single" w:sz="4" w:space="0" w:color="auto"/>
      </w:pBdr>
      <w:spacing w:after="60"/>
      <w:jc w:val="center"/>
      <w:rPr>
        <w:rFonts w:ascii="FrankRuehl" w:hAnsi="FrankRuehl" w:cs="FrankRuehl"/>
        <w:color w:val="000000"/>
      </w:rPr>
    </w:pPr>
    <w:r w:rsidRPr="00736A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EB44" w14:textId="77777777" w:rsidR="00736ADC" w:rsidRDefault="00736ADC" w:rsidP="00736AD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6810">
      <w:rPr>
        <w:rFonts w:ascii="FrankRuehl" w:hAnsi="FrankRuehl" w:cs="FrankRuehl"/>
        <w:noProof/>
        <w:rtl/>
      </w:rPr>
      <w:t>1</w:t>
    </w:r>
    <w:r>
      <w:rPr>
        <w:rFonts w:ascii="FrankRuehl" w:hAnsi="FrankRuehl" w:cs="FrankRuehl"/>
        <w:rtl/>
      </w:rPr>
      <w:fldChar w:fldCharType="end"/>
    </w:r>
  </w:p>
  <w:p w14:paraId="5D16553C" w14:textId="77777777" w:rsidR="005B1437" w:rsidRPr="00736ADC" w:rsidRDefault="00736ADC" w:rsidP="00736ADC">
    <w:pPr>
      <w:pStyle w:val="a6"/>
      <w:pBdr>
        <w:top w:val="single" w:sz="4" w:space="1" w:color="auto"/>
        <w:between w:val="single" w:sz="4" w:space="0" w:color="auto"/>
      </w:pBdr>
      <w:spacing w:after="60"/>
      <w:jc w:val="center"/>
      <w:rPr>
        <w:rFonts w:ascii="FrankRuehl" w:hAnsi="FrankRuehl" w:cs="FrankRuehl"/>
        <w:color w:val="000000"/>
      </w:rPr>
    </w:pPr>
    <w:r w:rsidRPr="00736ADC">
      <w:rPr>
        <w:rFonts w:ascii="FrankRuehl" w:hAnsi="FrankRuehl" w:cs="FrankRuehl"/>
        <w:color w:val="000000"/>
      </w:rPr>
      <w:pict w14:anchorId="2DD9F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0AF3" w14:textId="77777777" w:rsidR="006758A5" w:rsidRDefault="006758A5" w:rsidP="002435BF">
      <w:r>
        <w:separator/>
      </w:r>
    </w:p>
  </w:footnote>
  <w:footnote w:type="continuationSeparator" w:id="0">
    <w:p w14:paraId="2EC4C9B6" w14:textId="77777777" w:rsidR="006758A5" w:rsidRDefault="006758A5" w:rsidP="0024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BB69" w14:textId="77777777" w:rsidR="005B1437" w:rsidRPr="00736ADC" w:rsidRDefault="00736ADC" w:rsidP="00736A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42976-08-17</w:t>
    </w:r>
    <w:r>
      <w:rPr>
        <w:rFonts w:ascii="David" w:hAnsi="David"/>
        <w:color w:val="000000"/>
        <w:sz w:val="22"/>
        <w:szCs w:val="22"/>
        <w:rtl/>
      </w:rPr>
      <w:tab/>
      <w:t xml:space="preserve"> מדינת ישראל  נ' צאלח ג'בר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C165" w14:textId="77777777" w:rsidR="005B1437" w:rsidRPr="00736ADC" w:rsidRDefault="00736ADC" w:rsidP="00736A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42976-08-17</w:t>
    </w:r>
    <w:r>
      <w:rPr>
        <w:rFonts w:ascii="David" w:hAnsi="David"/>
        <w:color w:val="000000"/>
        <w:sz w:val="22"/>
        <w:szCs w:val="22"/>
        <w:rtl/>
      </w:rPr>
      <w:tab/>
      <w:t xml:space="preserve"> מדינת ישראל  נ' צאלח ג'בר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7F25"/>
    <w:rsid w:val="001D5D25"/>
    <w:rsid w:val="002435BF"/>
    <w:rsid w:val="002C7F25"/>
    <w:rsid w:val="00381020"/>
    <w:rsid w:val="003C62DC"/>
    <w:rsid w:val="00443EC4"/>
    <w:rsid w:val="005B1437"/>
    <w:rsid w:val="006758A5"/>
    <w:rsid w:val="006A3CAB"/>
    <w:rsid w:val="00736ADC"/>
    <w:rsid w:val="00A025AB"/>
    <w:rsid w:val="00A952DC"/>
    <w:rsid w:val="00CF6810"/>
    <w:rsid w:val="00D34B21"/>
    <w:rsid w:val="00E051E2"/>
    <w:rsid w:val="00FA26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D6EB0A"/>
  <w15:chartTrackingRefBased/>
  <w15:docId w15:val="{398424F5-AB24-4CEE-809A-B7C5B88D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7F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7F25"/>
    <w:pPr>
      <w:tabs>
        <w:tab w:val="center" w:pos="4153"/>
        <w:tab w:val="right" w:pos="8306"/>
      </w:tabs>
    </w:pPr>
  </w:style>
  <w:style w:type="character" w:customStyle="1" w:styleId="a4">
    <w:name w:val="כותרת עליונה תו"/>
    <w:link w:val="a3"/>
    <w:rsid w:val="002C7F25"/>
    <w:rPr>
      <w:rFonts w:ascii="Times New Roman" w:eastAsia="Times New Roman" w:hAnsi="Times New Roman" w:cs="David"/>
      <w:sz w:val="24"/>
      <w:szCs w:val="24"/>
    </w:rPr>
  </w:style>
  <w:style w:type="table" w:styleId="a5">
    <w:name w:val="Table Grid"/>
    <w:basedOn w:val="a1"/>
    <w:rsid w:val="002C7F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rsid w:val="002C7F25"/>
    <w:pPr>
      <w:tabs>
        <w:tab w:val="center" w:pos="4153"/>
        <w:tab w:val="right" w:pos="8306"/>
      </w:tabs>
    </w:pPr>
  </w:style>
  <w:style w:type="character" w:customStyle="1" w:styleId="a7">
    <w:name w:val="כותרת תחתונה תו"/>
    <w:link w:val="a6"/>
    <w:rsid w:val="002C7F25"/>
    <w:rPr>
      <w:rFonts w:ascii="Times New Roman" w:eastAsia="Times New Roman" w:hAnsi="Times New Roman" w:cs="David"/>
      <w:sz w:val="24"/>
      <w:szCs w:val="24"/>
    </w:rPr>
  </w:style>
  <w:style w:type="character" w:styleId="a8">
    <w:name w:val="line number"/>
    <w:rsid w:val="002C7F25"/>
  </w:style>
  <w:style w:type="character" w:styleId="a9">
    <w:name w:val="page number"/>
    <w:rsid w:val="005B1437"/>
  </w:style>
  <w:style w:type="character" w:styleId="Hyperlink">
    <w:name w:val="Hyperlink"/>
    <w:rsid w:val="005B1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99.1.a" TargetMode="External"/><Relationship Id="rId26" Type="http://schemas.openxmlformats.org/officeDocument/2006/relationships/hyperlink" Target="http://www.nevo.co.il/case/21474520" TargetMode="External"/><Relationship Id="rId39" Type="http://schemas.openxmlformats.org/officeDocument/2006/relationships/hyperlink" Target="http://www.nevo.co.il/case/22132375"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14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51b" TargetMode="External"/><Relationship Id="rId2" Type="http://schemas.openxmlformats.org/officeDocument/2006/relationships/settings" Target="settings.xml"/><Relationship Id="rId16" Type="http://schemas.openxmlformats.org/officeDocument/2006/relationships/hyperlink" Target="http://www.nevo.co.il/law/70301/144" TargetMode="External"/><Relationship Id="rId29" Type="http://schemas.openxmlformats.org/officeDocument/2006/relationships/hyperlink" Target="http://www.nevo.co.il/case/23750625" TargetMode="External"/><Relationship Id="rId11" Type="http://schemas.openxmlformats.org/officeDocument/2006/relationships/hyperlink" Target="http://www.nevo.co.il/law/70301/499.1.a" TargetMode="External"/><Relationship Id="rId24" Type="http://schemas.openxmlformats.org/officeDocument/2006/relationships/hyperlink" Target="http://www.nevo.co.il/case/5821327" TargetMode="External"/><Relationship Id="rId32" Type="http://schemas.openxmlformats.org/officeDocument/2006/relationships/hyperlink" Target="http://www.nevo.co.il/case/20757088" TargetMode="External"/><Relationship Id="rId37" Type="http://schemas.openxmlformats.org/officeDocument/2006/relationships/hyperlink" Target="http://www.nevo.co.il/case/2513109" TargetMode="External"/><Relationship Id="rId40" Type="http://schemas.openxmlformats.org/officeDocument/2006/relationships/hyperlink" Target="http://www.nevo.co.il/law/70301/51b"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51b.b1" TargetMode="External"/><Relationship Id="rId23" Type="http://schemas.openxmlformats.org/officeDocument/2006/relationships/hyperlink" Target="http://www.nevo.co.il/law/70301/500.7" TargetMode="External"/><Relationship Id="rId28" Type="http://schemas.openxmlformats.org/officeDocument/2006/relationships/hyperlink" Target="http://www.nevo.co.il/case/22173628" TargetMode="External"/><Relationship Id="rId36" Type="http://schemas.openxmlformats.org/officeDocument/2006/relationships/hyperlink" Target="http://www.nevo.co.il/case/20495389" TargetMode="External"/><Relationship Id="rId49" Type="http://schemas.openxmlformats.org/officeDocument/2006/relationships/fontTable" Target="fontTable.xml"/><Relationship Id="rId10" Type="http://schemas.openxmlformats.org/officeDocument/2006/relationships/hyperlink" Target="http://www.nevo.co.il/law/70301/144.b2" TargetMode="External"/><Relationship Id="rId19" Type="http://schemas.openxmlformats.org/officeDocument/2006/relationships/hyperlink" Target="http://www.nevo.co.il/law/70301/500.7" TargetMode="External"/><Relationship Id="rId31" Type="http://schemas.openxmlformats.org/officeDocument/2006/relationships/hyperlink" Target="http://www.nevo.co.il/case/2900054"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51b" TargetMode="External"/><Relationship Id="rId22" Type="http://schemas.openxmlformats.org/officeDocument/2006/relationships/hyperlink" Target="http://www.nevo.co.il/law/70301/499.1.a" TargetMode="External"/><Relationship Id="rId27" Type="http://schemas.openxmlformats.org/officeDocument/2006/relationships/hyperlink" Target="http://www.nevo.co.il/case/23850962" TargetMode="External"/><Relationship Id="rId30" Type="http://schemas.openxmlformats.org/officeDocument/2006/relationships/hyperlink" Target="http://www.nevo.co.il/case/20455789" TargetMode="External"/><Relationship Id="rId35" Type="http://schemas.openxmlformats.org/officeDocument/2006/relationships/hyperlink" Target="http://www.nevo.co.il/case/21614111"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51b.b1" TargetMode="External"/><Relationship Id="rId3" Type="http://schemas.openxmlformats.org/officeDocument/2006/relationships/webSettings" Target="webSettings.xml"/><Relationship Id="rId12" Type="http://schemas.openxmlformats.org/officeDocument/2006/relationships/hyperlink" Target="http://www.nevo.co.il/law/70301/500.7"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5594385" TargetMode="External"/><Relationship Id="rId33" Type="http://schemas.openxmlformats.org/officeDocument/2006/relationships/hyperlink" Target="http://www.nevo.co.il/law/70301/51b.b1" TargetMode="External"/><Relationship Id="rId38" Type="http://schemas.openxmlformats.org/officeDocument/2006/relationships/hyperlink" Target="http://www.nevo.co.il/case/18678453" TargetMode="External"/><Relationship Id="rId46" Type="http://schemas.openxmlformats.org/officeDocument/2006/relationships/header" Target="header2.xml"/><Relationship Id="rId20" Type="http://schemas.openxmlformats.org/officeDocument/2006/relationships/hyperlink" Target="http://www.nevo.co.il/law/70301/144.b2" TargetMode="External"/><Relationship Id="rId41" Type="http://schemas.openxmlformats.org/officeDocument/2006/relationships/hyperlink" Target="http://www.nevo.co.il/case/20757088"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3543</Words>
  <Characters>17715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21216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3801201</vt:i4>
      </vt:variant>
      <vt:variant>
        <vt:i4>105</vt:i4>
      </vt:variant>
      <vt:variant>
        <vt:i4>0</vt:i4>
      </vt:variant>
      <vt:variant>
        <vt:i4>5</vt:i4>
      </vt:variant>
      <vt:variant>
        <vt:lpwstr>http://www.nevo.co.il/case/20757088</vt:lpwstr>
      </vt:variant>
      <vt:variant>
        <vt:lpwstr/>
      </vt:variant>
      <vt:variant>
        <vt:i4>6553696</vt:i4>
      </vt:variant>
      <vt:variant>
        <vt:i4>102</vt:i4>
      </vt:variant>
      <vt:variant>
        <vt:i4>0</vt:i4>
      </vt:variant>
      <vt:variant>
        <vt:i4>5</vt:i4>
      </vt:variant>
      <vt:variant>
        <vt:lpwstr>http://www.nevo.co.il/law/70301/51b</vt:lpwstr>
      </vt:variant>
      <vt:variant>
        <vt:lpwstr/>
      </vt:variant>
      <vt:variant>
        <vt:i4>3539062</vt:i4>
      </vt:variant>
      <vt:variant>
        <vt:i4>99</vt:i4>
      </vt:variant>
      <vt:variant>
        <vt:i4>0</vt:i4>
      </vt:variant>
      <vt:variant>
        <vt:i4>5</vt:i4>
      </vt:variant>
      <vt:variant>
        <vt:lpwstr>http://www.nevo.co.il/case/22132375</vt:lpwstr>
      </vt:variant>
      <vt:variant>
        <vt:lpwstr/>
      </vt:variant>
      <vt:variant>
        <vt:i4>3801215</vt:i4>
      </vt:variant>
      <vt:variant>
        <vt:i4>96</vt:i4>
      </vt:variant>
      <vt:variant>
        <vt:i4>0</vt:i4>
      </vt:variant>
      <vt:variant>
        <vt:i4>5</vt:i4>
      </vt:variant>
      <vt:variant>
        <vt:lpwstr>http://www.nevo.co.il/case/18678453</vt:lpwstr>
      </vt:variant>
      <vt:variant>
        <vt:lpwstr/>
      </vt:variant>
      <vt:variant>
        <vt:i4>3866738</vt:i4>
      </vt:variant>
      <vt:variant>
        <vt:i4>93</vt:i4>
      </vt:variant>
      <vt:variant>
        <vt:i4>0</vt:i4>
      </vt:variant>
      <vt:variant>
        <vt:i4>5</vt:i4>
      </vt:variant>
      <vt:variant>
        <vt:lpwstr>http://www.nevo.co.il/case/2513109</vt:lpwstr>
      </vt:variant>
      <vt:variant>
        <vt:lpwstr/>
      </vt:variant>
      <vt:variant>
        <vt:i4>3866750</vt:i4>
      </vt:variant>
      <vt:variant>
        <vt:i4>90</vt:i4>
      </vt:variant>
      <vt:variant>
        <vt:i4>0</vt:i4>
      </vt:variant>
      <vt:variant>
        <vt:i4>5</vt:i4>
      </vt:variant>
      <vt:variant>
        <vt:lpwstr>http://www.nevo.co.il/case/20495389</vt:lpwstr>
      </vt:variant>
      <vt:variant>
        <vt:lpwstr/>
      </vt:variant>
      <vt:variant>
        <vt:i4>3211381</vt:i4>
      </vt:variant>
      <vt:variant>
        <vt:i4>87</vt:i4>
      </vt:variant>
      <vt:variant>
        <vt:i4>0</vt:i4>
      </vt:variant>
      <vt:variant>
        <vt:i4>5</vt:i4>
      </vt:variant>
      <vt:variant>
        <vt:lpwstr>http://www.nevo.co.il/case/21614111</vt:lpwstr>
      </vt:variant>
      <vt:variant>
        <vt:lpwstr/>
      </vt:variant>
      <vt:variant>
        <vt:i4>7995492</vt:i4>
      </vt:variant>
      <vt:variant>
        <vt:i4>84</vt:i4>
      </vt:variant>
      <vt:variant>
        <vt:i4>0</vt:i4>
      </vt:variant>
      <vt:variant>
        <vt:i4>5</vt:i4>
      </vt:variant>
      <vt:variant>
        <vt:lpwstr>http://www.nevo.co.il/law/70301</vt:lpwstr>
      </vt:variant>
      <vt:variant>
        <vt:lpwstr/>
      </vt:variant>
      <vt:variant>
        <vt:i4>8061024</vt:i4>
      </vt:variant>
      <vt:variant>
        <vt:i4>81</vt:i4>
      </vt:variant>
      <vt:variant>
        <vt:i4>0</vt:i4>
      </vt:variant>
      <vt:variant>
        <vt:i4>5</vt:i4>
      </vt:variant>
      <vt:variant>
        <vt:lpwstr>http://www.nevo.co.il/law/70301/51b.b1</vt:lpwstr>
      </vt:variant>
      <vt:variant>
        <vt:lpwstr/>
      </vt:variant>
      <vt:variant>
        <vt:i4>3801201</vt:i4>
      </vt:variant>
      <vt:variant>
        <vt:i4>78</vt:i4>
      </vt:variant>
      <vt:variant>
        <vt:i4>0</vt:i4>
      </vt:variant>
      <vt:variant>
        <vt:i4>5</vt:i4>
      </vt:variant>
      <vt:variant>
        <vt:lpwstr>http://www.nevo.co.il/case/20757088</vt:lpwstr>
      </vt:variant>
      <vt:variant>
        <vt:lpwstr/>
      </vt:variant>
      <vt:variant>
        <vt:i4>3539064</vt:i4>
      </vt:variant>
      <vt:variant>
        <vt:i4>75</vt:i4>
      </vt:variant>
      <vt:variant>
        <vt:i4>0</vt:i4>
      </vt:variant>
      <vt:variant>
        <vt:i4>5</vt:i4>
      </vt:variant>
      <vt:variant>
        <vt:lpwstr>http://www.nevo.co.il/case/2900054</vt:lpwstr>
      </vt:variant>
      <vt:variant>
        <vt:lpwstr/>
      </vt:variant>
      <vt:variant>
        <vt:i4>3866742</vt:i4>
      </vt:variant>
      <vt:variant>
        <vt:i4>72</vt:i4>
      </vt:variant>
      <vt:variant>
        <vt:i4>0</vt:i4>
      </vt:variant>
      <vt:variant>
        <vt:i4>5</vt:i4>
      </vt:variant>
      <vt:variant>
        <vt:lpwstr>http://www.nevo.co.il/case/20455789</vt:lpwstr>
      </vt:variant>
      <vt:variant>
        <vt:lpwstr/>
      </vt:variant>
      <vt:variant>
        <vt:i4>3604596</vt:i4>
      </vt:variant>
      <vt:variant>
        <vt:i4>69</vt:i4>
      </vt:variant>
      <vt:variant>
        <vt:i4>0</vt:i4>
      </vt:variant>
      <vt:variant>
        <vt:i4>5</vt:i4>
      </vt:variant>
      <vt:variant>
        <vt:lpwstr>http://www.nevo.co.il/case/23750625</vt:lpwstr>
      </vt:variant>
      <vt:variant>
        <vt:lpwstr/>
      </vt:variant>
      <vt:variant>
        <vt:i4>3276919</vt:i4>
      </vt:variant>
      <vt:variant>
        <vt:i4>66</vt:i4>
      </vt:variant>
      <vt:variant>
        <vt:i4>0</vt:i4>
      </vt:variant>
      <vt:variant>
        <vt:i4>5</vt:i4>
      </vt:variant>
      <vt:variant>
        <vt:lpwstr>http://www.nevo.co.il/case/22173628</vt:lpwstr>
      </vt:variant>
      <vt:variant>
        <vt:lpwstr/>
      </vt:variant>
      <vt:variant>
        <vt:i4>3932283</vt:i4>
      </vt:variant>
      <vt:variant>
        <vt:i4>63</vt:i4>
      </vt:variant>
      <vt:variant>
        <vt:i4>0</vt:i4>
      </vt:variant>
      <vt:variant>
        <vt:i4>5</vt:i4>
      </vt:variant>
      <vt:variant>
        <vt:lpwstr>http://www.nevo.co.il/case/23850962</vt:lpwstr>
      </vt:variant>
      <vt:variant>
        <vt:lpwstr/>
      </vt:variant>
      <vt:variant>
        <vt:i4>3145847</vt:i4>
      </vt:variant>
      <vt:variant>
        <vt:i4>60</vt:i4>
      </vt:variant>
      <vt:variant>
        <vt:i4>0</vt:i4>
      </vt:variant>
      <vt:variant>
        <vt:i4>5</vt:i4>
      </vt:variant>
      <vt:variant>
        <vt:lpwstr>http://www.nevo.co.il/case/21474520</vt:lpwstr>
      </vt:variant>
      <vt:variant>
        <vt:lpwstr/>
      </vt:variant>
      <vt:variant>
        <vt:i4>3801213</vt:i4>
      </vt:variant>
      <vt:variant>
        <vt:i4>57</vt:i4>
      </vt:variant>
      <vt:variant>
        <vt:i4>0</vt:i4>
      </vt:variant>
      <vt:variant>
        <vt:i4>5</vt:i4>
      </vt:variant>
      <vt:variant>
        <vt:lpwstr>http://www.nevo.co.il/case/5594385</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4915280</vt:i4>
      </vt:variant>
      <vt:variant>
        <vt:i4>51</vt:i4>
      </vt:variant>
      <vt:variant>
        <vt:i4>0</vt:i4>
      </vt:variant>
      <vt:variant>
        <vt:i4>5</vt:i4>
      </vt:variant>
      <vt:variant>
        <vt:lpwstr>http://www.nevo.co.il/law/70301/500.7</vt:lpwstr>
      </vt:variant>
      <vt:variant>
        <vt:lpwstr/>
      </vt:variant>
      <vt:variant>
        <vt:i4>7077993</vt:i4>
      </vt:variant>
      <vt:variant>
        <vt:i4>48</vt:i4>
      </vt:variant>
      <vt:variant>
        <vt:i4>0</vt:i4>
      </vt:variant>
      <vt:variant>
        <vt:i4>5</vt:i4>
      </vt:variant>
      <vt:variant>
        <vt:lpwstr>http://www.nevo.co.il/law/70301/499.1.a</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4915280</vt:i4>
      </vt:variant>
      <vt:variant>
        <vt:i4>39</vt:i4>
      </vt:variant>
      <vt:variant>
        <vt:i4>0</vt:i4>
      </vt:variant>
      <vt:variant>
        <vt:i4>5</vt:i4>
      </vt:variant>
      <vt:variant>
        <vt:lpwstr>http://www.nevo.co.il/law/70301/500.7</vt:lpwstr>
      </vt:variant>
      <vt:variant>
        <vt:lpwstr/>
      </vt:variant>
      <vt:variant>
        <vt:i4>7077993</vt:i4>
      </vt:variant>
      <vt:variant>
        <vt:i4>36</vt:i4>
      </vt:variant>
      <vt:variant>
        <vt:i4>0</vt:i4>
      </vt:variant>
      <vt:variant>
        <vt:i4>5</vt:i4>
      </vt:variant>
      <vt:variant>
        <vt:lpwstr>http://www.nevo.co.il/law/70301/499.1.a</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8061024</vt:i4>
      </vt:variant>
      <vt:variant>
        <vt:i4>27</vt:i4>
      </vt:variant>
      <vt:variant>
        <vt:i4>0</vt:i4>
      </vt:variant>
      <vt:variant>
        <vt:i4>5</vt:i4>
      </vt:variant>
      <vt:variant>
        <vt:lpwstr>http://www.nevo.co.il/law/70301/51b.b1</vt:lpwstr>
      </vt:variant>
      <vt:variant>
        <vt:lpwstr/>
      </vt:variant>
      <vt:variant>
        <vt:i4>6553696</vt:i4>
      </vt:variant>
      <vt:variant>
        <vt:i4>24</vt:i4>
      </vt:variant>
      <vt:variant>
        <vt:i4>0</vt:i4>
      </vt:variant>
      <vt:variant>
        <vt:i4>5</vt:i4>
      </vt:variant>
      <vt:variant>
        <vt:lpwstr>http://www.nevo.co.il/law/70301/51b</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4915280</vt:i4>
      </vt:variant>
      <vt:variant>
        <vt:i4>18</vt:i4>
      </vt:variant>
      <vt:variant>
        <vt:i4>0</vt:i4>
      </vt:variant>
      <vt:variant>
        <vt:i4>5</vt:i4>
      </vt:variant>
      <vt:variant>
        <vt:lpwstr>http://www.nevo.co.il/law/70301/500.7</vt:lpwstr>
      </vt:variant>
      <vt:variant>
        <vt:lpwstr/>
      </vt:variant>
      <vt:variant>
        <vt:i4>7077993</vt:i4>
      </vt:variant>
      <vt:variant>
        <vt:i4>15</vt:i4>
      </vt:variant>
      <vt:variant>
        <vt:i4>0</vt:i4>
      </vt:variant>
      <vt:variant>
        <vt:i4>5</vt:i4>
      </vt:variant>
      <vt:variant>
        <vt:lpwstr>http://www.nevo.co.il/law/70301/499.1.a</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8061024</vt:i4>
      </vt:variant>
      <vt:variant>
        <vt:i4>6</vt:i4>
      </vt:variant>
      <vt:variant>
        <vt:i4>0</vt:i4>
      </vt:variant>
      <vt:variant>
        <vt:i4>5</vt:i4>
      </vt:variant>
      <vt:variant>
        <vt:lpwstr>http://www.nevo.co.il/law/70301/51b.b1</vt:lpwstr>
      </vt:variant>
      <vt:variant>
        <vt:lpwstr/>
      </vt:variant>
      <vt:variant>
        <vt:i4>6553696</vt:i4>
      </vt:variant>
      <vt:variant>
        <vt:i4>3</vt:i4>
      </vt:variant>
      <vt:variant>
        <vt:i4>0</vt:i4>
      </vt:variant>
      <vt:variant>
        <vt:i4>5</vt:i4>
      </vt:variant>
      <vt:variant>
        <vt:lpwstr>http://www.nevo.co.il/law/70301/51b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2023-12-07T12:02:00Z</dcterms:created>
  <dcterms:modified xsi:type="dcterms:W3CDTF">2023-12-07T12:02:00Z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42976</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צאלח ג'בר;האדי ג'בר;ודאע אבוקטיש</vt:lpwstr>
  </property>
  <property fmtid="{D5CDD505-2E9C-101B-9397-08002B2CF9AE}" pid="10" name="LAWYER">
    <vt:lpwstr>בתיה קוליץ;אבי אודיז</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20190710</vt:lpwstr>
  </property>
  <property fmtid="{D5CDD505-2E9C-101B-9397-08002B2CF9AE}" pid="14" name="TYPE_N_DATE">
    <vt:lpwstr>39020190710</vt:lpwstr>
  </property>
  <property fmtid="{D5CDD505-2E9C-101B-9397-08002B2CF9AE}" pid="15" name="WORDNUMPAGES">
    <vt:lpwstr>15</vt:lpwstr>
  </property>
  <property fmtid="{D5CDD505-2E9C-101B-9397-08002B2CF9AE}" pid="16" name="TYPE_ABS_DATE">
    <vt:lpwstr>390020190710</vt:lpwstr>
  </property>
  <property fmtid="{D5CDD505-2E9C-101B-9397-08002B2CF9AE}" pid="17" name="ISABSTRACT">
    <vt:lpwstr>Y</vt:lpwstr>
  </property>
  <property fmtid="{D5CDD505-2E9C-101B-9397-08002B2CF9AE}" pid="18" name="CASESLISTTMP1">
    <vt:lpwstr>5821327;5594385;21474520;23850962;22173628;23750625;20455789;2900054;20757088:2;21614111;20495389;2513109;18678453;22132375</vt:lpwstr>
  </property>
  <property fmtid="{D5CDD505-2E9C-101B-9397-08002B2CF9AE}" pid="19" name="LAWLISTTMP1">
    <vt:lpwstr>70301/051b;051b.b1;144;144.b2;499.1.a;500.7</vt:lpwstr>
  </property>
</Properties>
</file>