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966"/>
        <w:gridCol w:w="4539"/>
      </w:tblGrid>
      <w:tr w:rsidR="007D5BEE" w:rsidRPr="005E6EAF" w14:paraId="639EE299" w14:textId="77777777" w:rsidTr="00472AC5">
        <w:trPr>
          <w:trHeight w:hRule="exact" w:val="418"/>
          <w:jc w:val="center"/>
        </w:trPr>
        <w:tc>
          <w:tcPr>
            <w:tcW w:w="8505" w:type="dxa"/>
            <w:gridSpan w:val="2"/>
          </w:tcPr>
          <w:p w14:paraId="7D488EE5" w14:textId="77777777" w:rsidR="007D5BEE" w:rsidRPr="005E6EAF" w:rsidRDefault="007D5BEE" w:rsidP="00472AC5">
            <w:pPr>
              <w:pStyle w:val="a3"/>
              <w:jc w:val="center"/>
              <w:rPr>
                <w:rFonts w:ascii="Tahoma" w:hAnsi="Tahoma" w:cs="Tahoma"/>
                <w:color w:val="000080"/>
                <w:rtl/>
              </w:rPr>
            </w:pPr>
            <w:r w:rsidRPr="005E6EAF">
              <w:rPr>
                <w:rFonts w:ascii="Tahoma" w:hAnsi="Tahoma" w:cs="Tahoma"/>
                <w:b/>
                <w:bCs/>
                <w:color w:val="000080"/>
                <w:rtl/>
              </w:rPr>
              <w:t>בית המשפט המחוזי בבאר שבע</w:t>
            </w:r>
          </w:p>
        </w:tc>
      </w:tr>
      <w:tr w:rsidR="007D5BEE" w:rsidRPr="005E6EAF" w14:paraId="565F53BE" w14:textId="77777777" w:rsidTr="00472AC5">
        <w:trPr>
          <w:trHeight w:val="337"/>
          <w:jc w:val="center"/>
        </w:trPr>
        <w:tc>
          <w:tcPr>
            <w:tcW w:w="3966" w:type="dxa"/>
          </w:tcPr>
          <w:p w14:paraId="6167E7B7" w14:textId="77777777" w:rsidR="007D5BEE" w:rsidRPr="005E6EAF" w:rsidRDefault="007D5BEE" w:rsidP="00472AC5">
            <w:pPr>
              <w:rPr>
                <w:b/>
                <w:bCs/>
                <w:rtl/>
              </w:rPr>
            </w:pPr>
            <w:r w:rsidRPr="005E6EAF">
              <w:rPr>
                <w:rFonts w:hint="cs"/>
                <w:b/>
                <w:bCs/>
                <w:rtl/>
              </w:rPr>
              <w:t xml:space="preserve">בפני כב' ס.הנשיאה, השופט אליהו ביתן </w:t>
            </w:r>
          </w:p>
        </w:tc>
        <w:tc>
          <w:tcPr>
            <w:tcW w:w="4539" w:type="dxa"/>
          </w:tcPr>
          <w:p w14:paraId="6A31330A" w14:textId="77777777" w:rsidR="007D5BEE" w:rsidRPr="005E6EAF" w:rsidRDefault="007D5BEE" w:rsidP="00472AC5">
            <w:pPr>
              <w:jc w:val="right"/>
              <w:rPr>
                <w:b/>
                <w:bCs/>
                <w:rtl/>
              </w:rPr>
            </w:pPr>
            <w:r w:rsidRPr="005E6EAF">
              <w:rPr>
                <w:rFonts w:hint="cs"/>
                <w:b/>
                <w:bCs/>
                <w:rtl/>
              </w:rPr>
              <w:t>06 בפברואר 2019</w:t>
            </w:r>
          </w:p>
          <w:p w14:paraId="7C80057C" w14:textId="77777777" w:rsidR="007D5BEE" w:rsidRPr="005E6EAF" w:rsidRDefault="007D5BEE" w:rsidP="00472AC5">
            <w:pPr>
              <w:rPr>
                <w:b/>
                <w:bCs/>
                <w:rtl/>
              </w:rPr>
            </w:pPr>
            <w:r w:rsidRPr="005E6EAF">
              <w:rPr>
                <w:b/>
                <w:bCs/>
                <w:rtl/>
              </w:rPr>
              <w:br/>
              <w:t>ת"פ</w:t>
            </w:r>
            <w:r w:rsidRPr="005E6EAF">
              <w:rPr>
                <w:rFonts w:hint="cs"/>
                <w:b/>
                <w:bCs/>
                <w:rtl/>
              </w:rPr>
              <w:t xml:space="preserve"> </w:t>
            </w:r>
            <w:r w:rsidRPr="005E6EAF">
              <w:rPr>
                <w:b/>
                <w:bCs/>
                <w:rtl/>
              </w:rPr>
              <w:t>53496-03-18</w:t>
            </w:r>
            <w:r w:rsidRPr="005E6EAF">
              <w:rPr>
                <w:rFonts w:hint="cs"/>
                <w:b/>
                <w:bCs/>
                <w:rtl/>
              </w:rPr>
              <w:t xml:space="preserve"> </w:t>
            </w:r>
            <w:r w:rsidRPr="005E6EAF">
              <w:rPr>
                <w:b/>
                <w:bCs/>
                <w:rtl/>
              </w:rPr>
              <w:t>מדינת ישראל נ' אבו עסא ואח'</w:t>
            </w:r>
          </w:p>
        </w:tc>
      </w:tr>
    </w:tbl>
    <w:p w14:paraId="221C76DE" w14:textId="77777777" w:rsidR="007D5BEE" w:rsidRPr="005E6EAF" w:rsidRDefault="007D5BEE" w:rsidP="007D5BEE">
      <w:pPr>
        <w:pStyle w:val="a3"/>
        <w:rPr>
          <w:rtl/>
        </w:rPr>
      </w:pPr>
      <w:bookmarkStart w:id="0" w:name="LastJudge"/>
      <w:bookmarkEnd w:id="0"/>
      <w:r w:rsidRPr="005E6EAF">
        <w:rPr>
          <w:rFonts w:hint="cs"/>
          <w:rtl/>
        </w:rPr>
        <w:t xml:space="preserve"> </w:t>
      </w:r>
    </w:p>
    <w:p w14:paraId="3908EA21" w14:textId="77777777" w:rsidR="007D5BEE" w:rsidRPr="005E6EAF" w:rsidRDefault="007D5BEE" w:rsidP="007D5BEE">
      <w:pPr>
        <w:spacing w:line="360" w:lineRule="auto"/>
        <w:jc w:val="both"/>
        <w:rPr>
          <w:rtl/>
        </w:rPr>
      </w:pPr>
    </w:p>
    <w:tbl>
      <w:tblPr>
        <w:tblpPr w:leftFromText="180" w:rightFromText="180" w:vertAnchor="text" w:tblpXSpec="center" w:tblpY="1"/>
        <w:tblOverlap w:val="never"/>
        <w:bidiVisual/>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6"/>
        <w:gridCol w:w="3976"/>
        <w:gridCol w:w="3598"/>
      </w:tblGrid>
      <w:tr w:rsidR="007D5BEE" w:rsidRPr="005E6EAF" w14:paraId="7C729E57" w14:textId="77777777" w:rsidTr="007D5BEE">
        <w:trPr>
          <w:trHeight w:val="355"/>
        </w:trPr>
        <w:tc>
          <w:tcPr>
            <w:tcW w:w="923" w:type="dxa"/>
            <w:tcBorders>
              <w:top w:val="nil"/>
              <w:left w:val="nil"/>
              <w:bottom w:val="nil"/>
              <w:right w:val="nil"/>
            </w:tcBorders>
            <w:shd w:val="clear" w:color="auto" w:fill="auto"/>
          </w:tcPr>
          <w:p w14:paraId="260AD8C5" w14:textId="77777777" w:rsidR="007D5BEE" w:rsidRPr="005E6EAF" w:rsidRDefault="007D5BEE" w:rsidP="007D5BEE">
            <w:pPr>
              <w:spacing w:line="360" w:lineRule="auto"/>
              <w:jc w:val="both"/>
              <w:rPr>
                <w:rFonts w:ascii="Arial" w:hAnsi="Arial"/>
                <w:b/>
                <w:bCs/>
              </w:rPr>
            </w:pPr>
            <w:r w:rsidRPr="005E6EAF">
              <w:rPr>
                <w:rFonts w:ascii="Arial" w:hAnsi="Arial" w:hint="cs"/>
                <w:b/>
                <w:bCs/>
                <w:rtl/>
              </w:rPr>
              <w:t>בעניין:</w:t>
            </w:r>
          </w:p>
        </w:tc>
        <w:tc>
          <w:tcPr>
            <w:tcW w:w="4126" w:type="dxa"/>
            <w:tcBorders>
              <w:top w:val="nil"/>
              <w:left w:val="nil"/>
              <w:bottom w:val="nil"/>
              <w:right w:val="nil"/>
            </w:tcBorders>
            <w:shd w:val="clear" w:color="auto" w:fill="auto"/>
          </w:tcPr>
          <w:p w14:paraId="092ABCCF" w14:textId="77777777" w:rsidR="007D5BEE" w:rsidRPr="005E6EAF" w:rsidRDefault="007D5BEE" w:rsidP="007D5BEE">
            <w:pPr>
              <w:spacing w:line="360" w:lineRule="auto"/>
              <w:jc w:val="both"/>
              <w:rPr>
                <w:rFonts w:ascii="Arial" w:hAnsi="Arial"/>
                <w:b/>
                <w:bCs/>
              </w:rPr>
            </w:pPr>
            <w:r w:rsidRPr="005E6EAF">
              <w:rPr>
                <w:rFonts w:ascii="Arial" w:hAnsi="Arial"/>
                <w:b/>
                <w:bCs/>
                <w:rtl/>
              </w:rPr>
              <w:t xml:space="preserve">     </w:t>
            </w:r>
          </w:p>
        </w:tc>
        <w:tc>
          <w:tcPr>
            <w:tcW w:w="3771" w:type="dxa"/>
            <w:tcBorders>
              <w:top w:val="nil"/>
              <w:left w:val="nil"/>
              <w:bottom w:val="nil"/>
              <w:right w:val="nil"/>
            </w:tcBorders>
            <w:shd w:val="clear" w:color="auto" w:fill="auto"/>
          </w:tcPr>
          <w:p w14:paraId="479A105D" w14:textId="77777777" w:rsidR="007D5BEE" w:rsidRPr="005E6EAF" w:rsidRDefault="007D5BEE" w:rsidP="007D5BEE">
            <w:pPr>
              <w:spacing w:line="360" w:lineRule="auto"/>
              <w:jc w:val="both"/>
              <w:rPr>
                <w:rFonts w:ascii="Arial" w:hAnsi="Arial"/>
                <w:b/>
                <w:bCs/>
              </w:rPr>
            </w:pPr>
          </w:p>
        </w:tc>
      </w:tr>
      <w:tr w:rsidR="007D5BEE" w:rsidRPr="005E6EAF" w14:paraId="698E8475" w14:textId="77777777" w:rsidTr="007D5BEE">
        <w:trPr>
          <w:trHeight w:val="355"/>
        </w:trPr>
        <w:tc>
          <w:tcPr>
            <w:tcW w:w="923" w:type="dxa"/>
            <w:tcBorders>
              <w:top w:val="nil"/>
              <w:left w:val="nil"/>
              <w:bottom w:val="nil"/>
              <w:right w:val="nil"/>
            </w:tcBorders>
            <w:shd w:val="clear" w:color="auto" w:fill="auto"/>
          </w:tcPr>
          <w:p w14:paraId="543178A6" w14:textId="77777777" w:rsidR="007D5BEE" w:rsidRPr="005E6EAF" w:rsidRDefault="007D5BEE" w:rsidP="007D5BEE">
            <w:pPr>
              <w:spacing w:line="360" w:lineRule="auto"/>
              <w:jc w:val="both"/>
              <w:rPr>
                <w:rFonts w:ascii="Arial" w:hAnsi="Arial"/>
                <w:b/>
                <w:bCs/>
                <w:rtl/>
              </w:rPr>
            </w:pPr>
            <w:bookmarkStart w:id="1" w:name="FirstAppellant"/>
            <w:r w:rsidRPr="005E6EAF">
              <w:rPr>
                <w:rFonts w:ascii="Arial" w:hAnsi="Arial" w:hint="cs"/>
                <w:b/>
                <w:bCs/>
                <w:rtl/>
              </w:rPr>
              <w:t>המאשימה:</w:t>
            </w:r>
          </w:p>
        </w:tc>
        <w:tc>
          <w:tcPr>
            <w:tcW w:w="4126" w:type="dxa"/>
            <w:tcBorders>
              <w:top w:val="nil"/>
              <w:left w:val="nil"/>
              <w:bottom w:val="nil"/>
              <w:right w:val="nil"/>
            </w:tcBorders>
            <w:shd w:val="clear" w:color="auto" w:fill="auto"/>
          </w:tcPr>
          <w:p w14:paraId="08EE5AB0" w14:textId="77777777" w:rsidR="007D5BEE" w:rsidRPr="005E6EAF" w:rsidRDefault="007D5BEE" w:rsidP="007D5BEE">
            <w:pPr>
              <w:spacing w:line="360" w:lineRule="auto"/>
              <w:jc w:val="both"/>
              <w:rPr>
                <w:rFonts w:ascii="Arial" w:hAnsi="Arial"/>
                <w:b/>
                <w:bCs/>
                <w:rtl/>
              </w:rPr>
            </w:pPr>
            <w:r w:rsidRPr="005E6EAF">
              <w:rPr>
                <w:rFonts w:ascii="Arial" w:hAnsi="Arial" w:hint="cs"/>
                <w:b/>
                <w:bCs/>
                <w:rtl/>
              </w:rPr>
              <w:t xml:space="preserve">מדינת ישראל </w:t>
            </w:r>
          </w:p>
        </w:tc>
        <w:tc>
          <w:tcPr>
            <w:tcW w:w="3771" w:type="dxa"/>
            <w:tcBorders>
              <w:top w:val="nil"/>
              <w:left w:val="nil"/>
              <w:bottom w:val="nil"/>
              <w:right w:val="nil"/>
            </w:tcBorders>
            <w:shd w:val="clear" w:color="auto" w:fill="auto"/>
          </w:tcPr>
          <w:p w14:paraId="3B19D85F" w14:textId="77777777" w:rsidR="007D5BEE" w:rsidRPr="005E6EAF" w:rsidRDefault="007D5BEE" w:rsidP="007D5BEE">
            <w:pPr>
              <w:spacing w:line="360" w:lineRule="auto"/>
              <w:jc w:val="both"/>
              <w:rPr>
                <w:rFonts w:ascii="Arial" w:hAnsi="Arial"/>
                <w:b/>
                <w:bCs/>
                <w:rtl/>
              </w:rPr>
            </w:pPr>
          </w:p>
        </w:tc>
      </w:tr>
      <w:bookmarkEnd w:id="1"/>
      <w:tr w:rsidR="007D5BEE" w:rsidRPr="005E6EAF" w14:paraId="1E00F898" w14:textId="77777777" w:rsidTr="007D5BEE">
        <w:trPr>
          <w:trHeight w:val="355"/>
        </w:trPr>
        <w:tc>
          <w:tcPr>
            <w:tcW w:w="923" w:type="dxa"/>
            <w:tcBorders>
              <w:top w:val="nil"/>
              <w:left w:val="nil"/>
              <w:bottom w:val="nil"/>
              <w:right w:val="nil"/>
            </w:tcBorders>
            <w:shd w:val="clear" w:color="auto" w:fill="auto"/>
          </w:tcPr>
          <w:p w14:paraId="1B7C7571" w14:textId="77777777" w:rsidR="007D5BEE" w:rsidRPr="005E6EAF" w:rsidRDefault="007D5BEE" w:rsidP="007D5BEE">
            <w:pPr>
              <w:spacing w:line="360" w:lineRule="auto"/>
              <w:jc w:val="both"/>
              <w:rPr>
                <w:rFonts w:ascii="Arial" w:hAnsi="Arial"/>
                <w:b/>
                <w:bCs/>
                <w:rtl/>
              </w:rPr>
            </w:pPr>
          </w:p>
        </w:tc>
        <w:tc>
          <w:tcPr>
            <w:tcW w:w="7897" w:type="dxa"/>
            <w:gridSpan w:val="2"/>
            <w:tcBorders>
              <w:top w:val="nil"/>
              <w:left w:val="nil"/>
              <w:bottom w:val="nil"/>
              <w:right w:val="nil"/>
            </w:tcBorders>
            <w:shd w:val="clear" w:color="auto" w:fill="auto"/>
          </w:tcPr>
          <w:p w14:paraId="10B229F9" w14:textId="77777777" w:rsidR="007D5BEE" w:rsidRPr="005E6EAF" w:rsidRDefault="007D5BEE" w:rsidP="007D5BEE">
            <w:pPr>
              <w:spacing w:line="360" w:lineRule="auto"/>
              <w:jc w:val="center"/>
              <w:rPr>
                <w:rFonts w:ascii="Arial" w:hAnsi="Arial"/>
                <w:b/>
                <w:bCs/>
              </w:rPr>
            </w:pPr>
            <w:r w:rsidRPr="005E6EAF">
              <w:rPr>
                <w:rFonts w:ascii="Arial" w:hAnsi="Arial"/>
                <w:b/>
                <w:bCs/>
                <w:sz w:val="28"/>
                <w:szCs w:val="28"/>
                <w:rtl/>
              </w:rPr>
              <w:t>נגד</w:t>
            </w:r>
          </w:p>
        </w:tc>
      </w:tr>
      <w:tr w:rsidR="007D5BEE" w:rsidRPr="005E6EAF" w14:paraId="6C31BDB6" w14:textId="77777777" w:rsidTr="007D5BEE">
        <w:trPr>
          <w:trHeight w:val="355"/>
        </w:trPr>
        <w:tc>
          <w:tcPr>
            <w:tcW w:w="923" w:type="dxa"/>
            <w:tcBorders>
              <w:top w:val="nil"/>
              <w:left w:val="nil"/>
              <w:bottom w:val="nil"/>
              <w:right w:val="nil"/>
            </w:tcBorders>
            <w:shd w:val="clear" w:color="auto" w:fill="auto"/>
          </w:tcPr>
          <w:p w14:paraId="264DAF78" w14:textId="77777777" w:rsidR="007D5BEE" w:rsidRPr="005E6EAF" w:rsidRDefault="007D5BEE" w:rsidP="007D5BEE">
            <w:pPr>
              <w:spacing w:line="360" w:lineRule="auto"/>
              <w:jc w:val="both"/>
              <w:rPr>
                <w:rFonts w:ascii="Arial" w:hAnsi="Arial"/>
                <w:b/>
                <w:bCs/>
                <w:rtl/>
              </w:rPr>
            </w:pPr>
            <w:r w:rsidRPr="005E6EAF">
              <w:rPr>
                <w:rFonts w:ascii="Arial" w:hAnsi="Arial" w:hint="cs"/>
                <w:b/>
                <w:bCs/>
                <w:rtl/>
              </w:rPr>
              <w:t>הנאשמים:</w:t>
            </w:r>
          </w:p>
        </w:tc>
        <w:tc>
          <w:tcPr>
            <w:tcW w:w="4126" w:type="dxa"/>
            <w:tcBorders>
              <w:top w:val="nil"/>
              <w:left w:val="nil"/>
              <w:bottom w:val="nil"/>
              <w:right w:val="nil"/>
            </w:tcBorders>
            <w:shd w:val="clear" w:color="auto" w:fill="auto"/>
          </w:tcPr>
          <w:p w14:paraId="0D5156AE" w14:textId="77777777" w:rsidR="007D5BEE" w:rsidRPr="005E6EAF" w:rsidRDefault="007D5BEE" w:rsidP="007D5BEE">
            <w:pPr>
              <w:spacing w:line="360" w:lineRule="auto"/>
              <w:jc w:val="both"/>
              <w:rPr>
                <w:rFonts w:ascii="Arial" w:hAnsi="Arial"/>
                <w:b/>
                <w:bCs/>
                <w:rtl/>
              </w:rPr>
            </w:pPr>
            <w:r w:rsidRPr="005E6EAF">
              <w:rPr>
                <w:rFonts w:ascii="Arial" w:hAnsi="Arial"/>
                <w:b/>
                <w:bCs/>
                <w:rtl/>
              </w:rPr>
              <w:t>1</w:t>
            </w:r>
            <w:r w:rsidRPr="005E6EAF">
              <w:rPr>
                <w:rFonts w:ascii="Arial" w:hAnsi="Arial" w:hint="cs"/>
                <w:b/>
                <w:bCs/>
                <w:rtl/>
              </w:rPr>
              <w:t>.</w:t>
            </w:r>
            <w:r w:rsidRPr="005E6EAF">
              <w:rPr>
                <w:rFonts w:ascii="Arial" w:hAnsi="Arial"/>
                <w:b/>
                <w:bCs/>
                <w:rtl/>
              </w:rPr>
              <w:t>סאמר אבו עסא</w:t>
            </w:r>
          </w:p>
          <w:p w14:paraId="0476FAA6" w14:textId="77777777" w:rsidR="007D5BEE" w:rsidRPr="005E6EAF" w:rsidRDefault="007D5BEE" w:rsidP="007D5BEE">
            <w:pPr>
              <w:spacing w:line="360" w:lineRule="auto"/>
              <w:jc w:val="both"/>
              <w:rPr>
                <w:rFonts w:ascii="Arial" w:hAnsi="Arial"/>
                <w:b/>
                <w:bCs/>
                <w:rtl/>
              </w:rPr>
            </w:pPr>
            <w:r w:rsidRPr="005E6EAF">
              <w:rPr>
                <w:rFonts w:ascii="Arial" w:hAnsi="Arial"/>
                <w:b/>
                <w:bCs/>
                <w:rtl/>
              </w:rPr>
              <w:t>2</w:t>
            </w:r>
            <w:r w:rsidRPr="005E6EAF">
              <w:rPr>
                <w:rFonts w:ascii="Arial" w:hAnsi="Arial" w:hint="cs"/>
                <w:b/>
                <w:bCs/>
                <w:rtl/>
              </w:rPr>
              <w:t>.</w:t>
            </w:r>
            <w:r w:rsidRPr="005E6EAF">
              <w:rPr>
                <w:rFonts w:ascii="Arial" w:hAnsi="Arial"/>
                <w:b/>
                <w:bCs/>
                <w:rtl/>
              </w:rPr>
              <w:t>סולטאן אבו עסא</w:t>
            </w:r>
          </w:p>
        </w:tc>
        <w:tc>
          <w:tcPr>
            <w:tcW w:w="3771" w:type="dxa"/>
            <w:tcBorders>
              <w:top w:val="nil"/>
              <w:left w:val="nil"/>
              <w:bottom w:val="nil"/>
              <w:right w:val="nil"/>
            </w:tcBorders>
            <w:shd w:val="clear" w:color="auto" w:fill="auto"/>
          </w:tcPr>
          <w:p w14:paraId="637A76F0" w14:textId="77777777" w:rsidR="007D5BEE" w:rsidRPr="005E6EAF" w:rsidRDefault="007D5BEE" w:rsidP="007D5BEE">
            <w:pPr>
              <w:spacing w:line="360" w:lineRule="auto"/>
              <w:jc w:val="both"/>
              <w:rPr>
                <w:rFonts w:ascii="Arial" w:hAnsi="Arial"/>
                <w:b/>
                <w:bCs/>
              </w:rPr>
            </w:pPr>
          </w:p>
        </w:tc>
      </w:tr>
      <w:tr w:rsidR="007D5BEE" w:rsidRPr="005E6EAF" w14:paraId="6E61BC84" w14:textId="77777777" w:rsidTr="007D5BEE">
        <w:trPr>
          <w:trHeight w:val="355"/>
        </w:trPr>
        <w:tc>
          <w:tcPr>
            <w:tcW w:w="923" w:type="dxa"/>
            <w:tcBorders>
              <w:top w:val="nil"/>
              <w:left w:val="nil"/>
              <w:bottom w:val="nil"/>
              <w:right w:val="nil"/>
            </w:tcBorders>
            <w:shd w:val="clear" w:color="auto" w:fill="auto"/>
          </w:tcPr>
          <w:p w14:paraId="4B47D7DE" w14:textId="77777777" w:rsidR="007D5BEE" w:rsidRPr="005E6EAF" w:rsidRDefault="007D5BEE" w:rsidP="007D5BEE">
            <w:pPr>
              <w:spacing w:line="360" w:lineRule="auto"/>
              <w:jc w:val="both"/>
              <w:rPr>
                <w:rFonts w:ascii="Arial" w:hAnsi="Arial"/>
                <w:b/>
                <w:bCs/>
                <w:rtl/>
              </w:rPr>
            </w:pPr>
          </w:p>
        </w:tc>
        <w:tc>
          <w:tcPr>
            <w:tcW w:w="4126" w:type="dxa"/>
            <w:tcBorders>
              <w:top w:val="nil"/>
              <w:left w:val="nil"/>
              <w:bottom w:val="nil"/>
              <w:right w:val="nil"/>
            </w:tcBorders>
            <w:shd w:val="clear" w:color="auto" w:fill="auto"/>
          </w:tcPr>
          <w:p w14:paraId="1E313718" w14:textId="77777777" w:rsidR="007D5BEE" w:rsidRPr="005E6EAF" w:rsidRDefault="007D5BEE" w:rsidP="007D5BEE">
            <w:pPr>
              <w:spacing w:line="360" w:lineRule="auto"/>
              <w:jc w:val="both"/>
              <w:rPr>
                <w:rFonts w:ascii="Arial" w:hAnsi="Arial"/>
                <w:b/>
                <w:bCs/>
                <w:rtl/>
              </w:rPr>
            </w:pPr>
          </w:p>
        </w:tc>
        <w:tc>
          <w:tcPr>
            <w:tcW w:w="3771" w:type="dxa"/>
            <w:tcBorders>
              <w:top w:val="nil"/>
              <w:left w:val="nil"/>
              <w:bottom w:val="nil"/>
              <w:right w:val="nil"/>
            </w:tcBorders>
            <w:shd w:val="clear" w:color="auto" w:fill="auto"/>
          </w:tcPr>
          <w:p w14:paraId="611B4638" w14:textId="77777777" w:rsidR="007D5BEE" w:rsidRPr="005E6EAF" w:rsidRDefault="007D5BEE" w:rsidP="007D5BEE">
            <w:pPr>
              <w:spacing w:line="360" w:lineRule="auto"/>
              <w:jc w:val="both"/>
              <w:rPr>
                <w:rFonts w:ascii="Arial" w:hAnsi="Arial"/>
                <w:b/>
                <w:bCs/>
              </w:rPr>
            </w:pPr>
          </w:p>
        </w:tc>
      </w:tr>
    </w:tbl>
    <w:p w14:paraId="3689FC8E" w14:textId="77777777" w:rsidR="007D5BEE" w:rsidRPr="005E6EAF" w:rsidRDefault="007D5BEE" w:rsidP="007D5BEE">
      <w:pPr>
        <w:spacing w:line="360" w:lineRule="auto"/>
        <w:jc w:val="both"/>
        <w:rPr>
          <w:rFonts w:ascii="Arial" w:hAnsi="Arial"/>
          <w:b/>
          <w:bCs/>
          <w:rtl/>
        </w:rPr>
      </w:pPr>
      <w:r w:rsidRPr="005E6EAF">
        <w:rPr>
          <w:rFonts w:ascii="Arial" w:hAnsi="Arial" w:hint="cs"/>
          <w:b/>
          <w:bCs/>
          <w:rtl/>
        </w:rPr>
        <w:t>נוכחים:</w:t>
      </w:r>
    </w:p>
    <w:p w14:paraId="66AA9CF0" w14:textId="77777777" w:rsidR="007D5BEE" w:rsidRPr="005E6EAF" w:rsidRDefault="007D5BEE" w:rsidP="007D5BEE">
      <w:pPr>
        <w:spacing w:line="360" w:lineRule="auto"/>
        <w:jc w:val="both"/>
        <w:rPr>
          <w:rFonts w:ascii="Arial" w:hAnsi="Arial"/>
          <w:rtl/>
        </w:rPr>
      </w:pPr>
      <w:bookmarkStart w:id="2" w:name="FirstLawyer"/>
      <w:r w:rsidRPr="005E6EAF">
        <w:rPr>
          <w:rFonts w:ascii="Arial" w:hAnsi="Arial" w:hint="cs"/>
          <w:rtl/>
        </w:rPr>
        <w:t>ב"כ</w:t>
      </w:r>
      <w:bookmarkEnd w:id="2"/>
      <w:r w:rsidRPr="005E6EAF">
        <w:rPr>
          <w:rFonts w:ascii="Arial" w:hAnsi="Arial" w:hint="cs"/>
          <w:rtl/>
        </w:rPr>
        <w:t xml:space="preserve"> המאשימה, עו"ד שרון שוורץ</w:t>
      </w:r>
    </w:p>
    <w:p w14:paraId="3A539CB9" w14:textId="77777777" w:rsidR="007D5BEE" w:rsidRPr="005E6EAF" w:rsidRDefault="007D5BEE" w:rsidP="007D5BEE">
      <w:pPr>
        <w:spacing w:line="360" w:lineRule="auto"/>
        <w:jc w:val="both"/>
        <w:rPr>
          <w:rFonts w:ascii="Arial" w:hAnsi="Arial"/>
          <w:rtl/>
        </w:rPr>
      </w:pPr>
      <w:r w:rsidRPr="005E6EAF">
        <w:rPr>
          <w:rFonts w:ascii="Arial" w:hAnsi="Arial" w:hint="cs"/>
          <w:rtl/>
        </w:rPr>
        <w:t xml:space="preserve">הנאשם 1 ובא-כוחו, עו"ד אמיר נבון </w:t>
      </w:r>
    </w:p>
    <w:p w14:paraId="34B03083" w14:textId="77777777" w:rsidR="007D5BEE" w:rsidRPr="005E6EAF" w:rsidRDefault="007D5BEE" w:rsidP="007D5BEE">
      <w:pPr>
        <w:spacing w:line="360" w:lineRule="auto"/>
        <w:jc w:val="both"/>
        <w:rPr>
          <w:rFonts w:ascii="Arial" w:hAnsi="Arial"/>
          <w:rtl/>
        </w:rPr>
      </w:pPr>
      <w:r w:rsidRPr="005E6EAF">
        <w:rPr>
          <w:rFonts w:ascii="Arial" w:hAnsi="Arial" w:hint="cs"/>
          <w:rtl/>
        </w:rPr>
        <w:t>הנאשם 2 ובא-כוחו, עו"ד עידו פורת</w:t>
      </w:r>
    </w:p>
    <w:p w14:paraId="6641DA1E" w14:textId="77777777" w:rsidR="004E1769" w:rsidRPr="004E1769" w:rsidRDefault="004E1769" w:rsidP="004E1769">
      <w:pPr>
        <w:spacing w:after="120" w:line="240" w:lineRule="exact"/>
        <w:ind w:left="283" w:hanging="283"/>
        <w:jc w:val="both"/>
        <w:rPr>
          <w:rFonts w:ascii="FrankRuehl" w:hAnsi="FrankRuehl" w:cs="FrankRuehl"/>
          <w:rtl/>
        </w:rPr>
      </w:pPr>
      <w:bookmarkStart w:id="3" w:name="LawTable"/>
      <w:bookmarkEnd w:id="3"/>
    </w:p>
    <w:p w14:paraId="0759AA83" w14:textId="77777777" w:rsidR="004E1769" w:rsidRPr="004E1769" w:rsidRDefault="004E1769" w:rsidP="004E1769">
      <w:pPr>
        <w:spacing w:after="120" w:line="240" w:lineRule="exact"/>
        <w:ind w:left="283" w:hanging="283"/>
        <w:jc w:val="both"/>
        <w:rPr>
          <w:rFonts w:ascii="FrankRuehl" w:hAnsi="FrankRuehl" w:cs="FrankRuehl"/>
          <w:rtl/>
        </w:rPr>
      </w:pPr>
      <w:r w:rsidRPr="004E1769">
        <w:rPr>
          <w:rFonts w:ascii="FrankRuehl" w:hAnsi="FrankRuehl" w:cs="FrankRuehl"/>
          <w:rtl/>
        </w:rPr>
        <w:t xml:space="preserve">חקיקה שאוזכרה: </w:t>
      </w:r>
    </w:p>
    <w:p w14:paraId="15EF0F80" w14:textId="77777777" w:rsidR="004E1769" w:rsidRPr="004E1769" w:rsidRDefault="004E1769" w:rsidP="004E1769">
      <w:pPr>
        <w:spacing w:after="120" w:line="240" w:lineRule="exact"/>
        <w:ind w:left="283" w:hanging="283"/>
        <w:jc w:val="both"/>
        <w:rPr>
          <w:rFonts w:ascii="FrankRuehl" w:hAnsi="FrankRuehl" w:cs="FrankRuehl"/>
          <w:rtl/>
        </w:rPr>
      </w:pPr>
      <w:hyperlink r:id="rId6" w:history="1">
        <w:r w:rsidRPr="004E1769">
          <w:rPr>
            <w:rFonts w:ascii="FrankRuehl" w:hAnsi="FrankRuehl" w:cs="FrankRuehl"/>
            <w:color w:val="0000FF"/>
            <w:u w:val="single"/>
            <w:rtl/>
          </w:rPr>
          <w:t>חוק העונשין, תשל"ז-1977</w:t>
        </w:r>
      </w:hyperlink>
      <w:r w:rsidRPr="004E1769">
        <w:rPr>
          <w:rFonts w:ascii="FrankRuehl" w:hAnsi="FrankRuehl" w:cs="FrankRuehl"/>
          <w:rtl/>
        </w:rPr>
        <w:t xml:space="preserve">: סע'  </w:t>
      </w:r>
      <w:hyperlink r:id="rId7" w:history="1">
        <w:r w:rsidRPr="004E1769">
          <w:rPr>
            <w:rFonts w:ascii="FrankRuehl" w:hAnsi="FrankRuehl" w:cs="FrankRuehl"/>
            <w:color w:val="0000FF"/>
            <w:u w:val="single"/>
            <w:rtl/>
          </w:rPr>
          <w:t>31</w:t>
        </w:r>
      </w:hyperlink>
      <w:r w:rsidRPr="004E1769">
        <w:rPr>
          <w:rFonts w:ascii="FrankRuehl" w:hAnsi="FrankRuehl" w:cs="FrankRuehl"/>
          <w:rtl/>
        </w:rPr>
        <w:t xml:space="preserve">, </w:t>
      </w:r>
      <w:hyperlink r:id="rId8" w:history="1">
        <w:r w:rsidRPr="004E1769">
          <w:rPr>
            <w:rFonts w:ascii="FrankRuehl" w:hAnsi="FrankRuehl" w:cs="FrankRuehl"/>
            <w:color w:val="0000FF"/>
            <w:u w:val="single"/>
            <w:rtl/>
          </w:rPr>
          <w:t>144(א)</w:t>
        </w:r>
      </w:hyperlink>
    </w:p>
    <w:p w14:paraId="0F3265EA" w14:textId="77777777" w:rsidR="004E1769" w:rsidRPr="004E1769" w:rsidRDefault="004E1769" w:rsidP="004E1769">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D5BEE" w:rsidRPr="00BD6E19" w14:paraId="1FF9024F" w14:textId="77777777" w:rsidTr="007D5BEE">
        <w:trPr>
          <w:trHeight w:val="355"/>
          <w:jc w:val="center"/>
        </w:trPr>
        <w:tc>
          <w:tcPr>
            <w:tcW w:w="8820" w:type="dxa"/>
            <w:tcBorders>
              <w:top w:val="nil"/>
              <w:left w:val="nil"/>
              <w:bottom w:val="nil"/>
              <w:right w:val="nil"/>
            </w:tcBorders>
            <w:shd w:val="clear" w:color="auto" w:fill="auto"/>
          </w:tcPr>
          <w:p w14:paraId="1B7C6F44" w14:textId="77777777" w:rsidR="005E6EAF" w:rsidRPr="005E6EAF" w:rsidRDefault="005E6EAF" w:rsidP="005E6EAF">
            <w:pPr>
              <w:spacing w:line="360" w:lineRule="auto"/>
              <w:jc w:val="center"/>
              <w:rPr>
                <w:rFonts w:ascii="Arial" w:hAnsi="Arial"/>
                <w:b/>
                <w:bCs/>
                <w:sz w:val="28"/>
                <w:szCs w:val="28"/>
                <w:u w:val="single"/>
                <w:rtl/>
              </w:rPr>
            </w:pPr>
            <w:bookmarkStart w:id="4" w:name="LawTable_End"/>
            <w:bookmarkStart w:id="5" w:name="PsakDin" w:colFirst="0" w:colLast="0"/>
            <w:bookmarkEnd w:id="4"/>
            <w:r w:rsidRPr="005E6EAF">
              <w:rPr>
                <w:rFonts w:ascii="Arial" w:hAnsi="Arial"/>
                <w:b/>
                <w:bCs/>
                <w:sz w:val="28"/>
                <w:szCs w:val="28"/>
                <w:u w:val="single"/>
                <w:rtl/>
              </w:rPr>
              <w:t>גזר דין</w:t>
            </w:r>
          </w:p>
          <w:p w14:paraId="0FC55275" w14:textId="77777777" w:rsidR="007D5BEE" w:rsidRPr="005E6EAF" w:rsidRDefault="007D5BEE" w:rsidP="005E6EAF">
            <w:pPr>
              <w:spacing w:line="360" w:lineRule="auto"/>
              <w:jc w:val="center"/>
              <w:rPr>
                <w:rFonts w:ascii="Arial" w:hAnsi="Arial"/>
                <w:b/>
                <w:bCs/>
                <w:sz w:val="28"/>
                <w:szCs w:val="28"/>
                <w:u w:val="single"/>
                <w:rtl/>
              </w:rPr>
            </w:pPr>
          </w:p>
        </w:tc>
      </w:tr>
      <w:bookmarkEnd w:id="5"/>
    </w:tbl>
    <w:p w14:paraId="2EDA6632" w14:textId="77777777" w:rsidR="007D5BEE" w:rsidRPr="00BD6E19" w:rsidRDefault="007D5BEE" w:rsidP="007D5BEE">
      <w:pPr>
        <w:spacing w:line="360" w:lineRule="auto"/>
        <w:jc w:val="both"/>
        <w:rPr>
          <w:rFonts w:ascii="Arial" w:hAnsi="Arial"/>
          <w:rtl/>
        </w:rPr>
      </w:pPr>
    </w:p>
    <w:p w14:paraId="0B8F494F" w14:textId="77777777" w:rsidR="007D5BEE" w:rsidRPr="00BD6E19" w:rsidRDefault="007D5BEE" w:rsidP="007D5BEE">
      <w:pPr>
        <w:spacing w:line="360" w:lineRule="auto"/>
        <w:jc w:val="both"/>
        <w:rPr>
          <w:rFonts w:ascii="Arial" w:hAnsi="Arial"/>
          <w:rtl/>
        </w:rPr>
      </w:pPr>
    </w:p>
    <w:p w14:paraId="12FC1792" w14:textId="77777777" w:rsidR="007D5BEE" w:rsidRPr="00BD6E19" w:rsidRDefault="007D5BEE" w:rsidP="007D5BEE">
      <w:pPr>
        <w:spacing w:line="360" w:lineRule="auto"/>
        <w:ind w:left="720" w:hanging="720"/>
        <w:jc w:val="both"/>
        <w:rPr>
          <w:rtl/>
        </w:rPr>
      </w:pPr>
      <w:r w:rsidRPr="00BD6E19">
        <w:rPr>
          <w:rtl/>
        </w:rPr>
        <w:t>1.</w:t>
      </w:r>
      <w:r w:rsidRPr="00BD6E19">
        <w:rPr>
          <w:rtl/>
        </w:rPr>
        <w:tab/>
        <w:t>בטרם שמיעת הראיות בתיק, הגיעו הצדדים להסדר, במסגרתו, כתב האישום שהוגש נגד הנאשמים תוקן והנאשמים הודו בעובדות כתב האישום המתוקן, שאלה עיקריהן:</w:t>
      </w:r>
    </w:p>
    <w:p w14:paraId="6C20F488" w14:textId="77777777" w:rsidR="007D5BEE" w:rsidRPr="00BD6E19" w:rsidRDefault="007D5BEE" w:rsidP="007D5BEE">
      <w:pPr>
        <w:spacing w:line="360" w:lineRule="auto"/>
        <w:ind w:left="720"/>
        <w:jc w:val="both"/>
        <w:rPr>
          <w:rtl/>
        </w:rPr>
      </w:pPr>
    </w:p>
    <w:p w14:paraId="475203F6" w14:textId="77777777" w:rsidR="007D5BEE" w:rsidRPr="00BD6E19" w:rsidRDefault="007D5BEE" w:rsidP="007D5BEE">
      <w:pPr>
        <w:spacing w:line="360" w:lineRule="auto"/>
        <w:ind w:left="720"/>
        <w:jc w:val="both"/>
        <w:rPr>
          <w:rtl/>
        </w:rPr>
      </w:pPr>
      <w:r w:rsidRPr="00BD6E19">
        <w:rPr>
          <w:rtl/>
        </w:rPr>
        <w:t xml:space="preserve">הנאשמים מתגוררים בפזורת אום בטין במתחמים סמוכים. הנאשם 2 ושני אחיו, באסם ואברהים, מתגוררים במתחם אחד בבתים נפרדים. בשטח המתחם נמצא שיג המשמש את המתגוררים במתחם (להלן: "השיג") . בין הנאשם 1 לבאסם ואברהים קיימת היכרות קרובה. עובר ליום 13.03.18 הנאשם 1 החזיק בנשק מאולתר אוטומטי (להלן: "הנשק"). בתאריך 13.03.18 הנאשם 1 פנה אל אברהים ואמר לו כי יעביר אליו את הנשק על מנת שיחזיק בו באופן זמני, ואברהים השיב לו כי הוא אינו בבית והפנה אותו לבאסם. הנאשם 1 שוחח עם באסם והודיע לו כי יעביר אליו דבר מה עבור אברהים ובהמשך, באותו היום בשעת צהריים, הנאשם 1 הגיע לשיג, השאיר בו את הנשק ועזב את המקום. </w:t>
      </w:r>
    </w:p>
    <w:p w14:paraId="306EC644" w14:textId="77777777" w:rsidR="007D5BEE" w:rsidRPr="00BD6E19" w:rsidRDefault="007D5BEE" w:rsidP="007D5BEE">
      <w:pPr>
        <w:spacing w:line="360" w:lineRule="auto"/>
        <w:ind w:left="720"/>
        <w:jc w:val="both"/>
      </w:pPr>
      <w:r w:rsidRPr="00BD6E19">
        <w:rPr>
          <w:rtl/>
        </w:rPr>
        <w:lastRenderedPageBreak/>
        <w:t xml:space="preserve">אשתו של באסם, שראתה את מעשה הנאשם 1, נכנסה לשיג ומצאה בו את הנשק, ובאותה העת הגיע למקום הנאשם 2. אשתו של באסם הכניסה את הנשק לתוך תיק, מסרה אותו לנאשם 2 וביקשה ממנו להוציאו מהשיג ולהרחיקו מהמתחם. הנאשם 2 לקח את התיק ובו הנשק והחל להתרחק ממתחם המגורים ותוך כדי כך הוא נעצר על ידי שוטרים שהיו באזור. </w:t>
      </w:r>
    </w:p>
    <w:p w14:paraId="24B8E6A3" w14:textId="77777777" w:rsidR="007D5BEE" w:rsidRPr="00BD6E19" w:rsidRDefault="007D5BEE" w:rsidP="007D5BEE">
      <w:pPr>
        <w:spacing w:line="360" w:lineRule="auto"/>
        <w:ind w:left="720"/>
        <w:jc w:val="both"/>
      </w:pPr>
    </w:p>
    <w:p w14:paraId="6474BD13" w14:textId="77777777" w:rsidR="007D5BEE" w:rsidRPr="00BD6E19" w:rsidRDefault="007D5BEE" w:rsidP="007D5BEE">
      <w:pPr>
        <w:spacing w:line="360" w:lineRule="auto"/>
        <w:ind w:left="720" w:hanging="720"/>
        <w:jc w:val="both"/>
        <w:rPr>
          <w:rtl/>
        </w:rPr>
      </w:pPr>
      <w:r w:rsidRPr="00BD6E19">
        <w:rPr>
          <w:rtl/>
        </w:rPr>
        <w:t>2.</w:t>
      </w:r>
      <w:r w:rsidRPr="00BD6E19">
        <w:rPr>
          <w:rtl/>
        </w:rPr>
        <w:tab/>
      </w:r>
      <w:bookmarkStart w:id="6" w:name="ABSTRACT_START"/>
      <w:bookmarkEnd w:id="6"/>
      <w:r w:rsidRPr="00BD6E19">
        <w:rPr>
          <w:rtl/>
        </w:rPr>
        <w:t xml:space="preserve">על יסוד הודאת הנאשמים בעובדות כתב האישום המתוקן, כאמור, הנאשם 1 הורשע בעבירה של החזקת נשק, לפי </w:t>
      </w:r>
      <w:hyperlink r:id="rId9" w:history="1">
        <w:r w:rsidR="004E1769" w:rsidRPr="004E1769">
          <w:rPr>
            <w:color w:val="0000FF"/>
            <w:u w:val="single"/>
            <w:rtl/>
          </w:rPr>
          <w:t>סעיף 144(א)</w:t>
        </w:r>
      </w:hyperlink>
      <w:r w:rsidRPr="00BD6E19">
        <w:rPr>
          <w:rtl/>
        </w:rPr>
        <w:t xml:space="preserve"> רישא ל</w:t>
      </w:r>
      <w:hyperlink r:id="rId10" w:history="1">
        <w:r w:rsidR="005E6EAF" w:rsidRPr="005E6EAF">
          <w:rPr>
            <w:color w:val="0000FF"/>
            <w:u w:val="single"/>
            <w:rtl/>
          </w:rPr>
          <w:t>חוק העונשין</w:t>
        </w:r>
      </w:hyperlink>
      <w:r w:rsidRPr="00BD6E19">
        <w:rPr>
          <w:rtl/>
        </w:rPr>
        <w:t xml:space="preserve"> תשל"ז-1977, והנאשם 2 הורשע בעבירה של סיוע להחזקת נשק, לפי </w:t>
      </w:r>
      <w:hyperlink r:id="rId11" w:history="1">
        <w:r w:rsidR="004E1769" w:rsidRPr="004E1769">
          <w:rPr>
            <w:color w:val="0000FF"/>
            <w:u w:val="single"/>
            <w:rtl/>
          </w:rPr>
          <w:t>סעיפים 144(א)</w:t>
        </w:r>
      </w:hyperlink>
      <w:r w:rsidRPr="00BD6E19">
        <w:rPr>
          <w:rtl/>
        </w:rPr>
        <w:t xml:space="preserve"> רישא ו-</w:t>
      </w:r>
      <w:hyperlink r:id="rId12" w:history="1">
        <w:r w:rsidR="004E1769" w:rsidRPr="004E1769">
          <w:rPr>
            <w:color w:val="0000FF"/>
            <w:u w:val="single"/>
            <w:rtl/>
          </w:rPr>
          <w:t>31</w:t>
        </w:r>
      </w:hyperlink>
      <w:r w:rsidRPr="00BD6E19">
        <w:rPr>
          <w:rtl/>
        </w:rPr>
        <w:t xml:space="preserve"> לחוק העונשין תשל"ז-1977.</w:t>
      </w:r>
    </w:p>
    <w:p w14:paraId="6D867524" w14:textId="77777777" w:rsidR="007D5BEE" w:rsidRPr="00BD6E19" w:rsidRDefault="007D5BEE" w:rsidP="007D5BEE">
      <w:pPr>
        <w:spacing w:line="360" w:lineRule="auto"/>
        <w:jc w:val="both"/>
        <w:rPr>
          <w:rtl/>
        </w:rPr>
      </w:pPr>
      <w:bookmarkStart w:id="7" w:name="ABSTRACT_END"/>
      <w:bookmarkEnd w:id="7"/>
    </w:p>
    <w:p w14:paraId="5A48CDDA" w14:textId="77777777" w:rsidR="007D5BEE" w:rsidRPr="00BD6E19" w:rsidRDefault="007D5BEE" w:rsidP="007D5BEE">
      <w:pPr>
        <w:spacing w:line="360" w:lineRule="auto"/>
        <w:ind w:left="720" w:hanging="720"/>
        <w:jc w:val="both"/>
        <w:rPr>
          <w:rtl/>
        </w:rPr>
      </w:pPr>
      <w:r w:rsidRPr="00BD6E19">
        <w:rPr>
          <w:rtl/>
        </w:rPr>
        <w:t>3.</w:t>
      </w:r>
      <w:r w:rsidRPr="00BD6E19">
        <w:rPr>
          <w:rtl/>
        </w:rPr>
        <w:tab/>
        <w:t xml:space="preserve">ההסדר הנוגע לנאשם 1 לא כלל הסכמה לעניין העונש, למעט ההסכמה לקבל עליו תסקיר של שירות המבחן. אשר לנאשם 2, הצדדים הסכימו להמליץ לבית המשפט להטיל עליו שישה חודשי מאסר בפועל, אשר בכפוף להמלצת הממונה על עבודות השירות ניתן לשאתם בעבודות שירות. </w:t>
      </w:r>
    </w:p>
    <w:p w14:paraId="360E1410" w14:textId="77777777" w:rsidR="007D5BEE" w:rsidRPr="00BD6E19" w:rsidRDefault="007D5BEE" w:rsidP="007D5BEE">
      <w:pPr>
        <w:spacing w:line="360" w:lineRule="auto"/>
        <w:ind w:left="720" w:hanging="720"/>
        <w:jc w:val="both"/>
        <w:rPr>
          <w:rtl/>
        </w:rPr>
      </w:pPr>
    </w:p>
    <w:p w14:paraId="55248AEB" w14:textId="77777777" w:rsidR="007D5BEE" w:rsidRPr="00BD6E19" w:rsidRDefault="007D5BEE" w:rsidP="007D5BEE">
      <w:pPr>
        <w:spacing w:line="360" w:lineRule="auto"/>
        <w:ind w:left="720" w:hanging="720"/>
        <w:jc w:val="both"/>
        <w:rPr>
          <w:b/>
          <w:bCs/>
          <w:u w:val="single"/>
          <w:rtl/>
        </w:rPr>
      </w:pPr>
      <w:r w:rsidRPr="00BD6E19">
        <w:rPr>
          <w:b/>
          <w:bCs/>
          <w:u w:val="single"/>
          <w:rtl/>
        </w:rPr>
        <w:t>הנאשם 2</w:t>
      </w:r>
    </w:p>
    <w:p w14:paraId="75F242CB" w14:textId="77777777" w:rsidR="007D5BEE" w:rsidRPr="00BD6E19" w:rsidRDefault="007D5BEE" w:rsidP="007D5BEE">
      <w:pPr>
        <w:spacing w:line="360" w:lineRule="auto"/>
        <w:ind w:left="720" w:hanging="720"/>
        <w:jc w:val="both"/>
        <w:rPr>
          <w:rtl/>
        </w:rPr>
      </w:pPr>
      <w:r w:rsidRPr="00BD6E19">
        <w:rPr>
          <w:rtl/>
        </w:rPr>
        <w:t>1.</w:t>
      </w:r>
      <w:r w:rsidRPr="00BD6E19">
        <w:rPr>
          <w:rtl/>
        </w:rPr>
        <w:tab/>
        <w:t>ב"כ המאשימה עתרה לקבל את הסדר הטיעון ולהטיל עליו שישה חודשי מאסר בפועל שהוא יוכל לשאת בעבודת שירות.  ציינה, כי הסדר הטיעון מתחשב בחלקו המינורי של הנאשם בביצוע העבירה, בעובדה כי הוא נעדר עבר פלילי ובחיסכון בזמן השיפוט.</w:t>
      </w:r>
    </w:p>
    <w:p w14:paraId="69F95563" w14:textId="77777777" w:rsidR="007D5BEE" w:rsidRPr="00BD6E19" w:rsidRDefault="007D5BEE" w:rsidP="007D5BEE">
      <w:pPr>
        <w:spacing w:line="360" w:lineRule="auto"/>
        <w:ind w:left="720" w:hanging="720"/>
        <w:jc w:val="both"/>
        <w:rPr>
          <w:rtl/>
        </w:rPr>
      </w:pPr>
    </w:p>
    <w:p w14:paraId="1D4DA9AF" w14:textId="77777777" w:rsidR="007D5BEE" w:rsidRPr="00BD6E19" w:rsidRDefault="007D5BEE" w:rsidP="007D5BEE">
      <w:pPr>
        <w:spacing w:line="360" w:lineRule="auto"/>
        <w:ind w:left="720" w:hanging="720"/>
        <w:jc w:val="both"/>
        <w:rPr>
          <w:rtl/>
        </w:rPr>
      </w:pPr>
      <w:r w:rsidRPr="00BD6E19">
        <w:rPr>
          <w:rtl/>
        </w:rPr>
        <w:t>2.</w:t>
      </w:r>
      <w:r w:rsidRPr="00BD6E19">
        <w:rPr>
          <w:rtl/>
        </w:rPr>
        <w:tab/>
        <w:t xml:space="preserve">ב"כ הנאשם 2 הצטרף לדברי ב"כ התביעה וביקש לאמץ את הסדר הטיעון. הפנה לתיקון כתב האישום ולעובדה שהנאשם החזיק בנשק לכל היותר דקה או שתיים, וטען כי העונש המוצע ראוי. הוסיף, כי הנאשם רווק, עובד באופן סדיר, ונקלע למקום במקרה תוך כדי שבא לבקר את משפחתו. </w:t>
      </w:r>
    </w:p>
    <w:p w14:paraId="47735592" w14:textId="77777777" w:rsidR="007D5BEE" w:rsidRPr="00BD6E19" w:rsidRDefault="007D5BEE" w:rsidP="007D5BEE">
      <w:pPr>
        <w:spacing w:line="360" w:lineRule="auto"/>
        <w:ind w:left="720" w:hanging="720"/>
        <w:jc w:val="both"/>
        <w:rPr>
          <w:rtl/>
        </w:rPr>
      </w:pPr>
    </w:p>
    <w:p w14:paraId="2EA6A851" w14:textId="77777777" w:rsidR="007D5BEE" w:rsidRPr="00BD6E19" w:rsidRDefault="007D5BEE" w:rsidP="007D5BEE">
      <w:pPr>
        <w:spacing w:line="360" w:lineRule="auto"/>
        <w:ind w:left="720" w:hanging="720"/>
        <w:jc w:val="both"/>
        <w:rPr>
          <w:rtl/>
        </w:rPr>
      </w:pPr>
      <w:r w:rsidRPr="00BD6E19">
        <w:rPr>
          <w:rtl/>
        </w:rPr>
        <w:t>3.</w:t>
      </w:r>
      <w:r w:rsidRPr="00BD6E19">
        <w:rPr>
          <w:rtl/>
        </w:rPr>
        <w:tab/>
        <w:t xml:space="preserve">הממונה על עבודות השירות חיווה דעתו כי הנאשם כשיר לבצע עבודות שירות ואף מצא לו כזו, ואולם המועד שהומלץ לתחילת ביצוע עבודת השירות, חלף. </w:t>
      </w:r>
    </w:p>
    <w:p w14:paraId="4A9402F1" w14:textId="77777777" w:rsidR="007D5BEE" w:rsidRPr="00BD6E19" w:rsidRDefault="007D5BEE" w:rsidP="007D5BEE">
      <w:pPr>
        <w:spacing w:line="360" w:lineRule="auto"/>
        <w:ind w:left="720" w:hanging="720"/>
        <w:jc w:val="both"/>
        <w:rPr>
          <w:rtl/>
        </w:rPr>
      </w:pPr>
    </w:p>
    <w:p w14:paraId="2B41B763" w14:textId="77777777" w:rsidR="007D5BEE" w:rsidRPr="00BD6E19" w:rsidRDefault="007D5BEE" w:rsidP="007D5BEE">
      <w:pPr>
        <w:spacing w:line="360" w:lineRule="auto"/>
        <w:ind w:left="720" w:hanging="720"/>
        <w:jc w:val="both"/>
        <w:rPr>
          <w:sz w:val="28"/>
          <w:rtl/>
          <w:lang w:eastAsia="he-IL"/>
        </w:rPr>
      </w:pPr>
      <w:r w:rsidRPr="00BD6E19">
        <w:rPr>
          <w:rtl/>
        </w:rPr>
        <w:t>4.</w:t>
      </w:r>
      <w:r w:rsidRPr="00BD6E19">
        <w:rPr>
          <w:rtl/>
        </w:rPr>
        <w:tab/>
      </w:r>
      <w:r w:rsidRPr="00BD6E19">
        <w:rPr>
          <w:sz w:val="28"/>
          <w:rtl/>
          <w:lang w:eastAsia="he-IL"/>
        </w:rPr>
        <w:t xml:space="preserve">כתב האישום איננו מייחס לנאשם מעורבות במהלך שקדם להבאת הנשק על ידי הנאשם 1 אל המתחם בו הנאשם מתגורר; ניתן להבין ממנו כי הנשק לא יועד להגיע אל הנאשם; המתואר בו איננו סותר את טענת הנאשם כי הוא נקלע למקום באקראי ונענה לבקשת גיסתו להרחיק את הנשק ממתחם המגורים; ואין חולק כי בפועל, הנאשם החזיק בנשק זמן קצר הנמדד בדקות. </w:t>
      </w:r>
    </w:p>
    <w:p w14:paraId="132510A8" w14:textId="77777777" w:rsidR="007D5BEE" w:rsidRPr="00BD6E19" w:rsidRDefault="007D5BEE" w:rsidP="007D5BEE">
      <w:pPr>
        <w:spacing w:line="360" w:lineRule="auto"/>
        <w:ind w:left="720" w:hanging="720"/>
        <w:jc w:val="both"/>
        <w:rPr>
          <w:sz w:val="28"/>
          <w:rtl/>
          <w:lang w:eastAsia="he-IL"/>
        </w:rPr>
      </w:pPr>
      <w:r w:rsidRPr="00BD6E19">
        <w:rPr>
          <w:sz w:val="28"/>
          <w:rtl/>
          <w:lang w:eastAsia="he-IL"/>
        </w:rPr>
        <w:tab/>
      </w:r>
    </w:p>
    <w:p w14:paraId="0FFCBFA5" w14:textId="77777777" w:rsidR="007D5BEE" w:rsidRDefault="007D5BEE" w:rsidP="007D5BEE">
      <w:pPr>
        <w:spacing w:line="360" w:lineRule="auto"/>
        <w:ind w:left="720" w:hanging="720"/>
        <w:jc w:val="both"/>
        <w:rPr>
          <w:sz w:val="28"/>
          <w:rtl/>
          <w:lang w:eastAsia="he-IL"/>
        </w:rPr>
      </w:pPr>
      <w:r w:rsidRPr="00BD6E19">
        <w:rPr>
          <w:sz w:val="28"/>
          <w:rtl/>
          <w:lang w:eastAsia="he-IL"/>
        </w:rPr>
        <w:lastRenderedPageBreak/>
        <w:t>5.</w:t>
      </w:r>
      <w:r w:rsidRPr="00BD6E19">
        <w:rPr>
          <w:sz w:val="28"/>
          <w:rtl/>
          <w:lang w:eastAsia="he-IL"/>
        </w:rPr>
        <w:tab/>
        <w:t xml:space="preserve">העונש המוצע בהסדר הולם את חומרת מעשה הנאשם בנסיבותיו ואת מידת אשמו. לכך יש להוסיף את גילו הצעיר של הנאשם, את העובדה שאין לו הרשעות קודמות, ואת הודאת הנאשם על משמעויותיה. </w:t>
      </w:r>
    </w:p>
    <w:p w14:paraId="6E50E2C6" w14:textId="77777777" w:rsidR="007D5BEE" w:rsidRPr="00BD6E19" w:rsidRDefault="007D5BEE" w:rsidP="007D5BEE">
      <w:pPr>
        <w:spacing w:line="360" w:lineRule="auto"/>
        <w:ind w:left="720" w:hanging="720"/>
        <w:jc w:val="both"/>
        <w:rPr>
          <w:sz w:val="28"/>
          <w:rtl/>
          <w:lang w:eastAsia="he-IL"/>
        </w:rPr>
      </w:pPr>
    </w:p>
    <w:p w14:paraId="3018AADC" w14:textId="77777777" w:rsidR="007D5BEE" w:rsidRPr="00BD6E19" w:rsidRDefault="007D5BEE" w:rsidP="007D5BEE">
      <w:pPr>
        <w:spacing w:line="360" w:lineRule="auto"/>
        <w:ind w:left="720" w:hanging="720"/>
        <w:jc w:val="both"/>
        <w:rPr>
          <w:rFonts w:ascii="FrankRuehl" w:hAnsi="FrankRuehl"/>
          <w:rtl/>
          <w:lang w:eastAsia="he-IL"/>
        </w:rPr>
      </w:pPr>
    </w:p>
    <w:p w14:paraId="3D5F872C" w14:textId="77777777" w:rsidR="007D5BEE" w:rsidRPr="00BD6E19" w:rsidRDefault="007D5BEE" w:rsidP="007D5BEE">
      <w:pPr>
        <w:spacing w:line="360" w:lineRule="auto"/>
        <w:jc w:val="both"/>
        <w:rPr>
          <w:rFonts w:ascii="FrankRuehl" w:hAnsi="FrankRuehl"/>
          <w:rtl/>
          <w:lang w:eastAsia="he-IL"/>
        </w:rPr>
      </w:pPr>
      <w:r w:rsidRPr="00BD6E19">
        <w:rPr>
          <w:rFonts w:ascii="FrankRuehl" w:hAnsi="FrankRuehl"/>
          <w:rtl/>
          <w:lang w:eastAsia="he-IL"/>
        </w:rPr>
        <w:t>6.</w:t>
      </w:r>
      <w:r w:rsidRPr="00BD6E19">
        <w:rPr>
          <w:rFonts w:ascii="FrankRuehl" w:hAnsi="FrankRuehl"/>
          <w:rtl/>
          <w:lang w:eastAsia="he-IL"/>
        </w:rPr>
        <w:tab/>
      </w:r>
      <w:r w:rsidRPr="00BD6E19">
        <w:rPr>
          <w:rFonts w:ascii="FrankRuehl" w:hAnsi="FrankRuehl" w:hint="eastAsia"/>
          <w:rtl/>
          <w:lang w:eastAsia="he-IL"/>
        </w:rPr>
        <w:t>נוכח</w:t>
      </w:r>
      <w:r w:rsidRPr="00BD6E19">
        <w:rPr>
          <w:rFonts w:ascii="FrankRuehl" w:hAnsi="FrankRuehl"/>
          <w:rtl/>
          <w:lang w:eastAsia="he-IL"/>
        </w:rPr>
        <w:t xml:space="preserve"> </w:t>
      </w:r>
      <w:r w:rsidRPr="00BD6E19">
        <w:rPr>
          <w:rFonts w:ascii="FrankRuehl" w:hAnsi="FrankRuehl" w:hint="eastAsia"/>
          <w:rtl/>
          <w:lang w:eastAsia="he-IL"/>
        </w:rPr>
        <w:t>האמור</w:t>
      </w:r>
      <w:r w:rsidRPr="00BD6E19">
        <w:rPr>
          <w:rFonts w:ascii="FrankRuehl" w:hAnsi="FrankRuehl"/>
          <w:rtl/>
          <w:lang w:eastAsia="he-IL"/>
        </w:rPr>
        <w:t xml:space="preserve">, </w:t>
      </w:r>
      <w:r w:rsidRPr="00BD6E19">
        <w:rPr>
          <w:rFonts w:ascii="FrankRuehl" w:hAnsi="FrankRuehl" w:hint="eastAsia"/>
          <w:rtl/>
          <w:lang w:eastAsia="he-IL"/>
        </w:rPr>
        <w:t>אני</w:t>
      </w:r>
      <w:r w:rsidRPr="00BD6E19">
        <w:rPr>
          <w:rFonts w:ascii="FrankRuehl" w:hAnsi="FrankRuehl"/>
          <w:rtl/>
          <w:lang w:eastAsia="he-IL"/>
        </w:rPr>
        <w:t xml:space="preserve"> </w:t>
      </w:r>
      <w:r w:rsidRPr="00BD6E19">
        <w:rPr>
          <w:rFonts w:ascii="FrankRuehl" w:hAnsi="FrankRuehl" w:hint="eastAsia"/>
          <w:rtl/>
          <w:lang w:eastAsia="he-IL"/>
        </w:rPr>
        <w:t>מקבל</w:t>
      </w:r>
      <w:r w:rsidRPr="00BD6E19">
        <w:rPr>
          <w:rFonts w:ascii="FrankRuehl" w:hAnsi="FrankRuehl"/>
          <w:rtl/>
          <w:lang w:eastAsia="he-IL"/>
        </w:rPr>
        <w:t xml:space="preserve"> </w:t>
      </w:r>
      <w:r w:rsidRPr="00BD6E19">
        <w:rPr>
          <w:rFonts w:ascii="FrankRuehl" w:hAnsi="FrankRuehl" w:hint="eastAsia"/>
          <w:rtl/>
          <w:lang w:eastAsia="he-IL"/>
        </w:rPr>
        <w:t>את</w:t>
      </w:r>
      <w:r w:rsidRPr="00BD6E19">
        <w:rPr>
          <w:rFonts w:ascii="FrankRuehl" w:hAnsi="FrankRuehl"/>
          <w:rtl/>
          <w:lang w:eastAsia="he-IL"/>
        </w:rPr>
        <w:t xml:space="preserve"> </w:t>
      </w:r>
      <w:r w:rsidRPr="00BD6E19">
        <w:rPr>
          <w:rFonts w:ascii="FrankRuehl" w:hAnsi="FrankRuehl" w:hint="eastAsia"/>
          <w:rtl/>
          <w:lang w:eastAsia="he-IL"/>
        </w:rPr>
        <w:t>הסדר</w:t>
      </w:r>
      <w:r w:rsidRPr="00BD6E19">
        <w:rPr>
          <w:rFonts w:ascii="FrankRuehl" w:hAnsi="FrankRuehl"/>
          <w:rtl/>
          <w:lang w:eastAsia="he-IL"/>
        </w:rPr>
        <w:t xml:space="preserve"> </w:t>
      </w:r>
      <w:r w:rsidRPr="00BD6E19">
        <w:rPr>
          <w:rFonts w:ascii="FrankRuehl" w:hAnsi="FrankRuehl" w:hint="eastAsia"/>
          <w:rtl/>
          <w:lang w:eastAsia="he-IL"/>
        </w:rPr>
        <w:t>הטיעון</w:t>
      </w:r>
      <w:r w:rsidRPr="00BD6E19">
        <w:rPr>
          <w:rFonts w:ascii="FrankRuehl" w:hAnsi="FrankRuehl"/>
          <w:rtl/>
          <w:lang w:eastAsia="he-IL"/>
        </w:rPr>
        <w:t xml:space="preserve"> </w:t>
      </w:r>
      <w:r w:rsidRPr="00BD6E19">
        <w:rPr>
          <w:rFonts w:ascii="FrankRuehl" w:hAnsi="FrankRuehl" w:hint="eastAsia"/>
          <w:rtl/>
          <w:lang w:eastAsia="he-IL"/>
        </w:rPr>
        <w:t>ומטיל</w:t>
      </w:r>
      <w:r w:rsidRPr="00BD6E19">
        <w:rPr>
          <w:rFonts w:ascii="FrankRuehl" w:hAnsi="FrankRuehl"/>
          <w:rtl/>
          <w:lang w:eastAsia="he-IL"/>
        </w:rPr>
        <w:t xml:space="preserve"> </w:t>
      </w:r>
      <w:r w:rsidRPr="00BD6E19">
        <w:rPr>
          <w:rFonts w:ascii="FrankRuehl" w:hAnsi="FrankRuehl" w:hint="eastAsia"/>
          <w:rtl/>
          <w:lang w:eastAsia="he-IL"/>
        </w:rPr>
        <w:t>על</w:t>
      </w:r>
      <w:r w:rsidRPr="00BD6E19">
        <w:rPr>
          <w:rFonts w:ascii="FrankRuehl" w:hAnsi="FrankRuehl"/>
          <w:rtl/>
          <w:lang w:eastAsia="he-IL"/>
        </w:rPr>
        <w:t xml:space="preserve"> </w:t>
      </w:r>
      <w:r w:rsidRPr="00BD6E19">
        <w:rPr>
          <w:rFonts w:ascii="FrankRuehl" w:hAnsi="FrankRuehl" w:hint="eastAsia"/>
          <w:rtl/>
          <w:lang w:eastAsia="he-IL"/>
        </w:rPr>
        <w:t>הנאשם</w:t>
      </w:r>
      <w:r w:rsidRPr="00BD6E19">
        <w:rPr>
          <w:rFonts w:ascii="FrankRuehl" w:hAnsi="FrankRuehl"/>
          <w:rtl/>
          <w:lang w:eastAsia="he-IL"/>
        </w:rPr>
        <w:t xml:space="preserve"> 2 </w:t>
      </w:r>
      <w:r w:rsidRPr="00BD6E19">
        <w:rPr>
          <w:rFonts w:ascii="FrankRuehl" w:hAnsi="FrankRuehl" w:hint="eastAsia"/>
          <w:rtl/>
          <w:lang w:eastAsia="he-IL"/>
        </w:rPr>
        <w:t>את</w:t>
      </w:r>
      <w:r w:rsidRPr="00BD6E19">
        <w:rPr>
          <w:rFonts w:ascii="FrankRuehl" w:hAnsi="FrankRuehl"/>
          <w:rtl/>
          <w:lang w:eastAsia="he-IL"/>
        </w:rPr>
        <w:t xml:space="preserve"> </w:t>
      </w:r>
      <w:r w:rsidRPr="00BD6E19">
        <w:rPr>
          <w:rFonts w:ascii="FrankRuehl" w:hAnsi="FrankRuehl" w:hint="eastAsia"/>
          <w:rtl/>
          <w:lang w:eastAsia="he-IL"/>
        </w:rPr>
        <w:t>העונשים</w:t>
      </w:r>
      <w:r w:rsidRPr="00BD6E19">
        <w:rPr>
          <w:rFonts w:ascii="FrankRuehl" w:hAnsi="FrankRuehl"/>
          <w:rtl/>
          <w:lang w:eastAsia="he-IL"/>
        </w:rPr>
        <w:t xml:space="preserve"> </w:t>
      </w:r>
      <w:r w:rsidRPr="00BD6E19">
        <w:rPr>
          <w:rFonts w:ascii="FrankRuehl" w:hAnsi="FrankRuehl" w:hint="eastAsia"/>
          <w:rtl/>
          <w:lang w:eastAsia="he-IL"/>
        </w:rPr>
        <w:t>הבאים</w:t>
      </w:r>
      <w:r w:rsidRPr="00BD6E19">
        <w:rPr>
          <w:rFonts w:ascii="FrankRuehl" w:hAnsi="FrankRuehl"/>
          <w:rtl/>
          <w:lang w:eastAsia="he-IL"/>
        </w:rPr>
        <w:t xml:space="preserve">- </w:t>
      </w:r>
    </w:p>
    <w:p w14:paraId="14D1873E" w14:textId="77777777" w:rsidR="007D5BEE" w:rsidRPr="00BD6E19" w:rsidRDefault="007D5BEE" w:rsidP="007D5BEE">
      <w:pPr>
        <w:spacing w:line="360" w:lineRule="auto"/>
        <w:jc w:val="both"/>
        <w:rPr>
          <w:rFonts w:ascii="FrankRuehl" w:hAnsi="FrankRuehl"/>
          <w:rtl/>
          <w:lang w:eastAsia="he-IL"/>
        </w:rPr>
      </w:pPr>
      <w:r w:rsidRPr="00BD6E19">
        <w:rPr>
          <w:rFonts w:ascii="FrankRuehl" w:hAnsi="FrankRuehl"/>
          <w:rtl/>
          <w:lang w:eastAsia="he-IL"/>
        </w:rPr>
        <w:tab/>
      </w:r>
    </w:p>
    <w:p w14:paraId="453E0A59" w14:textId="77777777" w:rsidR="007D5BEE" w:rsidRPr="00BD6E19" w:rsidRDefault="007D5BEE" w:rsidP="007D5BEE">
      <w:pPr>
        <w:spacing w:line="360" w:lineRule="auto"/>
        <w:ind w:left="720" w:hanging="720"/>
        <w:jc w:val="both"/>
      </w:pPr>
      <w:r w:rsidRPr="00BD6E19">
        <w:rPr>
          <w:rFonts w:ascii="FrankRuehl" w:hAnsi="FrankRuehl" w:hint="eastAsia"/>
          <w:rtl/>
          <w:lang w:eastAsia="he-IL"/>
        </w:rPr>
        <w:t>א</w:t>
      </w:r>
      <w:r w:rsidRPr="00BD6E19">
        <w:rPr>
          <w:rFonts w:ascii="FrankRuehl" w:hAnsi="FrankRuehl"/>
          <w:rtl/>
          <w:lang w:eastAsia="he-IL"/>
        </w:rPr>
        <w:t>.</w:t>
      </w:r>
      <w:r w:rsidRPr="00BD6E19">
        <w:rPr>
          <w:rFonts w:ascii="FrankRuehl" w:hAnsi="FrankRuehl"/>
          <w:rtl/>
          <w:lang w:eastAsia="he-IL"/>
        </w:rPr>
        <w:tab/>
        <w:t xml:space="preserve">6 </w:t>
      </w:r>
      <w:r w:rsidRPr="00BD6E19">
        <w:rPr>
          <w:rFonts w:ascii="FrankRuehl" w:hAnsi="FrankRuehl" w:hint="eastAsia"/>
          <w:rtl/>
          <w:lang w:eastAsia="he-IL"/>
        </w:rPr>
        <w:t>חודשי</w:t>
      </w:r>
      <w:r w:rsidRPr="00BD6E19">
        <w:rPr>
          <w:rFonts w:ascii="FrankRuehl" w:hAnsi="FrankRuehl"/>
          <w:rtl/>
          <w:lang w:eastAsia="he-IL"/>
        </w:rPr>
        <w:t xml:space="preserve"> </w:t>
      </w:r>
      <w:r w:rsidRPr="00BD6E19">
        <w:rPr>
          <w:rFonts w:ascii="FrankRuehl" w:hAnsi="FrankRuehl" w:hint="eastAsia"/>
          <w:rtl/>
          <w:lang w:eastAsia="he-IL"/>
        </w:rPr>
        <w:t>מאסר</w:t>
      </w:r>
      <w:r w:rsidRPr="00BD6E19">
        <w:rPr>
          <w:rFonts w:ascii="FrankRuehl" w:hAnsi="FrankRuehl"/>
          <w:rtl/>
          <w:lang w:eastAsia="he-IL"/>
        </w:rPr>
        <w:t xml:space="preserve"> </w:t>
      </w:r>
      <w:r w:rsidRPr="00BD6E19">
        <w:rPr>
          <w:rFonts w:ascii="FrankRuehl" w:hAnsi="FrankRuehl" w:hint="eastAsia"/>
          <w:rtl/>
          <w:lang w:eastAsia="he-IL"/>
        </w:rPr>
        <w:t>בפועל</w:t>
      </w:r>
      <w:r w:rsidRPr="00BD6E19">
        <w:rPr>
          <w:rFonts w:ascii="FrankRuehl" w:hAnsi="FrankRuehl"/>
          <w:rtl/>
          <w:lang w:eastAsia="he-IL"/>
        </w:rPr>
        <w:t xml:space="preserve">. </w:t>
      </w:r>
      <w:r w:rsidRPr="00BD6E19">
        <w:rPr>
          <w:rFonts w:ascii="FrankRuehl" w:hAnsi="FrankRuehl" w:hint="eastAsia"/>
          <w:rtl/>
          <w:lang w:eastAsia="he-IL"/>
        </w:rPr>
        <w:t>הנאשם</w:t>
      </w:r>
      <w:r w:rsidRPr="00BD6E19">
        <w:rPr>
          <w:rFonts w:ascii="FrankRuehl" w:hAnsi="FrankRuehl"/>
          <w:rtl/>
          <w:lang w:eastAsia="he-IL"/>
        </w:rPr>
        <w:t xml:space="preserve"> </w:t>
      </w:r>
      <w:r w:rsidRPr="00BD6E19">
        <w:rPr>
          <w:rFonts w:ascii="FrankRuehl" w:hAnsi="FrankRuehl" w:hint="eastAsia"/>
          <w:rtl/>
          <w:lang w:eastAsia="he-IL"/>
        </w:rPr>
        <w:t>ישא</w:t>
      </w:r>
      <w:r w:rsidRPr="00BD6E19">
        <w:rPr>
          <w:rFonts w:ascii="FrankRuehl" w:hAnsi="FrankRuehl"/>
          <w:rtl/>
          <w:lang w:eastAsia="he-IL"/>
        </w:rPr>
        <w:t xml:space="preserve"> </w:t>
      </w:r>
      <w:r w:rsidRPr="00BD6E19">
        <w:rPr>
          <w:rFonts w:ascii="FrankRuehl" w:hAnsi="FrankRuehl" w:hint="eastAsia"/>
          <w:rtl/>
          <w:lang w:eastAsia="he-IL"/>
        </w:rPr>
        <w:t>את</w:t>
      </w:r>
      <w:r w:rsidRPr="00BD6E19">
        <w:rPr>
          <w:rFonts w:ascii="FrankRuehl" w:hAnsi="FrankRuehl"/>
          <w:rtl/>
          <w:lang w:eastAsia="he-IL"/>
        </w:rPr>
        <w:t xml:space="preserve"> </w:t>
      </w:r>
      <w:r w:rsidRPr="00BD6E19">
        <w:rPr>
          <w:rFonts w:ascii="FrankRuehl" w:hAnsi="FrankRuehl" w:hint="eastAsia"/>
          <w:rtl/>
          <w:lang w:eastAsia="he-IL"/>
        </w:rPr>
        <w:t>המאסר</w:t>
      </w:r>
      <w:r w:rsidRPr="00BD6E19">
        <w:rPr>
          <w:rFonts w:ascii="FrankRuehl" w:hAnsi="FrankRuehl"/>
          <w:rtl/>
          <w:lang w:eastAsia="he-IL"/>
        </w:rPr>
        <w:t xml:space="preserve"> </w:t>
      </w:r>
      <w:r w:rsidRPr="00BD6E19">
        <w:rPr>
          <w:rFonts w:ascii="FrankRuehl" w:hAnsi="FrankRuehl" w:hint="eastAsia"/>
          <w:rtl/>
          <w:lang w:eastAsia="he-IL"/>
        </w:rPr>
        <w:t>בעבודת</w:t>
      </w:r>
      <w:r w:rsidRPr="00BD6E19">
        <w:rPr>
          <w:rFonts w:ascii="FrankRuehl" w:hAnsi="FrankRuehl"/>
          <w:rtl/>
          <w:lang w:eastAsia="he-IL"/>
        </w:rPr>
        <w:t xml:space="preserve"> </w:t>
      </w:r>
      <w:r w:rsidRPr="00BD6E19">
        <w:rPr>
          <w:rFonts w:ascii="FrankRuehl" w:hAnsi="FrankRuehl" w:hint="eastAsia"/>
          <w:rtl/>
          <w:lang w:eastAsia="he-IL"/>
        </w:rPr>
        <w:t>שירות</w:t>
      </w:r>
      <w:r w:rsidRPr="00BD6E19">
        <w:rPr>
          <w:rFonts w:ascii="FrankRuehl" w:hAnsi="FrankRuehl"/>
          <w:rtl/>
          <w:lang w:eastAsia="he-IL"/>
        </w:rPr>
        <w:t xml:space="preserve">. </w:t>
      </w:r>
    </w:p>
    <w:p w14:paraId="781FD457" w14:textId="77777777" w:rsidR="007D5BEE" w:rsidRPr="00BD6E19" w:rsidRDefault="007D5BEE" w:rsidP="007D5BEE">
      <w:pPr>
        <w:spacing w:line="360" w:lineRule="auto"/>
        <w:jc w:val="both"/>
        <w:rPr>
          <w:rtl/>
        </w:rPr>
      </w:pPr>
      <w:r w:rsidRPr="00BD6E19">
        <w:rPr>
          <w:rFonts w:ascii="FrankRuehl" w:hAnsi="FrankRuehl" w:hint="eastAsia"/>
          <w:rtl/>
          <w:lang w:eastAsia="he-IL"/>
        </w:rPr>
        <w:t>ב</w:t>
      </w:r>
      <w:r w:rsidRPr="00BD6E19">
        <w:rPr>
          <w:rFonts w:ascii="FrankRuehl" w:hAnsi="FrankRuehl"/>
          <w:rtl/>
          <w:lang w:eastAsia="he-IL"/>
        </w:rPr>
        <w:t>.</w:t>
      </w:r>
      <w:r w:rsidRPr="00BD6E19">
        <w:rPr>
          <w:rFonts w:ascii="FrankRuehl" w:hAnsi="FrankRuehl"/>
          <w:rtl/>
          <w:lang w:eastAsia="he-IL"/>
        </w:rPr>
        <w:tab/>
        <w:t xml:space="preserve">6 </w:t>
      </w:r>
      <w:r w:rsidRPr="00BD6E19">
        <w:rPr>
          <w:rFonts w:ascii="FrankRuehl" w:hAnsi="FrankRuehl" w:hint="eastAsia"/>
          <w:rtl/>
          <w:lang w:eastAsia="he-IL"/>
        </w:rPr>
        <w:t>חודשי</w:t>
      </w:r>
      <w:r w:rsidRPr="00BD6E19">
        <w:rPr>
          <w:rFonts w:ascii="FrankRuehl" w:hAnsi="FrankRuehl"/>
          <w:rtl/>
          <w:lang w:eastAsia="he-IL"/>
        </w:rPr>
        <w:t xml:space="preserve"> </w:t>
      </w:r>
      <w:r w:rsidRPr="00BD6E19">
        <w:rPr>
          <w:rFonts w:ascii="FrankRuehl" w:hAnsi="FrankRuehl" w:hint="eastAsia"/>
          <w:rtl/>
          <w:lang w:eastAsia="he-IL"/>
        </w:rPr>
        <w:t>מאסר</w:t>
      </w:r>
      <w:r w:rsidRPr="00BD6E19">
        <w:rPr>
          <w:rFonts w:ascii="FrankRuehl" w:hAnsi="FrankRuehl"/>
          <w:rtl/>
          <w:lang w:eastAsia="he-IL"/>
        </w:rPr>
        <w:t xml:space="preserve"> </w:t>
      </w:r>
      <w:r w:rsidRPr="00BD6E19">
        <w:rPr>
          <w:rFonts w:ascii="FrankRuehl" w:hAnsi="FrankRuehl" w:hint="eastAsia"/>
          <w:rtl/>
          <w:lang w:eastAsia="he-IL"/>
        </w:rPr>
        <w:t>על</w:t>
      </w:r>
      <w:r w:rsidRPr="00BD6E19">
        <w:rPr>
          <w:rFonts w:ascii="FrankRuehl" w:hAnsi="FrankRuehl"/>
          <w:rtl/>
          <w:lang w:eastAsia="he-IL"/>
        </w:rPr>
        <w:t xml:space="preserve"> </w:t>
      </w:r>
      <w:r w:rsidRPr="00BD6E19">
        <w:rPr>
          <w:rFonts w:ascii="FrankRuehl" w:hAnsi="FrankRuehl" w:hint="eastAsia"/>
          <w:rtl/>
          <w:lang w:eastAsia="he-IL"/>
        </w:rPr>
        <w:t>תנאי</w:t>
      </w:r>
      <w:r w:rsidRPr="00BD6E19">
        <w:rPr>
          <w:rFonts w:ascii="FrankRuehl" w:hAnsi="FrankRuehl"/>
          <w:rtl/>
          <w:lang w:eastAsia="he-IL"/>
        </w:rPr>
        <w:t xml:space="preserve"> </w:t>
      </w:r>
      <w:r w:rsidRPr="00BD6E19">
        <w:rPr>
          <w:rFonts w:ascii="FrankRuehl" w:hAnsi="FrankRuehl" w:hint="eastAsia"/>
          <w:rtl/>
          <w:lang w:eastAsia="he-IL"/>
        </w:rPr>
        <w:t>למשך</w:t>
      </w:r>
      <w:r w:rsidRPr="00BD6E19">
        <w:rPr>
          <w:rFonts w:ascii="FrankRuehl" w:hAnsi="FrankRuehl"/>
          <w:rtl/>
          <w:lang w:eastAsia="he-IL"/>
        </w:rPr>
        <w:t xml:space="preserve"> </w:t>
      </w:r>
      <w:r w:rsidRPr="00BD6E19">
        <w:rPr>
          <w:rFonts w:ascii="FrankRuehl" w:hAnsi="FrankRuehl" w:hint="eastAsia"/>
          <w:rtl/>
          <w:lang w:eastAsia="he-IL"/>
        </w:rPr>
        <w:t>שנתיים</w:t>
      </w:r>
      <w:r w:rsidRPr="00BD6E19">
        <w:rPr>
          <w:rFonts w:ascii="FrankRuehl" w:hAnsi="FrankRuehl"/>
          <w:rtl/>
          <w:lang w:eastAsia="he-IL"/>
        </w:rPr>
        <w:t xml:space="preserve">, </w:t>
      </w:r>
      <w:r w:rsidRPr="00BD6E19">
        <w:rPr>
          <w:rFonts w:ascii="FrankRuehl" w:hAnsi="FrankRuehl" w:hint="eastAsia"/>
          <w:rtl/>
          <w:lang w:eastAsia="he-IL"/>
        </w:rPr>
        <w:t>שלא</w:t>
      </w:r>
      <w:r w:rsidRPr="00BD6E19">
        <w:rPr>
          <w:rFonts w:ascii="FrankRuehl" w:hAnsi="FrankRuehl"/>
          <w:rtl/>
          <w:lang w:eastAsia="he-IL"/>
        </w:rPr>
        <w:t xml:space="preserve"> </w:t>
      </w:r>
      <w:r w:rsidRPr="00BD6E19">
        <w:rPr>
          <w:rFonts w:ascii="FrankRuehl" w:hAnsi="FrankRuehl" w:hint="eastAsia"/>
          <w:rtl/>
          <w:lang w:eastAsia="he-IL"/>
        </w:rPr>
        <w:t>יעבור</w:t>
      </w:r>
      <w:r w:rsidRPr="00BD6E19">
        <w:rPr>
          <w:rFonts w:ascii="FrankRuehl" w:hAnsi="FrankRuehl"/>
          <w:rtl/>
          <w:lang w:eastAsia="he-IL"/>
        </w:rPr>
        <w:t xml:space="preserve"> </w:t>
      </w:r>
      <w:r w:rsidRPr="00BD6E19">
        <w:rPr>
          <w:rFonts w:ascii="FrankRuehl" w:hAnsi="FrankRuehl" w:hint="eastAsia"/>
          <w:rtl/>
          <w:lang w:eastAsia="he-IL"/>
        </w:rPr>
        <w:t>עבירת</w:t>
      </w:r>
      <w:r w:rsidRPr="00BD6E19">
        <w:rPr>
          <w:rFonts w:ascii="FrankRuehl" w:hAnsi="FrankRuehl"/>
          <w:rtl/>
          <w:lang w:eastAsia="he-IL"/>
        </w:rPr>
        <w:t xml:space="preserve"> </w:t>
      </w:r>
      <w:r w:rsidRPr="00BD6E19">
        <w:rPr>
          <w:rFonts w:ascii="FrankRuehl" w:hAnsi="FrankRuehl" w:hint="eastAsia"/>
          <w:rtl/>
          <w:lang w:eastAsia="he-IL"/>
        </w:rPr>
        <w:t>נשק</w:t>
      </w:r>
      <w:r w:rsidRPr="00BD6E19">
        <w:rPr>
          <w:rFonts w:ascii="FrankRuehl" w:hAnsi="FrankRuehl"/>
          <w:rtl/>
          <w:lang w:eastAsia="he-IL"/>
        </w:rPr>
        <w:t xml:space="preserve"> </w:t>
      </w:r>
      <w:r w:rsidRPr="00BD6E19">
        <w:rPr>
          <w:rFonts w:ascii="FrankRuehl" w:hAnsi="FrankRuehl" w:hint="eastAsia"/>
          <w:rtl/>
          <w:lang w:eastAsia="he-IL"/>
        </w:rPr>
        <w:t>המסווגת</w:t>
      </w:r>
      <w:r w:rsidRPr="00BD6E19">
        <w:rPr>
          <w:rFonts w:ascii="FrankRuehl" w:hAnsi="FrankRuehl"/>
          <w:rtl/>
          <w:lang w:eastAsia="he-IL"/>
        </w:rPr>
        <w:t xml:space="preserve"> </w:t>
      </w:r>
      <w:r w:rsidRPr="00BD6E19">
        <w:rPr>
          <w:rFonts w:ascii="FrankRuehl" w:hAnsi="FrankRuehl" w:hint="eastAsia"/>
          <w:rtl/>
          <w:lang w:eastAsia="he-IL"/>
        </w:rPr>
        <w:t>כפשע</w:t>
      </w:r>
      <w:r w:rsidRPr="00BD6E19">
        <w:rPr>
          <w:rFonts w:ascii="FrankRuehl" w:hAnsi="FrankRuehl"/>
          <w:rtl/>
          <w:lang w:eastAsia="he-IL"/>
        </w:rPr>
        <w:t xml:space="preserve">. </w:t>
      </w:r>
    </w:p>
    <w:p w14:paraId="78220FE7" w14:textId="77777777" w:rsidR="007D5BEE" w:rsidRPr="00BD6E19" w:rsidRDefault="007D5BEE" w:rsidP="007D5BEE">
      <w:pPr>
        <w:spacing w:line="360" w:lineRule="auto"/>
        <w:jc w:val="both"/>
        <w:rPr>
          <w:b/>
          <w:bCs/>
          <w:u w:val="single"/>
          <w:rtl/>
        </w:rPr>
      </w:pPr>
    </w:p>
    <w:p w14:paraId="4DC90C53" w14:textId="77777777" w:rsidR="007D5BEE" w:rsidRPr="00BD6E19" w:rsidRDefault="007D5BEE" w:rsidP="007D5BEE">
      <w:pPr>
        <w:spacing w:line="360" w:lineRule="auto"/>
        <w:jc w:val="both"/>
        <w:rPr>
          <w:b/>
          <w:bCs/>
          <w:u w:val="single"/>
          <w:rtl/>
        </w:rPr>
      </w:pPr>
      <w:r w:rsidRPr="00BD6E19">
        <w:rPr>
          <w:b/>
          <w:bCs/>
          <w:u w:val="single"/>
          <w:rtl/>
        </w:rPr>
        <w:t>הנאשם 1</w:t>
      </w:r>
    </w:p>
    <w:p w14:paraId="34EAAC49" w14:textId="77777777" w:rsidR="007D5BEE" w:rsidRPr="00BD6E19" w:rsidRDefault="007D5BEE" w:rsidP="007D5BEE">
      <w:pPr>
        <w:spacing w:line="360" w:lineRule="auto"/>
        <w:jc w:val="both"/>
        <w:rPr>
          <w:b/>
          <w:bCs/>
          <w:u w:val="single"/>
          <w:rtl/>
        </w:rPr>
      </w:pPr>
    </w:p>
    <w:p w14:paraId="29E04815" w14:textId="77777777" w:rsidR="007D5BEE" w:rsidRPr="00BD6E19" w:rsidRDefault="007D5BEE" w:rsidP="007D5BEE">
      <w:pPr>
        <w:spacing w:line="360" w:lineRule="auto"/>
        <w:jc w:val="both"/>
        <w:rPr>
          <w:b/>
          <w:bCs/>
          <w:u w:val="single"/>
          <w:rtl/>
        </w:rPr>
      </w:pPr>
      <w:r w:rsidRPr="00BD6E19">
        <w:rPr>
          <w:b/>
          <w:bCs/>
          <w:u w:val="single"/>
          <w:rtl/>
        </w:rPr>
        <w:t>טענות הצדדים</w:t>
      </w:r>
    </w:p>
    <w:p w14:paraId="1C3A261F" w14:textId="77777777" w:rsidR="007D5BEE" w:rsidRPr="00BD6E19" w:rsidRDefault="007D5BEE" w:rsidP="007D5BEE">
      <w:pPr>
        <w:spacing w:line="360" w:lineRule="auto"/>
        <w:ind w:left="720" w:hanging="720"/>
        <w:jc w:val="both"/>
        <w:rPr>
          <w:rtl/>
        </w:rPr>
      </w:pPr>
      <w:r w:rsidRPr="00BD6E19">
        <w:rPr>
          <w:rtl/>
        </w:rPr>
        <w:t>1.</w:t>
      </w:r>
      <w:r w:rsidRPr="00BD6E19">
        <w:rPr>
          <w:rtl/>
        </w:rPr>
        <w:tab/>
        <w:t>ב"כ המאשימה טענה כי מתחם העונש ההולם למעשה הנאשם נע בין 24 ל- 48 חודשי מאסר בפועל. היא עמדה על הערכים החברתיים שנפגעו מביצוע העבירה ועל מדיניות הענישה בעבירות הנשק. ציינה, כי לאחרונה ניתנה הנחיית פרקליט המדינה (הנחיה מספר 9.16) בענין מדיניות הענישה בעבירות נשק ומטעני חבלה, שמטרתה להעלות את רמת הענישה הנוהגת בעבירות הנשק השונות, ובמסגרתה נקבעו "מתחמי מוצא" שנגזרו מפסיקת בית המשפט העליון, המשקפים לדעת התביעה את מתחם העונש ההולם בעבירות הנשק. על פי הנחיה זו, מתחם העונש ההולם שהתביעה טוענת לו בעבירה של החזקת רובה או תת מקלע, נע בין 2 ל-4 שנות מאסר בפועל. אשר לעונש שראוי לגזור על הנאשם, הפנתה לתסקיר שירות המבחן, וטענה, כי בהתחשב בהודאת הנאשם, בלקיחת האחריות על מעשיו, בחיסכון בזמן שיפוט ובעובדה שהנאשם נעדר עבר פלילי, יש להטיל עליו עונש מאסר ברף התחתון של מתחם העונש שהוצע, מאסר על תנאי וקנס.</w:t>
      </w:r>
    </w:p>
    <w:p w14:paraId="7DD53A97" w14:textId="77777777" w:rsidR="007D5BEE" w:rsidRPr="00BD6E19" w:rsidRDefault="007D5BEE" w:rsidP="007D5BEE">
      <w:pPr>
        <w:spacing w:line="360" w:lineRule="auto"/>
        <w:ind w:left="720" w:hanging="720"/>
        <w:jc w:val="both"/>
        <w:rPr>
          <w:rtl/>
        </w:rPr>
      </w:pPr>
    </w:p>
    <w:p w14:paraId="7835B00F" w14:textId="77777777" w:rsidR="007D5BEE" w:rsidRPr="00BD6E19" w:rsidRDefault="007D5BEE" w:rsidP="007D5BEE">
      <w:pPr>
        <w:spacing w:line="360" w:lineRule="auto"/>
        <w:ind w:left="720" w:hanging="720"/>
        <w:jc w:val="both"/>
        <w:rPr>
          <w:rtl/>
        </w:rPr>
      </w:pPr>
      <w:r w:rsidRPr="00BD6E19">
        <w:rPr>
          <w:rtl/>
        </w:rPr>
        <w:t>2.</w:t>
      </w:r>
      <w:r w:rsidRPr="00BD6E19">
        <w:rPr>
          <w:rtl/>
        </w:rPr>
        <w:tab/>
        <w:t>ב"כ הנאשם ציין כי הנשק שהנאשם החזיק הוא נשק אוטומטי מאולתר, וטען כי עולה מכתב האישום שישנם מעורבים נוספים בפרשיה, והם לא הובאו לדין. הפנה לפסיקה. ציין כי הנאשם צעיר בן 23, עובר למעצרו הוא התחתן, ומעט לפני שחרורו ממעצר נולדה בתו הראשונה. משפחתו מכובדת. אביו משמש כסגן ראש מועצת תל-שבע. אחיו בעלי תארים, והוא עצמו סיים 12 שנות לימוד עם בגרות מלאה, למד שנה ראשונה משפטים, ופרש מהלימודים משום שרצה תעסוקה אחרת. ציין את התרשמות שירות המבחן שהנאשם נעדר דפוסי אישיות עברייניים, ואת הצורך שלו בטיפול. טען כי מתחם העונש ההולם נע בין 6 ל- 24 חודש מאסר, וכי יש למקם את העונש הראוי לנאשם ברף התחתון של המתחם ואף להסתפק במאסר בעבודות שירות.</w:t>
      </w:r>
    </w:p>
    <w:p w14:paraId="3EB01D5F" w14:textId="77777777" w:rsidR="007D5BEE" w:rsidRDefault="007D5BEE" w:rsidP="007D5BEE">
      <w:pPr>
        <w:spacing w:line="360" w:lineRule="auto"/>
        <w:jc w:val="both"/>
        <w:rPr>
          <w:rtl/>
        </w:rPr>
      </w:pPr>
    </w:p>
    <w:p w14:paraId="05638AF9" w14:textId="77777777" w:rsidR="007D5BEE" w:rsidRDefault="007D5BEE" w:rsidP="007D5BEE">
      <w:pPr>
        <w:spacing w:line="360" w:lineRule="auto"/>
        <w:jc w:val="both"/>
        <w:rPr>
          <w:rtl/>
        </w:rPr>
      </w:pPr>
    </w:p>
    <w:p w14:paraId="56D7348B" w14:textId="77777777" w:rsidR="007D5BEE" w:rsidRDefault="007D5BEE" w:rsidP="007D5BEE">
      <w:pPr>
        <w:spacing w:line="360" w:lineRule="auto"/>
        <w:jc w:val="both"/>
        <w:rPr>
          <w:rtl/>
        </w:rPr>
      </w:pPr>
    </w:p>
    <w:p w14:paraId="19079A48" w14:textId="77777777" w:rsidR="007D5BEE" w:rsidRPr="00BD6E19" w:rsidRDefault="007D5BEE" w:rsidP="007D5BEE">
      <w:pPr>
        <w:spacing w:line="360" w:lineRule="auto"/>
        <w:jc w:val="both"/>
        <w:rPr>
          <w:rtl/>
        </w:rPr>
      </w:pPr>
    </w:p>
    <w:p w14:paraId="53B67134" w14:textId="77777777" w:rsidR="007D5BEE" w:rsidRDefault="007D5BEE" w:rsidP="007D5BEE">
      <w:pPr>
        <w:spacing w:line="360" w:lineRule="auto"/>
        <w:jc w:val="both"/>
        <w:rPr>
          <w:b/>
          <w:bCs/>
          <w:u w:val="single"/>
          <w:rtl/>
        </w:rPr>
      </w:pPr>
      <w:r w:rsidRPr="00BD6E19">
        <w:rPr>
          <w:b/>
          <w:bCs/>
          <w:u w:val="single"/>
          <w:rtl/>
        </w:rPr>
        <w:t>תסקיר שירות המבחן</w:t>
      </w:r>
    </w:p>
    <w:p w14:paraId="1921C8CF" w14:textId="77777777" w:rsidR="007D5BEE" w:rsidRPr="00BD6E19" w:rsidRDefault="007D5BEE" w:rsidP="007D5BEE">
      <w:pPr>
        <w:spacing w:line="360" w:lineRule="auto"/>
        <w:jc w:val="both"/>
        <w:rPr>
          <w:b/>
          <w:bCs/>
          <w:u w:val="single"/>
          <w:rtl/>
        </w:rPr>
      </w:pPr>
    </w:p>
    <w:p w14:paraId="40217CC6" w14:textId="77777777" w:rsidR="007D5BEE" w:rsidRPr="00BD6E19" w:rsidRDefault="007D5BEE" w:rsidP="007D5BEE">
      <w:pPr>
        <w:spacing w:line="360" w:lineRule="auto"/>
        <w:ind w:left="720"/>
        <w:jc w:val="both"/>
        <w:rPr>
          <w:rtl/>
        </w:rPr>
      </w:pPr>
      <w:r w:rsidRPr="00BD6E19">
        <w:rPr>
          <w:rtl/>
        </w:rPr>
        <w:t>שירות המבחן ערך תסקיר על הנאשם 1, בו צויינו בין היתר הדברים הבאים-</w:t>
      </w:r>
    </w:p>
    <w:p w14:paraId="5FBC8E05" w14:textId="77777777" w:rsidR="007D5BEE" w:rsidRPr="00BD6E19" w:rsidRDefault="007D5BEE" w:rsidP="007D5BEE">
      <w:pPr>
        <w:spacing w:line="360" w:lineRule="auto"/>
        <w:ind w:left="720"/>
        <w:jc w:val="both"/>
        <w:rPr>
          <w:rtl/>
        </w:rPr>
      </w:pPr>
      <w:r w:rsidRPr="00BD6E19">
        <w:rPr>
          <w:rtl/>
        </w:rPr>
        <w:t xml:space="preserve">הנאשם בן 23, נשוי ואב לתינוקת. עד מעצרו עבד כנהג בחברת הסעות. נעדר עבר פלילי. סיים 12 שנות לימוד עם תעודת בגרות מלאה, למד שנה אחת "משפטים" במכללה האקדמית קריית אונו. תיאר את אביו כאדם מכובד, ששירת בצה"ל ועדיין ממשיך לשרת שירות מילואים פעיל, ומשמש היום כמנכ"ל מועצה אזורית. אמו עקרת בית. תיאר את משפחתו כתומכת ומלוכדת, המעודדת רכישת השכלה גבוהה, ושיתף כי אחיו עובדים ולומדים במסגרות תעסוקתיות מסודרות ונעדרי עבר פלילי. </w:t>
      </w:r>
    </w:p>
    <w:p w14:paraId="5FA14AB4" w14:textId="77777777" w:rsidR="007D5BEE" w:rsidRPr="00BD6E19" w:rsidRDefault="007D5BEE" w:rsidP="007D5BEE">
      <w:pPr>
        <w:spacing w:line="360" w:lineRule="auto"/>
        <w:ind w:left="720"/>
        <w:jc w:val="both"/>
        <w:rPr>
          <w:rtl/>
        </w:rPr>
      </w:pPr>
      <w:r w:rsidRPr="00BD6E19">
        <w:rPr>
          <w:rtl/>
        </w:rPr>
        <w:t xml:space="preserve">בהתייחס לעבירה, הנאשם הודה בביצועה ולקח אחריות על מעשיו. תיאר כי ביום האירוע העבירו לו תיק על מנת שיעבירו לחבר אחר, ולמרות שידע מה תוכן התיק הסכים להעבירו. סיפר כי ידע שהמעשה אינו חוקי אך לא חשב שמעשיו יסבכו אותו שכן הוא רק הביא את התיק למקום, ואחר אמור היה לקחת אותו. מבין שפעל בקלות ראש, ללא חשיבה מקדימה על השלכות מעשיו. </w:t>
      </w:r>
    </w:p>
    <w:p w14:paraId="49BBC304" w14:textId="77777777" w:rsidR="007D5BEE" w:rsidRPr="00BD6E19" w:rsidRDefault="007D5BEE" w:rsidP="007D5BEE">
      <w:pPr>
        <w:spacing w:line="360" w:lineRule="auto"/>
        <w:ind w:left="720"/>
        <w:jc w:val="both"/>
        <w:rPr>
          <w:rtl/>
        </w:rPr>
      </w:pPr>
      <w:r w:rsidRPr="00BD6E19">
        <w:rPr>
          <w:rtl/>
        </w:rPr>
        <w:t>שירות המבחן התרשם כי ההליכים המשפטיים המתנהלים נגד הנאשם מרתיעים אותו וכי הוא מביע שאיפות לניהול אורח חיים נורמטיבי.</w:t>
      </w:r>
    </w:p>
    <w:p w14:paraId="4335524F" w14:textId="77777777" w:rsidR="007D5BEE" w:rsidRPr="00BD6E19" w:rsidRDefault="007D5BEE" w:rsidP="007D5BEE">
      <w:pPr>
        <w:spacing w:line="360" w:lineRule="auto"/>
        <w:ind w:left="720"/>
        <w:jc w:val="both"/>
        <w:rPr>
          <w:rtl/>
        </w:rPr>
      </w:pPr>
    </w:p>
    <w:p w14:paraId="6FA38314" w14:textId="77777777" w:rsidR="007D5BEE" w:rsidRPr="00BD6E19" w:rsidRDefault="007D5BEE" w:rsidP="007D5BEE">
      <w:pPr>
        <w:spacing w:line="360" w:lineRule="auto"/>
        <w:ind w:left="720"/>
        <w:jc w:val="both"/>
        <w:rPr>
          <w:rtl/>
        </w:rPr>
      </w:pPr>
      <w:r w:rsidRPr="00BD6E19">
        <w:rPr>
          <w:rtl/>
        </w:rPr>
        <w:t xml:space="preserve">לאחר שקילת גורמי הסיכוי והסיכון של הנאשם, התרשם שירות המבחן כי קיים סיכון להישנות התנהגות עוברת חוק וכי שילובו במסגרת טיפולית יכול להפחית רמת סיכון זו, והמליץ לדחות את הדיון על מנת לבדוק את שילובו בקבוצה טיפולית ואת השפעת הטיפול עליו. </w:t>
      </w:r>
    </w:p>
    <w:p w14:paraId="6EE8830F" w14:textId="77777777" w:rsidR="007D5BEE" w:rsidRPr="00BD6E19" w:rsidRDefault="007D5BEE" w:rsidP="007D5BEE">
      <w:pPr>
        <w:spacing w:line="360" w:lineRule="auto"/>
        <w:jc w:val="both"/>
        <w:rPr>
          <w:b/>
          <w:bCs/>
          <w:u w:val="single"/>
          <w:rtl/>
        </w:rPr>
      </w:pPr>
    </w:p>
    <w:p w14:paraId="68F8CCC2" w14:textId="77777777" w:rsidR="007D5BEE" w:rsidRPr="00BD6E19" w:rsidRDefault="007D5BEE" w:rsidP="007D5BEE">
      <w:pPr>
        <w:spacing w:line="360" w:lineRule="auto"/>
        <w:jc w:val="both"/>
        <w:rPr>
          <w:b/>
          <w:bCs/>
          <w:u w:val="single"/>
          <w:rtl/>
        </w:rPr>
      </w:pPr>
      <w:r w:rsidRPr="00BD6E19">
        <w:rPr>
          <w:b/>
          <w:bCs/>
          <w:u w:val="single"/>
          <w:rtl/>
        </w:rPr>
        <w:t>דיון והכרעה</w:t>
      </w:r>
    </w:p>
    <w:p w14:paraId="2BD4277D" w14:textId="77777777" w:rsidR="007D5BEE" w:rsidRPr="00BD6E19" w:rsidRDefault="007D5BEE" w:rsidP="007D5BEE">
      <w:pPr>
        <w:spacing w:line="360" w:lineRule="auto"/>
        <w:jc w:val="both"/>
        <w:rPr>
          <w:b/>
          <w:bCs/>
          <w:u w:val="single"/>
          <w:rtl/>
        </w:rPr>
      </w:pPr>
    </w:p>
    <w:p w14:paraId="04FBA74D" w14:textId="77777777" w:rsidR="007D5BEE" w:rsidRPr="00BD6E19" w:rsidRDefault="007D5BEE" w:rsidP="007D5BEE">
      <w:pPr>
        <w:spacing w:line="360" w:lineRule="auto"/>
        <w:ind w:left="720" w:hanging="720"/>
        <w:jc w:val="both"/>
        <w:rPr>
          <w:rtl/>
        </w:rPr>
      </w:pPr>
      <w:r w:rsidRPr="00BD6E19">
        <w:rPr>
          <w:rtl/>
        </w:rPr>
        <w:t>1.</w:t>
      </w:r>
      <w:r w:rsidRPr="00BD6E19">
        <w:rPr>
          <w:rtl/>
        </w:rPr>
        <w:tab/>
        <w:t xml:space="preserve">הנאשם החזיק נשק אוטומטי מאולתר ובשלב מסוים ביקש להעביר אותו לאחר על מנת שיחזיק בו באופן זמני. במסגרת זו הוא הגיע עם הנשק למקום מגוריו של האחר, בתיאום עם אחיו של האחר, הניח את הנשק בשיג ועזב את המקום.  </w:t>
      </w:r>
    </w:p>
    <w:p w14:paraId="454DF3FD" w14:textId="77777777" w:rsidR="007D5BEE" w:rsidRPr="00BD6E19" w:rsidRDefault="007D5BEE" w:rsidP="007D5BEE">
      <w:pPr>
        <w:spacing w:line="360" w:lineRule="auto"/>
        <w:ind w:left="720" w:hanging="720"/>
        <w:jc w:val="both"/>
        <w:rPr>
          <w:rtl/>
        </w:rPr>
      </w:pPr>
    </w:p>
    <w:p w14:paraId="5A960188" w14:textId="77777777" w:rsidR="007D5BEE" w:rsidRPr="00BD6E19" w:rsidRDefault="007D5BEE" w:rsidP="007D5BEE">
      <w:pPr>
        <w:spacing w:line="360" w:lineRule="auto"/>
        <w:ind w:left="720" w:hanging="720"/>
        <w:jc w:val="both"/>
        <w:rPr>
          <w:rtl/>
        </w:rPr>
      </w:pPr>
      <w:r w:rsidRPr="00BD6E19">
        <w:rPr>
          <w:rtl/>
        </w:rPr>
        <w:t>2.</w:t>
      </w:r>
      <w:r w:rsidRPr="00BD6E19">
        <w:rPr>
          <w:rtl/>
        </w:rPr>
        <w:tab/>
        <w:t xml:space="preserve">נשק הוא כלי מסוכן. בכוחו לפגוע באדם ואף להמית. אפשר להיפגע ממנו על דרך של תאונה או רשלנות וכן בכוונת מכוון. והוא עלול לשמש בביצוע מעשי עבירה אחרים, פליליים ופח"עיים. </w:t>
      </w:r>
    </w:p>
    <w:p w14:paraId="47C5A954" w14:textId="77777777" w:rsidR="007D5BEE" w:rsidRPr="00BD6E19" w:rsidRDefault="007D5BEE" w:rsidP="007D5BEE">
      <w:pPr>
        <w:spacing w:line="360" w:lineRule="auto"/>
        <w:ind w:left="720" w:hanging="720"/>
        <w:jc w:val="both"/>
        <w:rPr>
          <w:rtl/>
        </w:rPr>
      </w:pPr>
      <w:r w:rsidRPr="00BD6E19">
        <w:rPr>
          <w:rtl/>
        </w:rPr>
        <w:tab/>
        <w:t xml:space="preserve">בשל אפיוניו אלה, החזקתו מחייבת רישיון מטעם המדינה, הכרוך בעמידה בקריטריונים ובהכשרה מתאימה, והחזקתו שלא כדין מהווה עבירה שהעונש הקבוע לצדה הוא 7 שנות מאסר. </w:t>
      </w:r>
    </w:p>
    <w:p w14:paraId="04FDDD14" w14:textId="77777777" w:rsidR="007D5BEE" w:rsidRPr="00BD6E19" w:rsidRDefault="007D5BEE" w:rsidP="007D5BEE">
      <w:pPr>
        <w:spacing w:line="360" w:lineRule="auto"/>
        <w:ind w:left="720" w:hanging="720"/>
        <w:jc w:val="both"/>
        <w:rPr>
          <w:rtl/>
        </w:rPr>
      </w:pPr>
    </w:p>
    <w:p w14:paraId="1A16E86A" w14:textId="77777777" w:rsidR="007D5BEE" w:rsidRPr="00BD6E19" w:rsidRDefault="007D5BEE" w:rsidP="007D5BEE">
      <w:pPr>
        <w:spacing w:line="360" w:lineRule="auto"/>
        <w:ind w:left="720" w:hanging="720"/>
        <w:jc w:val="both"/>
        <w:rPr>
          <w:rtl/>
        </w:rPr>
      </w:pPr>
      <w:r w:rsidRPr="00BD6E19">
        <w:rPr>
          <w:rtl/>
        </w:rPr>
        <w:t>3.</w:t>
      </w:r>
      <w:r w:rsidRPr="00BD6E19">
        <w:rPr>
          <w:rtl/>
        </w:rPr>
        <w:tab/>
        <w:t xml:space="preserve">מטבע הדברים, כח האש וטווח האפקטיביות של נשק אוטומטי גדול יחסית, בהשוואה למשל לאקדח, וממילא פוטנציאל הפגיעה של נשק כזה גבוה. לצד זה, נשק מאולתר איננו עומד באותה רמת איכות של הנשק התקני, על כל המשתמע מכך. </w:t>
      </w:r>
    </w:p>
    <w:p w14:paraId="7BDEDB0F" w14:textId="77777777" w:rsidR="007D5BEE" w:rsidRPr="00BD6E19" w:rsidRDefault="007D5BEE" w:rsidP="007D5BEE">
      <w:pPr>
        <w:spacing w:line="360" w:lineRule="auto"/>
        <w:ind w:left="720" w:hanging="720"/>
        <w:jc w:val="both"/>
        <w:rPr>
          <w:rtl/>
        </w:rPr>
      </w:pPr>
    </w:p>
    <w:p w14:paraId="2F86C344" w14:textId="77777777" w:rsidR="007D5BEE" w:rsidRPr="00BD6E19" w:rsidRDefault="007D5BEE" w:rsidP="007D5BEE">
      <w:pPr>
        <w:spacing w:line="360" w:lineRule="auto"/>
        <w:ind w:left="720" w:hanging="720"/>
        <w:jc w:val="both"/>
        <w:rPr>
          <w:rtl/>
        </w:rPr>
      </w:pPr>
      <w:r w:rsidRPr="00BD6E19">
        <w:rPr>
          <w:rtl/>
        </w:rPr>
        <w:t>4.</w:t>
      </w:r>
      <w:r w:rsidRPr="00BD6E19">
        <w:rPr>
          <w:rtl/>
        </w:rPr>
        <w:tab/>
        <w:t xml:space="preserve">הערכים החברתיים המוגנים בעבירת החזקת הנשק הם בין היתר, שמירת הגוף והחיים, ושמירת הסדר הציבורי ובטחון הציבור. בנסיבות ענייננו, מידת הפגיעה בערכים אלה הינה משמעותית. </w:t>
      </w:r>
    </w:p>
    <w:p w14:paraId="5FFDC212" w14:textId="77777777" w:rsidR="007D5BEE" w:rsidRPr="00BD6E19" w:rsidRDefault="007D5BEE" w:rsidP="007D5BEE">
      <w:pPr>
        <w:spacing w:line="360" w:lineRule="auto"/>
        <w:ind w:left="720" w:hanging="720"/>
        <w:jc w:val="both"/>
        <w:rPr>
          <w:rtl/>
        </w:rPr>
      </w:pPr>
    </w:p>
    <w:p w14:paraId="250B197D" w14:textId="77777777" w:rsidR="007D5BEE" w:rsidRPr="00BD6E19" w:rsidRDefault="007D5BEE" w:rsidP="007D5BEE">
      <w:pPr>
        <w:spacing w:line="360" w:lineRule="auto"/>
        <w:ind w:left="720" w:hanging="720"/>
        <w:jc w:val="both"/>
        <w:rPr>
          <w:rtl/>
          <w:lang w:eastAsia="he-IL"/>
        </w:rPr>
      </w:pPr>
      <w:r w:rsidRPr="00BD6E19">
        <w:rPr>
          <w:rtl/>
        </w:rPr>
        <w:t>5.</w:t>
      </w:r>
      <w:r w:rsidRPr="00BD6E19">
        <w:rPr>
          <w:rtl/>
        </w:rPr>
        <w:tab/>
        <w:t xml:space="preserve">כברוב העבירות כך גם </w:t>
      </w:r>
      <w:r w:rsidRPr="00BD6E19">
        <w:rPr>
          <w:rtl/>
          <w:lang w:eastAsia="he-IL"/>
        </w:rPr>
        <w:t>בעבירות הנשק, ניתן למצוא קשת רחבה של עונשים, המושפעת מנתונים ומרכיבים שונים ובהם סוג הנשק וטיבו, כמותו, ונסיבות המעשה והעושה.</w:t>
      </w:r>
    </w:p>
    <w:p w14:paraId="35DD87EF" w14:textId="77777777" w:rsidR="007D5BEE" w:rsidRPr="00BD6E19" w:rsidRDefault="007D5BEE" w:rsidP="007D5BEE">
      <w:pPr>
        <w:spacing w:line="360" w:lineRule="auto"/>
        <w:ind w:left="720"/>
        <w:jc w:val="both"/>
        <w:rPr>
          <w:rtl/>
          <w:lang w:eastAsia="he-IL"/>
        </w:rPr>
      </w:pPr>
      <w:r w:rsidRPr="00BD6E19">
        <w:rPr>
          <w:rtl/>
          <w:lang w:eastAsia="he-IL"/>
        </w:rPr>
        <w:t>עם זאת, בשנים האחרונות ישנה מגמת החמרה מוצהרת בענישת עבירות אלה –</w:t>
      </w:r>
    </w:p>
    <w:p w14:paraId="0EB4A628" w14:textId="77777777" w:rsidR="007D5BEE" w:rsidRPr="00BD6E19" w:rsidRDefault="007D5BEE" w:rsidP="007D5BEE">
      <w:pPr>
        <w:spacing w:line="360" w:lineRule="auto"/>
        <w:ind w:left="720"/>
        <w:jc w:val="both"/>
        <w:rPr>
          <w:rtl/>
          <w:lang w:eastAsia="he-IL"/>
        </w:rPr>
      </w:pPr>
    </w:p>
    <w:p w14:paraId="43570733" w14:textId="77777777" w:rsidR="007D5BEE" w:rsidRPr="00BD6E19" w:rsidRDefault="007D5BEE" w:rsidP="007D5BEE">
      <w:pPr>
        <w:spacing w:line="360" w:lineRule="auto"/>
        <w:ind w:left="1440"/>
        <w:jc w:val="both"/>
        <w:rPr>
          <w:rtl/>
        </w:rPr>
      </w:pPr>
      <w:r w:rsidRPr="00BD6E19">
        <w:rPr>
          <w:rtl/>
          <w:lang w:eastAsia="he-IL"/>
        </w:rPr>
        <w:t xml:space="preserve">"נוכח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 </w:t>
      </w:r>
      <w:hyperlink r:id="rId13" w:history="1">
        <w:r w:rsidR="005E6EAF" w:rsidRPr="005E6EAF">
          <w:rPr>
            <w:color w:val="0000FF"/>
            <w:u w:val="single"/>
            <w:rtl/>
            <w:lang w:eastAsia="he-IL"/>
          </w:rPr>
          <w:t>ע"פ 1323/13</w:t>
        </w:r>
      </w:hyperlink>
      <w:r w:rsidRPr="00BD6E19">
        <w:rPr>
          <w:rtl/>
          <w:lang w:eastAsia="he-IL"/>
        </w:rPr>
        <w:t xml:space="preserve"> </w:t>
      </w:r>
      <w:r w:rsidRPr="00BD6E19">
        <w:rPr>
          <w:b/>
          <w:bCs/>
          <w:rtl/>
        </w:rPr>
        <w:t>רך חסן</w:t>
      </w:r>
      <w:r w:rsidRPr="00BD6E19">
        <w:rPr>
          <w:rtl/>
        </w:rPr>
        <w:t xml:space="preserve"> נ' </w:t>
      </w:r>
      <w:r w:rsidRPr="00BD6E19">
        <w:rPr>
          <w:b/>
          <w:bCs/>
          <w:rtl/>
        </w:rPr>
        <w:t>מדינת ישראל</w:t>
      </w:r>
      <w:r w:rsidRPr="00BD6E19">
        <w:rPr>
          <w:rtl/>
        </w:rPr>
        <w:t xml:space="preserve"> [פורסם בנבו] (05.06.13)</w:t>
      </w:r>
    </w:p>
    <w:p w14:paraId="7CBC11FB" w14:textId="77777777" w:rsidR="007D5BEE" w:rsidRPr="00BD6E19" w:rsidRDefault="007D5BEE" w:rsidP="007D5BEE">
      <w:pPr>
        <w:spacing w:line="360" w:lineRule="auto"/>
        <w:ind w:left="1440"/>
        <w:jc w:val="both"/>
        <w:rPr>
          <w:rtl/>
        </w:rPr>
      </w:pPr>
    </w:p>
    <w:p w14:paraId="560ABDF2" w14:textId="77777777" w:rsidR="007D5BEE" w:rsidRPr="00BD6E19" w:rsidRDefault="007D5BEE" w:rsidP="007D5BEE">
      <w:pPr>
        <w:spacing w:line="360" w:lineRule="auto"/>
        <w:ind w:left="720" w:hanging="720"/>
        <w:jc w:val="both"/>
        <w:rPr>
          <w:rtl/>
        </w:rPr>
      </w:pPr>
    </w:p>
    <w:p w14:paraId="7525DF2D" w14:textId="77777777" w:rsidR="007D5BEE" w:rsidRPr="00BD6E19" w:rsidRDefault="007D5BEE" w:rsidP="007D5BEE">
      <w:pPr>
        <w:spacing w:line="360" w:lineRule="auto"/>
        <w:ind w:left="720" w:hanging="720"/>
        <w:jc w:val="both"/>
        <w:rPr>
          <w:rtl/>
        </w:rPr>
      </w:pPr>
      <w:r w:rsidRPr="00BD6E19">
        <w:rPr>
          <w:rtl/>
        </w:rPr>
        <w:t>6.</w:t>
      </w:r>
      <w:r w:rsidRPr="00BD6E19">
        <w:rPr>
          <w:rtl/>
        </w:rPr>
        <w:tab/>
        <w:t xml:space="preserve">הלכה למעשה, בתי המשפט מטילים עונשי מאסר משמעותיים על מי שמורשע בעבירות נשק. </w:t>
      </w:r>
    </w:p>
    <w:p w14:paraId="48EFC1A0" w14:textId="77777777" w:rsidR="007D5BEE" w:rsidRPr="00BD6E19" w:rsidRDefault="007D5BEE" w:rsidP="007D5BEE">
      <w:pPr>
        <w:spacing w:line="360" w:lineRule="auto"/>
        <w:ind w:left="720" w:hanging="720"/>
        <w:jc w:val="both"/>
        <w:rPr>
          <w:rtl/>
        </w:rPr>
      </w:pPr>
    </w:p>
    <w:p w14:paraId="30E3EFC4" w14:textId="77777777" w:rsidR="007D5BEE" w:rsidRPr="00BD6E19" w:rsidRDefault="007D5BEE" w:rsidP="007D5BEE">
      <w:pPr>
        <w:spacing w:line="360" w:lineRule="auto"/>
        <w:ind w:left="720"/>
        <w:jc w:val="both"/>
        <w:rPr>
          <w:rtl/>
          <w:lang w:eastAsia="he-IL"/>
        </w:rPr>
      </w:pPr>
      <w:r w:rsidRPr="00BD6E19">
        <w:rPr>
          <w:rtl/>
        </w:rPr>
        <w:t>ב</w:t>
      </w:r>
      <w:hyperlink r:id="rId14" w:history="1">
        <w:r w:rsidR="005E6EAF" w:rsidRPr="005E6EAF">
          <w:rPr>
            <w:color w:val="0000FF"/>
            <w:u w:val="single"/>
            <w:rtl/>
            <w:lang w:eastAsia="he-IL"/>
          </w:rPr>
          <w:t>ע"פ 3336/18</w:t>
        </w:r>
      </w:hyperlink>
      <w:r w:rsidRPr="00BD6E19">
        <w:rPr>
          <w:rtl/>
          <w:lang w:eastAsia="he-IL"/>
        </w:rPr>
        <w:t xml:space="preserve"> </w:t>
      </w:r>
      <w:r w:rsidRPr="00BD6E19">
        <w:rPr>
          <w:b/>
          <w:bCs/>
          <w:rtl/>
          <w:lang w:eastAsia="he-IL"/>
        </w:rPr>
        <w:t>מדינת ישראל</w:t>
      </w:r>
      <w:r w:rsidRPr="00BD6E19">
        <w:rPr>
          <w:rtl/>
          <w:lang w:eastAsia="he-IL"/>
        </w:rPr>
        <w:t xml:space="preserve"> נגד </w:t>
      </w:r>
      <w:r w:rsidRPr="00BD6E19">
        <w:rPr>
          <w:b/>
          <w:bCs/>
          <w:rtl/>
          <w:lang w:eastAsia="he-IL"/>
        </w:rPr>
        <w:t>השאם סמארה</w:t>
      </w:r>
      <w:r w:rsidRPr="00BD6E19">
        <w:rPr>
          <w:rtl/>
          <w:lang w:eastAsia="he-IL"/>
        </w:rPr>
        <w:t xml:space="preserve"> (פורסם בנבו, 29.11.18) המשיב הורשע  על יסוד הודאתו בעבירות של נשיאת נשק ותחמושת והחזקת תחמושת. ברכב בו נהג נתפסו </w:t>
      </w:r>
      <w:r w:rsidRPr="00BD6E19">
        <w:rPr>
          <w:b/>
          <w:bCs/>
          <w:rtl/>
          <w:lang w:eastAsia="he-IL"/>
        </w:rPr>
        <w:t>שני רובי "קרל גוסטב" מאולתרים עם מחסניות בתוכם</w:t>
      </w:r>
      <w:r w:rsidRPr="00BD6E19">
        <w:rPr>
          <w:rtl/>
          <w:lang w:eastAsia="he-IL"/>
        </w:rPr>
        <w:t xml:space="preserve">, </w:t>
      </w:r>
      <w:r w:rsidRPr="00BD6E19">
        <w:rPr>
          <w:b/>
          <w:bCs/>
          <w:rtl/>
          <w:lang w:eastAsia="he-IL"/>
        </w:rPr>
        <w:t>קרטון שהכיל 39 כדורי 9 מ"מ</w:t>
      </w:r>
      <w:r w:rsidRPr="00BD6E19">
        <w:rPr>
          <w:rtl/>
          <w:lang w:eastAsia="he-IL"/>
        </w:rPr>
        <w:t xml:space="preserve">, וגרב שחורה ובה </w:t>
      </w:r>
      <w:r w:rsidRPr="00BD6E19">
        <w:rPr>
          <w:b/>
          <w:bCs/>
          <w:rtl/>
          <w:lang w:eastAsia="he-IL"/>
        </w:rPr>
        <w:t>8 כדורים נוספים</w:t>
      </w:r>
      <w:r w:rsidRPr="00BD6E19">
        <w:rPr>
          <w:rtl/>
          <w:lang w:eastAsia="he-IL"/>
        </w:rPr>
        <w:t xml:space="preserve">. </w:t>
      </w:r>
    </w:p>
    <w:p w14:paraId="33720779" w14:textId="77777777" w:rsidR="007D5BEE" w:rsidRPr="00BD6E19" w:rsidRDefault="007D5BEE" w:rsidP="007D5BEE">
      <w:pPr>
        <w:spacing w:line="360" w:lineRule="auto"/>
        <w:ind w:left="720"/>
        <w:jc w:val="both"/>
        <w:rPr>
          <w:rtl/>
          <w:lang w:eastAsia="he-IL"/>
        </w:rPr>
      </w:pPr>
      <w:r w:rsidRPr="00BD6E19">
        <w:rPr>
          <w:rtl/>
          <w:lang w:eastAsia="he-IL"/>
        </w:rPr>
        <w:t>בית המשפט המחוזי גזר עליו 18 חודשי מאסר בפועל ומאסרים על תנאי.</w:t>
      </w:r>
    </w:p>
    <w:p w14:paraId="38957B8F" w14:textId="77777777" w:rsidR="007D5BEE" w:rsidRPr="00BD6E19" w:rsidRDefault="007D5BEE" w:rsidP="007D5BEE">
      <w:pPr>
        <w:spacing w:line="360" w:lineRule="auto"/>
        <w:ind w:left="720" w:hanging="720"/>
        <w:jc w:val="both"/>
        <w:rPr>
          <w:rtl/>
          <w:lang w:eastAsia="he-IL"/>
        </w:rPr>
      </w:pPr>
    </w:p>
    <w:p w14:paraId="59B1E52E" w14:textId="77777777" w:rsidR="007D5BEE" w:rsidRPr="00BD6E19" w:rsidRDefault="007D5BEE" w:rsidP="007D5BEE">
      <w:pPr>
        <w:spacing w:line="360" w:lineRule="auto"/>
        <w:ind w:left="720" w:hanging="720"/>
        <w:jc w:val="both"/>
        <w:rPr>
          <w:rtl/>
          <w:lang w:eastAsia="he-IL"/>
        </w:rPr>
      </w:pPr>
      <w:r w:rsidRPr="00BD6E19">
        <w:rPr>
          <w:rtl/>
          <w:lang w:eastAsia="he-IL"/>
        </w:rPr>
        <w:tab/>
        <w:t>בית המשפט העליון קיבל את ערעור המדינה על קולת העונש, סקר פסקי דין בעבירות נשק, ואמר בין היתר את הדברים הבאים-</w:t>
      </w:r>
    </w:p>
    <w:p w14:paraId="18B1F373" w14:textId="77777777" w:rsidR="007D5BEE" w:rsidRPr="00BD6E19" w:rsidRDefault="007D5BEE" w:rsidP="007D5BEE">
      <w:pPr>
        <w:spacing w:line="360" w:lineRule="auto"/>
        <w:ind w:left="1440"/>
        <w:jc w:val="both"/>
        <w:rPr>
          <w:rtl/>
          <w:lang w:eastAsia="he-IL"/>
        </w:rPr>
      </w:pPr>
      <w:r w:rsidRPr="00BD6E19">
        <w:rPr>
          <w:rtl/>
          <w:lang w:eastAsia="he-IL"/>
        </w:rPr>
        <w:t xml:space="preserve">"... הגענו למסקנה כי במקרה שלפנינו, העונש שהוטל על המשיב </w:t>
      </w:r>
      <w:r w:rsidRPr="00BD6E19">
        <w:rPr>
          <w:b/>
          <w:bCs/>
          <w:rtl/>
          <w:lang w:eastAsia="he-IL"/>
        </w:rPr>
        <w:t>חורג לקולא באופן משמעותי</w:t>
      </w:r>
      <w:r w:rsidRPr="00BD6E19">
        <w:rPr>
          <w:rtl/>
          <w:lang w:eastAsia="he-IL"/>
        </w:rPr>
        <w:t xml:space="preserve"> </w:t>
      </w:r>
      <w:r w:rsidRPr="00BD6E19">
        <w:rPr>
          <w:b/>
          <w:bCs/>
          <w:rtl/>
          <w:lang w:eastAsia="he-IL"/>
        </w:rPr>
        <w:t>מהראוי</w:t>
      </w:r>
      <w:r w:rsidRPr="00BD6E19">
        <w:rPr>
          <w:rtl/>
          <w:lang w:eastAsia="he-IL"/>
        </w:rPr>
        <w:t xml:space="preserve"> ועל כן יש לקבל את הערעור... </w:t>
      </w:r>
      <w:r w:rsidRPr="00BD6E19">
        <w:rPr>
          <w:b/>
          <w:bCs/>
          <w:rtl/>
          <w:lang w:eastAsia="he-IL"/>
        </w:rPr>
        <w:t>בית משפט זה נקט בשנים האחרונות מגמה מוצהרת של החמרת רמת הענישה בעבירות נשק</w:t>
      </w:r>
      <w:r w:rsidRPr="00BD6E19">
        <w:rPr>
          <w:rtl/>
          <w:lang w:eastAsia="he-IL"/>
        </w:rPr>
        <w:t>, ועמד על כך פעמים רבות בשורה ארוכה של פסקי דין. ראו למשל את דבריו של השופט אדמונד לוי (אליהם גם התייחסה המערערת): ניסיון השנים האחרונות מלמד שנשק המוחזק שלא כדין מוצא את דרכו לעתים לידיים עוינות, ולעתים נעשה בו שימוש למטרות פליליות, ואלה גם אלה כבר גרמו לא אחת לאובדן חיי אדם, ולפגיעה בחפים מפשע שכל "חטאם" נבע מכך שהם נקלעו בדרך מקרה לזירת הפשע. כדי להלחם בכל אלה צריך העונש לבטא את סלידתה של החברה ודעתה הנחרצת שלא להשלים עם עבריינות בכלל, ומסוג זה בפרט (</w:t>
      </w:r>
      <w:hyperlink r:id="rId15" w:history="1">
        <w:r w:rsidR="005E6EAF" w:rsidRPr="005E6EAF">
          <w:rPr>
            <w:color w:val="0000FF"/>
            <w:u w:val="single"/>
            <w:rtl/>
            <w:lang w:eastAsia="he-IL"/>
          </w:rPr>
          <w:t>ע"פ 761/07</w:t>
        </w:r>
      </w:hyperlink>
      <w:r w:rsidRPr="00BD6E19">
        <w:rPr>
          <w:rtl/>
          <w:lang w:eastAsia="he-IL"/>
        </w:rPr>
        <w:t xml:space="preserve"> מדינת ישראל נ' אדרי [פורסם בנבו] (22.2.2007), להלן: "עניין אדרי"). כן ראו דבריה של השופטת עדנה ארבל: 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w:t>
      </w:r>
    </w:p>
    <w:p w14:paraId="7DD53F2B" w14:textId="77777777" w:rsidR="007D5BEE" w:rsidRPr="00BD6E19" w:rsidRDefault="007D5BEE" w:rsidP="007D5BEE">
      <w:pPr>
        <w:spacing w:line="360" w:lineRule="auto"/>
        <w:ind w:left="1440"/>
        <w:jc w:val="both"/>
        <w:rPr>
          <w:rtl/>
          <w:lang w:eastAsia="he-IL"/>
        </w:rPr>
      </w:pPr>
      <w:r w:rsidRPr="00BD6E19">
        <w:rPr>
          <w:rtl/>
          <w:lang w:eastAsia="he-IL"/>
        </w:rPr>
        <w:t>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 (</w:t>
      </w:r>
      <w:hyperlink r:id="rId16" w:history="1">
        <w:r w:rsidR="005E6EAF" w:rsidRPr="005E6EAF">
          <w:rPr>
            <w:color w:val="0000FF"/>
            <w:u w:val="single"/>
            <w:rtl/>
            <w:lang w:eastAsia="he-IL"/>
          </w:rPr>
          <w:t>ע"פ 1323/13</w:t>
        </w:r>
      </w:hyperlink>
      <w:r w:rsidRPr="00BD6E19">
        <w:rPr>
          <w:rtl/>
          <w:lang w:eastAsia="he-IL"/>
        </w:rPr>
        <w:t xml:space="preserve"> חסן נ' מדינת ישראל, [פורסם בנבו] פסקה 12 לפסק דינה של השופטת עדנה ארבל (5.6.2013))... על אף שבית המשפט קמא כתב פסק דין מנומק ויסודי, סברנו כי מתחם העונש, וכנגזר מכך העונש שהושת על המשיב, אכן מקלים מהראוי, ואינם עולים בקנה אחד עם המגמה האמורה. כך למשל, </w:t>
      </w:r>
      <w:r w:rsidRPr="00BD6E19">
        <w:rPr>
          <w:b/>
          <w:bCs/>
          <w:rtl/>
          <w:lang w:eastAsia="he-IL"/>
        </w:rPr>
        <w:t>ב</w:t>
      </w:r>
      <w:bookmarkStart w:id="8" w:name="Text1"/>
      <w:bookmarkEnd w:id="8"/>
      <w:r w:rsidR="005E6EAF" w:rsidRPr="005E6EAF">
        <w:rPr>
          <w:b/>
          <w:bCs/>
          <w:color w:val="0000FF"/>
          <w:u w:val="single"/>
          <w:rtl/>
          <w:lang w:eastAsia="he-IL"/>
        </w:rPr>
        <w:fldChar w:fldCharType="begin"/>
      </w:r>
      <w:r w:rsidR="005E6EAF" w:rsidRPr="005E6EAF">
        <w:rPr>
          <w:b/>
          <w:bCs/>
          <w:color w:val="0000FF"/>
          <w:u w:val="single"/>
          <w:rtl/>
          <w:lang w:eastAsia="he-IL"/>
        </w:rPr>
        <w:instrText xml:space="preserve"> </w:instrText>
      </w:r>
      <w:r w:rsidR="005E6EAF" w:rsidRPr="005E6EAF">
        <w:rPr>
          <w:b/>
          <w:bCs/>
          <w:color w:val="0000FF"/>
          <w:u w:val="single"/>
          <w:lang w:eastAsia="he-IL"/>
        </w:rPr>
        <w:instrText xml:space="preserve">HYPERLINK </w:instrText>
      </w:r>
      <w:r w:rsidR="005E6EAF" w:rsidRPr="005E6EAF">
        <w:rPr>
          <w:b/>
          <w:bCs/>
          <w:color w:val="0000FF"/>
          <w:u w:val="single"/>
          <w:rtl/>
          <w:lang w:eastAsia="he-IL"/>
        </w:rPr>
        <w:instrText>"</w:instrText>
      </w:r>
      <w:r w:rsidR="005E6EAF" w:rsidRPr="005E6EAF">
        <w:rPr>
          <w:b/>
          <w:bCs/>
          <w:color w:val="0000FF"/>
          <w:u w:val="single"/>
          <w:lang w:eastAsia="he-IL"/>
        </w:rPr>
        <w:instrText>http://www.nevo.co.il/case/5878682"</w:instrText>
      </w:r>
      <w:r w:rsidR="005E6EAF" w:rsidRPr="005E6EAF">
        <w:rPr>
          <w:b/>
          <w:bCs/>
          <w:color w:val="0000FF"/>
          <w:u w:val="single"/>
          <w:rtl/>
          <w:lang w:eastAsia="he-IL"/>
        </w:rPr>
        <w:instrText xml:space="preserve"> </w:instrText>
      </w:r>
      <w:r w:rsidR="005E6EAF" w:rsidRPr="005E6EAF">
        <w:rPr>
          <w:b/>
          <w:bCs/>
          <w:color w:val="0000FF"/>
          <w:u w:val="single"/>
          <w:rtl/>
          <w:lang w:eastAsia="he-IL"/>
        </w:rPr>
      </w:r>
      <w:r w:rsidR="005E6EAF" w:rsidRPr="005E6EAF">
        <w:rPr>
          <w:b/>
          <w:bCs/>
          <w:color w:val="0000FF"/>
          <w:u w:val="single"/>
          <w:rtl/>
          <w:lang w:eastAsia="he-IL"/>
        </w:rPr>
        <w:fldChar w:fldCharType="separate"/>
      </w:r>
      <w:r w:rsidR="005E6EAF" w:rsidRPr="005E6EAF">
        <w:rPr>
          <w:b/>
          <w:bCs/>
          <w:color w:val="0000FF"/>
          <w:u w:val="single"/>
          <w:rtl/>
          <w:lang w:eastAsia="he-IL"/>
        </w:rPr>
        <w:t>ע"פ 3156/11</w:t>
      </w:r>
      <w:r w:rsidR="005E6EAF" w:rsidRPr="005E6EAF">
        <w:rPr>
          <w:b/>
          <w:bCs/>
          <w:color w:val="0000FF"/>
          <w:u w:val="single"/>
          <w:rtl/>
          <w:lang w:eastAsia="he-IL"/>
        </w:rPr>
        <w:fldChar w:fldCharType="end"/>
      </w:r>
      <w:r w:rsidRPr="00BD6E19">
        <w:rPr>
          <w:b/>
          <w:bCs/>
          <w:rtl/>
          <w:lang w:eastAsia="he-IL"/>
        </w:rPr>
        <w:t xml:space="preserve"> זראיעה נ' מדינת ישראל</w:t>
      </w:r>
      <w:r w:rsidRPr="00BD6E19">
        <w:rPr>
          <w:rtl/>
          <w:lang w:eastAsia="he-IL"/>
        </w:rPr>
        <w:t xml:space="preserve"> [פורסם בנבו] (21.2.2012), נסע המערער ברכבו, לאחר שהסליק בו </w:t>
      </w:r>
      <w:r w:rsidRPr="00BD6E19">
        <w:rPr>
          <w:b/>
          <w:bCs/>
          <w:rtl/>
          <w:lang w:eastAsia="he-IL"/>
        </w:rPr>
        <w:t>אקדח</w:t>
      </w:r>
      <w:r w:rsidRPr="00BD6E19">
        <w:rPr>
          <w:rtl/>
          <w:lang w:eastAsia="he-IL"/>
        </w:rPr>
        <w:t xml:space="preserve"> מסוג "סמיטיווטסון", </w:t>
      </w:r>
      <w:r w:rsidRPr="00BD6E19">
        <w:rPr>
          <w:b/>
          <w:bCs/>
          <w:rtl/>
          <w:lang w:eastAsia="he-IL"/>
        </w:rPr>
        <w:t>מחסנית טעונה</w:t>
      </w:r>
      <w:r w:rsidRPr="00BD6E19">
        <w:rPr>
          <w:rtl/>
          <w:lang w:eastAsia="he-IL"/>
        </w:rPr>
        <w:t xml:space="preserve"> בכדורי אקדח בקוטר 9 מ"מ </w:t>
      </w:r>
      <w:r w:rsidRPr="00BD6E19">
        <w:rPr>
          <w:b/>
          <w:bCs/>
          <w:rtl/>
          <w:lang w:eastAsia="he-IL"/>
        </w:rPr>
        <w:t>וקופסאות עם כדורי אקדח</w:t>
      </w:r>
      <w:r w:rsidRPr="00BD6E19">
        <w:rPr>
          <w:rtl/>
          <w:lang w:eastAsia="he-IL"/>
        </w:rPr>
        <w:t xml:space="preserve"> בקוטר 9 מ"מ. האקדח והתחמושת נתפסו בחיפוש שגרתי שביצעה המשטרה ברכב. המערער במקרה זה היה בעל עבר פלילי המונה עבירה אחת, שנעברה 14 שנים לפני ביצוע העבירה הנוכחית ואינה ממין העבירות בהן הורשע. באותו מקרה נגזר על המערער עונש של</w:t>
      </w:r>
      <w:r w:rsidRPr="00BD6E19">
        <w:rPr>
          <w:b/>
          <w:bCs/>
          <w:rtl/>
          <w:lang w:eastAsia="he-IL"/>
        </w:rPr>
        <w:t xml:space="preserve"> 24 חודשי מאסר בפועל</w:t>
      </w:r>
      <w:r w:rsidRPr="00BD6E19">
        <w:rPr>
          <w:rtl/>
          <w:lang w:eastAsia="he-IL"/>
        </w:rPr>
        <w:t xml:space="preserve">, מאסר על תנאי של 12 חודשים וקנס כספי בסך של 10,000 ש"ח. </w:t>
      </w:r>
      <w:r w:rsidRPr="00BD6E19">
        <w:rPr>
          <w:b/>
          <w:bCs/>
          <w:rtl/>
          <w:lang w:eastAsia="he-IL"/>
        </w:rPr>
        <w:t>ב</w:t>
      </w:r>
      <w:hyperlink r:id="rId17" w:history="1">
        <w:r w:rsidR="005E6EAF" w:rsidRPr="005E6EAF">
          <w:rPr>
            <w:b/>
            <w:bCs/>
            <w:color w:val="0000FF"/>
            <w:u w:val="single"/>
            <w:rtl/>
            <w:lang w:eastAsia="he-IL"/>
          </w:rPr>
          <w:t>ע"פ 7285/01</w:t>
        </w:r>
      </w:hyperlink>
      <w:r w:rsidRPr="00BD6E19">
        <w:rPr>
          <w:b/>
          <w:bCs/>
          <w:rtl/>
          <w:lang w:eastAsia="he-IL"/>
        </w:rPr>
        <w:t xml:space="preserve"> מדינת ישראל נ' ג'אבר</w:t>
      </w:r>
      <w:r w:rsidRPr="00BD6E19">
        <w:rPr>
          <w:rtl/>
          <w:lang w:eastAsia="he-IL"/>
        </w:rPr>
        <w:t xml:space="preserve"> [פורסם בנבו] (11.10.2001) נמצא המשיב מחזיק ללא רשות כדין </w:t>
      </w:r>
      <w:r w:rsidRPr="00BD6E19">
        <w:rPr>
          <w:b/>
          <w:bCs/>
          <w:rtl/>
          <w:lang w:eastAsia="he-IL"/>
        </w:rPr>
        <w:t>תת-מקלע, אקדח, מחסניות ותחמושת</w:t>
      </w:r>
      <w:r w:rsidRPr="00BD6E19">
        <w:rPr>
          <w:rtl/>
          <w:lang w:eastAsia="he-IL"/>
        </w:rPr>
        <w:t xml:space="preserve">. נוסף על כך, הורשע גם בגין </w:t>
      </w:r>
      <w:r w:rsidRPr="00BD6E19">
        <w:rPr>
          <w:b/>
          <w:bCs/>
          <w:rtl/>
          <w:lang w:eastAsia="he-IL"/>
        </w:rPr>
        <w:t>הצתת שתי מצלמות משטרה</w:t>
      </w:r>
      <w:r w:rsidRPr="00BD6E19">
        <w:rPr>
          <w:rtl/>
          <w:lang w:eastAsia="he-IL"/>
        </w:rPr>
        <w:t xml:space="preserve">. בית המשפט המחוזי גזר על המשיב באותו עניין 6 חודשי מאסר, 18 חודשי מאסר על תנאי, וקנס בסך של 3,000 ש"ח. בית משפט זה קבע "שהעונש אשר הושת על המשיב מופלג בקולתו", </w:t>
      </w:r>
      <w:r w:rsidRPr="00BD6E19">
        <w:rPr>
          <w:b/>
          <w:bCs/>
          <w:rtl/>
          <w:lang w:eastAsia="he-IL"/>
        </w:rPr>
        <w:t>החמירו ל</w:t>
      </w:r>
      <w:r w:rsidRPr="00BD6E19">
        <w:rPr>
          <w:rtl/>
          <w:lang w:eastAsia="he-IL"/>
        </w:rPr>
        <w:t>-</w:t>
      </w:r>
      <w:r w:rsidRPr="00BD6E19">
        <w:rPr>
          <w:b/>
          <w:bCs/>
          <w:rtl/>
          <w:lang w:eastAsia="he-IL"/>
        </w:rPr>
        <w:t>24 חודשי מאסר בפועל</w:t>
      </w:r>
      <w:r w:rsidRPr="00BD6E19">
        <w:rPr>
          <w:rtl/>
          <w:lang w:eastAsia="he-IL"/>
        </w:rPr>
        <w:t xml:space="preserve"> ו-12 חודשי מאסר על תנאי, והותיר על כנו את הקנס. בעניין אדרי, נהג המשיב ברכבו, ובעת בדיקה משטרתית, נמצא מחזיק </w:t>
      </w:r>
      <w:r w:rsidRPr="00BD6E19">
        <w:rPr>
          <w:b/>
          <w:bCs/>
          <w:rtl/>
          <w:lang w:eastAsia="he-IL"/>
        </w:rPr>
        <w:t xml:space="preserve">באקדח, מחסנית ותחמושת </w:t>
      </w:r>
      <w:r w:rsidRPr="00BD6E19">
        <w:rPr>
          <w:rtl/>
          <w:lang w:eastAsia="he-IL"/>
        </w:rPr>
        <w:t xml:space="preserve">עטופים בגרב ומוסתרים בתחתוניו. נוסף לכך, המערער באותו עניין </w:t>
      </w:r>
      <w:r w:rsidRPr="00BD6E19">
        <w:rPr>
          <w:b/>
          <w:bCs/>
          <w:rtl/>
          <w:lang w:eastAsia="he-IL"/>
        </w:rPr>
        <w:t>הציג בפני השוטרים תעודת זהות של אחר</w:t>
      </w:r>
      <w:r w:rsidRPr="00BD6E19">
        <w:rPr>
          <w:rtl/>
          <w:lang w:eastAsia="he-IL"/>
        </w:rPr>
        <w:t xml:space="preserve"> מתוך כוונה להונותם. במקרה זה, נגזר על המשיב עונש של 12 חודשי מאסר בפועל, ולאחר ערעור המדינה על קולת העונש, </w:t>
      </w:r>
      <w:r w:rsidRPr="00BD6E19">
        <w:rPr>
          <w:b/>
          <w:bCs/>
          <w:rtl/>
          <w:lang w:eastAsia="he-IL"/>
        </w:rPr>
        <w:t>החמיר בית משפט זה את עונשו ל</w:t>
      </w:r>
      <w:r w:rsidRPr="00BD6E19">
        <w:rPr>
          <w:rtl/>
          <w:lang w:eastAsia="he-IL"/>
        </w:rPr>
        <w:t>-</w:t>
      </w:r>
      <w:r w:rsidRPr="00BD6E19">
        <w:rPr>
          <w:b/>
          <w:bCs/>
          <w:rtl/>
          <w:lang w:eastAsia="he-IL"/>
        </w:rPr>
        <w:t>24 חודשי מאסר בפועל</w:t>
      </w:r>
      <w:r w:rsidRPr="00BD6E19">
        <w:rPr>
          <w:rtl/>
          <w:lang w:eastAsia="he-IL"/>
        </w:rPr>
        <w:t xml:space="preserve">. הדברים שאמר השופט אדמונד לוי, יפים גם לענייננו: אנו סבורים כי ערעור זה בדין יסודו. ההיגיון מחייב כי מי שכוונותיו טובות והנשק דרוש לו למטרות כשרות ומותרות על פי דין, יטרח ויצטייד ברישיון מהרשות המוסמכת. ולהיפך, מקום שאדם נמצא מחזיק בנשק כשהוא טעון במחסנית ובתחמושת וללא רישיון, מותר להניח לחובתו כי הוא עושה זאת למטרות לא כשרות, במיוחד כאשר הוא אינו מציע לכך הסבר אשר יניח את דעתו של בית המשפט. חשד זה חמור שבעתיים, מקום שהמחזיק בנשק הנו בעל הרשעות קודמות, חלקן לא פשוטות כלל, וכזהו המשיב (עניין אדרי, בעמ' 2)...  </w:t>
      </w:r>
      <w:r w:rsidRPr="00BD6E19">
        <w:rPr>
          <w:b/>
          <w:bCs/>
          <w:rtl/>
          <w:lang w:eastAsia="he-IL"/>
        </w:rPr>
        <w:t>לאור הדברים הללו, מצאנו כי במקרה זה יש להחמיר את עונשו של המשיב.</w:t>
      </w:r>
      <w:r w:rsidRPr="00BD6E19">
        <w:rPr>
          <w:rtl/>
          <w:lang w:eastAsia="he-IL"/>
        </w:rPr>
        <w:t xml:space="preserve">.. </w:t>
      </w:r>
    </w:p>
    <w:p w14:paraId="78E53DE4" w14:textId="77777777" w:rsidR="007D5BEE" w:rsidRPr="00BD6E19" w:rsidRDefault="007D5BEE" w:rsidP="007D5BEE">
      <w:pPr>
        <w:spacing w:line="360" w:lineRule="auto"/>
        <w:ind w:left="1440"/>
        <w:jc w:val="both"/>
        <w:rPr>
          <w:rtl/>
          <w:lang w:eastAsia="he-IL"/>
        </w:rPr>
      </w:pPr>
      <w:r w:rsidRPr="00BD6E19">
        <w:rPr>
          <w:rtl/>
          <w:lang w:eastAsia="he-IL"/>
        </w:rPr>
        <w:t xml:space="preserve">לא נעלמה מעינינו העובדה כי המשיב שיקם את חייו בצורה טובה, נמנע מביצוע עבירות במשך שנים רבות, וקיבל המלצות חיוביות משירות המבחן. אולם, מדובר בעבירות חמורות, ובהתחשב בנסיבות שנמנו לעיל, על העונש להלום את חומרתן... סוף דבר: דין ערעור המדינה להתקבל. כלל הוא כי ערכאת הערעור אינה ממצה את הדין, ולכן נחמיר בעונש בצורה מתונה, כך שעונש המאסר בפועל יעמוד על </w:t>
      </w:r>
      <w:r w:rsidRPr="00BD6E19">
        <w:rPr>
          <w:b/>
          <w:bCs/>
          <w:rtl/>
          <w:lang w:eastAsia="he-IL"/>
        </w:rPr>
        <w:t>24 חודשים</w:t>
      </w:r>
      <w:r w:rsidRPr="00BD6E19">
        <w:rPr>
          <w:rtl/>
          <w:lang w:eastAsia="he-IL"/>
        </w:rPr>
        <w:t>. שאר רכיבי העונש יוותרו על כנם כפי שקבע בית המשפט קמא. "</w:t>
      </w:r>
    </w:p>
    <w:p w14:paraId="0D845BFA" w14:textId="77777777" w:rsidR="007D5BEE" w:rsidRPr="00BD6E19" w:rsidRDefault="007D5BEE" w:rsidP="007D5BEE">
      <w:pPr>
        <w:spacing w:line="360" w:lineRule="auto"/>
        <w:jc w:val="both"/>
        <w:rPr>
          <w:rtl/>
        </w:rPr>
      </w:pPr>
    </w:p>
    <w:p w14:paraId="29C93AF2" w14:textId="77777777" w:rsidR="007D5BEE" w:rsidRPr="00BD6E19" w:rsidRDefault="007D5BEE" w:rsidP="007D5BEE">
      <w:pPr>
        <w:spacing w:line="360" w:lineRule="auto"/>
        <w:ind w:left="720" w:hanging="720"/>
        <w:jc w:val="both"/>
        <w:rPr>
          <w:rtl/>
        </w:rPr>
      </w:pPr>
    </w:p>
    <w:p w14:paraId="27E72770" w14:textId="77777777" w:rsidR="007D5BEE" w:rsidRPr="00BD6E19" w:rsidRDefault="007D5BEE" w:rsidP="007D5BEE">
      <w:pPr>
        <w:spacing w:line="360" w:lineRule="auto"/>
        <w:ind w:left="720"/>
        <w:jc w:val="both"/>
        <w:rPr>
          <w:rtl/>
          <w:lang w:eastAsia="he-IL"/>
        </w:rPr>
      </w:pPr>
      <w:r w:rsidRPr="00BD6E19">
        <w:rPr>
          <w:rtl/>
          <w:lang w:eastAsia="he-IL"/>
        </w:rPr>
        <w:t>ב</w:t>
      </w:r>
      <w:hyperlink r:id="rId18" w:history="1">
        <w:r w:rsidR="005E6EAF" w:rsidRPr="005E6EAF">
          <w:rPr>
            <w:color w:val="0000FF"/>
            <w:u w:val="single"/>
            <w:rtl/>
            <w:lang w:eastAsia="he-IL"/>
          </w:rPr>
          <w:t>ע"פ 4345/18</w:t>
        </w:r>
      </w:hyperlink>
      <w:r w:rsidRPr="00BD6E19">
        <w:rPr>
          <w:b/>
          <w:bCs/>
          <w:rtl/>
          <w:lang w:eastAsia="he-IL"/>
        </w:rPr>
        <w:t xml:space="preserve"> ‏ חמודא אבו עמאר </w:t>
      </w:r>
      <w:r w:rsidRPr="00BD6E19">
        <w:rPr>
          <w:rtl/>
          <w:lang w:eastAsia="he-IL"/>
        </w:rPr>
        <w:t>נגד</w:t>
      </w:r>
      <w:r w:rsidRPr="00BD6E19">
        <w:rPr>
          <w:b/>
          <w:bCs/>
          <w:rtl/>
          <w:lang w:eastAsia="he-IL"/>
        </w:rPr>
        <w:t xml:space="preserve"> מדינת ישראל</w:t>
      </w:r>
      <w:r w:rsidRPr="00BD6E19">
        <w:rPr>
          <w:rtl/>
        </w:rPr>
        <w:t xml:space="preserve"> (פורסם בנבו, 29.11.18) המערער הורשע </w:t>
      </w:r>
      <w:r w:rsidRPr="00BD6E19">
        <w:rPr>
          <w:rtl/>
          <w:lang w:eastAsia="he-IL"/>
        </w:rPr>
        <w:t xml:space="preserve">בעבירות של נשיאת נשק ותחמושת ונהיגה בקלות ראש. נטען כי הוא מצא </w:t>
      </w:r>
      <w:r w:rsidRPr="00BD6E19">
        <w:rPr>
          <w:b/>
          <w:bCs/>
          <w:rtl/>
          <w:lang w:eastAsia="he-IL"/>
        </w:rPr>
        <w:t>נשק מאולתר מסוג "קרל גוסטב",</w:t>
      </w:r>
      <w:r w:rsidRPr="00BD6E19">
        <w:rPr>
          <w:rtl/>
          <w:lang w:eastAsia="he-IL"/>
        </w:rPr>
        <w:t xml:space="preserve"> </w:t>
      </w:r>
      <w:r w:rsidRPr="00BD6E19">
        <w:rPr>
          <w:b/>
          <w:bCs/>
          <w:rtl/>
          <w:lang w:eastAsia="he-IL"/>
        </w:rPr>
        <w:t>טעון במחסנית מלאה בעשרה כדורים תואמים</w:t>
      </w:r>
      <w:r w:rsidRPr="00BD6E19">
        <w:rPr>
          <w:rtl/>
          <w:lang w:eastAsia="he-IL"/>
        </w:rPr>
        <w:t xml:space="preserve">, ובאותו היום, זמן קצר לאחר מכן, נשא את הנשק הטעון והובילו בתא הכפפות ברכבו בעיר לוד, כאשר הוא נוהג את רכבו במהירות ובחוסר זהירות. שני שוטרים אשר הבחינו בנהיגתו, כרזו לו לעצור את רכבו בצד הדרך, ובנסיבות אלה נתפס הנשק. </w:t>
      </w:r>
    </w:p>
    <w:p w14:paraId="69E0BF23" w14:textId="77777777" w:rsidR="007D5BEE" w:rsidRPr="00BD6E19" w:rsidRDefault="007D5BEE" w:rsidP="007D5BEE">
      <w:pPr>
        <w:spacing w:line="360" w:lineRule="auto"/>
        <w:ind w:left="720"/>
        <w:jc w:val="both"/>
        <w:rPr>
          <w:rtl/>
          <w:lang w:eastAsia="he-IL"/>
        </w:rPr>
      </w:pPr>
      <w:r w:rsidRPr="00BD6E19">
        <w:rPr>
          <w:rtl/>
          <w:lang w:eastAsia="he-IL"/>
        </w:rPr>
        <w:t xml:space="preserve">בית המשפט המחוזי קבע כי </w:t>
      </w:r>
      <w:r w:rsidRPr="00BD6E19">
        <w:rPr>
          <w:b/>
          <w:bCs/>
          <w:rtl/>
          <w:lang w:eastAsia="he-IL"/>
        </w:rPr>
        <w:t>מתחם העונש ההולם נע בין 20 ל- 48 חודשי מאסר</w:t>
      </w:r>
      <w:r w:rsidRPr="00BD6E19">
        <w:rPr>
          <w:rtl/>
          <w:lang w:eastAsia="he-IL"/>
        </w:rPr>
        <w:t xml:space="preserve">, ציין לקולא כי המערער נעדר עבר פלילי, לקח אחריות על מעשיו בפני בית המשפט וחסך בזמן שיפוטי, גילו צעיר, הוא מוכיח יציבות תעסוקתית ושיתוף פעולה עם שירות המבחן, והוסיף כי המערער חושש משליחתו למאסר שכן ברור לו כי תהיה לכך השלכה על משפחתו ועל חייו כאדם צעיר, והטיל על המערער </w:t>
      </w:r>
      <w:r w:rsidRPr="00BD6E19">
        <w:rPr>
          <w:b/>
          <w:bCs/>
          <w:rtl/>
          <w:lang w:eastAsia="he-IL"/>
        </w:rPr>
        <w:t>20 חודשי מאסר בפועל</w:t>
      </w:r>
      <w:r w:rsidRPr="00BD6E19">
        <w:rPr>
          <w:rtl/>
          <w:lang w:eastAsia="he-IL"/>
        </w:rPr>
        <w:t xml:space="preserve">. </w:t>
      </w:r>
    </w:p>
    <w:p w14:paraId="6E119E8B" w14:textId="77777777" w:rsidR="007D5BEE" w:rsidRPr="00BD6E19" w:rsidRDefault="007D5BEE" w:rsidP="007D5BEE">
      <w:pPr>
        <w:spacing w:line="360" w:lineRule="auto"/>
        <w:ind w:left="720"/>
        <w:jc w:val="both"/>
        <w:rPr>
          <w:rtl/>
          <w:lang w:eastAsia="he-IL"/>
        </w:rPr>
      </w:pPr>
    </w:p>
    <w:p w14:paraId="34FC2BDD" w14:textId="77777777" w:rsidR="007D5BEE" w:rsidRPr="00BD6E19" w:rsidRDefault="007D5BEE" w:rsidP="007D5BEE">
      <w:pPr>
        <w:spacing w:line="360" w:lineRule="auto"/>
        <w:ind w:left="720"/>
        <w:jc w:val="both"/>
        <w:rPr>
          <w:rtl/>
          <w:lang w:eastAsia="he-IL"/>
        </w:rPr>
      </w:pPr>
      <w:r w:rsidRPr="00BD6E19">
        <w:rPr>
          <w:rtl/>
          <w:lang w:eastAsia="he-IL"/>
        </w:rPr>
        <w:t xml:space="preserve">בית המשפט העליון צין כי </w:t>
      </w:r>
      <w:r w:rsidRPr="00BD6E19">
        <w:rPr>
          <w:b/>
          <w:bCs/>
          <w:rtl/>
          <w:lang w:eastAsia="he-IL"/>
        </w:rPr>
        <w:t>אין מקום להתערב במתחם העונש שנקבע</w:t>
      </w:r>
      <w:r w:rsidRPr="00BD6E19">
        <w:rPr>
          <w:rtl/>
          <w:lang w:eastAsia="he-IL"/>
        </w:rPr>
        <w:t xml:space="preserve">, אך סבר כי יש להקל במעט בעונש שהוטל על המערער, במיוחד נוכח תסקירי שירות מבחן עדכניים על המערער שהצביעו על סיכויי שיקומו ועל השתלבותו בהליך טיפולי, ובשים לב לגילו הצעיר ולהעדר כל עבר פלילי, וקבע עונש מאסר של </w:t>
      </w:r>
      <w:r w:rsidRPr="00BD6E19">
        <w:rPr>
          <w:b/>
          <w:bCs/>
          <w:rtl/>
          <w:lang w:eastAsia="he-IL"/>
        </w:rPr>
        <w:t>17 חודשי מאסר בפועל</w:t>
      </w:r>
      <w:r w:rsidRPr="00BD6E19">
        <w:rPr>
          <w:rtl/>
          <w:lang w:eastAsia="he-IL"/>
        </w:rPr>
        <w:t xml:space="preserve">. </w:t>
      </w:r>
    </w:p>
    <w:p w14:paraId="492B9061" w14:textId="77777777" w:rsidR="007D5BEE" w:rsidRPr="00BD6E19" w:rsidRDefault="007D5BEE" w:rsidP="007D5BEE">
      <w:pPr>
        <w:spacing w:line="360" w:lineRule="auto"/>
        <w:ind w:left="720"/>
        <w:jc w:val="both"/>
        <w:rPr>
          <w:rtl/>
          <w:lang w:eastAsia="he-IL"/>
        </w:rPr>
      </w:pPr>
    </w:p>
    <w:p w14:paraId="274EC3F0" w14:textId="77777777" w:rsidR="007D5BEE" w:rsidRPr="00BD6E19" w:rsidRDefault="007D5BEE" w:rsidP="007D5BEE">
      <w:pPr>
        <w:spacing w:line="360" w:lineRule="auto"/>
        <w:ind w:left="720"/>
        <w:jc w:val="both"/>
        <w:rPr>
          <w:rtl/>
          <w:lang w:eastAsia="he-IL"/>
        </w:rPr>
      </w:pPr>
      <w:r w:rsidRPr="00BD6E19">
        <w:rPr>
          <w:rFonts w:ascii="FrankRuehl" w:hAnsi="FrankRuehl" w:hint="eastAsia"/>
          <w:rtl/>
          <w:lang w:eastAsia="he-IL"/>
        </w:rPr>
        <w:t>ב</w:t>
      </w:r>
      <w:hyperlink r:id="rId19" w:history="1">
        <w:r w:rsidR="005E6EAF" w:rsidRPr="005E6EAF">
          <w:rPr>
            <w:rFonts w:ascii="FrankRuehl" w:hAnsi="FrankRuehl"/>
            <w:color w:val="0000FF"/>
            <w:u w:val="single"/>
            <w:rtl/>
            <w:lang w:eastAsia="he-IL"/>
          </w:rPr>
          <w:t>ע"פ 2243/17</w:t>
        </w:r>
      </w:hyperlink>
      <w:r w:rsidRPr="00BD6E19">
        <w:rPr>
          <w:rFonts w:ascii="FrankRuehl" w:hAnsi="FrankRuehl"/>
          <w:rtl/>
          <w:lang w:eastAsia="he-IL"/>
        </w:rPr>
        <w:t xml:space="preserve"> </w:t>
      </w:r>
      <w:r w:rsidRPr="00BD6E19">
        <w:rPr>
          <w:rFonts w:ascii="FrankRuehl" w:hAnsi="FrankRuehl" w:hint="eastAsia"/>
          <w:b/>
          <w:bCs/>
          <w:rtl/>
          <w:lang w:eastAsia="he-IL"/>
        </w:rPr>
        <w:t>חוסין</w:t>
      </w:r>
      <w:r w:rsidRPr="00BD6E19">
        <w:rPr>
          <w:rFonts w:ascii="FrankRuehl" w:hAnsi="FrankRuehl"/>
          <w:b/>
          <w:bCs/>
          <w:rtl/>
          <w:lang w:eastAsia="he-IL"/>
        </w:rPr>
        <w:t xml:space="preserve"> </w:t>
      </w:r>
      <w:r w:rsidRPr="00BD6E19">
        <w:rPr>
          <w:rFonts w:ascii="FrankRuehl" w:hAnsi="FrankRuehl" w:hint="eastAsia"/>
          <w:b/>
          <w:bCs/>
          <w:rtl/>
          <w:lang w:eastAsia="he-IL"/>
        </w:rPr>
        <w:t>אכראם</w:t>
      </w:r>
      <w:r w:rsidRPr="00BD6E19">
        <w:rPr>
          <w:rFonts w:ascii="FrankRuehl" w:hAnsi="FrankRuehl"/>
          <w:rtl/>
          <w:lang w:eastAsia="he-IL"/>
        </w:rPr>
        <w:t xml:space="preserve"> </w:t>
      </w:r>
      <w:r w:rsidRPr="00BD6E19">
        <w:rPr>
          <w:rFonts w:ascii="FrankRuehl" w:hAnsi="FrankRuehl" w:hint="eastAsia"/>
          <w:rtl/>
          <w:lang w:eastAsia="he-IL"/>
        </w:rPr>
        <w:t>נגד</w:t>
      </w:r>
      <w:r w:rsidRPr="00BD6E19">
        <w:rPr>
          <w:rFonts w:ascii="FrankRuehl" w:hAnsi="FrankRuehl"/>
          <w:rtl/>
          <w:lang w:eastAsia="he-IL"/>
        </w:rPr>
        <w:t xml:space="preserve"> </w:t>
      </w:r>
      <w:r w:rsidRPr="00BD6E19">
        <w:rPr>
          <w:rFonts w:ascii="FrankRuehl" w:hAnsi="FrankRuehl" w:hint="eastAsia"/>
          <w:b/>
          <w:bCs/>
          <w:rtl/>
          <w:lang w:eastAsia="he-IL"/>
        </w:rPr>
        <w:t>מדינת</w:t>
      </w:r>
      <w:r w:rsidRPr="00BD6E19">
        <w:rPr>
          <w:rFonts w:ascii="FrankRuehl" w:hAnsi="FrankRuehl"/>
          <w:b/>
          <w:bCs/>
          <w:rtl/>
          <w:lang w:eastAsia="he-IL"/>
        </w:rPr>
        <w:t xml:space="preserve"> </w:t>
      </w:r>
      <w:r w:rsidRPr="00BD6E19">
        <w:rPr>
          <w:rFonts w:ascii="FrankRuehl" w:hAnsi="FrankRuehl" w:hint="eastAsia"/>
          <w:b/>
          <w:bCs/>
          <w:rtl/>
          <w:lang w:eastAsia="he-IL"/>
        </w:rPr>
        <w:t>ישראל</w:t>
      </w:r>
      <w:r w:rsidRPr="00BD6E19">
        <w:rPr>
          <w:rtl/>
        </w:rPr>
        <w:t xml:space="preserve"> (פורסם בנבו, </w:t>
      </w:r>
      <w:r w:rsidRPr="00BD6E19">
        <w:rPr>
          <w:rtl/>
          <w:lang w:eastAsia="he-IL"/>
        </w:rPr>
        <w:t xml:space="preserve">‏29.10.2017) המערער הורשע בעבירות של נשיאת נשק והחזקת נשק. נטען כי המערער החזיק שלא כדין </w:t>
      </w:r>
      <w:r w:rsidRPr="00BD6E19">
        <w:rPr>
          <w:b/>
          <w:bCs/>
          <w:rtl/>
          <w:lang w:eastAsia="he-IL"/>
        </w:rPr>
        <w:t>באקדח מסוג "גלוק" וכן מחסנית ובה 14 כדורי אקדח</w:t>
      </w:r>
      <w:r w:rsidRPr="00BD6E19">
        <w:rPr>
          <w:rtl/>
          <w:lang w:eastAsia="he-IL"/>
        </w:rPr>
        <w:t xml:space="preserve">. ביום 23.3.2016, נורו לעברו של אדם שהיה מעסיקו של המערער (להלן: האחר) יריות, ובהמשך לכך נסע המערער למחסן שבו הוחזק הנשק, לקח את הנשק ונסע, כשהוא מצויד בנשק, כדי "לחפש את האחר". בית המשפט המחוזי קבע </w:t>
      </w:r>
      <w:r w:rsidRPr="00BD6E19">
        <w:rPr>
          <w:b/>
          <w:bCs/>
          <w:rtl/>
          <w:lang w:eastAsia="he-IL"/>
        </w:rPr>
        <w:t>מתחם עונש הנע בין 12 ל- 30 חודשי מאסר</w:t>
      </w:r>
      <w:r w:rsidRPr="00BD6E19">
        <w:rPr>
          <w:rtl/>
          <w:lang w:eastAsia="he-IL"/>
        </w:rPr>
        <w:t xml:space="preserve">, וגזר על המערער </w:t>
      </w:r>
      <w:r w:rsidRPr="00BD6E19">
        <w:rPr>
          <w:b/>
          <w:bCs/>
          <w:rtl/>
          <w:lang w:eastAsia="he-IL"/>
        </w:rPr>
        <w:t>שנת מאסר בפועל</w:t>
      </w:r>
      <w:r w:rsidRPr="00BD6E19">
        <w:rPr>
          <w:rtl/>
          <w:lang w:eastAsia="he-IL"/>
        </w:rPr>
        <w:t xml:space="preserve">. בית המשפט העליון דחה את הערעור וקבע- </w:t>
      </w:r>
    </w:p>
    <w:p w14:paraId="13BF9AD8" w14:textId="77777777" w:rsidR="007D5BEE" w:rsidRPr="00BD6E19" w:rsidRDefault="007D5BEE" w:rsidP="007D5BEE">
      <w:pPr>
        <w:spacing w:line="360" w:lineRule="auto"/>
        <w:ind w:left="1440"/>
        <w:jc w:val="both"/>
        <w:rPr>
          <w:rtl/>
        </w:rPr>
      </w:pPr>
      <w:r w:rsidRPr="00BD6E19">
        <w:rPr>
          <w:rtl/>
          <w:lang w:eastAsia="he-IL"/>
        </w:rPr>
        <w:t>"לאחר שבחנו את טיעוני הצדדים, הגענו למסקנה כי אין בידינו לקבל את הערעור. המערער הורשע בעבירות חמורות, הנעוצות בהחזקת אקדח ותחמושת שלא כדין, ובנשיאתו לזירת אירוע בו נורו יריות לעבר מעסיקו, גם אם מתוך כוונה להגן עליו. בית משפט קמא קבע מתחם הנע בין 12 ל-30 חודשי מאסר, וגזר על המערער עונש העומד בתחתיתו של המתחם, מתוך התחשבות בכלל הנסיבות המקלות שפורטו על ידי המערער."</w:t>
      </w:r>
    </w:p>
    <w:p w14:paraId="38A3FCFA" w14:textId="77777777" w:rsidR="007D5BEE" w:rsidRPr="00BD6E19" w:rsidRDefault="007D5BEE" w:rsidP="007D5BEE">
      <w:pPr>
        <w:spacing w:line="360" w:lineRule="auto"/>
        <w:ind w:left="720"/>
        <w:jc w:val="both"/>
        <w:rPr>
          <w:rtl/>
        </w:rPr>
      </w:pPr>
    </w:p>
    <w:p w14:paraId="062CD89E" w14:textId="77777777" w:rsidR="007D5BEE" w:rsidRPr="00BD6E19" w:rsidRDefault="007D5BEE" w:rsidP="007D5BEE">
      <w:pPr>
        <w:spacing w:line="360" w:lineRule="auto"/>
        <w:ind w:left="720"/>
        <w:jc w:val="both"/>
        <w:rPr>
          <w:rtl/>
          <w:lang w:eastAsia="he-IL"/>
        </w:rPr>
      </w:pPr>
      <w:r w:rsidRPr="00BD6E19">
        <w:rPr>
          <w:rFonts w:ascii="FrankRuehl" w:hAnsi="FrankRuehl" w:hint="eastAsia"/>
          <w:rtl/>
          <w:lang w:eastAsia="he-IL"/>
        </w:rPr>
        <w:t>ב</w:t>
      </w:r>
      <w:hyperlink r:id="rId20" w:history="1">
        <w:r w:rsidR="005E6EAF" w:rsidRPr="005E6EAF">
          <w:rPr>
            <w:rFonts w:ascii="FrankRuehl" w:hAnsi="FrankRuehl"/>
            <w:color w:val="0000FF"/>
            <w:u w:val="single"/>
            <w:rtl/>
            <w:lang w:eastAsia="he-IL"/>
          </w:rPr>
          <w:t>ע"פ  135/17</w:t>
        </w:r>
      </w:hyperlink>
      <w:r w:rsidRPr="00BD6E19">
        <w:rPr>
          <w:rFonts w:ascii="FrankRuehl" w:hAnsi="FrankRuehl"/>
          <w:rtl/>
          <w:lang w:eastAsia="he-IL"/>
        </w:rPr>
        <w:t xml:space="preserve"> </w:t>
      </w:r>
      <w:r w:rsidRPr="00BD6E19">
        <w:rPr>
          <w:rFonts w:ascii="FrankRuehl" w:hAnsi="FrankRuehl" w:hint="eastAsia"/>
          <w:b/>
          <w:bCs/>
          <w:rtl/>
          <w:lang w:eastAsia="he-IL"/>
        </w:rPr>
        <w:t>מדינת</w:t>
      </w:r>
      <w:r w:rsidRPr="00BD6E19">
        <w:rPr>
          <w:rFonts w:ascii="FrankRuehl" w:hAnsi="FrankRuehl"/>
          <w:b/>
          <w:bCs/>
          <w:rtl/>
          <w:lang w:eastAsia="he-IL"/>
        </w:rPr>
        <w:t xml:space="preserve"> </w:t>
      </w:r>
      <w:r w:rsidRPr="00BD6E19">
        <w:rPr>
          <w:rFonts w:ascii="FrankRuehl" w:hAnsi="FrankRuehl" w:hint="eastAsia"/>
          <w:b/>
          <w:bCs/>
          <w:rtl/>
          <w:lang w:eastAsia="he-IL"/>
        </w:rPr>
        <w:t>ישראל</w:t>
      </w:r>
      <w:r w:rsidRPr="00BD6E19">
        <w:rPr>
          <w:rFonts w:ascii="FrankRuehl" w:hAnsi="FrankRuehl"/>
          <w:rtl/>
          <w:lang w:eastAsia="he-IL"/>
        </w:rPr>
        <w:t xml:space="preserve"> </w:t>
      </w:r>
      <w:r w:rsidRPr="00BD6E19">
        <w:rPr>
          <w:rFonts w:ascii="FrankRuehl" w:hAnsi="FrankRuehl" w:hint="eastAsia"/>
          <w:b/>
          <w:bCs/>
          <w:rtl/>
          <w:lang w:eastAsia="he-IL"/>
        </w:rPr>
        <w:t>נגד</w:t>
      </w:r>
      <w:r w:rsidRPr="00BD6E19">
        <w:rPr>
          <w:rFonts w:ascii="FrankRuehl" w:hAnsi="FrankRuehl"/>
          <w:b/>
          <w:bCs/>
          <w:rtl/>
          <w:lang w:eastAsia="he-IL"/>
        </w:rPr>
        <w:t xml:space="preserve"> </w:t>
      </w:r>
      <w:r w:rsidRPr="00BD6E19">
        <w:rPr>
          <w:rFonts w:ascii="FrankRuehl" w:hAnsi="FrankRuehl" w:hint="eastAsia"/>
          <w:b/>
          <w:bCs/>
          <w:rtl/>
          <w:lang w:eastAsia="he-IL"/>
        </w:rPr>
        <w:t>סמיר</w:t>
      </w:r>
      <w:r w:rsidRPr="00BD6E19">
        <w:rPr>
          <w:rFonts w:ascii="FrankRuehl" w:hAnsi="FrankRuehl"/>
          <w:b/>
          <w:bCs/>
          <w:rtl/>
          <w:lang w:eastAsia="he-IL"/>
        </w:rPr>
        <w:t xml:space="preserve"> </w:t>
      </w:r>
      <w:r w:rsidRPr="00BD6E19">
        <w:rPr>
          <w:rFonts w:ascii="FrankRuehl" w:hAnsi="FrankRuehl" w:hint="eastAsia"/>
          <w:b/>
          <w:bCs/>
          <w:rtl/>
          <w:lang w:eastAsia="he-IL"/>
        </w:rPr>
        <w:t>בסל</w:t>
      </w:r>
      <w:r w:rsidRPr="00BD6E19">
        <w:rPr>
          <w:rFonts w:ascii="FrankRuehl" w:hAnsi="FrankRuehl"/>
          <w:rtl/>
          <w:lang w:eastAsia="he-IL"/>
        </w:rPr>
        <w:t xml:space="preserve"> (</w:t>
      </w:r>
      <w:r w:rsidRPr="00BD6E19">
        <w:rPr>
          <w:rFonts w:ascii="FrankRuehl" w:hAnsi="FrankRuehl" w:hint="eastAsia"/>
          <w:rtl/>
          <w:lang w:eastAsia="he-IL"/>
        </w:rPr>
        <w:t>פורסם</w:t>
      </w:r>
      <w:r w:rsidRPr="00BD6E19">
        <w:rPr>
          <w:rFonts w:ascii="FrankRuehl" w:hAnsi="FrankRuehl"/>
          <w:rtl/>
          <w:lang w:eastAsia="he-IL"/>
        </w:rPr>
        <w:t xml:space="preserve"> </w:t>
      </w:r>
      <w:r w:rsidRPr="00BD6E19">
        <w:rPr>
          <w:rFonts w:ascii="FrankRuehl" w:hAnsi="FrankRuehl" w:hint="eastAsia"/>
          <w:rtl/>
          <w:lang w:eastAsia="he-IL"/>
        </w:rPr>
        <w:t>בנבו</w:t>
      </w:r>
      <w:r w:rsidRPr="00BD6E19">
        <w:rPr>
          <w:rFonts w:ascii="FrankRuehl" w:hAnsi="FrankRuehl"/>
          <w:rtl/>
          <w:lang w:eastAsia="he-IL"/>
        </w:rPr>
        <w:t>,</w:t>
      </w:r>
      <w:r w:rsidRPr="00BD6E19">
        <w:rPr>
          <w:rtl/>
          <w:lang w:eastAsia="he-IL"/>
        </w:rPr>
        <w:t xml:space="preserve">‏8.3.2017) הורשע המשיב בעבירה של החזקה ונשיאת נשק. נטען כי קרוב משפחתו של המשיב רכש, שלא כדין,  </w:t>
      </w:r>
      <w:r w:rsidRPr="00BD6E19">
        <w:rPr>
          <w:b/>
          <w:bCs/>
          <w:rtl/>
          <w:lang w:eastAsia="he-IL"/>
        </w:rPr>
        <w:t>תת מקלע מאולתר ומחסנית</w:t>
      </w:r>
      <w:r w:rsidRPr="00BD6E19">
        <w:rPr>
          <w:rtl/>
          <w:lang w:eastAsia="he-IL"/>
        </w:rPr>
        <w:t xml:space="preserve">, וביקש מהמשיב שיקח את הנשק לחזקתו ויחביא אותו. המשיב הוביל את הנשק והמחסנית למקום מסתור, והחזיק אותם שם כשבוע. אז קרוב משפחה אחר ביקש לקבל את הנשק לידיו, והוא הופנה למשיב וקיבל ממנו את תת המקלע והמחסנית. </w:t>
      </w:r>
    </w:p>
    <w:p w14:paraId="017ED80E" w14:textId="77777777" w:rsidR="007D5BEE" w:rsidRPr="00BD6E19" w:rsidRDefault="007D5BEE" w:rsidP="007D5BEE">
      <w:pPr>
        <w:spacing w:line="360" w:lineRule="auto"/>
        <w:ind w:left="720"/>
        <w:jc w:val="both"/>
        <w:rPr>
          <w:rtl/>
          <w:lang w:eastAsia="he-IL"/>
        </w:rPr>
      </w:pPr>
      <w:r w:rsidRPr="00BD6E19">
        <w:rPr>
          <w:rtl/>
          <w:lang w:eastAsia="he-IL"/>
        </w:rPr>
        <w:t xml:space="preserve">בית המשפט המחוזי קבע כי </w:t>
      </w:r>
      <w:r w:rsidRPr="00BD6E19">
        <w:rPr>
          <w:b/>
          <w:bCs/>
          <w:rtl/>
          <w:lang w:eastAsia="he-IL"/>
        </w:rPr>
        <w:t>מתחם העונש ההולם נע בין 9 ל- 36 חודשי מאסר</w:t>
      </w:r>
      <w:r w:rsidRPr="00BD6E19">
        <w:rPr>
          <w:rtl/>
          <w:lang w:eastAsia="he-IL"/>
        </w:rPr>
        <w:t xml:space="preserve"> וגזר על המשיב </w:t>
      </w:r>
      <w:r w:rsidRPr="00BD6E19">
        <w:rPr>
          <w:b/>
          <w:bCs/>
          <w:rtl/>
          <w:lang w:eastAsia="he-IL"/>
        </w:rPr>
        <w:t>12 חודשי מאסר בפועל</w:t>
      </w:r>
      <w:r w:rsidRPr="00BD6E19">
        <w:rPr>
          <w:rtl/>
          <w:lang w:eastAsia="he-IL"/>
        </w:rPr>
        <w:t xml:space="preserve">. </w:t>
      </w:r>
    </w:p>
    <w:p w14:paraId="7A333C77" w14:textId="77777777" w:rsidR="007D5BEE" w:rsidRPr="00BD6E19" w:rsidRDefault="007D5BEE" w:rsidP="007D5BEE">
      <w:pPr>
        <w:spacing w:line="360" w:lineRule="auto"/>
        <w:ind w:left="720"/>
        <w:jc w:val="both"/>
        <w:rPr>
          <w:rtl/>
          <w:lang w:eastAsia="he-IL"/>
        </w:rPr>
      </w:pPr>
    </w:p>
    <w:p w14:paraId="1AA3A7F5" w14:textId="77777777" w:rsidR="007D5BEE" w:rsidRPr="00BD6E19" w:rsidRDefault="007D5BEE" w:rsidP="007D5BEE">
      <w:pPr>
        <w:spacing w:line="360" w:lineRule="auto"/>
        <w:ind w:left="720"/>
        <w:jc w:val="both"/>
        <w:rPr>
          <w:rtl/>
          <w:lang w:eastAsia="he-IL"/>
        </w:rPr>
      </w:pPr>
      <w:r w:rsidRPr="00BD6E19">
        <w:rPr>
          <w:rtl/>
          <w:lang w:eastAsia="he-IL"/>
        </w:rPr>
        <w:t>בית המשפט העליון קיבל את הערעור וקבע-</w:t>
      </w:r>
    </w:p>
    <w:p w14:paraId="136F1149" w14:textId="77777777" w:rsidR="007D5BEE" w:rsidRPr="00BD6E19" w:rsidRDefault="007D5BEE" w:rsidP="007D5BEE">
      <w:pPr>
        <w:spacing w:line="360" w:lineRule="auto"/>
        <w:ind w:left="1440"/>
        <w:jc w:val="both"/>
        <w:rPr>
          <w:rtl/>
          <w:lang w:eastAsia="he-IL"/>
        </w:rPr>
      </w:pPr>
      <w:r w:rsidRPr="00BD6E19">
        <w:rPr>
          <w:rtl/>
          <w:lang w:eastAsia="he-IL"/>
        </w:rPr>
        <w:t xml:space="preserve">"בית משפט זה עמד לא פעם על חומרתן של עבירות נשק, ובכללן עבירות של החזקת ונשיאת נשק, תוך שהוא מציין את חומרת המעשה ואת פוטנציאל הנזק הכרוך בו. נשק המתגלגל מיד ליד עלול להגיע לידי גורמים עברייניים או לפעילות ביטחונית, פגיעתו הרעה מורגשת ומהווה איום על שלום הציבור כולו; כתוצאה מכך גדל ההכרח להרתיע את היחיד והרבים מפני עיסוק בכך (ראו למשל: </w:t>
      </w:r>
      <w:hyperlink r:id="rId21" w:history="1">
        <w:r w:rsidR="005E6EAF" w:rsidRPr="005E6EAF">
          <w:rPr>
            <w:color w:val="0000FF"/>
            <w:u w:val="single"/>
            <w:rtl/>
            <w:lang w:eastAsia="he-IL"/>
          </w:rPr>
          <w:t>ע"פ 2422/14</w:t>
        </w:r>
      </w:hyperlink>
      <w:r w:rsidRPr="00BD6E19">
        <w:rPr>
          <w:rtl/>
          <w:lang w:eastAsia="he-IL"/>
        </w:rPr>
        <w:t xml:space="preserve"> ח'דר נ' מדינת ישראל, [פורסם בנבו] פסקה 10 וההפניות שם (21.12.2014); </w:t>
      </w:r>
      <w:hyperlink r:id="rId22" w:history="1">
        <w:r w:rsidR="005E6EAF" w:rsidRPr="005E6EAF">
          <w:rPr>
            <w:color w:val="0000FF"/>
            <w:u w:val="single"/>
            <w:rtl/>
            <w:lang w:eastAsia="he-IL"/>
          </w:rPr>
          <w:t>ע"פ 2918/13</w:t>
        </w:r>
      </w:hyperlink>
      <w:r w:rsidRPr="00BD6E19">
        <w:rPr>
          <w:rtl/>
          <w:lang w:eastAsia="he-IL"/>
        </w:rPr>
        <w:t xml:space="preserve"> דבס נ' מדינת ישראל, [פורסם בנבו] פסקה 8 וההפניות שם (18.7.2013)). לא אחת גם צוין כי קיימת מגמת החמרה הדרגתית בעונשים המושתים על עבריינות נשק (</w:t>
      </w:r>
      <w:hyperlink r:id="rId23" w:history="1">
        <w:r w:rsidR="005E6EAF" w:rsidRPr="005E6EAF">
          <w:rPr>
            <w:color w:val="0000FF"/>
            <w:u w:val="single"/>
            <w:rtl/>
            <w:lang w:eastAsia="he-IL"/>
          </w:rPr>
          <w:t>ע"פ 4945/13</w:t>
        </w:r>
      </w:hyperlink>
      <w:r w:rsidRPr="00BD6E19">
        <w:rPr>
          <w:rtl/>
          <w:lang w:eastAsia="he-IL"/>
        </w:rPr>
        <w:t xml:space="preserve"> מדינת ישראל נ' סלימאן, [פורסם בנבו] פסקה 14 וההפניות שם (19.1.2014); </w:t>
      </w:r>
      <w:hyperlink r:id="rId24" w:history="1">
        <w:r w:rsidR="005E6EAF" w:rsidRPr="005E6EAF">
          <w:rPr>
            <w:color w:val="0000FF"/>
            <w:u w:val="single"/>
            <w:rtl/>
            <w:lang w:eastAsia="he-IL"/>
          </w:rPr>
          <w:t>ע"פ 9373/10</w:t>
        </w:r>
      </w:hyperlink>
      <w:r w:rsidRPr="00BD6E19">
        <w:rPr>
          <w:rtl/>
          <w:lang w:eastAsia="he-IL"/>
        </w:rPr>
        <w:t xml:space="preserve"> ותד נ' מדינת ישראל [פורסם בנבו] (14.9.2011) (להלן: עניין ותד)).</w:t>
      </w:r>
      <w:r w:rsidRPr="00BD6E19">
        <w:rPr>
          <w:rtl/>
        </w:rPr>
        <w:t xml:space="preserve">.. </w:t>
      </w:r>
      <w:r w:rsidRPr="00BD6E19">
        <w:rPr>
          <w:rtl/>
          <w:lang w:eastAsia="he-IL"/>
        </w:rPr>
        <w:t xml:space="preserve">הצדדים הציגו הן לפני בית משפט המחוזי, הן בדיון שלפנינו, פסקי דין רבים התומכים כל אחד בשיטתו, זה בכה וזה בכה, לעניין רמת הענישה הנוהגת ביחס לעבירות החזקת נשק. ידוע הקושי להסיק את רמת הענישה הנוהגת, שעה שכל גזר דין מושפע מן הנסיבות הייחודיות של המעשה ושל העושה, ולא הרי זה כהרי זה. </w:t>
      </w:r>
      <w:r w:rsidRPr="00BD6E19">
        <w:rPr>
          <w:b/>
          <w:bCs/>
          <w:rtl/>
          <w:lang w:eastAsia="he-IL"/>
        </w:rPr>
        <w:t>מכל מקום, אף שסנגורו של בסל הציג לפנינו פסקי דין שבהם נקבעה רמת ענישה הדומה  במידה מסויימת לענייננו, דומני כי הצדק עם המדינה בטענתה שרמת הענישה המקובלת בעת האחרונה, והראויה בשים לב למגמת ההחמרה עליה עמדתי לעיל, גבוהה באופן ניכר מזו שנגזרה בעניין דנן</w:t>
      </w:r>
      <w:r w:rsidRPr="00BD6E19">
        <w:rPr>
          <w:rtl/>
          <w:lang w:eastAsia="he-IL"/>
        </w:rPr>
        <w:t xml:space="preserve">. ודוק: </w:t>
      </w:r>
      <w:r w:rsidRPr="00BD6E19">
        <w:rPr>
          <w:b/>
          <w:bCs/>
          <w:rtl/>
          <w:lang w:eastAsia="he-IL"/>
        </w:rPr>
        <w:t>בסל הוציא את הנשק מרשותו והעבירו לאחר, מבלי לדעת מה יעלה בגורלו ולמה ישמש. באופן אקראי הסתיים הסיפור בשלום, אך גם תרחיש אחר היה יכול, חלילה, להתרחש.</w:t>
      </w:r>
      <w:r w:rsidRPr="00BD6E19">
        <w:rPr>
          <w:rtl/>
          <w:lang w:eastAsia="he-IL"/>
        </w:rPr>
        <w:t xml:space="preserve"> </w:t>
      </w:r>
      <w:r w:rsidRPr="00BD6E19">
        <w:rPr>
          <w:b/>
          <w:bCs/>
          <w:rtl/>
          <w:lang w:eastAsia="he-IL"/>
        </w:rPr>
        <w:t>אכן, ניתן לראות כי עונש המאסר המושת על מבצעי עבירות כגון דא בעת האחרונה עומד לעתים גם על פי שניים ושלושה מעונש המאסר שנגזר בענייננו</w:t>
      </w:r>
      <w:r w:rsidRPr="00BD6E19">
        <w:rPr>
          <w:rtl/>
          <w:lang w:eastAsia="he-IL"/>
        </w:rPr>
        <w:t xml:space="preserve"> (ראו: עניין ותד; </w:t>
      </w:r>
      <w:hyperlink r:id="rId25" w:history="1">
        <w:r w:rsidR="005E6EAF" w:rsidRPr="005E6EAF">
          <w:rPr>
            <w:color w:val="0000FF"/>
            <w:u w:val="single"/>
            <w:rtl/>
            <w:lang w:eastAsia="he-IL"/>
          </w:rPr>
          <w:t>ע"פ 5900/15</w:t>
        </w:r>
      </w:hyperlink>
      <w:r w:rsidRPr="00BD6E19">
        <w:rPr>
          <w:rtl/>
          <w:lang w:eastAsia="he-IL"/>
        </w:rPr>
        <w:t xml:space="preserve"> מעוז נ' מדינת ישראל [פורסם בנבו] (10.5.2016))... לאור האמור, ובשים לב לדרכה של ערכאת הערעור שלא למצות את הדין עם הנאשם, אציע לחברי לקבל את הערעור ולקבוע כי עונש המאסר בפועל שיוטל על בסל יעמוד על </w:t>
      </w:r>
      <w:r w:rsidRPr="00BD6E19">
        <w:rPr>
          <w:b/>
          <w:bCs/>
          <w:rtl/>
          <w:lang w:eastAsia="he-IL"/>
        </w:rPr>
        <w:t>18 חודשים</w:t>
      </w:r>
      <w:r w:rsidRPr="00BD6E19">
        <w:rPr>
          <w:rtl/>
          <w:lang w:eastAsia="he-IL"/>
        </w:rPr>
        <w:t>, חלף 12 החודשים שנגזרו עליו בבית המשפט המחוזי. יתר רכיבי גזר הדין יעמדו בעינם".</w:t>
      </w:r>
    </w:p>
    <w:p w14:paraId="26F6E899" w14:textId="77777777" w:rsidR="007D5BEE" w:rsidRPr="00BD6E19" w:rsidRDefault="007D5BEE" w:rsidP="007D5BEE">
      <w:pPr>
        <w:spacing w:line="360" w:lineRule="auto"/>
        <w:ind w:left="1440"/>
        <w:jc w:val="both"/>
        <w:rPr>
          <w:rtl/>
          <w:lang w:eastAsia="he-IL"/>
        </w:rPr>
      </w:pPr>
    </w:p>
    <w:p w14:paraId="69460F92" w14:textId="77777777" w:rsidR="007D5BEE" w:rsidRPr="00BD6E19" w:rsidRDefault="007D5BEE" w:rsidP="007D5BEE">
      <w:pPr>
        <w:spacing w:line="360" w:lineRule="auto"/>
        <w:ind w:left="720" w:hanging="570"/>
        <w:jc w:val="both"/>
        <w:rPr>
          <w:rtl/>
        </w:rPr>
      </w:pPr>
      <w:r w:rsidRPr="00BD6E19">
        <w:rPr>
          <w:rtl/>
        </w:rPr>
        <w:t>7.</w:t>
      </w:r>
      <w:r w:rsidRPr="00BD6E19">
        <w:rPr>
          <w:rtl/>
        </w:rPr>
        <w:tab/>
        <w:t xml:space="preserve">הורתו של הנשק המאולתר, בפשע. ייצור כלי נשק על ידי מי שאינם מורשים לכך נועד לספק נשק חם למטרות פסולות, והוא מהווה סכנה חמורה לציבור. רוכשי כלי הנשק המאולתרים, אלה המחזיקים בהם ואלה המעבירים אותם מיד ליד, מאפשרים את קיום התופעה ותורמים להתגברותה. </w:t>
      </w:r>
    </w:p>
    <w:p w14:paraId="3FD033A6" w14:textId="77777777" w:rsidR="007D5BEE" w:rsidRPr="00BD6E19" w:rsidRDefault="007D5BEE" w:rsidP="007D5BEE">
      <w:pPr>
        <w:spacing w:line="360" w:lineRule="auto"/>
        <w:ind w:left="720" w:hanging="570"/>
        <w:jc w:val="both"/>
        <w:rPr>
          <w:rtl/>
        </w:rPr>
      </w:pPr>
      <w:r w:rsidRPr="00BD6E19">
        <w:rPr>
          <w:rtl/>
        </w:rPr>
        <w:tab/>
        <w:t xml:space="preserve">בפועל, כלי נשק כאלה מעורבים לא אחת בביצוע עבירות פליליות חמורות ובפיגועים חבלניים.   </w:t>
      </w:r>
    </w:p>
    <w:p w14:paraId="315A3874" w14:textId="77777777" w:rsidR="007D5BEE" w:rsidRPr="00BD6E19" w:rsidRDefault="007D5BEE" w:rsidP="007D5BEE">
      <w:pPr>
        <w:spacing w:line="360" w:lineRule="auto"/>
        <w:ind w:left="720" w:hanging="720"/>
        <w:jc w:val="both"/>
        <w:rPr>
          <w:rtl/>
        </w:rPr>
      </w:pPr>
    </w:p>
    <w:p w14:paraId="6D34891D" w14:textId="77777777" w:rsidR="007D5BEE" w:rsidRPr="00BD6E19" w:rsidRDefault="007D5BEE" w:rsidP="007D5BEE">
      <w:pPr>
        <w:spacing w:line="360" w:lineRule="auto"/>
        <w:ind w:left="720" w:hanging="720"/>
        <w:jc w:val="both"/>
        <w:rPr>
          <w:rtl/>
        </w:rPr>
      </w:pPr>
      <w:r w:rsidRPr="00BD6E19">
        <w:rPr>
          <w:rtl/>
        </w:rPr>
        <w:t>8.</w:t>
      </w:r>
      <w:r w:rsidRPr="00BD6E19">
        <w:rPr>
          <w:rtl/>
        </w:rPr>
        <w:tab/>
        <w:t xml:space="preserve">החזקת הנשק על ידי הנאשם 1 והעברתו לאחר, חייבה תיאום מוקדם. בהקשר זה יש לראות בעבירה שהנאשם ביצע כעבירה מתוכננת. </w:t>
      </w:r>
    </w:p>
    <w:p w14:paraId="137D089C" w14:textId="77777777" w:rsidR="007D5BEE" w:rsidRPr="00BD6E19" w:rsidRDefault="007D5BEE" w:rsidP="007D5BEE">
      <w:pPr>
        <w:spacing w:line="360" w:lineRule="auto"/>
        <w:ind w:left="720"/>
        <w:jc w:val="both"/>
        <w:rPr>
          <w:rtl/>
        </w:rPr>
      </w:pPr>
    </w:p>
    <w:p w14:paraId="3EC011E1" w14:textId="77777777" w:rsidR="007D5BEE" w:rsidRPr="00BD6E19" w:rsidRDefault="007D5BEE" w:rsidP="007D5BEE">
      <w:pPr>
        <w:spacing w:line="360" w:lineRule="auto"/>
        <w:ind w:left="720"/>
        <w:jc w:val="both"/>
        <w:rPr>
          <w:rtl/>
        </w:rPr>
      </w:pPr>
      <w:r w:rsidRPr="00BD6E19">
        <w:rPr>
          <w:rtl/>
        </w:rPr>
        <w:t xml:space="preserve">פוטנציאל הנזק של נשק בלתי חוקי המוחזק על ידי מי שאינו מורשה להחזיק נשק, רב ומגוון. במקרה זה הנאשם הניח את הנשק בשיג של חברו, ללא פיקוח מתאים ומבלי לדעת לאלו ידיים הוא יתגלגל. </w:t>
      </w:r>
    </w:p>
    <w:p w14:paraId="697AA9F8" w14:textId="77777777" w:rsidR="007D5BEE" w:rsidRPr="00BD6E19" w:rsidRDefault="007D5BEE" w:rsidP="007D5BEE">
      <w:pPr>
        <w:spacing w:line="360" w:lineRule="auto"/>
        <w:ind w:left="720"/>
        <w:jc w:val="both"/>
        <w:rPr>
          <w:rtl/>
        </w:rPr>
      </w:pPr>
    </w:p>
    <w:p w14:paraId="21D78901" w14:textId="77777777" w:rsidR="007D5BEE" w:rsidRPr="00BD6E19" w:rsidRDefault="007D5BEE" w:rsidP="007D5BEE">
      <w:pPr>
        <w:spacing w:line="360" w:lineRule="auto"/>
        <w:ind w:left="720"/>
        <w:jc w:val="both"/>
        <w:rPr>
          <w:rtl/>
          <w:lang w:eastAsia="he-IL"/>
        </w:rPr>
      </w:pPr>
      <w:r w:rsidRPr="00BD6E19">
        <w:rPr>
          <w:rtl/>
          <w:lang w:eastAsia="he-IL"/>
        </w:rPr>
        <w:t>בפועל, הנשק נתפס על ידי המשטרה וכך נמנע הנזק הטמון במצב.</w:t>
      </w:r>
    </w:p>
    <w:p w14:paraId="64AFB325" w14:textId="77777777" w:rsidR="007D5BEE" w:rsidRPr="00BD6E19" w:rsidRDefault="007D5BEE" w:rsidP="007D5BEE">
      <w:pPr>
        <w:spacing w:line="360" w:lineRule="auto"/>
        <w:ind w:left="720"/>
        <w:jc w:val="both"/>
        <w:rPr>
          <w:rtl/>
          <w:lang w:eastAsia="he-IL"/>
        </w:rPr>
      </w:pPr>
    </w:p>
    <w:p w14:paraId="43786CBB" w14:textId="77777777" w:rsidR="007D5BEE" w:rsidRPr="00BD6E19" w:rsidRDefault="007D5BEE" w:rsidP="007D5BEE">
      <w:pPr>
        <w:spacing w:line="360" w:lineRule="auto"/>
        <w:ind w:left="720"/>
        <w:jc w:val="both"/>
        <w:rPr>
          <w:rtl/>
          <w:lang w:eastAsia="he-IL"/>
        </w:rPr>
      </w:pPr>
      <w:r w:rsidRPr="00BD6E19">
        <w:rPr>
          <w:rtl/>
          <w:lang w:eastAsia="he-IL"/>
        </w:rPr>
        <w:t xml:space="preserve">הנאשם החזיק בנשק בעצמו והוא גם זה שהעבירו לשיג. מטבע הדברים חלקו בביצוע העבירה משמעותי ורב. </w:t>
      </w:r>
    </w:p>
    <w:p w14:paraId="7DF0170C" w14:textId="77777777" w:rsidR="007D5BEE" w:rsidRPr="00BD6E19" w:rsidRDefault="007D5BEE" w:rsidP="007D5BEE">
      <w:pPr>
        <w:spacing w:line="360" w:lineRule="auto"/>
        <w:ind w:left="720"/>
        <w:jc w:val="both"/>
        <w:rPr>
          <w:rtl/>
        </w:rPr>
      </w:pPr>
    </w:p>
    <w:p w14:paraId="7EB134BF" w14:textId="77777777" w:rsidR="007D5BEE" w:rsidRPr="00BD6E19" w:rsidRDefault="007D5BEE" w:rsidP="007D5BEE">
      <w:pPr>
        <w:spacing w:line="360" w:lineRule="auto"/>
        <w:ind w:left="720"/>
        <w:jc w:val="both"/>
        <w:rPr>
          <w:rtl/>
        </w:rPr>
      </w:pPr>
      <w:r w:rsidRPr="00BD6E19">
        <w:rPr>
          <w:rtl/>
        </w:rPr>
        <w:t xml:space="preserve">הנאשם לא הציג הסבר מניח את הדעת להחזקת הנשק על ידו ולהעברתו לאחר. יש להניח לחובתו כי הדברים היו למטרה לא כשרה. </w:t>
      </w:r>
    </w:p>
    <w:p w14:paraId="6F417A4C" w14:textId="77777777" w:rsidR="007D5BEE" w:rsidRPr="00BD6E19" w:rsidRDefault="007D5BEE" w:rsidP="007D5BEE">
      <w:pPr>
        <w:spacing w:line="360" w:lineRule="auto"/>
        <w:ind w:left="720"/>
        <w:jc w:val="both"/>
        <w:rPr>
          <w:rtl/>
        </w:rPr>
      </w:pPr>
    </w:p>
    <w:p w14:paraId="3DFD99A4" w14:textId="77777777" w:rsidR="007D5BEE" w:rsidRPr="00BD6E19" w:rsidRDefault="007D5BEE" w:rsidP="007D5BEE">
      <w:pPr>
        <w:spacing w:line="360" w:lineRule="auto"/>
        <w:ind w:left="720" w:hanging="720"/>
        <w:jc w:val="both"/>
        <w:rPr>
          <w:rtl/>
          <w:lang w:eastAsia="he-IL"/>
        </w:rPr>
      </w:pPr>
      <w:r w:rsidRPr="00BD6E19">
        <w:rPr>
          <w:rtl/>
        </w:rPr>
        <w:t>9.</w:t>
      </w:r>
      <w:r w:rsidRPr="00BD6E19">
        <w:rPr>
          <w:rtl/>
        </w:rPr>
        <w:tab/>
      </w:r>
      <w:r w:rsidRPr="00BD6E19">
        <w:rPr>
          <w:rtl/>
          <w:lang w:eastAsia="he-IL"/>
        </w:rPr>
        <w:t xml:space="preserve">ב"כ הנאשם הפנה למספר פסקי דין, בהם הנאשמים הורשעו בעבירות נשק ונגזרו עליהם עונשים קלים, וביקש ללמוד מהם לענייננו. </w:t>
      </w:r>
    </w:p>
    <w:p w14:paraId="44FBEEF0" w14:textId="77777777" w:rsidR="007D5BEE" w:rsidRPr="00BD6E19" w:rsidRDefault="007D5BEE" w:rsidP="007D5BEE">
      <w:pPr>
        <w:spacing w:line="360" w:lineRule="auto"/>
        <w:ind w:left="720"/>
        <w:jc w:val="both"/>
        <w:rPr>
          <w:rtl/>
          <w:lang w:eastAsia="he-IL"/>
        </w:rPr>
      </w:pPr>
      <w:r w:rsidRPr="00BD6E19">
        <w:rPr>
          <w:rtl/>
          <w:lang w:eastAsia="he-IL"/>
        </w:rPr>
        <w:t xml:space="preserve">ראשית, אחזור ואציין כי מגמת הפסיקה המובהקת בעבירות הנשק היא החמרת העונשים המוטלים על מי שמורשע בהן. שנית, בפועל, בתי המשפט מטילים עונשי מאסר משמעותיים על עבירות נשק וגם אם ניתן למצוא מקרים בהם הוטלו עונשים קלים יחסית, המדובר בחריגים ולא בכלל. שלישית, עיינתי בכל פסקי הדין שהוצגו על ידי הסנגור ומצאתי שבכל אחד מהמקרים היו סיבות להטלת העונש הקל, בין במישור של חומרת המעשה ובין במישור של נתוני הנאשם, ובחלק מהמקרים ערעור המדינה התקבל והעונש הוחמר, תוך ציון הכלל שערכאת הערעור אינה ממצה את הדין. </w:t>
      </w:r>
    </w:p>
    <w:p w14:paraId="100A362C" w14:textId="77777777" w:rsidR="007D5BEE" w:rsidRPr="00BD6E19" w:rsidRDefault="007D5BEE" w:rsidP="007D5BEE">
      <w:pPr>
        <w:spacing w:line="360" w:lineRule="auto"/>
        <w:ind w:left="720"/>
        <w:jc w:val="both"/>
        <w:rPr>
          <w:rtl/>
          <w:lang w:eastAsia="he-IL"/>
        </w:rPr>
      </w:pPr>
    </w:p>
    <w:p w14:paraId="72CCE64F" w14:textId="77777777" w:rsidR="007D5BEE" w:rsidRPr="00BD6E19" w:rsidRDefault="007D5BEE" w:rsidP="007D5BEE">
      <w:pPr>
        <w:spacing w:line="360" w:lineRule="auto"/>
        <w:ind w:left="720"/>
        <w:jc w:val="both"/>
        <w:rPr>
          <w:rtl/>
        </w:rPr>
      </w:pPr>
      <w:r w:rsidRPr="00BD6E19">
        <w:rPr>
          <w:rtl/>
          <w:lang w:eastAsia="he-IL"/>
        </w:rPr>
        <w:t>להלן אתייחס בקצרה אל חלק מפסקי הדין –</w:t>
      </w:r>
    </w:p>
    <w:p w14:paraId="39AC6AF9" w14:textId="77777777" w:rsidR="007D5BEE" w:rsidRPr="00BD6E19" w:rsidRDefault="007D5BEE" w:rsidP="007D5BEE">
      <w:pPr>
        <w:spacing w:line="360" w:lineRule="auto"/>
        <w:jc w:val="both"/>
        <w:rPr>
          <w:rtl/>
        </w:rPr>
      </w:pPr>
    </w:p>
    <w:p w14:paraId="2690991E" w14:textId="77777777" w:rsidR="007D5BEE" w:rsidRPr="00BD6E19" w:rsidRDefault="007D5BEE" w:rsidP="007D5BEE">
      <w:pPr>
        <w:spacing w:line="360" w:lineRule="auto"/>
        <w:ind w:left="720"/>
        <w:jc w:val="both"/>
        <w:rPr>
          <w:rtl/>
        </w:rPr>
      </w:pPr>
      <w:r w:rsidRPr="00BD6E19">
        <w:rPr>
          <w:rtl/>
        </w:rPr>
        <w:t>ב</w:t>
      </w:r>
      <w:hyperlink r:id="rId26" w:history="1">
        <w:r w:rsidR="005E6EAF" w:rsidRPr="005E6EAF">
          <w:rPr>
            <w:color w:val="0000FF"/>
            <w:u w:val="single"/>
            <w:rtl/>
          </w:rPr>
          <w:t>ע"פ 9702/16</w:t>
        </w:r>
      </w:hyperlink>
      <w:r w:rsidRPr="00BD6E19">
        <w:rPr>
          <w:rtl/>
        </w:rPr>
        <w:t xml:space="preserve"> </w:t>
      </w:r>
      <w:r w:rsidRPr="00BD6E19">
        <w:rPr>
          <w:b/>
          <w:bCs/>
          <w:rtl/>
        </w:rPr>
        <w:t>סאמי אבו אלוליאיה</w:t>
      </w:r>
      <w:r w:rsidRPr="00BD6E19">
        <w:rPr>
          <w:rtl/>
        </w:rPr>
        <w:t xml:space="preserve"> נגד</w:t>
      </w:r>
      <w:r w:rsidRPr="00BD6E19">
        <w:rPr>
          <w:b/>
          <w:bCs/>
          <w:rtl/>
        </w:rPr>
        <w:t xml:space="preserve"> מדינת ישראל</w:t>
      </w:r>
      <w:r w:rsidRPr="00BD6E19">
        <w:rPr>
          <w:rtl/>
        </w:rPr>
        <w:t xml:space="preserve"> (פורסם בנבו, 13.09.17) המערער הורשע בנשיאת והובלת נשק, ונשיאה והובלת תחמושת. נטען, כי הוא הבחין בנוסע אחר המשליך תיק ואחר כך הוא שב למקום, ומתוך סקרנות מצא את התיק וגילה בו את הנשק המאולתר והתחמושת. הוא נשא עמו את התיק והחביאו בארון שבחנותו. הוסכם כי הנשק נותר בחזקתו כחצי שנה. </w:t>
      </w:r>
    </w:p>
    <w:p w14:paraId="144ED264" w14:textId="77777777" w:rsidR="007D5BEE" w:rsidRPr="00BD6E19" w:rsidRDefault="007D5BEE" w:rsidP="007D5BEE">
      <w:pPr>
        <w:spacing w:line="360" w:lineRule="auto"/>
        <w:ind w:left="720"/>
        <w:jc w:val="both"/>
        <w:rPr>
          <w:rtl/>
        </w:rPr>
      </w:pPr>
      <w:r w:rsidRPr="00BD6E19">
        <w:rPr>
          <w:rtl/>
        </w:rPr>
        <w:t xml:space="preserve">בית המשפט המחוזי קבע מתחם עונש הנע בין 14 ל- 36 חודשי מאסר וגזר על המערער 18 חודשי מאסר בפועל. </w:t>
      </w:r>
    </w:p>
    <w:p w14:paraId="2EEA0C8A" w14:textId="77777777" w:rsidR="007D5BEE" w:rsidRPr="00BD6E19" w:rsidRDefault="007D5BEE" w:rsidP="007D5BEE">
      <w:pPr>
        <w:spacing w:line="360" w:lineRule="auto"/>
        <w:ind w:left="720"/>
        <w:jc w:val="both"/>
        <w:rPr>
          <w:rtl/>
        </w:rPr>
      </w:pPr>
      <w:r w:rsidRPr="00BD6E19">
        <w:rPr>
          <w:rtl/>
        </w:rPr>
        <w:t xml:space="preserve">בית המשפט העליון קיבל את הערעור תוך שהוא מציין את הנסיבות לקולא- "העבירות </w:t>
      </w:r>
      <w:r w:rsidRPr="00BD6E19">
        <w:rPr>
          <w:rtl/>
          <w:lang w:eastAsia="he-IL"/>
        </w:rPr>
        <w:t xml:space="preserve">שביצע המערער מתמצות </w:t>
      </w:r>
      <w:r w:rsidRPr="00BD6E19">
        <w:rPr>
          <w:b/>
          <w:bCs/>
          <w:rtl/>
          <w:lang w:eastAsia="he-IL"/>
        </w:rPr>
        <w:t>בגילוי אקראי של נשק ותחמושת</w:t>
      </w:r>
      <w:r w:rsidRPr="00BD6E19">
        <w:rPr>
          <w:rtl/>
          <w:lang w:eastAsia="he-IL"/>
        </w:rPr>
        <w:t xml:space="preserve">, נשיאתם לביתו והטמנתם בארון שבחנות – וזאת מקום שבו נדרש היה מן המערער למסור את "השלל" שמצא לרשויות. על פי עובדות כתב האישום שבהן הודה והורשע המערער, לעבירות שביצע לא קדם תכנון – שכן הלה לא ידע מה טמון בתיק עד לרגע שבו פתח אותו. אין אף כל עדות בכתב האישום לכך שעבירת הנשק תוכננה לשמש לביצוע עבירה פלילית או ביטחונית כלשהי. בפועל, בתקופה הממושכת שבה החביא המערער את הנשק והתחמושת בחנות (כחצי שנה), הוא לא עשה בהם כל שימוש", </w:t>
      </w:r>
      <w:r w:rsidRPr="00BD6E19">
        <w:rPr>
          <w:rtl/>
        </w:rPr>
        <w:t>קבע מתחם עונש הנע בין 10 ל-30 חודשי מאסר והפחית את עונשו של המערער לשנת מאסר אחת.</w:t>
      </w:r>
      <w:r w:rsidRPr="00BD6E19">
        <w:t xml:space="preserve"> </w:t>
      </w:r>
    </w:p>
    <w:p w14:paraId="63EFC52D" w14:textId="77777777" w:rsidR="007D5BEE" w:rsidRPr="00BD6E19" w:rsidRDefault="007D5BEE" w:rsidP="007D5BEE">
      <w:pPr>
        <w:spacing w:line="360" w:lineRule="auto"/>
        <w:jc w:val="both"/>
        <w:rPr>
          <w:rtl/>
        </w:rPr>
      </w:pPr>
    </w:p>
    <w:p w14:paraId="006C2E49" w14:textId="77777777" w:rsidR="007D5BEE" w:rsidRPr="00BD6E19" w:rsidRDefault="007D5BEE" w:rsidP="007D5BEE">
      <w:pPr>
        <w:spacing w:line="360" w:lineRule="auto"/>
        <w:ind w:left="720"/>
        <w:jc w:val="both"/>
        <w:rPr>
          <w:rtl/>
        </w:rPr>
      </w:pPr>
      <w:r w:rsidRPr="00BD6E19">
        <w:rPr>
          <w:rtl/>
        </w:rPr>
        <w:t>ב</w:t>
      </w:r>
      <w:hyperlink r:id="rId27" w:history="1">
        <w:r w:rsidR="005E6EAF" w:rsidRPr="005E6EAF">
          <w:rPr>
            <w:color w:val="0000FF"/>
            <w:u w:val="single"/>
            <w:rtl/>
          </w:rPr>
          <w:t>ע"פ 2839/14</w:t>
        </w:r>
      </w:hyperlink>
      <w:r w:rsidRPr="00BD6E19">
        <w:rPr>
          <w:rtl/>
        </w:rPr>
        <w:t xml:space="preserve"> </w:t>
      </w:r>
      <w:r w:rsidRPr="00BD6E19">
        <w:rPr>
          <w:b/>
          <w:bCs/>
          <w:rtl/>
        </w:rPr>
        <w:t xml:space="preserve">סלמאן אל נבארי </w:t>
      </w:r>
      <w:r w:rsidRPr="00BD6E19">
        <w:rPr>
          <w:rtl/>
        </w:rPr>
        <w:t>נגד</w:t>
      </w:r>
      <w:r w:rsidRPr="00BD6E19">
        <w:rPr>
          <w:b/>
          <w:bCs/>
          <w:rtl/>
        </w:rPr>
        <w:t xml:space="preserve"> מדינת ישראל</w:t>
      </w:r>
      <w:r w:rsidRPr="00BD6E19">
        <w:rPr>
          <w:rtl/>
        </w:rPr>
        <w:t xml:space="preserve"> (פורסם בנבו, 13.05.14) המערער הורשע בעבירה של החזקת נשק ותחמושת. נטען כי הוא החזיק ברכב, יחד עם אחרים, אקדח ובתוכו מחסנית שקיבלו מאחרים. המערער יצא מהרכב, כרע על ברכיו ודרך את הנשק. שוטר שהיה במקום הבחין בו והזעיק שוטרים נוספים. המערער ואחר נעצרו ברכב כאשר האקדח היה מונח על מושב הרכב בו ישב המערער. צוין לקולא, כי המערער נסע עם האחר וכשראה את הנשק </w:t>
      </w:r>
      <w:r w:rsidRPr="00BD6E19">
        <w:rPr>
          <w:b/>
          <w:bCs/>
          <w:rtl/>
        </w:rPr>
        <w:t>יצא מתוך סקרנות לנסותו</w:t>
      </w:r>
      <w:r w:rsidRPr="00BD6E19">
        <w:rPr>
          <w:rtl/>
        </w:rPr>
        <w:t xml:space="preserve">; השימוש בו לא היה נגד מטרה אנושית; והנשק לא היה טעון. נקבע מתחם עונש הנע בין 6 ל- 18 חודשי מאסר בפועל, והוטלו על המערער 7 חודשי מאסר. הערעור נדחה. </w:t>
      </w:r>
    </w:p>
    <w:p w14:paraId="51385F51" w14:textId="77777777" w:rsidR="007D5BEE" w:rsidRPr="00BD6E19" w:rsidRDefault="007D5BEE" w:rsidP="007D5BEE">
      <w:pPr>
        <w:spacing w:line="360" w:lineRule="auto"/>
        <w:jc w:val="both"/>
        <w:rPr>
          <w:rtl/>
        </w:rPr>
      </w:pPr>
    </w:p>
    <w:p w14:paraId="7AAD7420" w14:textId="77777777" w:rsidR="007D5BEE" w:rsidRPr="00BD6E19" w:rsidRDefault="007D5BEE" w:rsidP="007D5BEE">
      <w:pPr>
        <w:spacing w:line="360" w:lineRule="auto"/>
        <w:ind w:left="720"/>
        <w:jc w:val="both"/>
        <w:rPr>
          <w:rtl/>
        </w:rPr>
      </w:pPr>
      <w:r w:rsidRPr="00BD6E19">
        <w:rPr>
          <w:rtl/>
        </w:rPr>
        <w:t>ב</w:t>
      </w:r>
      <w:hyperlink r:id="rId28" w:history="1">
        <w:r w:rsidR="005E6EAF" w:rsidRPr="005E6EAF">
          <w:rPr>
            <w:color w:val="0000FF"/>
            <w:u w:val="single"/>
            <w:rtl/>
          </w:rPr>
          <w:t>ע"פ 5004/17</w:t>
        </w:r>
      </w:hyperlink>
      <w:r w:rsidRPr="00BD6E19">
        <w:rPr>
          <w:rtl/>
        </w:rPr>
        <w:t xml:space="preserve"> </w:t>
      </w:r>
      <w:r w:rsidRPr="00BD6E19">
        <w:rPr>
          <w:b/>
          <w:bCs/>
          <w:rtl/>
        </w:rPr>
        <w:t xml:space="preserve">מדינת ישראל </w:t>
      </w:r>
      <w:r w:rsidRPr="00BD6E19">
        <w:rPr>
          <w:rtl/>
        </w:rPr>
        <w:t xml:space="preserve">נגד </w:t>
      </w:r>
      <w:r w:rsidRPr="00BD6E19">
        <w:rPr>
          <w:b/>
          <w:bCs/>
          <w:rtl/>
        </w:rPr>
        <w:t>ענאן אלעטאונה</w:t>
      </w:r>
      <w:r w:rsidRPr="00BD6E19">
        <w:rPr>
          <w:rtl/>
        </w:rPr>
        <w:t xml:space="preserve"> (פורסם בנבו, 20.11.17) המשיב הורשע בהחזקת נשק. נטען כי הוא החזיק ברובה </w:t>
      </w:r>
      <w:r w:rsidRPr="00BD6E19">
        <w:t>M16</w:t>
      </w:r>
      <w:r w:rsidRPr="00BD6E19">
        <w:rPr>
          <w:rtl/>
        </w:rPr>
        <w:t xml:space="preserve">  ושני אקדחים חצי אוטומטיים אותם רכש והסתירם בבית דודתו. צוין לקולא כי המשיב ללא עבר פלילי; נטל אחריות על מעשיו; והשתתף בקבוצה טיפולית. והוטלו עליו 6 חודשי מאסר בעבודות שירות.  בית המשפט העליון </w:t>
      </w:r>
      <w:r w:rsidRPr="00BD6E19">
        <w:rPr>
          <w:b/>
          <w:bCs/>
          <w:rtl/>
        </w:rPr>
        <w:t>קיבל את ערעור המדינה, קבע כי העונש חרג באופן משמעותי מרף הענישה הנוהג והחמיר את העונש לשנת מאסר תוך שהוא מציין כי אין זו דרכה של ערכאת הערעור למצות את העונש</w:t>
      </w:r>
      <w:r w:rsidRPr="00BD6E19">
        <w:rPr>
          <w:rtl/>
        </w:rPr>
        <w:t xml:space="preserve">. </w:t>
      </w:r>
    </w:p>
    <w:p w14:paraId="6B4CE2CA" w14:textId="77777777" w:rsidR="007D5BEE" w:rsidRPr="00BD6E19" w:rsidRDefault="007D5BEE" w:rsidP="007D5BEE">
      <w:pPr>
        <w:spacing w:line="360" w:lineRule="auto"/>
        <w:jc w:val="both"/>
        <w:rPr>
          <w:rtl/>
        </w:rPr>
      </w:pPr>
    </w:p>
    <w:p w14:paraId="7FA54043" w14:textId="77777777" w:rsidR="007D5BEE" w:rsidRPr="00BD6E19" w:rsidRDefault="007D5BEE" w:rsidP="007D5BEE">
      <w:pPr>
        <w:spacing w:line="360" w:lineRule="auto"/>
        <w:ind w:left="720" w:hanging="720"/>
        <w:jc w:val="both"/>
        <w:rPr>
          <w:rtl/>
        </w:rPr>
      </w:pPr>
      <w:r w:rsidRPr="00BD6E19">
        <w:rPr>
          <w:rtl/>
        </w:rPr>
        <w:t>10.</w:t>
      </w:r>
      <w:r w:rsidRPr="00BD6E19">
        <w:rPr>
          <w:rtl/>
        </w:rPr>
        <w:tab/>
        <w:t xml:space="preserve">בהתחשב בחומרת מעשה העבירה שביצע הנאשם בנסיבותיו, במידת אשמו של הנאשם, בערכים החברתיים שנפגעו מביצוע העבירה ובמידת הפגיעה בהם, במדיניות הענישה הנהוגה ובנסיבות הקשורות בביצוע העבירה, נראה לי כי מתחם העונש ההולם למעשה הנאשם נע בין 15 ל- 36 חודשי מאסר בפועל.  </w:t>
      </w:r>
    </w:p>
    <w:p w14:paraId="019F454D" w14:textId="77777777" w:rsidR="007D5BEE" w:rsidRPr="00BD6E19" w:rsidRDefault="007D5BEE" w:rsidP="007D5BEE">
      <w:pPr>
        <w:spacing w:line="360" w:lineRule="auto"/>
        <w:ind w:left="720"/>
        <w:jc w:val="both"/>
        <w:rPr>
          <w:rtl/>
        </w:rPr>
      </w:pPr>
    </w:p>
    <w:p w14:paraId="5632514B" w14:textId="77777777" w:rsidR="007D5BEE" w:rsidRPr="00BD6E19" w:rsidRDefault="007D5BEE" w:rsidP="007D5BEE">
      <w:pPr>
        <w:spacing w:line="360" w:lineRule="auto"/>
        <w:ind w:left="720" w:hanging="720"/>
        <w:jc w:val="both"/>
        <w:rPr>
          <w:rtl/>
        </w:rPr>
      </w:pPr>
      <w:r w:rsidRPr="00BD6E19">
        <w:rPr>
          <w:rtl/>
        </w:rPr>
        <w:t>11.</w:t>
      </w:r>
      <w:r w:rsidRPr="00BD6E19">
        <w:rPr>
          <w:rtl/>
        </w:rPr>
        <w:tab/>
        <w:t xml:space="preserve">בגזירת עונשו של הנאשם אני מביא בחשבון גם את גילו הצעיר, את נתוניו, את אישיותו ואורחות חייו, כמתואר בתסקיר שירות המבחן, את העובדה שזוהי הרשעתו הראשונה וזהו מאסרו הראשון, את הפגיעה שתיגרם לנאשם ולמשפחתו הגרעינית והמורחבת מהמאסר, את הודאתו, את החרטה שהביע, ואת סיכוייו לחזור לדרך הישר. </w:t>
      </w:r>
    </w:p>
    <w:p w14:paraId="63659E89" w14:textId="77777777" w:rsidR="007D5BEE" w:rsidRPr="00BD6E19" w:rsidRDefault="007D5BEE" w:rsidP="007D5BEE">
      <w:pPr>
        <w:spacing w:line="360" w:lineRule="auto"/>
        <w:jc w:val="both"/>
        <w:rPr>
          <w:rtl/>
          <w:lang w:eastAsia="he-IL"/>
        </w:rPr>
      </w:pPr>
    </w:p>
    <w:p w14:paraId="4C7FCF7A" w14:textId="77777777" w:rsidR="007D5BEE" w:rsidRPr="00BD6E19" w:rsidRDefault="007D5BEE" w:rsidP="007D5BEE">
      <w:pPr>
        <w:spacing w:line="360" w:lineRule="auto"/>
        <w:ind w:left="720" w:hanging="720"/>
        <w:jc w:val="both"/>
        <w:rPr>
          <w:rtl/>
          <w:lang w:eastAsia="he-IL"/>
        </w:rPr>
      </w:pPr>
      <w:r w:rsidRPr="00BD6E19">
        <w:rPr>
          <w:rtl/>
          <w:lang w:eastAsia="he-IL"/>
        </w:rPr>
        <w:t>12.</w:t>
      </w:r>
      <w:r w:rsidRPr="00BD6E19">
        <w:rPr>
          <w:rtl/>
          <w:lang w:eastAsia="he-IL"/>
        </w:rPr>
        <w:tab/>
        <w:t xml:space="preserve">בסופו של דבר, על העונש להלום את חומרת המעשה בנסיבותיו ואת מידת אשמו של הנאשם. </w:t>
      </w:r>
    </w:p>
    <w:p w14:paraId="5E474FC3" w14:textId="77777777" w:rsidR="007D5BEE" w:rsidRPr="00BD6E19" w:rsidRDefault="007D5BEE" w:rsidP="007D5BEE">
      <w:pPr>
        <w:spacing w:line="360" w:lineRule="auto"/>
        <w:ind w:left="720"/>
        <w:jc w:val="both"/>
        <w:rPr>
          <w:rtl/>
          <w:lang w:eastAsia="he-IL"/>
        </w:rPr>
      </w:pPr>
      <w:r w:rsidRPr="00BD6E19">
        <w:rPr>
          <w:rtl/>
          <w:lang w:eastAsia="he-IL"/>
        </w:rPr>
        <w:t xml:space="preserve">החזקת נשק בנסיבות כבענייננו הינה דבר חמור מאוד ומסוכן. העובדה שבסופו של דבר הנשק נתפס על ידי המשטרה וכך נגדע פוטנציאל הנזק שלו, אינה צריכה לעמעם את הסכנה הרבה והחמורה הכרוכה במעשי הנאשם. הנאשם לא היסס להחזיק בעצמו בנשק בלתי חוקי ואחר כך לא היסס להעביר את הנשק למקום אחר, מבלי שיוכל לדעת ולהחליט לאלו ידיים הוא יגיע ומה ייעשה בו. מעשי הנאשם חמורים ומידת האשם שלו רבה. </w:t>
      </w:r>
    </w:p>
    <w:p w14:paraId="70CBE0E0" w14:textId="77777777" w:rsidR="007D5BEE" w:rsidRPr="00BD6E19" w:rsidRDefault="007D5BEE" w:rsidP="007D5BEE">
      <w:pPr>
        <w:spacing w:line="360" w:lineRule="auto"/>
        <w:ind w:left="720"/>
        <w:jc w:val="both"/>
        <w:rPr>
          <w:rtl/>
          <w:lang w:eastAsia="he-IL"/>
        </w:rPr>
      </w:pPr>
      <w:r w:rsidRPr="00BD6E19">
        <w:rPr>
          <w:rtl/>
          <w:lang w:eastAsia="he-IL"/>
        </w:rPr>
        <w:t xml:space="preserve">בעבירות חמורות, כמו גם זו שכאן, הבכורה ניתנת לאינטרס הציבורי בעוד נסיבותיו של הנאשם מקבלות משקל נמוך יותר. </w:t>
      </w:r>
    </w:p>
    <w:p w14:paraId="587EE6F0" w14:textId="77777777" w:rsidR="007D5BEE" w:rsidRPr="00BD6E19" w:rsidRDefault="007D5BEE" w:rsidP="007D5BEE">
      <w:pPr>
        <w:spacing w:line="360" w:lineRule="auto"/>
        <w:ind w:left="1440"/>
        <w:jc w:val="both"/>
        <w:rPr>
          <w:rtl/>
          <w:lang w:eastAsia="he-IL"/>
        </w:rPr>
      </w:pPr>
    </w:p>
    <w:p w14:paraId="176E5EE1" w14:textId="77777777" w:rsidR="007D5BEE" w:rsidRPr="00BD6E19" w:rsidRDefault="007D5BEE" w:rsidP="007D5BEE">
      <w:pPr>
        <w:spacing w:line="360" w:lineRule="auto"/>
        <w:ind w:left="1440"/>
        <w:jc w:val="both"/>
        <w:rPr>
          <w:rtl/>
          <w:lang w:eastAsia="he-IL"/>
        </w:rPr>
      </w:pPr>
      <w:r w:rsidRPr="00BD6E19">
        <w:rPr>
          <w:rtl/>
          <w:lang w:eastAsia="he-IL"/>
        </w:rPr>
        <w:t xml:space="preserve">"הסכנה הטמונה בעבירה החמורה של החזקת נשק מצדיקה הטלת עונשי מאסר לריצוי בפועל גם על מי שזו עבירתו הראשונה. בבוא בית 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 </w:t>
      </w:r>
      <w:hyperlink r:id="rId29" w:history="1">
        <w:r w:rsidR="005E6EAF" w:rsidRPr="005E6EAF">
          <w:rPr>
            <w:color w:val="0000FF"/>
            <w:u w:val="single"/>
            <w:rtl/>
            <w:lang w:eastAsia="he-IL"/>
          </w:rPr>
          <w:t>רע"פ 2718/04</w:t>
        </w:r>
      </w:hyperlink>
      <w:r w:rsidRPr="00BD6E19">
        <w:rPr>
          <w:rtl/>
          <w:lang w:eastAsia="he-IL"/>
        </w:rPr>
        <w:t xml:space="preserve"> </w:t>
      </w:r>
      <w:r w:rsidRPr="00BD6E19">
        <w:rPr>
          <w:b/>
          <w:bCs/>
          <w:rtl/>
          <w:lang w:eastAsia="he-IL"/>
        </w:rPr>
        <w:t>אבו דאחל</w:t>
      </w:r>
      <w:r w:rsidRPr="00BD6E19">
        <w:rPr>
          <w:rtl/>
          <w:lang w:eastAsia="he-IL"/>
        </w:rPr>
        <w:t xml:space="preserve"> נ' </w:t>
      </w:r>
      <w:r w:rsidRPr="00BD6E19">
        <w:rPr>
          <w:b/>
          <w:bCs/>
          <w:rtl/>
          <w:lang w:eastAsia="he-IL"/>
        </w:rPr>
        <w:t>מדינת ישראל</w:t>
      </w:r>
      <w:r w:rsidRPr="00BD6E19">
        <w:rPr>
          <w:rtl/>
          <w:lang w:eastAsia="he-IL"/>
        </w:rPr>
        <w:t xml:space="preserve"> [פורסם בנבו] (29.3.2004).</w:t>
      </w:r>
    </w:p>
    <w:p w14:paraId="003AA17A" w14:textId="77777777" w:rsidR="007D5BEE" w:rsidRPr="00BD6E19" w:rsidRDefault="007D5BEE" w:rsidP="007D5BEE">
      <w:pPr>
        <w:spacing w:line="360" w:lineRule="auto"/>
        <w:jc w:val="both"/>
        <w:rPr>
          <w:rtl/>
          <w:lang w:eastAsia="he-IL"/>
        </w:rPr>
      </w:pPr>
    </w:p>
    <w:p w14:paraId="64518096" w14:textId="77777777" w:rsidR="007D5BEE" w:rsidRPr="00BD6E19" w:rsidRDefault="007D5BEE" w:rsidP="007D5BEE">
      <w:pPr>
        <w:spacing w:line="360" w:lineRule="auto"/>
        <w:ind w:left="720"/>
        <w:jc w:val="both"/>
        <w:rPr>
          <w:rtl/>
          <w:lang w:eastAsia="he-IL"/>
        </w:rPr>
      </w:pPr>
      <w:r w:rsidRPr="00BD6E19">
        <w:rPr>
          <w:rtl/>
          <w:lang w:eastAsia="he-IL"/>
        </w:rPr>
        <w:t xml:space="preserve">אלמלא נתוניו ונסיבותיו של הנאשם, היה מוצדק להטיל על הנאשם עונש מאסר לתקופה ארוכה יותר. לא אחת הוטלו על נאשמים בנסיבות דומות שתי שנות מאסר בפועל. </w:t>
      </w:r>
    </w:p>
    <w:p w14:paraId="25BEEE56" w14:textId="77777777" w:rsidR="007D5BEE" w:rsidRDefault="007D5BEE" w:rsidP="007D5BEE">
      <w:pPr>
        <w:spacing w:line="360" w:lineRule="auto"/>
        <w:ind w:left="720"/>
        <w:jc w:val="both"/>
        <w:rPr>
          <w:rtl/>
          <w:lang w:eastAsia="he-IL"/>
        </w:rPr>
      </w:pPr>
    </w:p>
    <w:p w14:paraId="28CA1410" w14:textId="77777777" w:rsidR="007D5BEE" w:rsidRPr="00BD6E19" w:rsidRDefault="007D5BEE" w:rsidP="007D5BEE">
      <w:pPr>
        <w:spacing w:line="360" w:lineRule="auto"/>
        <w:ind w:left="720"/>
        <w:jc w:val="both"/>
        <w:rPr>
          <w:rtl/>
          <w:lang w:eastAsia="he-IL"/>
        </w:rPr>
      </w:pPr>
    </w:p>
    <w:p w14:paraId="6B7073D7" w14:textId="77777777" w:rsidR="007D5BEE" w:rsidRPr="00BD6E19" w:rsidRDefault="007D5BEE" w:rsidP="007D5BEE">
      <w:pPr>
        <w:spacing w:line="360" w:lineRule="auto"/>
        <w:ind w:left="720" w:hanging="720"/>
        <w:jc w:val="both"/>
        <w:rPr>
          <w:rtl/>
          <w:lang w:eastAsia="he-IL"/>
        </w:rPr>
      </w:pPr>
      <w:r w:rsidRPr="00BD6E19">
        <w:rPr>
          <w:rtl/>
          <w:lang w:eastAsia="he-IL"/>
        </w:rPr>
        <w:t>13.</w:t>
      </w:r>
      <w:r w:rsidRPr="00BD6E19">
        <w:rPr>
          <w:rtl/>
          <w:lang w:eastAsia="he-IL"/>
        </w:rPr>
        <w:tab/>
        <w:t xml:space="preserve">על רקע נפוצות עבירות הנשק בכלל, ובפרט באזורנו, ועל רקע פסיקת בית המשפט העליון כי יש להטיל על עבירות אלו עונשים שיהיה בהם כדי להרתיע את הציבור מביצוען, אני מוצא כי יש צורך בהרתעת הרבים מפני ביצוע עבירת החזקת הנשק שביצע הנאשם ושיש סיכוי ממשי שהחמרה בעונשו של הנאשם תביא להרתעת הרבים. </w:t>
      </w:r>
    </w:p>
    <w:p w14:paraId="5418EAA0" w14:textId="77777777" w:rsidR="007D5BEE" w:rsidRPr="00BD6E19" w:rsidRDefault="007D5BEE" w:rsidP="007D5BEE">
      <w:pPr>
        <w:spacing w:line="360" w:lineRule="auto"/>
        <w:jc w:val="both"/>
        <w:rPr>
          <w:rtl/>
        </w:rPr>
      </w:pPr>
    </w:p>
    <w:p w14:paraId="5AEDEF23" w14:textId="77777777" w:rsidR="007D5BEE" w:rsidRDefault="007D5BEE" w:rsidP="007D5BEE">
      <w:pPr>
        <w:spacing w:line="360" w:lineRule="auto"/>
        <w:ind w:left="720" w:hanging="720"/>
        <w:jc w:val="both"/>
        <w:rPr>
          <w:rtl/>
        </w:rPr>
      </w:pPr>
      <w:r w:rsidRPr="00BD6E19">
        <w:rPr>
          <w:rtl/>
        </w:rPr>
        <w:t xml:space="preserve">14. </w:t>
      </w:r>
      <w:r w:rsidRPr="00BD6E19">
        <w:rPr>
          <w:rtl/>
        </w:rPr>
        <w:tab/>
        <w:t>סוף דבר, אני גוזר על הנאשם 1 את  העונשים הבאים:</w:t>
      </w:r>
    </w:p>
    <w:p w14:paraId="74FC0AF2" w14:textId="77777777" w:rsidR="007D5BEE" w:rsidRPr="00BD6E19" w:rsidRDefault="007D5BEE" w:rsidP="007D5BEE">
      <w:pPr>
        <w:spacing w:line="360" w:lineRule="auto"/>
        <w:ind w:left="720" w:hanging="720"/>
        <w:jc w:val="both"/>
        <w:rPr>
          <w:rtl/>
        </w:rPr>
      </w:pPr>
    </w:p>
    <w:p w14:paraId="043CE213" w14:textId="77777777" w:rsidR="007D5BEE" w:rsidRPr="00BD6E19" w:rsidRDefault="007D5BEE" w:rsidP="007D5BEE">
      <w:pPr>
        <w:spacing w:line="360" w:lineRule="auto"/>
        <w:jc w:val="both"/>
        <w:rPr>
          <w:rtl/>
        </w:rPr>
      </w:pPr>
      <w:r w:rsidRPr="00BD6E19">
        <w:rPr>
          <w:rtl/>
        </w:rPr>
        <w:tab/>
        <w:t>א.</w:t>
      </w:r>
      <w:r w:rsidRPr="00BD6E19">
        <w:rPr>
          <w:rtl/>
        </w:rPr>
        <w:tab/>
        <w:t>18 חודשי מאסר בפועל, בניכוי ימי מעצרו.</w:t>
      </w:r>
    </w:p>
    <w:p w14:paraId="2EB9A5A1" w14:textId="77777777" w:rsidR="007D5BEE" w:rsidRPr="00BD6E19" w:rsidRDefault="007D5BEE" w:rsidP="007D5BEE">
      <w:pPr>
        <w:spacing w:line="360" w:lineRule="auto"/>
        <w:ind w:left="1440" w:hanging="720"/>
        <w:jc w:val="both"/>
        <w:rPr>
          <w:rtl/>
        </w:rPr>
      </w:pPr>
      <w:r w:rsidRPr="00BD6E19">
        <w:rPr>
          <w:rtl/>
        </w:rPr>
        <w:t>ב.</w:t>
      </w:r>
      <w:r w:rsidRPr="00BD6E19">
        <w:rPr>
          <w:rtl/>
        </w:rPr>
        <w:tab/>
        <w:t>9 חודשי מאסר על תנאי למשך שלוש שנים מיום שחרורו מהמאסר שלא יעבור עבירת נשק המסווגת כפשע.</w:t>
      </w:r>
    </w:p>
    <w:p w14:paraId="2313EA35" w14:textId="77777777" w:rsidR="007D5BEE" w:rsidRPr="00BD6E19" w:rsidRDefault="007D5BEE" w:rsidP="007D5BEE">
      <w:pPr>
        <w:spacing w:line="360" w:lineRule="auto"/>
        <w:jc w:val="both"/>
        <w:rPr>
          <w:rtl/>
        </w:rPr>
      </w:pPr>
    </w:p>
    <w:p w14:paraId="4E0CA920" w14:textId="77777777" w:rsidR="007D5BEE" w:rsidRPr="00BD6E19" w:rsidRDefault="007D5BEE" w:rsidP="007D5BEE">
      <w:pPr>
        <w:spacing w:line="360" w:lineRule="auto"/>
        <w:ind w:left="720" w:hanging="720"/>
        <w:jc w:val="both"/>
        <w:rPr>
          <w:rFonts w:ascii="FrankRuehl" w:hAnsi="FrankRuehl"/>
          <w:rtl/>
          <w:lang w:eastAsia="he-IL"/>
        </w:rPr>
      </w:pPr>
      <w:r w:rsidRPr="00BD6E19">
        <w:rPr>
          <w:rtl/>
        </w:rPr>
        <w:t xml:space="preserve">15.  </w:t>
      </w:r>
      <w:r w:rsidRPr="00BD6E19">
        <w:rPr>
          <w:rtl/>
        </w:rPr>
        <w:tab/>
      </w:r>
      <w:r w:rsidRPr="00BD6E19">
        <w:rPr>
          <w:rFonts w:ascii="FrankRuehl" w:hAnsi="FrankRuehl" w:hint="eastAsia"/>
          <w:rtl/>
          <w:lang w:eastAsia="he-IL"/>
        </w:rPr>
        <w:t>על</w:t>
      </w:r>
      <w:r w:rsidRPr="00BD6E19">
        <w:rPr>
          <w:rFonts w:ascii="FrankRuehl" w:hAnsi="FrankRuehl"/>
          <w:rtl/>
          <w:lang w:eastAsia="he-IL"/>
        </w:rPr>
        <w:t xml:space="preserve"> </w:t>
      </w:r>
      <w:r w:rsidRPr="00BD6E19">
        <w:rPr>
          <w:rFonts w:ascii="FrankRuehl" w:hAnsi="FrankRuehl" w:hint="eastAsia"/>
          <w:rtl/>
          <w:lang w:eastAsia="he-IL"/>
        </w:rPr>
        <w:t>הנאשם</w:t>
      </w:r>
      <w:r w:rsidRPr="00BD6E19">
        <w:rPr>
          <w:rFonts w:ascii="FrankRuehl" w:hAnsi="FrankRuehl"/>
          <w:rtl/>
          <w:lang w:eastAsia="he-IL"/>
        </w:rPr>
        <w:t xml:space="preserve"> 2 </w:t>
      </w:r>
      <w:r w:rsidRPr="00BD6E19">
        <w:rPr>
          <w:rFonts w:ascii="FrankRuehl" w:hAnsi="FrankRuehl" w:hint="eastAsia"/>
          <w:rtl/>
          <w:lang w:eastAsia="he-IL"/>
        </w:rPr>
        <w:t>להתייצב</w:t>
      </w:r>
      <w:r w:rsidRPr="00BD6E19">
        <w:rPr>
          <w:rFonts w:ascii="FrankRuehl" w:hAnsi="FrankRuehl"/>
          <w:rtl/>
          <w:lang w:eastAsia="he-IL"/>
        </w:rPr>
        <w:t xml:space="preserve"> </w:t>
      </w:r>
      <w:r w:rsidRPr="00BD6E19">
        <w:rPr>
          <w:rFonts w:ascii="FrankRuehl" w:hAnsi="FrankRuehl" w:hint="eastAsia"/>
          <w:rtl/>
          <w:lang w:eastAsia="he-IL"/>
        </w:rPr>
        <w:t>במשרדי</w:t>
      </w:r>
      <w:r w:rsidRPr="00BD6E19">
        <w:rPr>
          <w:rFonts w:ascii="FrankRuehl" w:hAnsi="FrankRuehl"/>
          <w:rtl/>
          <w:lang w:eastAsia="he-IL"/>
        </w:rPr>
        <w:t xml:space="preserve"> </w:t>
      </w:r>
      <w:r w:rsidRPr="00BD6E19">
        <w:rPr>
          <w:rFonts w:ascii="FrankRuehl" w:hAnsi="FrankRuehl" w:hint="eastAsia"/>
          <w:rtl/>
          <w:lang w:eastAsia="he-IL"/>
        </w:rPr>
        <w:t>הממונה</w:t>
      </w:r>
      <w:r w:rsidRPr="00BD6E19">
        <w:rPr>
          <w:rFonts w:ascii="FrankRuehl" w:hAnsi="FrankRuehl"/>
          <w:rtl/>
          <w:lang w:eastAsia="he-IL"/>
        </w:rPr>
        <w:t xml:space="preserve"> </w:t>
      </w:r>
      <w:r w:rsidRPr="00BD6E19">
        <w:rPr>
          <w:rFonts w:ascii="FrankRuehl" w:hAnsi="FrankRuehl" w:hint="eastAsia"/>
          <w:rtl/>
          <w:lang w:eastAsia="he-IL"/>
        </w:rPr>
        <w:t>על</w:t>
      </w:r>
      <w:r w:rsidRPr="00BD6E19">
        <w:rPr>
          <w:rFonts w:ascii="FrankRuehl" w:hAnsi="FrankRuehl"/>
          <w:rtl/>
          <w:lang w:eastAsia="he-IL"/>
        </w:rPr>
        <w:t xml:space="preserve"> </w:t>
      </w:r>
      <w:r w:rsidRPr="00BD6E19">
        <w:rPr>
          <w:rFonts w:ascii="FrankRuehl" w:hAnsi="FrankRuehl" w:hint="eastAsia"/>
          <w:rtl/>
          <w:lang w:eastAsia="he-IL"/>
        </w:rPr>
        <w:t>עבודות</w:t>
      </w:r>
      <w:r w:rsidRPr="00BD6E19">
        <w:rPr>
          <w:rFonts w:ascii="FrankRuehl" w:hAnsi="FrankRuehl"/>
          <w:rtl/>
          <w:lang w:eastAsia="he-IL"/>
        </w:rPr>
        <w:t xml:space="preserve"> </w:t>
      </w:r>
      <w:r w:rsidRPr="00BD6E19">
        <w:rPr>
          <w:rFonts w:ascii="FrankRuehl" w:hAnsi="FrankRuehl" w:hint="eastAsia"/>
          <w:rtl/>
          <w:lang w:eastAsia="he-IL"/>
        </w:rPr>
        <w:t>השירות</w:t>
      </w:r>
      <w:r w:rsidRPr="00BD6E19">
        <w:rPr>
          <w:rFonts w:ascii="FrankRuehl" w:hAnsi="FrankRuehl"/>
          <w:rtl/>
          <w:lang w:eastAsia="he-IL"/>
        </w:rPr>
        <w:t xml:space="preserve"> </w:t>
      </w:r>
      <w:r w:rsidRPr="00BD6E19">
        <w:rPr>
          <w:rFonts w:ascii="FrankRuehl" w:hAnsi="FrankRuehl" w:hint="eastAsia"/>
          <w:rtl/>
          <w:lang w:eastAsia="he-IL"/>
        </w:rPr>
        <w:t>במחוז</w:t>
      </w:r>
      <w:r w:rsidRPr="00BD6E19">
        <w:rPr>
          <w:rFonts w:ascii="FrankRuehl" w:hAnsi="FrankRuehl"/>
          <w:rtl/>
          <w:lang w:eastAsia="he-IL"/>
        </w:rPr>
        <w:t xml:space="preserve"> </w:t>
      </w:r>
      <w:r w:rsidRPr="00BD6E19">
        <w:rPr>
          <w:rFonts w:ascii="FrankRuehl" w:hAnsi="FrankRuehl" w:hint="eastAsia"/>
          <w:rtl/>
          <w:lang w:eastAsia="he-IL"/>
        </w:rPr>
        <w:t>דרום</w:t>
      </w:r>
      <w:r w:rsidRPr="00BD6E19">
        <w:rPr>
          <w:rFonts w:ascii="FrankRuehl" w:hAnsi="FrankRuehl"/>
          <w:rtl/>
          <w:lang w:eastAsia="he-IL"/>
        </w:rPr>
        <w:t xml:space="preserve"> </w:t>
      </w:r>
      <w:r w:rsidRPr="00BD6E19">
        <w:rPr>
          <w:rFonts w:ascii="FrankRuehl" w:hAnsi="FrankRuehl" w:hint="eastAsia"/>
          <w:rtl/>
          <w:lang w:eastAsia="he-IL"/>
        </w:rPr>
        <w:t>של</w:t>
      </w:r>
      <w:r w:rsidRPr="00BD6E19">
        <w:rPr>
          <w:rFonts w:ascii="FrankRuehl" w:hAnsi="FrankRuehl"/>
          <w:rtl/>
          <w:lang w:eastAsia="he-IL"/>
        </w:rPr>
        <w:t xml:space="preserve"> </w:t>
      </w:r>
      <w:r w:rsidRPr="00BD6E19">
        <w:rPr>
          <w:rFonts w:ascii="FrankRuehl" w:hAnsi="FrankRuehl" w:hint="eastAsia"/>
          <w:rtl/>
          <w:lang w:eastAsia="he-IL"/>
        </w:rPr>
        <w:t>שב</w:t>
      </w:r>
      <w:r w:rsidRPr="00BD6E19">
        <w:rPr>
          <w:rFonts w:ascii="FrankRuehl" w:hAnsi="FrankRuehl"/>
          <w:rtl/>
          <w:lang w:eastAsia="he-IL"/>
        </w:rPr>
        <w:t>"</w:t>
      </w:r>
      <w:r w:rsidRPr="00BD6E19">
        <w:rPr>
          <w:rFonts w:ascii="FrankRuehl" w:hAnsi="FrankRuehl" w:hint="eastAsia"/>
          <w:rtl/>
          <w:lang w:eastAsia="he-IL"/>
        </w:rPr>
        <w:t>ס</w:t>
      </w:r>
      <w:r w:rsidRPr="00BD6E19">
        <w:rPr>
          <w:rFonts w:ascii="FrankRuehl" w:hAnsi="FrankRuehl"/>
          <w:rtl/>
          <w:lang w:eastAsia="he-IL"/>
        </w:rPr>
        <w:t xml:space="preserve"> </w:t>
      </w:r>
      <w:r w:rsidRPr="00BD6E19">
        <w:rPr>
          <w:rFonts w:ascii="FrankRuehl" w:hAnsi="FrankRuehl" w:hint="eastAsia"/>
          <w:rtl/>
          <w:lang w:eastAsia="he-IL"/>
        </w:rPr>
        <w:t>ביום</w:t>
      </w:r>
      <w:r w:rsidRPr="00BD6E19">
        <w:rPr>
          <w:rFonts w:ascii="FrankRuehl" w:hAnsi="FrankRuehl"/>
          <w:rtl/>
          <w:lang w:eastAsia="he-IL"/>
        </w:rPr>
        <w:t xml:space="preserve"> 11.2.19 </w:t>
      </w:r>
      <w:r w:rsidRPr="00BD6E19">
        <w:rPr>
          <w:rFonts w:ascii="FrankRuehl" w:hAnsi="FrankRuehl" w:hint="eastAsia"/>
          <w:rtl/>
          <w:lang w:eastAsia="he-IL"/>
        </w:rPr>
        <w:t>בשעה</w:t>
      </w:r>
      <w:r w:rsidRPr="00BD6E19">
        <w:rPr>
          <w:rFonts w:ascii="FrankRuehl" w:hAnsi="FrankRuehl"/>
          <w:rtl/>
          <w:lang w:eastAsia="he-IL"/>
        </w:rPr>
        <w:t xml:space="preserve"> 09:00 </w:t>
      </w:r>
      <w:r w:rsidRPr="00BD6E19">
        <w:rPr>
          <w:rFonts w:ascii="FrankRuehl" w:hAnsi="FrankRuehl" w:hint="eastAsia"/>
          <w:rtl/>
          <w:lang w:eastAsia="he-IL"/>
        </w:rPr>
        <w:t>לשם</w:t>
      </w:r>
      <w:r w:rsidRPr="00BD6E19">
        <w:rPr>
          <w:rFonts w:ascii="FrankRuehl" w:hAnsi="FrankRuehl"/>
          <w:rtl/>
          <w:lang w:eastAsia="he-IL"/>
        </w:rPr>
        <w:t xml:space="preserve"> </w:t>
      </w:r>
      <w:r w:rsidRPr="00BD6E19">
        <w:rPr>
          <w:rFonts w:ascii="FrankRuehl" w:hAnsi="FrankRuehl" w:hint="eastAsia"/>
          <w:rtl/>
          <w:lang w:eastAsia="he-IL"/>
        </w:rPr>
        <w:t>קבלת</w:t>
      </w:r>
      <w:r w:rsidRPr="00BD6E19">
        <w:rPr>
          <w:rFonts w:ascii="FrankRuehl" w:hAnsi="FrankRuehl"/>
          <w:rtl/>
          <w:lang w:eastAsia="he-IL"/>
        </w:rPr>
        <w:t xml:space="preserve"> </w:t>
      </w:r>
      <w:r w:rsidRPr="00BD6E19">
        <w:rPr>
          <w:rFonts w:ascii="FrankRuehl" w:hAnsi="FrankRuehl" w:hint="eastAsia"/>
          <w:rtl/>
          <w:lang w:eastAsia="he-IL"/>
        </w:rPr>
        <w:t>פרטים</w:t>
      </w:r>
      <w:r w:rsidRPr="00BD6E19">
        <w:rPr>
          <w:rFonts w:ascii="FrankRuehl" w:hAnsi="FrankRuehl"/>
          <w:rtl/>
          <w:lang w:eastAsia="he-IL"/>
        </w:rPr>
        <w:t xml:space="preserve"> </w:t>
      </w:r>
      <w:r w:rsidRPr="00BD6E19">
        <w:rPr>
          <w:rFonts w:ascii="FrankRuehl" w:hAnsi="FrankRuehl" w:hint="eastAsia"/>
          <w:rtl/>
          <w:lang w:eastAsia="he-IL"/>
        </w:rPr>
        <w:t>על</w:t>
      </w:r>
      <w:r w:rsidRPr="00BD6E19">
        <w:rPr>
          <w:rFonts w:ascii="FrankRuehl" w:hAnsi="FrankRuehl"/>
          <w:rtl/>
          <w:lang w:eastAsia="he-IL"/>
        </w:rPr>
        <w:t xml:space="preserve"> </w:t>
      </w:r>
      <w:r w:rsidRPr="00BD6E19">
        <w:rPr>
          <w:rFonts w:ascii="FrankRuehl" w:hAnsi="FrankRuehl" w:hint="eastAsia"/>
          <w:rtl/>
          <w:lang w:eastAsia="he-IL"/>
        </w:rPr>
        <w:t>מקום</w:t>
      </w:r>
      <w:r w:rsidRPr="00BD6E19">
        <w:rPr>
          <w:rFonts w:ascii="FrankRuehl" w:hAnsi="FrankRuehl"/>
          <w:rtl/>
          <w:lang w:eastAsia="he-IL"/>
        </w:rPr>
        <w:t xml:space="preserve"> </w:t>
      </w:r>
      <w:r w:rsidRPr="00BD6E19">
        <w:rPr>
          <w:rFonts w:ascii="FrankRuehl" w:hAnsi="FrankRuehl" w:hint="eastAsia"/>
          <w:rtl/>
          <w:lang w:eastAsia="he-IL"/>
        </w:rPr>
        <w:t>עבודת</w:t>
      </w:r>
      <w:r w:rsidRPr="00BD6E19">
        <w:rPr>
          <w:rFonts w:ascii="FrankRuehl" w:hAnsi="FrankRuehl"/>
          <w:rtl/>
          <w:lang w:eastAsia="he-IL"/>
        </w:rPr>
        <w:t xml:space="preserve"> </w:t>
      </w:r>
      <w:r w:rsidRPr="00BD6E19">
        <w:rPr>
          <w:rFonts w:ascii="FrankRuehl" w:hAnsi="FrankRuehl" w:hint="eastAsia"/>
          <w:rtl/>
          <w:lang w:eastAsia="he-IL"/>
        </w:rPr>
        <w:t>השירות</w:t>
      </w:r>
      <w:r w:rsidRPr="00BD6E19">
        <w:rPr>
          <w:rFonts w:ascii="FrankRuehl" w:hAnsi="FrankRuehl"/>
          <w:rtl/>
          <w:lang w:eastAsia="he-IL"/>
        </w:rPr>
        <w:t xml:space="preserve"> </w:t>
      </w:r>
      <w:r w:rsidRPr="00BD6E19">
        <w:rPr>
          <w:rFonts w:ascii="FrankRuehl" w:hAnsi="FrankRuehl" w:hint="eastAsia"/>
          <w:rtl/>
          <w:lang w:eastAsia="he-IL"/>
        </w:rPr>
        <w:t>שלו</w:t>
      </w:r>
      <w:r w:rsidRPr="00BD6E19">
        <w:rPr>
          <w:rFonts w:ascii="FrankRuehl" w:hAnsi="FrankRuehl"/>
          <w:rtl/>
          <w:lang w:eastAsia="he-IL"/>
        </w:rPr>
        <w:t xml:space="preserve"> </w:t>
      </w:r>
      <w:r w:rsidRPr="00BD6E19">
        <w:rPr>
          <w:rFonts w:ascii="FrankRuehl" w:hAnsi="FrankRuehl" w:hint="eastAsia"/>
          <w:rtl/>
          <w:lang w:eastAsia="he-IL"/>
        </w:rPr>
        <w:t>והמועד</w:t>
      </w:r>
      <w:r w:rsidRPr="00BD6E19">
        <w:rPr>
          <w:rFonts w:ascii="FrankRuehl" w:hAnsi="FrankRuehl"/>
          <w:rtl/>
          <w:lang w:eastAsia="he-IL"/>
        </w:rPr>
        <w:t xml:space="preserve"> </w:t>
      </w:r>
      <w:r w:rsidRPr="00BD6E19">
        <w:rPr>
          <w:rFonts w:ascii="FrankRuehl" w:hAnsi="FrankRuehl" w:hint="eastAsia"/>
          <w:rtl/>
          <w:lang w:eastAsia="he-IL"/>
        </w:rPr>
        <w:t>בו</w:t>
      </w:r>
      <w:r w:rsidRPr="00BD6E19">
        <w:rPr>
          <w:rFonts w:ascii="FrankRuehl" w:hAnsi="FrankRuehl"/>
          <w:rtl/>
          <w:lang w:eastAsia="he-IL"/>
        </w:rPr>
        <w:t xml:space="preserve"> </w:t>
      </w:r>
      <w:r w:rsidRPr="00BD6E19">
        <w:rPr>
          <w:rFonts w:ascii="FrankRuehl" w:hAnsi="FrankRuehl" w:hint="eastAsia"/>
          <w:rtl/>
          <w:lang w:eastAsia="he-IL"/>
        </w:rPr>
        <w:t>עליו</w:t>
      </w:r>
      <w:r w:rsidRPr="00BD6E19">
        <w:rPr>
          <w:rFonts w:ascii="FrankRuehl" w:hAnsi="FrankRuehl"/>
          <w:rtl/>
          <w:lang w:eastAsia="he-IL"/>
        </w:rPr>
        <w:t xml:space="preserve"> </w:t>
      </w:r>
      <w:r w:rsidRPr="00BD6E19">
        <w:rPr>
          <w:rFonts w:ascii="FrankRuehl" w:hAnsi="FrankRuehl" w:hint="eastAsia"/>
          <w:rtl/>
          <w:lang w:eastAsia="he-IL"/>
        </w:rPr>
        <w:t>להתחיל</w:t>
      </w:r>
      <w:r w:rsidRPr="00BD6E19">
        <w:rPr>
          <w:rFonts w:ascii="FrankRuehl" w:hAnsi="FrankRuehl"/>
          <w:rtl/>
          <w:lang w:eastAsia="he-IL"/>
        </w:rPr>
        <w:t xml:space="preserve"> </w:t>
      </w:r>
      <w:r w:rsidRPr="00BD6E19">
        <w:rPr>
          <w:rFonts w:ascii="FrankRuehl" w:hAnsi="FrankRuehl" w:hint="eastAsia"/>
          <w:rtl/>
          <w:lang w:eastAsia="he-IL"/>
        </w:rPr>
        <w:t>את</w:t>
      </w:r>
      <w:r w:rsidRPr="00BD6E19">
        <w:rPr>
          <w:rFonts w:ascii="FrankRuehl" w:hAnsi="FrankRuehl"/>
          <w:rtl/>
          <w:lang w:eastAsia="he-IL"/>
        </w:rPr>
        <w:t xml:space="preserve"> </w:t>
      </w:r>
      <w:r w:rsidRPr="00BD6E19">
        <w:rPr>
          <w:rFonts w:ascii="FrankRuehl" w:hAnsi="FrankRuehl" w:hint="eastAsia"/>
          <w:rtl/>
          <w:lang w:eastAsia="he-IL"/>
        </w:rPr>
        <w:t>עבודת</w:t>
      </w:r>
      <w:r w:rsidRPr="00BD6E19">
        <w:rPr>
          <w:rFonts w:ascii="FrankRuehl" w:hAnsi="FrankRuehl"/>
          <w:rtl/>
          <w:lang w:eastAsia="he-IL"/>
        </w:rPr>
        <w:t xml:space="preserve"> </w:t>
      </w:r>
      <w:r w:rsidRPr="00BD6E19">
        <w:rPr>
          <w:rFonts w:ascii="FrankRuehl" w:hAnsi="FrankRuehl" w:hint="eastAsia"/>
          <w:rtl/>
          <w:lang w:eastAsia="he-IL"/>
        </w:rPr>
        <w:t>השירות</w:t>
      </w:r>
      <w:r w:rsidRPr="00BD6E19">
        <w:rPr>
          <w:rFonts w:ascii="FrankRuehl" w:hAnsi="FrankRuehl"/>
          <w:rtl/>
          <w:lang w:eastAsia="he-IL"/>
        </w:rPr>
        <w:t xml:space="preserve">. </w:t>
      </w:r>
    </w:p>
    <w:p w14:paraId="56C12177" w14:textId="77777777" w:rsidR="007D5BEE" w:rsidRPr="00BD6E19" w:rsidRDefault="007D5BEE" w:rsidP="007D5BEE">
      <w:pPr>
        <w:spacing w:line="360" w:lineRule="auto"/>
        <w:ind w:left="720" w:hanging="720"/>
        <w:jc w:val="both"/>
        <w:rPr>
          <w:rFonts w:ascii="FrankRuehl" w:hAnsi="FrankRuehl"/>
          <w:rtl/>
          <w:lang w:eastAsia="he-IL"/>
        </w:rPr>
      </w:pPr>
      <w:r w:rsidRPr="00BD6E19">
        <w:rPr>
          <w:rFonts w:ascii="FrankRuehl" w:hAnsi="FrankRuehl"/>
          <w:rtl/>
          <w:lang w:eastAsia="he-IL"/>
        </w:rPr>
        <w:tab/>
      </w:r>
      <w:r w:rsidRPr="00BD6E19">
        <w:rPr>
          <w:rFonts w:ascii="FrankRuehl" w:hAnsi="FrankRuehl" w:hint="eastAsia"/>
          <w:rtl/>
          <w:lang w:eastAsia="he-IL"/>
        </w:rPr>
        <w:t>הממונה</w:t>
      </w:r>
      <w:r w:rsidRPr="00BD6E19">
        <w:rPr>
          <w:rFonts w:ascii="FrankRuehl" w:hAnsi="FrankRuehl"/>
          <w:rtl/>
          <w:lang w:eastAsia="he-IL"/>
        </w:rPr>
        <w:t xml:space="preserve"> </w:t>
      </w:r>
      <w:r w:rsidRPr="00BD6E19">
        <w:rPr>
          <w:rFonts w:ascii="FrankRuehl" w:hAnsi="FrankRuehl" w:hint="eastAsia"/>
          <w:rtl/>
          <w:lang w:eastAsia="he-IL"/>
        </w:rPr>
        <w:t>על</w:t>
      </w:r>
      <w:r w:rsidRPr="00BD6E19">
        <w:rPr>
          <w:rFonts w:ascii="FrankRuehl" w:hAnsi="FrankRuehl"/>
          <w:rtl/>
          <w:lang w:eastAsia="he-IL"/>
        </w:rPr>
        <w:t xml:space="preserve"> </w:t>
      </w:r>
      <w:r w:rsidRPr="00BD6E19">
        <w:rPr>
          <w:rFonts w:ascii="FrankRuehl" w:hAnsi="FrankRuehl" w:hint="eastAsia"/>
          <w:rtl/>
          <w:lang w:eastAsia="he-IL"/>
        </w:rPr>
        <w:t>עבודות</w:t>
      </w:r>
      <w:r w:rsidRPr="00BD6E19">
        <w:rPr>
          <w:rFonts w:ascii="FrankRuehl" w:hAnsi="FrankRuehl"/>
          <w:rtl/>
          <w:lang w:eastAsia="he-IL"/>
        </w:rPr>
        <w:t xml:space="preserve"> </w:t>
      </w:r>
      <w:r w:rsidRPr="00BD6E19">
        <w:rPr>
          <w:rFonts w:ascii="FrankRuehl" w:hAnsi="FrankRuehl" w:hint="eastAsia"/>
          <w:rtl/>
          <w:lang w:eastAsia="he-IL"/>
        </w:rPr>
        <w:t>השירות</w:t>
      </w:r>
      <w:r w:rsidRPr="00BD6E19">
        <w:rPr>
          <w:rFonts w:ascii="FrankRuehl" w:hAnsi="FrankRuehl"/>
          <w:rtl/>
          <w:lang w:eastAsia="he-IL"/>
        </w:rPr>
        <w:t xml:space="preserve"> </w:t>
      </w:r>
      <w:r w:rsidRPr="00BD6E19">
        <w:rPr>
          <w:rFonts w:ascii="FrankRuehl" w:hAnsi="FrankRuehl" w:hint="eastAsia"/>
          <w:rtl/>
          <w:lang w:eastAsia="he-IL"/>
        </w:rPr>
        <w:t>ידווח</w:t>
      </w:r>
      <w:r w:rsidRPr="00BD6E19">
        <w:rPr>
          <w:rFonts w:ascii="FrankRuehl" w:hAnsi="FrankRuehl"/>
          <w:rtl/>
          <w:lang w:eastAsia="he-IL"/>
        </w:rPr>
        <w:t xml:space="preserve"> </w:t>
      </w:r>
      <w:r w:rsidRPr="00BD6E19">
        <w:rPr>
          <w:rFonts w:ascii="FrankRuehl" w:hAnsi="FrankRuehl" w:hint="eastAsia"/>
          <w:rtl/>
          <w:lang w:eastAsia="he-IL"/>
        </w:rPr>
        <w:t>לבית</w:t>
      </w:r>
      <w:r w:rsidRPr="00BD6E19">
        <w:rPr>
          <w:rFonts w:ascii="FrankRuehl" w:hAnsi="FrankRuehl"/>
          <w:rtl/>
          <w:lang w:eastAsia="he-IL"/>
        </w:rPr>
        <w:t xml:space="preserve"> </w:t>
      </w:r>
      <w:r w:rsidRPr="00BD6E19">
        <w:rPr>
          <w:rFonts w:ascii="FrankRuehl" w:hAnsi="FrankRuehl" w:hint="eastAsia"/>
          <w:rtl/>
          <w:lang w:eastAsia="he-IL"/>
        </w:rPr>
        <w:t>המשפט</w:t>
      </w:r>
      <w:r w:rsidRPr="00BD6E19">
        <w:rPr>
          <w:rFonts w:ascii="FrankRuehl" w:hAnsi="FrankRuehl"/>
          <w:rtl/>
          <w:lang w:eastAsia="he-IL"/>
        </w:rPr>
        <w:t xml:space="preserve"> </w:t>
      </w:r>
      <w:r w:rsidRPr="00BD6E19">
        <w:rPr>
          <w:rFonts w:ascii="FrankRuehl" w:hAnsi="FrankRuehl" w:hint="eastAsia"/>
          <w:rtl/>
          <w:lang w:eastAsia="he-IL"/>
        </w:rPr>
        <w:t>על</w:t>
      </w:r>
      <w:r w:rsidRPr="00BD6E19">
        <w:rPr>
          <w:rFonts w:ascii="FrankRuehl" w:hAnsi="FrankRuehl"/>
          <w:rtl/>
          <w:lang w:eastAsia="he-IL"/>
        </w:rPr>
        <w:t xml:space="preserve"> </w:t>
      </w:r>
      <w:r w:rsidRPr="00BD6E19">
        <w:rPr>
          <w:rFonts w:ascii="FrankRuehl" w:hAnsi="FrankRuehl" w:hint="eastAsia"/>
          <w:rtl/>
          <w:lang w:eastAsia="he-IL"/>
        </w:rPr>
        <w:t>התייצבות</w:t>
      </w:r>
      <w:r w:rsidRPr="00BD6E19">
        <w:rPr>
          <w:rFonts w:ascii="FrankRuehl" w:hAnsi="FrankRuehl"/>
          <w:rtl/>
          <w:lang w:eastAsia="he-IL"/>
        </w:rPr>
        <w:t xml:space="preserve"> </w:t>
      </w:r>
      <w:r w:rsidRPr="00BD6E19">
        <w:rPr>
          <w:rFonts w:ascii="FrankRuehl" w:hAnsi="FrankRuehl" w:hint="eastAsia"/>
          <w:rtl/>
          <w:lang w:eastAsia="he-IL"/>
        </w:rPr>
        <w:t>הנאשם</w:t>
      </w:r>
      <w:r w:rsidRPr="00BD6E19">
        <w:rPr>
          <w:rFonts w:ascii="FrankRuehl" w:hAnsi="FrankRuehl"/>
          <w:rtl/>
          <w:lang w:eastAsia="he-IL"/>
        </w:rPr>
        <w:t xml:space="preserve"> </w:t>
      </w:r>
      <w:r w:rsidRPr="00BD6E19">
        <w:rPr>
          <w:rFonts w:ascii="FrankRuehl" w:hAnsi="FrankRuehl" w:hint="eastAsia"/>
          <w:rtl/>
          <w:lang w:eastAsia="he-IL"/>
        </w:rPr>
        <w:t>בפניו</w:t>
      </w:r>
      <w:r w:rsidRPr="00BD6E19">
        <w:rPr>
          <w:rFonts w:ascii="FrankRuehl" w:hAnsi="FrankRuehl"/>
          <w:rtl/>
          <w:lang w:eastAsia="he-IL"/>
        </w:rPr>
        <w:t xml:space="preserve"> </w:t>
      </w:r>
      <w:r w:rsidRPr="00BD6E19">
        <w:rPr>
          <w:rFonts w:ascii="FrankRuehl" w:hAnsi="FrankRuehl" w:hint="eastAsia"/>
          <w:rtl/>
          <w:lang w:eastAsia="he-IL"/>
        </w:rPr>
        <w:t>ועל</w:t>
      </w:r>
      <w:r w:rsidRPr="00BD6E19">
        <w:rPr>
          <w:rFonts w:ascii="FrankRuehl" w:hAnsi="FrankRuehl"/>
          <w:rtl/>
          <w:lang w:eastAsia="he-IL"/>
        </w:rPr>
        <w:t xml:space="preserve"> </w:t>
      </w:r>
      <w:r w:rsidRPr="00BD6E19">
        <w:rPr>
          <w:rFonts w:ascii="FrankRuehl" w:hAnsi="FrankRuehl" w:hint="eastAsia"/>
          <w:rtl/>
          <w:lang w:eastAsia="he-IL"/>
        </w:rPr>
        <w:t>המועד</w:t>
      </w:r>
      <w:r w:rsidRPr="00BD6E19">
        <w:rPr>
          <w:rFonts w:ascii="FrankRuehl" w:hAnsi="FrankRuehl"/>
          <w:rtl/>
          <w:lang w:eastAsia="he-IL"/>
        </w:rPr>
        <w:t xml:space="preserve"> </w:t>
      </w:r>
      <w:r w:rsidRPr="00BD6E19">
        <w:rPr>
          <w:rFonts w:ascii="FrankRuehl" w:hAnsi="FrankRuehl" w:hint="eastAsia"/>
          <w:rtl/>
          <w:lang w:eastAsia="he-IL"/>
        </w:rPr>
        <w:t>לתחילת</w:t>
      </w:r>
      <w:r w:rsidRPr="00BD6E19">
        <w:rPr>
          <w:rFonts w:ascii="FrankRuehl" w:hAnsi="FrankRuehl"/>
          <w:rtl/>
          <w:lang w:eastAsia="he-IL"/>
        </w:rPr>
        <w:t xml:space="preserve"> </w:t>
      </w:r>
      <w:r w:rsidRPr="00BD6E19">
        <w:rPr>
          <w:rFonts w:ascii="FrankRuehl" w:hAnsi="FrankRuehl" w:hint="eastAsia"/>
          <w:rtl/>
          <w:lang w:eastAsia="he-IL"/>
        </w:rPr>
        <w:t>ביצוע</w:t>
      </w:r>
      <w:r w:rsidRPr="00BD6E19">
        <w:rPr>
          <w:rFonts w:ascii="FrankRuehl" w:hAnsi="FrankRuehl"/>
          <w:rtl/>
          <w:lang w:eastAsia="he-IL"/>
        </w:rPr>
        <w:t xml:space="preserve"> </w:t>
      </w:r>
      <w:r w:rsidRPr="00BD6E19">
        <w:rPr>
          <w:rFonts w:ascii="FrankRuehl" w:hAnsi="FrankRuehl" w:hint="eastAsia"/>
          <w:rtl/>
          <w:lang w:eastAsia="he-IL"/>
        </w:rPr>
        <w:t>עבודת</w:t>
      </w:r>
      <w:r w:rsidRPr="00BD6E19">
        <w:rPr>
          <w:rFonts w:ascii="FrankRuehl" w:hAnsi="FrankRuehl"/>
          <w:rtl/>
          <w:lang w:eastAsia="he-IL"/>
        </w:rPr>
        <w:t xml:space="preserve"> </w:t>
      </w:r>
      <w:r w:rsidRPr="00BD6E19">
        <w:rPr>
          <w:rFonts w:ascii="FrankRuehl" w:hAnsi="FrankRuehl" w:hint="eastAsia"/>
          <w:rtl/>
          <w:lang w:eastAsia="he-IL"/>
        </w:rPr>
        <w:t>השירות</w:t>
      </w:r>
      <w:r w:rsidRPr="00BD6E19">
        <w:rPr>
          <w:rFonts w:ascii="FrankRuehl" w:hAnsi="FrankRuehl"/>
          <w:rtl/>
          <w:lang w:eastAsia="he-IL"/>
        </w:rPr>
        <w:t xml:space="preserve"> </w:t>
      </w:r>
      <w:r w:rsidRPr="00BD6E19">
        <w:rPr>
          <w:rFonts w:ascii="FrankRuehl" w:hAnsi="FrankRuehl" w:hint="eastAsia"/>
          <w:rtl/>
          <w:lang w:eastAsia="he-IL"/>
        </w:rPr>
        <w:t>שלו</w:t>
      </w:r>
      <w:r w:rsidRPr="00BD6E19">
        <w:rPr>
          <w:rFonts w:ascii="FrankRuehl" w:hAnsi="FrankRuehl"/>
          <w:rtl/>
          <w:lang w:eastAsia="he-IL"/>
        </w:rPr>
        <w:t xml:space="preserve">. </w:t>
      </w:r>
    </w:p>
    <w:p w14:paraId="4A2DC133" w14:textId="77777777" w:rsidR="007D5BEE" w:rsidRPr="00BD6E19" w:rsidRDefault="007D5BEE" w:rsidP="007D5BEE">
      <w:pPr>
        <w:spacing w:line="360" w:lineRule="auto"/>
        <w:ind w:left="720" w:hanging="720"/>
        <w:jc w:val="both"/>
      </w:pPr>
      <w:r w:rsidRPr="00BD6E19">
        <w:rPr>
          <w:rFonts w:ascii="FrankRuehl" w:hAnsi="FrankRuehl"/>
          <w:rtl/>
          <w:lang w:eastAsia="he-IL"/>
        </w:rPr>
        <w:tab/>
      </w:r>
      <w:r w:rsidRPr="00BD6E19">
        <w:rPr>
          <w:rFonts w:ascii="FrankRuehl" w:hAnsi="FrankRuehl" w:hint="eastAsia"/>
          <w:rtl/>
          <w:lang w:eastAsia="he-IL"/>
        </w:rPr>
        <w:t>מזכירות</w:t>
      </w:r>
      <w:r w:rsidRPr="00BD6E19">
        <w:rPr>
          <w:rFonts w:ascii="FrankRuehl" w:hAnsi="FrankRuehl"/>
          <w:rtl/>
          <w:lang w:eastAsia="he-IL"/>
        </w:rPr>
        <w:t xml:space="preserve"> </w:t>
      </w:r>
      <w:r w:rsidRPr="00BD6E19">
        <w:rPr>
          <w:rFonts w:ascii="FrankRuehl" w:hAnsi="FrankRuehl" w:hint="eastAsia"/>
          <w:rtl/>
          <w:lang w:eastAsia="he-IL"/>
        </w:rPr>
        <w:t>בית</w:t>
      </w:r>
      <w:r w:rsidRPr="00BD6E19">
        <w:rPr>
          <w:rFonts w:ascii="FrankRuehl" w:hAnsi="FrankRuehl"/>
          <w:rtl/>
          <w:lang w:eastAsia="he-IL"/>
        </w:rPr>
        <w:t xml:space="preserve"> </w:t>
      </w:r>
      <w:r w:rsidRPr="00BD6E19">
        <w:rPr>
          <w:rFonts w:ascii="FrankRuehl" w:hAnsi="FrankRuehl" w:hint="eastAsia"/>
          <w:rtl/>
          <w:lang w:eastAsia="he-IL"/>
        </w:rPr>
        <w:t>המשפט</w:t>
      </w:r>
      <w:r w:rsidRPr="00BD6E19">
        <w:rPr>
          <w:rFonts w:ascii="FrankRuehl" w:hAnsi="FrankRuehl"/>
          <w:rtl/>
          <w:lang w:eastAsia="he-IL"/>
        </w:rPr>
        <w:t xml:space="preserve"> </w:t>
      </w:r>
      <w:r w:rsidRPr="00BD6E19">
        <w:rPr>
          <w:rFonts w:ascii="FrankRuehl" w:hAnsi="FrankRuehl" w:hint="eastAsia"/>
          <w:rtl/>
          <w:lang w:eastAsia="he-IL"/>
        </w:rPr>
        <w:t>תעביר</w:t>
      </w:r>
      <w:r w:rsidRPr="00BD6E19">
        <w:rPr>
          <w:rFonts w:ascii="FrankRuehl" w:hAnsi="FrankRuehl"/>
          <w:rtl/>
          <w:lang w:eastAsia="he-IL"/>
        </w:rPr>
        <w:t xml:space="preserve"> </w:t>
      </w:r>
      <w:r w:rsidRPr="00BD6E19">
        <w:rPr>
          <w:rFonts w:ascii="FrankRuehl" w:hAnsi="FrankRuehl" w:hint="eastAsia"/>
          <w:rtl/>
          <w:lang w:eastAsia="he-IL"/>
        </w:rPr>
        <w:t>את</w:t>
      </w:r>
      <w:r w:rsidRPr="00BD6E19">
        <w:rPr>
          <w:rFonts w:ascii="FrankRuehl" w:hAnsi="FrankRuehl"/>
          <w:rtl/>
          <w:lang w:eastAsia="he-IL"/>
        </w:rPr>
        <w:t xml:space="preserve"> </w:t>
      </w:r>
      <w:r w:rsidRPr="00BD6E19">
        <w:rPr>
          <w:rFonts w:ascii="FrankRuehl" w:hAnsi="FrankRuehl" w:hint="eastAsia"/>
          <w:rtl/>
          <w:lang w:eastAsia="he-IL"/>
        </w:rPr>
        <w:t>ההחלטה</w:t>
      </w:r>
      <w:r w:rsidRPr="00BD6E19">
        <w:rPr>
          <w:rFonts w:ascii="FrankRuehl" w:hAnsi="FrankRuehl"/>
          <w:rtl/>
          <w:lang w:eastAsia="he-IL"/>
        </w:rPr>
        <w:t xml:space="preserve"> </w:t>
      </w:r>
      <w:r w:rsidRPr="00BD6E19">
        <w:rPr>
          <w:rFonts w:ascii="FrankRuehl" w:hAnsi="FrankRuehl" w:hint="eastAsia"/>
          <w:rtl/>
          <w:lang w:eastAsia="he-IL"/>
        </w:rPr>
        <w:t>למשרדי</w:t>
      </w:r>
      <w:r w:rsidRPr="00BD6E19">
        <w:rPr>
          <w:rFonts w:ascii="FrankRuehl" w:hAnsi="FrankRuehl"/>
          <w:rtl/>
          <w:lang w:eastAsia="he-IL"/>
        </w:rPr>
        <w:t xml:space="preserve"> </w:t>
      </w:r>
      <w:r w:rsidRPr="00BD6E19">
        <w:rPr>
          <w:rFonts w:ascii="FrankRuehl" w:hAnsi="FrankRuehl" w:hint="eastAsia"/>
          <w:rtl/>
          <w:lang w:eastAsia="he-IL"/>
        </w:rPr>
        <w:t>הממונה</w:t>
      </w:r>
      <w:r w:rsidRPr="00BD6E19">
        <w:rPr>
          <w:rFonts w:ascii="FrankRuehl" w:hAnsi="FrankRuehl"/>
          <w:rtl/>
          <w:lang w:eastAsia="he-IL"/>
        </w:rPr>
        <w:t xml:space="preserve"> </w:t>
      </w:r>
      <w:r w:rsidRPr="00BD6E19">
        <w:rPr>
          <w:rFonts w:ascii="FrankRuehl" w:hAnsi="FrankRuehl" w:hint="eastAsia"/>
          <w:rtl/>
          <w:lang w:eastAsia="he-IL"/>
        </w:rPr>
        <w:t>על</w:t>
      </w:r>
      <w:r w:rsidRPr="00BD6E19">
        <w:rPr>
          <w:rFonts w:ascii="FrankRuehl" w:hAnsi="FrankRuehl"/>
          <w:rtl/>
          <w:lang w:eastAsia="he-IL"/>
        </w:rPr>
        <w:t xml:space="preserve"> </w:t>
      </w:r>
      <w:r w:rsidRPr="00BD6E19">
        <w:rPr>
          <w:rFonts w:ascii="FrankRuehl" w:hAnsi="FrankRuehl" w:hint="eastAsia"/>
          <w:rtl/>
          <w:lang w:eastAsia="he-IL"/>
        </w:rPr>
        <w:t>עבודות</w:t>
      </w:r>
      <w:r w:rsidRPr="00BD6E19">
        <w:rPr>
          <w:rFonts w:ascii="FrankRuehl" w:hAnsi="FrankRuehl"/>
          <w:rtl/>
          <w:lang w:eastAsia="he-IL"/>
        </w:rPr>
        <w:t xml:space="preserve"> </w:t>
      </w:r>
      <w:r w:rsidRPr="00BD6E19">
        <w:rPr>
          <w:rFonts w:ascii="FrankRuehl" w:hAnsi="FrankRuehl" w:hint="eastAsia"/>
          <w:rtl/>
          <w:lang w:eastAsia="he-IL"/>
        </w:rPr>
        <w:t>השירות</w:t>
      </w:r>
      <w:r w:rsidRPr="00BD6E19">
        <w:rPr>
          <w:rFonts w:ascii="FrankRuehl" w:hAnsi="FrankRuehl"/>
          <w:rtl/>
          <w:lang w:eastAsia="he-IL"/>
        </w:rPr>
        <w:t xml:space="preserve">. </w:t>
      </w:r>
    </w:p>
    <w:p w14:paraId="58599BBD" w14:textId="77777777" w:rsidR="007D5BEE" w:rsidRPr="00BD6E19" w:rsidRDefault="007D5BEE" w:rsidP="007D5BEE">
      <w:pPr>
        <w:spacing w:line="360" w:lineRule="auto"/>
        <w:jc w:val="both"/>
        <w:rPr>
          <w:rtl/>
        </w:rPr>
      </w:pPr>
    </w:p>
    <w:p w14:paraId="00B8962E" w14:textId="77777777" w:rsidR="007D5BEE" w:rsidRPr="00BD6E19" w:rsidRDefault="007D5BEE" w:rsidP="007D5BEE">
      <w:pPr>
        <w:spacing w:line="360" w:lineRule="auto"/>
        <w:jc w:val="both"/>
        <w:rPr>
          <w:rtl/>
        </w:rPr>
      </w:pPr>
    </w:p>
    <w:p w14:paraId="44660122" w14:textId="77777777" w:rsidR="007D5BEE" w:rsidRPr="00BD6E19" w:rsidRDefault="007D5BEE" w:rsidP="007D5BEE">
      <w:pPr>
        <w:spacing w:line="360" w:lineRule="auto"/>
        <w:jc w:val="both"/>
        <w:rPr>
          <w:rtl/>
        </w:rPr>
      </w:pPr>
      <w:r w:rsidRPr="00BD6E19">
        <w:rPr>
          <w:rtl/>
        </w:rPr>
        <w:t>זכות ערעור תוך 45 יום.</w:t>
      </w:r>
    </w:p>
    <w:p w14:paraId="18464574" w14:textId="77777777" w:rsidR="007D5BEE" w:rsidRPr="005E6EAF" w:rsidRDefault="005E6EAF" w:rsidP="007D5BEE">
      <w:pPr>
        <w:spacing w:line="360" w:lineRule="auto"/>
        <w:jc w:val="both"/>
        <w:rPr>
          <w:color w:val="FFFFFF"/>
          <w:sz w:val="2"/>
          <w:szCs w:val="2"/>
          <w:rtl/>
        </w:rPr>
      </w:pPr>
      <w:r w:rsidRPr="005E6EAF">
        <w:rPr>
          <w:color w:val="FFFFFF"/>
          <w:sz w:val="2"/>
          <w:szCs w:val="2"/>
          <w:rtl/>
        </w:rPr>
        <w:t>5129371</w:t>
      </w:r>
    </w:p>
    <w:p w14:paraId="5AE338BF" w14:textId="77777777" w:rsidR="007D5BEE" w:rsidRPr="005E6EAF" w:rsidRDefault="005E6EAF" w:rsidP="007D5BEE">
      <w:pPr>
        <w:spacing w:line="360" w:lineRule="auto"/>
        <w:jc w:val="both"/>
        <w:rPr>
          <w:color w:val="FFFFFF"/>
          <w:sz w:val="2"/>
          <w:szCs w:val="2"/>
          <w:rtl/>
        </w:rPr>
      </w:pPr>
      <w:r w:rsidRPr="005E6EAF">
        <w:rPr>
          <w:color w:val="FFFFFF"/>
          <w:sz w:val="2"/>
          <w:szCs w:val="2"/>
          <w:rtl/>
        </w:rPr>
        <w:t>54678313</w:t>
      </w:r>
    </w:p>
    <w:p w14:paraId="5A04EDC6" w14:textId="77777777" w:rsidR="007D5BEE" w:rsidRPr="00BD6E19" w:rsidRDefault="007D5BEE" w:rsidP="007D5BEE">
      <w:pPr>
        <w:spacing w:line="360" w:lineRule="auto"/>
        <w:jc w:val="both"/>
        <w:rPr>
          <w:rtl/>
        </w:rPr>
      </w:pPr>
    </w:p>
    <w:p w14:paraId="0A229E79" w14:textId="77777777" w:rsidR="007D5BEE" w:rsidRPr="00C66B86" w:rsidRDefault="005E6EAF" w:rsidP="007D5BEE">
      <w:pPr>
        <w:spacing w:line="360" w:lineRule="auto"/>
        <w:jc w:val="both"/>
        <w:rPr>
          <w:rtl/>
        </w:rPr>
      </w:pPr>
      <w:r>
        <w:rPr>
          <w:rFonts w:ascii="Arial" w:hAnsi="Arial"/>
          <w:rtl/>
        </w:rPr>
        <w:t xml:space="preserve">ניתן היום,  א' אדר א' תשע"ט, 06 פברואר 2019, בנוכחות הצדדים. </w:t>
      </w:r>
    </w:p>
    <w:p w14:paraId="6D263DC1" w14:textId="77777777" w:rsidR="005E6EAF" w:rsidRDefault="005E6EAF" w:rsidP="005E6EAF">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6F1BFEFC" w14:textId="77777777" w:rsidR="004E1769" w:rsidRPr="004E1769" w:rsidRDefault="004E1769" w:rsidP="004E1769">
      <w:pPr>
        <w:keepNext/>
        <w:rPr>
          <w:rFonts w:ascii="David" w:hAnsi="David"/>
          <w:color w:val="000000"/>
          <w:sz w:val="22"/>
          <w:szCs w:val="22"/>
          <w:rtl/>
        </w:rPr>
      </w:pPr>
    </w:p>
    <w:p w14:paraId="2011FCB7" w14:textId="77777777" w:rsidR="004E1769" w:rsidRPr="004E1769" w:rsidRDefault="004E1769" w:rsidP="004E1769">
      <w:pPr>
        <w:keepNext/>
        <w:rPr>
          <w:rFonts w:ascii="David" w:hAnsi="David"/>
          <w:color w:val="000000"/>
          <w:sz w:val="22"/>
          <w:szCs w:val="22"/>
          <w:rtl/>
        </w:rPr>
      </w:pPr>
      <w:r w:rsidRPr="004E1769">
        <w:rPr>
          <w:rFonts w:ascii="David" w:hAnsi="David"/>
          <w:color w:val="000000"/>
          <w:sz w:val="22"/>
          <w:szCs w:val="22"/>
          <w:rtl/>
        </w:rPr>
        <w:t>אליהו ביתן 54678313-/</w:t>
      </w:r>
    </w:p>
    <w:p w14:paraId="6D18B2FF" w14:textId="77777777" w:rsidR="005E6EAF" w:rsidRPr="005E6EAF" w:rsidRDefault="004E1769" w:rsidP="004E1769">
      <w:pPr>
        <w:rPr>
          <w:color w:val="0000FF"/>
          <w:u w:val="single"/>
        </w:rPr>
      </w:pPr>
      <w:r w:rsidRPr="004E1769">
        <w:rPr>
          <w:color w:val="000000"/>
          <w:u w:val="single"/>
          <w:rtl/>
        </w:rPr>
        <w:t>נוסח מסמך זה כפוף לשינויי ניסוח ועריכה</w:t>
      </w:r>
    </w:p>
    <w:sectPr w:rsidR="005E6EAF" w:rsidRPr="005E6EAF" w:rsidSect="004E1769">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A71B1" w14:textId="77777777" w:rsidR="00B75B62" w:rsidRDefault="00B75B62" w:rsidP="00EC55A3">
      <w:r>
        <w:separator/>
      </w:r>
    </w:p>
  </w:endnote>
  <w:endnote w:type="continuationSeparator" w:id="0">
    <w:p w14:paraId="40EF0281" w14:textId="77777777" w:rsidR="00B75B62" w:rsidRDefault="00B75B62" w:rsidP="00EC5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E4B83" w14:textId="77777777" w:rsidR="004E1769" w:rsidRDefault="004E1769" w:rsidP="004E176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9939F62" w14:textId="77777777" w:rsidR="00472AC5" w:rsidRPr="004E1769" w:rsidRDefault="004E1769" w:rsidP="004E1769">
    <w:pPr>
      <w:pStyle w:val="a5"/>
      <w:pBdr>
        <w:top w:val="single" w:sz="4" w:space="1" w:color="auto"/>
        <w:between w:val="single" w:sz="4" w:space="0" w:color="auto"/>
      </w:pBdr>
      <w:spacing w:after="60"/>
      <w:jc w:val="center"/>
      <w:rPr>
        <w:rFonts w:ascii="FrankRuehl" w:hAnsi="FrankRuehl" w:cs="FrankRuehl"/>
        <w:color w:val="000000"/>
      </w:rPr>
    </w:pPr>
    <w:r w:rsidRPr="004E176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50CDD" w14:textId="77777777" w:rsidR="004E1769" w:rsidRDefault="004E1769" w:rsidP="004E176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73777">
      <w:rPr>
        <w:rFonts w:ascii="FrankRuehl" w:hAnsi="FrankRuehl" w:cs="FrankRuehl"/>
        <w:noProof/>
        <w:rtl/>
      </w:rPr>
      <w:t>1</w:t>
    </w:r>
    <w:r>
      <w:rPr>
        <w:rFonts w:ascii="FrankRuehl" w:hAnsi="FrankRuehl" w:cs="FrankRuehl"/>
        <w:rtl/>
      </w:rPr>
      <w:fldChar w:fldCharType="end"/>
    </w:r>
  </w:p>
  <w:p w14:paraId="38FB34CE" w14:textId="77777777" w:rsidR="00472AC5" w:rsidRPr="004E1769" w:rsidRDefault="004E1769" w:rsidP="004E1769">
    <w:pPr>
      <w:pStyle w:val="a5"/>
      <w:pBdr>
        <w:top w:val="single" w:sz="4" w:space="1" w:color="auto"/>
        <w:between w:val="single" w:sz="4" w:space="0" w:color="auto"/>
      </w:pBdr>
      <w:spacing w:after="60"/>
      <w:jc w:val="center"/>
      <w:rPr>
        <w:rFonts w:ascii="FrankRuehl" w:hAnsi="FrankRuehl" w:cs="FrankRuehl"/>
        <w:color w:val="000000"/>
      </w:rPr>
    </w:pPr>
    <w:r w:rsidRPr="004E1769">
      <w:rPr>
        <w:rFonts w:ascii="FrankRuehl" w:hAnsi="FrankRuehl" w:cs="FrankRuehl"/>
        <w:color w:val="000000"/>
      </w:rPr>
      <w:pict w14:anchorId="4093EB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D52F6" w14:textId="77777777" w:rsidR="00B75B62" w:rsidRDefault="00B75B62" w:rsidP="00EC55A3">
      <w:r>
        <w:separator/>
      </w:r>
    </w:p>
  </w:footnote>
  <w:footnote w:type="continuationSeparator" w:id="0">
    <w:p w14:paraId="7ED75966" w14:textId="77777777" w:rsidR="00B75B62" w:rsidRDefault="00B75B62" w:rsidP="00EC55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E0FE7" w14:textId="77777777" w:rsidR="005E6EAF" w:rsidRPr="004E1769" w:rsidRDefault="004E1769" w:rsidP="004E176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53496-03-18</w:t>
    </w:r>
    <w:r>
      <w:rPr>
        <w:rFonts w:ascii="David" w:hAnsi="David"/>
        <w:color w:val="000000"/>
        <w:sz w:val="22"/>
        <w:szCs w:val="22"/>
        <w:rtl/>
      </w:rPr>
      <w:tab/>
      <w:t xml:space="preserve"> מדינת ישראל נ' סאמר אבו עסא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B89E5" w14:textId="77777777" w:rsidR="005E6EAF" w:rsidRPr="004E1769" w:rsidRDefault="004E1769" w:rsidP="004E176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53496-03-18</w:t>
    </w:r>
    <w:r>
      <w:rPr>
        <w:rFonts w:ascii="David" w:hAnsi="David"/>
        <w:color w:val="000000"/>
        <w:sz w:val="22"/>
        <w:szCs w:val="22"/>
        <w:rtl/>
      </w:rPr>
      <w:tab/>
      <w:t xml:space="preserve"> מדינת ישראל נ' סאמר אבו עסא</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D5BEE"/>
    <w:rsid w:val="00381020"/>
    <w:rsid w:val="00472AC5"/>
    <w:rsid w:val="004E1769"/>
    <w:rsid w:val="005E6EAF"/>
    <w:rsid w:val="00682CB4"/>
    <w:rsid w:val="007A2F5E"/>
    <w:rsid w:val="007D5BEE"/>
    <w:rsid w:val="007E4A08"/>
    <w:rsid w:val="00A73777"/>
    <w:rsid w:val="00B5343F"/>
    <w:rsid w:val="00B75B62"/>
    <w:rsid w:val="00BB3BD0"/>
    <w:rsid w:val="00EC55A3"/>
    <w:rsid w:val="00F550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69CD77B"/>
  <w15:chartTrackingRefBased/>
  <w15:docId w15:val="{F7142159-C4C3-4D2D-9B36-D1D883635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D5BE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D5BEE"/>
    <w:pPr>
      <w:tabs>
        <w:tab w:val="center" w:pos="4153"/>
        <w:tab w:val="right" w:pos="8306"/>
      </w:tabs>
    </w:pPr>
  </w:style>
  <w:style w:type="character" w:customStyle="1" w:styleId="a4">
    <w:name w:val="כותרת עליונה תו"/>
    <w:link w:val="a3"/>
    <w:rsid w:val="007D5BEE"/>
    <w:rPr>
      <w:rFonts w:ascii="Times New Roman" w:eastAsia="Times New Roman" w:hAnsi="Times New Roman" w:cs="David"/>
      <w:sz w:val="24"/>
      <w:szCs w:val="24"/>
    </w:rPr>
  </w:style>
  <w:style w:type="paragraph" w:styleId="a5">
    <w:name w:val="footer"/>
    <w:basedOn w:val="a"/>
    <w:link w:val="a6"/>
    <w:rsid w:val="007D5BEE"/>
    <w:pPr>
      <w:tabs>
        <w:tab w:val="center" w:pos="4153"/>
        <w:tab w:val="right" w:pos="8306"/>
      </w:tabs>
    </w:pPr>
  </w:style>
  <w:style w:type="character" w:customStyle="1" w:styleId="a6">
    <w:name w:val="כותרת תחתונה תו"/>
    <w:link w:val="a5"/>
    <w:rsid w:val="007D5BEE"/>
    <w:rPr>
      <w:rFonts w:ascii="Times New Roman" w:eastAsia="Times New Roman" w:hAnsi="Times New Roman" w:cs="David"/>
      <w:sz w:val="24"/>
      <w:szCs w:val="24"/>
    </w:rPr>
  </w:style>
  <w:style w:type="table" w:styleId="a7">
    <w:name w:val="Table Grid"/>
    <w:basedOn w:val="a1"/>
    <w:rsid w:val="007D5BE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D5BEE"/>
  </w:style>
  <w:style w:type="character" w:styleId="Hyperlink">
    <w:name w:val="Hyperlink"/>
    <w:rsid w:val="005E6EA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6473037" TargetMode="External"/><Relationship Id="rId18" Type="http://schemas.openxmlformats.org/officeDocument/2006/relationships/hyperlink" Target="http://www.nevo.co.il/case/24269595" TargetMode="External"/><Relationship Id="rId26" Type="http://schemas.openxmlformats.org/officeDocument/2006/relationships/hyperlink" Target="http://www.nevo.co.il/case/21771409" TargetMode="External"/><Relationship Id="rId3" Type="http://schemas.openxmlformats.org/officeDocument/2006/relationships/webSettings" Target="webSettings.xml"/><Relationship Id="rId21" Type="http://schemas.openxmlformats.org/officeDocument/2006/relationships/hyperlink" Target="http://www.nevo.co.il/case/13090914" TargetMode="External"/><Relationship Id="rId34" Type="http://schemas.openxmlformats.org/officeDocument/2006/relationships/footer" Target="footer2.xml"/><Relationship Id="rId7" Type="http://schemas.openxmlformats.org/officeDocument/2006/relationships/hyperlink" Target="http://www.nevo.co.il/law/70301/31" TargetMode="External"/><Relationship Id="rId12" Type="http://schemas.openxmlformats.org/officeDocument/2006/relationships/hyperlink" Target="http://www.nevo.co.il/law/70301/31" TargetMode="External"/><Relationship Id="rId17" Type="http://schemas.openxmlformats.org/officeDocument/2006/relationships/hyperlink" Target="http://www.nevo.co.il/case/6100233" TargetMode="External"/><Relationship Id="rId25" Type="http://schemas.openxmlformats.org/officeDocument/2006/relationships/hyperlink" Target="http://www.nevo.co.il/case/21472954"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case/6473037" TargetMode="External"/><Relationship Id="rId20" Type="http://schemas.openxmlformats.org/officeDocument/2006/relationships/hyperlink" Target="http://www.nevo.co.il/case/22006503" TargetMode="External"/><Relationship Id="rId29" Type="http://schemas.openxmlformats.org/officeDocument/2006/relationships/hyperlink" Target="http://www.nevo.co.il/case/5852404"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case/6151556" TargetMode="External"/><Relationship Id="rId32"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case/5724364" TargetMode="External"/><Relationship Id="rId23" Type="http://schemas.openxmlformats.org/officeDocument/2006/relationships/hyperlink" Target="http://www.nevo.co.il/case/7791493" TargetMode="External"/><Relationship Id="rId28" Type="http://schemas.openxmlformats.org/officeDocument/2006/relationships/hyperlink" Target="http://www.nevo.co.il/case/22791136" TargetMode="External"/><Relationship Id="rId36"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case/22317462"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case/24140726" TargetMode="External"/><Relationship Id="rId22" Type="http://schemas.openxmlformats.org/officeDocument/2006/relationships/hyperlink" Target="http://www.nevo.co.il/case/6950458" TargetMode="External"/><Relationship Id="rId27" Type="http://schemas.openxmlformats.org/officeDocument/2006/relationships/hyperlink" Target="http://www.nevo.co.il/case/16900316"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4025</Words>
  <Characters>20128</Characters>
  <Application>Microsoft Office Word</Application>
  <DocSecurity>0</DocSecurity>
  <Lines>167</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24105</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3145854</vt:i4>
      </vt:variant>
      <vt:variant>
        <vt:i4>72</vt:i4>
      </vt:variant>
      <vt:variant>
        <vt:i4>0</vt:i4>
      </vt:variant>
      <vt:variant>
        <vt:i4>5</vt:i4>
      </vt:variant>
      <vt:variant>
        <vt:lpwstr>http://www.nevo.co.il/case/5852404</vt:lpwstr>
      </vt:variant>
      <vt:variant>
        <vt:lpwstr/>
      </vt:variant>
      <vt:variant>
        <vt:i4>3604606</vt:i4>
      </vt:variant>
      <vt:variant>
        <vt:i4>69</vt:i4>
      </vt:variant>
      <vt:variant>
        <vt:i4>0</vt:i4>
      </vt:variant>
      <vt:variant>
        <vt:i4>5</vt:i4>
      </vt:variant>
      <vt:variant>
        <vt:lpwstr>http://www.nevo.co.il/case/22791136</vt:lpwstr>
      </vt:variant>
      <vt:variant>
        <vt:lpwstr/>
      </vt:variant>
      <vt:variant>
        <vt:i4>3735665</vt:i4>
      </vt:variant>
      <vt:variant>
        <vt:i4>66</vt:i4>
      </vt:variant>
      <vt:variant>
        <vt:i4>0</vt:i4>
      </vt:variant>
      <vt:variant>
        <vt:i4>5</vt:i4>
      </vt:variant>
      <vt:variant>
        <vt:lpwstr>http://www.nevo.co.il/case/16900316</vt:lpwstr>
      </vt:variant>
      <vt:variant>
        <vt:lpwstr/>
      </vt:variant>
      <vt:variant>
        <vt:i4>3407990</vt:i4>
      </vt:variant>
      <vt:variant>
        <vt:i4>63</vt:i4>
      </vt:variant>
      <vt:variant>
        <vt:i4>0</vt:i4>
      </vt:variant>
      <vt:variant>
        <vt:i4>5</vt:i4>
      </vt:variant>
      <vt:variant>
        <vt:lpwstr>http://www.nevo.co.il/case/21771409</vt:lpwstr>
      </vt:variant>
      <vt:variant>
        <vt:lpwstr/>
      </vt:variant>
      <vt:variant>
        <vt:i4>3211387</vt:i4>
      </vt:variant>
      <vt:variant>
        <vt:i4>60</vt:i4>
      </vt:variant>
      <vt:variant>
        <vt:i4>0</vt:i4>
      </vt:variant>
      <vt:variant>
        <vt:i4>5</vt:i4>
      </vt:variant>
      <vt:variant>
        <vt:lpwstr>http://www.nevo.co.il/case/21472954</vt:lpwstr>
      </vt:variant>
      <vt:variant>
        <vt:lpwstr/>
      </vt:variant>
      <vt:variant>
        <vt:i4>3145841</vt:i4>
      </vt:variant>
      <vt:variant>
        <vt:i4>57</vt:i4>
      </vt:variant>
      <vt:variant>
        <vt:i4>0</vt:i4>
      </vt:variant>
      <vt:variant>
        <vt:i4>5</vt:i4>
      </vt:variant>
      <vt:variant>
        <vt:lpwstr>http://www.nevo.co.il/case/6151556</vt:lpwstr>
      </vt:variant>
      <vt:variant>
        <vt:lpwstr/>
      </vt:variant>
      <vt:variant>
        <vt:i4>3735675</vt:i4>
      </vt:variant>
      <vt:variant>
        <vt:i4>54</vt:i4>
      </vt:variant>
      <vt:variant>
        <vt:i4>0</vt:i4>
      </vt:variant>
      <vt:variant>
        <vt:i4>5</vt:i4>
      </vt:variant>
      <vt:variant>
        <vt:lpwstr>http://www.nevo.co.il/case/7791493</vt:lpwstr>
      </vt:variant>
      <vt:variant>
        <vt:lpwstr/>
      </vt:variant>
      <vt:variant>
        <vt:i4>4128888</vt:i4>
      </vt:variant>
      <vt:variant>
        <vt:i4>51</vt:i4>
      </vt:variant>
      <vt:variant>
        <vt:i4>0</vt:i4>
      </vt:variant>
      <vt:variant>
        <vt:i4>5</vt:i4>
      </vt:variant>
      <vt:variant>
        <vt:lpwstr>http://www.nevo.co.il/case/6950458</vt:lpwstr>
      </vt:variant>
      <vt:variant>
        <vt:lpwstr/>
      </vt:variant>
      <vt:variant>
        <vt:i4>3145847</vt:i4>
      </vt:variant>
      <vt:variant>
        <vt:i4>48</vt:i4>
      </vt:variant>
      <vt:variant>
        <vt:i4>0</vt:i4>
      </vt:variant>
      <vt:variant>
        <vt:i4>5</vt:i4>
      </vt:variant>
      <vt:variant>
        <vt:lpwstr>http://www.nevo.co.il/case/13090914</vt:lpwstr>
      </vt:variant>
      <vt:variant>
        <vt:lpwstr/>
      </vt:variant>
      <vt:variant>
        <vt:i4>3407987</vt:i4>
      </vt:variant>
      <vt:variant>
        <vt:i4>45</vt:i4>
      </vt:variant>
      <vt:variant>
        <vt:i4>0</vt:i4>
      </vt:variant>
      <vt:variant>
        <vt:i4>5</vt:i4>
      </vt:variant>
      <vt:variant>
        <vt:lpwstr>http://www.nevo.co.il/case/22006503</vt:lpwstr>
      </vt:variant>
      <vt:variant>
        <vt:lpwstr/>
      </vt:variant>
      <vt:variant>
        <vt:i4>3145843</vt:i4>
      </vt:variant>
      <vt:variant>
        <vt:i4>42</vt:i4>
      </vt:variant>
      <vt:variant>
        <vt:i4>0</vt:i4>
      </vt:variant>
      <vt:variant>
        <vt:i4>5</vt:i4>
      </vt:variant>
      <vt:variant>
        <vt:lpwstr>http://www.nevo.co.il/case/22317462</vt:lpwstr>
      </vt:variant>
      <vt:variant>
        <vt:lpwstr/>
      </vt:variant>
      <vt:variant>
        <vt:i4>3145843</vt:i4>
      </vt:variant>
      <vt:variant>
        <vt:i4>39</vt:i4>
      </vt:variant>
      <vt:variant>
        <vt:i4>0</vt:i4>
      </vt:variant>
      <vt:variant>
        <vt:i4>5</vt:i4>
      </vt:variant>
      <vt:variant>
        <vt:lpwstr>http://www.nevo.co.il/case/24269595</vt:lpwstr>
      </vt:variant>
      <vt:variant>
        <vt:lpwstr/>
      </vt:variant>
      <vt:variant>
        <vt:i4>3604598</vt:i4>
      </vt:variant>
      <vt:variant>
        <vt:i4>36</vt:i4>
      </vt:variant>
      <vt:variant>
        <vt:i4>0</vt:i4>
      </vt:variant>
      <vt:variant>
        <vt:i4>5</vt:i4>
      </vt:variant>
      <vt:variant>
        <vt:lpwstr>http://www.nevo.co.il/case/6100233</vt:lpwstr>
      </vt:variant>
      <vt:variant>
        <vt:lpwstr/>
      </vt:variant>
      <vt:variant>
        <vt:i4>3539068</vt:i4>
      </vt:variant>
      <vt:variant>
        <vt:i4>33</vt:i4>
      </vt:variant>
      <vt:variant>
        <vt:i4>0</vt:i4>
      </vt:variant>
      <vt:variant>
        <vt:i4>5</vt:i4>
      </vt:variant>
      <vt:variant>
        <vt:lpwstr>http://www.nevo.co.il/case/5878682</vt:lpwstr>
      </vt:variant>
      <vt:variant>
        <vt:lpwstr/>
      </vt:variant>
      <vt:variant>
        <vt:i4>3539056</vt:i4>
      </vt:variant>
      <vt:variant>
        <vt:i4>30</vt:i4>
      </vt:variant>
      <vt:variant>
        <vt:i4>0</vt:i4>
      </vt:variant>
      <vt:variant>
        <vt:i4>5</vt:i4>
      </vt:variant>
      <vt:variant>
        <vt:lpwstr>http://www.nevo.co.il/case/6473037</vt:lpwstr>
      </vt:variant>
      <vt:variant>
        <vt:lpwstr/>
      </vt:variant>
      <vt:variant>
        <vt:i4>3145841</vt:i4>
      </vt:variant>
      <vt:variant>
        <vt:i4>27</vt:i4>
      </vt:variant>
      <vt:variant>
        <vt:i4>0</vt:i4>
      </vt:variant>
      <vt:variant>
        <vt:i4>5</vt:i4>
      </vt:variant>
      <vt:variant>
        <vt:lpwstr>http://www.nevo.co.il/case/5724364</vt:lpwstr>
      </vt:variant>
      <vt:variant>
        <vt:lpwstr/>
      </vt:variant>
      <vt:variant>
        <vt:i4>3211379</vt:i4>
      </vt:variant>
      <vt:variant>
        <vt:i4>24</vt:i4>
      </vt:variant>
      <vt:variant>
        <vt:i4>0</vt:i4>
      </vt:variant>
      <vt:variant>
        <vt:i4>5</vt:i4>
      </vt:variant>
      <vt:variant>
        <vt:lpwstr>http://www.nevo.co.il/case/24140726</vt:lpwstr>
      </vt:variant>
      <vt:variant>
        <vt:lpwstr/>
      </vt:variant>
      <vt:variant>
        <vt:i4>3539056</vt:i4>
      </vt:variant>
      <vt:variant>
        <vt:i4>21</vt:i4>
      </vt:variant>
      <vt:variant>
        <vt:i4>0</vt:i4>
      </vt:variant>
      <vt:variant>
        <vt:i4>5</vt:i4>
      </vt:variant>
      <vt:variant>
        <vt:lpwstr>http://www.nevo.co.il/case/6473037</vt:lpwstr>
      </vt:variant>
      <vt:variant>
        <vt:lpwstr/>
      </vt:variant>
      <vt:variant>
        <vt:i4>6553702</vt:i4>
      </vt:variant>
      <vt:variant>
        <vt:i4>18</vt:i4>
      </vt:variant>
      <vt:variant>
        <vt:i4>0</vt:i4>
      </vt:variant>
      <vt:variant>
        <vt:i4>5</vt:i4>
      </vt:variant>
      <vt:variant>
        <vt:lpwstr>http://www.nevo.co.il/law/70301/31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2023-12-07T12:07:00Z</dcterms:created>
  <dcterms:modified xsi:type="dcterms:W3CDTF">2023-12-07T12:07:00Z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53496</vt:lpwstr>
  </property>
  <property fmtid="{D5CDD505-2E9C-101B-9397-08002B2CF9AE}" pid="6" name="NEWPARTB">
    <vt:lpwstr>03</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סאמר אבו עסא;סולטאן אבו עסא</vt:lpwstr>
  </property>
  <property fmtid="{D5CDD505-2E9C-101B-9397-08002B2CF9AE}" pid="10" name="LAWYER">
    <vt:lpwstr>שרון שוורץ;אמיר נבון;עידו פורת</vt:lpwstr>
  </property>
  <property fmtid="{D5CDD505-2E9C-101B-9397-08002B2CF9AE}" pid="11" name="JUDGE">
    <vt:lpwstr>אליהו ביתן</vt:lpwstr>
  </property>
  <property fmtid="{D5CDD505-2E9C-101B-9397-08002B2CF9AE}" pid="12" name="CITY">
    <vt:lpwstr>ב"ש</vt:lpwstr>
  </property>
  <property fmtid="{D5CDD505-2E9C-101B-9397-08002B2CF9AE}" pid="13" name="DATE">
    <vt:lpwstr>20190206</vt:lpwstr>
  </property>
  <property fmtid="{D5CDD505-2E9C-101B-9397-08002B2CF9AE}" pid="14" name="TYPE_N_DATE">
    <vt:lpwstr>39020190206</vt:lpwstr>
  </property>
  <property fmtid="{D5CDD505-2E9C-101B-9397-08002B2CF9AE}" pid="15" name="CASESLISTTMP1">
    <vt:lpwstr>6473037:2;24140726;5724364;5878682;6100233;24269595;22317462;22006503;13090914;6950458;7791493;6151556;21472954;21771409;16900316;22791136;5852404</vt:lpwstr>
  </property>
  <property fmtid="{D5CDD505-2E9C-101B-9397-08002B2CF9AE}" pid="16" name="WORDNUMPAGES">
    <vt:lpwstr>13</vt:lpwstr>
  </property>
  <property fmtid="{D5CDD505-2E9C-101B-9397-08002B2CF9AE}" pid="17" name="TYPE_ABS_DATE">
    <vt:lpwstr>390020190206</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70301/144.a:2;031</vt:lpwstr>
  </property>
</Properties>
</file>