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0" w:type="auto"/>
        <w:jc w:val="center"/>
        <w:tblLook w:val="0000" w:firstRow="0" w:lastRow="0" w:firstColumn="0" w:lastColumn="0" w:noHBand="0" w:noVBand="0"/>
      </w:tblPr>
      <w:tblGrid>
        <w:gridCol w:w="5044"/>
        <w:gridCol w:w="3677"/>
      </w:tblGrid>
      <w:tr w:rsidR="00A84695" w:rsidRPr="00393BA8" w14:paraId="5A4D60FC" w14:textId="77777777" w:rsidTr="009D1125">
        <w:trPr>
          <w:trHeight w:hRule="exact" w:val="418"/>
          <w:jc w:val="center"/>
        </w:trPr>
        <w:tc>
          <w:tcPr>
            <w:tcW w:w="8721" w:type="dxa"/>
            <w:gridSpan w:val="2"/>
          </w:tcPr>
          <w:p w14:paraId="334E34D3" w14:textId="77777777" w:rsidR="00A84695" w:rsidRPr="00393BA8" w:rsidRDefault="00A84695" w:rsidP="006519C2">
            <w:pPr>
              <w:pStyle w:val="a3"/>
              <w:jc w:val="center"/>
              <w:rPr>
                <w:rFonts w:ascii="Tahoma" w:hAnsi="Tahoma" w:cs="Tahoma"/>
                <w:color w:val="000080"/>
                <w:rtl/>
              </w:rPr>
            </w:pPr>
            <w:r w:rsidRPr="00393BA8">
              <w:rPr>
                <w:rFonts w:ascii="Tahoma" w:hAnsi="Tahoma" w:cs="Tahoma"/>
                <w:b/>
                <w:bCs/>
                <w:color w:val="000080"/>
                <w:rtl/>
              </w:rPr>
              <w:t>בית המשפט המחוזי בבאר שבע</w:t>
            </w:r>
          </w:p>
        </w:tc>
      </w:tr>
      <w:tr w:rsidR="00A84695" w:rsidRPr="00547C8B" w14:paraId="73AF4639" w14:textId="77777777" w:rsidTr="009D1125">
        <w:trPr>
          <w:trHeight w:val="337"/>
          <w:jc w:val="center"/>
        </w:trPr>
        <w:tc>
          <w:tcPr>
            <w:tcW w:w="5044" w:type="dxa"/>
          </w:tcPr>
          <w:p w14:paraId="658E97AF" w14:textId="77777777" w:rsidR="00547C8B" w:rsidRPr="00547C8B" w:rsidRDefault="00547C8B" w:rsidP="00547C8B">
            <w:pPr>
              <w:spacing w:before="120" w:after="120" w:line="240" w:lineRule="exact"/>
              <w:rPr>
                <w:rFonts w:ascii="David" w:hAnsi="David" w:hint="cs"/>
                <w:b/>
                <w:bCs/>
                <w:sz w:val="26"/>
                <w:szCs w:val="26"/>
                <w:rtl/>
              </w:rPr>
            </w:pPr>
            <w:r w:rsidRPr="00547C8B">
              <w:rPr>
                <w:rFonts w:ascii="David" w:hAnsi="David"/>
                <w:b/>
                <w:bCs/>
                <w:sz w:val="26"/>
                <w:szCs w:val="26"/>
                <w:rtl/>
              </w:rPr>
              <w:t>ת"פ 61759-02-19 מדינת ישראל נ' אבו טאהא(עציר) ואח'</w:t>
            </w:r>
          </w:p>
        </w:tc>
        <w:tc>
          <w:tcPr>
            <w:tcW w:w="3677" w:type="dxa"/>
          </w:tcPr>
          <w:p w14:paraId="2A5E033F" w14:textId="77777777" w:rsidR="00A84695" w:rsidRPr="00547C8B" w:rsidRDefault="00A84695" w:rsidP="00547C8B">
            <w:pPr>
              <w:spacing w:before="120" w:after="120" w:line="240" w:lineRule="exact"/>
              <w:jc w:val="right"/>
              <w:rPr>
                <w:rFonts w:ascii="David" w:hAnsi="David"/>
                <w:b/>
                <w:bCs/>
                <w:sz w:val="26"/>
                <w:szCs w:val="26"/>
                <w:rtl/>
              </w:rPr>
            </w:pPr>
            <w:r w:rsidRPr="00547C8B">
              <w:rPr>
                <w:rFonts w:ascii="David" w:hAnsi="David"/>
                <w:b/>
                <w:bCs/>
                <w:sz w:val="26"/>
                <w:szCs w:val="26"/>
                <w:rtl/>
              </w:rPr>
              <w:t>04 בדצמבר 2019</w:t>
            </w:r>
            <w:r w:rsidRPr="00547C8B">
              <w:rPr>
                <w:rFonts w:ascii="David" w:hAnsi="David"/>
                <w:b/>
                <w:bCs/>
                <w:sz w:val="26"/>
                <w:szCs w:val="26"/>
                <w:rtl/>
              </w:rPr>
              <w:br/>
            </w:r>
            <w:r w:rsidRPr="00547C8B">
              <w:rPr>
                <w:rFonts w:ascii="David" w:hAnsi="David"/>
                <w:b/>
                <w:bCs/>
                <w:sz w:val="26"/>
                <w:szCs w:val="26"/>
                <w:rtl/>
              </w:rPr>
              <w:br/>
            </w:r>
          </w:p>
        </w:tc>
      </w:tr>
      <w:tr w:rsidR="00547C8B" w:rsidRPr="00547C8B" w14:paraId="26DD59B1" w14:textId="77777777" w:rsidTr="009D1125">
        <w:trPr>
          <w:trHeight w:val="337"/>
          <w:jc w:val="center"/>
        </w:trPr>
        <w:tc>
          <w:tcPr>
            <w:tcW w:w="5044" w:type="dxa"/>
          </w:tcPr>
          <w:p w14:paraId="2625FDB5" w14:textId="77777777" w:rsidR="00547C8B" w:rsidRPr="00547C8B" w:rsidRDefault="00547C8B" w:rsidP="00547C8B">
            <w:pPr>
              <w:spacing w:before="120" w:after="120" w:line="240" w:lineRule="exact"/>
              <w:rPr>
                <w:rFonts w:ascii="David" w:hAnsi="David" w:hint="cs"/>
                <w:b/>
                <w:bCs/>
                <w:sz w:val="26"/>
                <w:szCs w:val="26"/>
                <w:rtl/>
              </w:rPr>
            </w:pPr>
            <w:r w:rsidRPr="00547C8B">
              <w:rPr>
                <w:rFonts w:ascii="David" w:hAnsi="David"/>
                <w:b/>
                <w:bCs/>
                <w:sz w:val="26"/>
                <w:szCs w:val="26"/>
                <w:rtl/>
              </w:rPr>
              <w:t xml:space="preserve">בפני כב' ס.הנשיאה, השופט אליהו ביתן </w:t>
            </w:r>
          </w:p>
        </w:tc>
        <w:tc>
          <w:tcPr>
            <w:tcW w:w="3677" w:type="dxa"/>
          </w:tcPr>
          <w:p w14:paraId="1A82CC1E" w14:textId="77777777" w:rsidR="00547C8B" w:rsidRPr="00547C8B" w:rsidRDefault="00547C8B" w:rsidP="00547C8B">
            <w:pPr>
              <w:spacing w:before="120" w:after="120" w:line="240" w:lineRule="exact"/>
              <w:jc w:val="right"/>
              <w:rPr>
                <w:rFonts w:ascii="David" w:hAnsi="David"/>
                <w:b/>
                <w:bCs/>
                <w:sz w:val="26"/>
                <w:szCs w:val="26"/>
                <w:rtl/>
              </w:rPr>
            </w:pPr>
          </w:p>
        </w:tc>
      </w:tr>
    </w:tbl>
    <w:p w14:paraId="14C69706" w14:textId="77777777" w:rsidR="00A84695" w:rsidRPr="00547C8B" w:rsidRDefault="00A84695" w:rsidP="00547C8B">
      <w:pPr>
        <w:pStyle w:val="a3"/>
        <w:spacing w:before="120" w:after="120" w:line="240" w:lineRule="exact"/>
        <w:rPr>
          <w:rFonts w:ascii="David" w:hAnsi="David"/>
          <w:sz w:val="26"/>
          <w:szCs w:val="26"/>
          <w:rtl/>
        </w:rPr>
      </w:pPr>
      <w:bookmarkStart w:id="0" w:name="LastJudge"/>
      <w:bookmarkEnd w:id="0"/>
      <w:r w:rsidRPr="00547C8B">
        <w:rPr>
          <w:rFonts w:hint="cs"/>
          <w:rtl/>
        </w:rPr>
        <w:t xml:space="preserve"> </w:t>
      </w:r>
    </w:p>
    <w:tbl>
      <w:tblPr>
        <w:tblpPr w:leftFromText="180" w:rightFromText="180" w:vertAnchor="text" w:tblpXSpec="center" w:tblpY="1"/>
        <w:tblOverlap w:val="never"/>
        <w:bidiVisual/>
        <w:tblW w:w="88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40"/>
        <w:gridCol w:w="6480"/>
      </w:tblGrid>
      <w:tr w:rsidR="00547C8B" w:rsidRPr="00547C8B" w14:paraId="4A68F3CA" w14:textId="77777777" w:rsidTr="00C619A3">
        <w:trPr>
          <w:trHeight w:val="355"/>
        </w:trPr>
        <w:tc>
          <w:tcPr>
            <w:tcW w:w="2340" w:type="dxa"/>
            <w:tcBorders>
              <w:top w:val="nil"/>
              <w:left w:val="nil"/>
              <w:bottom w:val="nil"/>
              <w:right w:val="nil"/>
            </w:tcBorders>
            <w:shd w:val="clear" w:color="auto" w:fill="auto"/>
          </w:tcPr>
          <w:p w14:paraId="219C6BBE" w14:textId="77777777" w:rsidR="00547C8B" w:rsidRPr="00547C8B" w:rsidRDefault="00547C8B" w:rsidP="00547C8B">
            <w:pPr>
              <w:spacing w:before="120" w:after="120" w:line="240" w:lineRule="exact"/>
              <w:jc w:val="both"/>
              <w:rPr>
                <w:rFonts w:ascii="David" w:hAnsi="David"/>
                <w:b/>
                <w:bCs/>
                <w:sz w:val="26"/>
                <w:szCs w:val="26"/>
              </w:rPr>
            </w:pPr>
            <w:r w:rsidRPr="00547C8B">
              <w:rPr>
                <w:rFonts w:ascii="David" w:hAnsi="David"/>
                <w:b/>
                <w:bCs/>
                <w:sz w:val="26"/>
                <w:szCs w:val="26"/>
                <w:rtl/>
              </w:rPr>
              <w:t>בעניין:</w:t>
            </w:r>
          </w:p>
        </w:tc>
        <w:tc>
          <w:tcPr>
            <w:tcW w:w="6480" w:type="dxa"/>
            <w:tcBorders>
              <w:top w:val="nil"/>
              <w:left w:val="nil"/>
              <w:bottom w:val="nil"/>
              <w:right w:val="nil"/>
            </w:tcBorders>
            <w:shd w:val="clear" w:color="auto" w:fill="auto"/>
          </w:tcPr>
          <w:p w14:paraId="08DE1219" w14:textId="77777777" w:rsidR="00547C8B" w:rsidRPr="00547C8B" w:rsidRDefault="00547C8B" w:rsidP="00547C8B">
            <w:pPr>
              <w:spacing w:before="120" w:after="120" w:line="240" w:lineRule="exact"/>
              <w:jc w:val="both"/>
              <w:rPr>
                <w:rFonts w:ascii="David" w:hAnsi="David"/>
                <w:b/>
                <w:bCs/>
                <w:sz w:val="26"/>
                <w:szCs w:val="26"/>
              </w:rPr>
            </w:pPr>
            <w:r w:rsidRPr="00547C8B">
              <w:rPr>
                <w:rFonts w:ascii="David" w:hAnsi="David"/>
                <w:b/>
                <w:bCs/>
                <w:sz w:val="26"/>
                <w:szCs w:val="26"/>
                <w:rtl/>
              </w:rPr>
              <w:t xml:space="preserve">     </w:t>
            </w:r>
          </w:p>
        </w:tc>
      </w:tr>
      <w:tr w:rsidR="00547C8B" w:rsidRPr="00547C8B" w14:paraId="2B863AAC" w14:textId="77777777" w:rsidTr="00C619A3">
        <w:trPr>
          <w:trHeight w:val="355"/>
        </w:trPr>
        <w:tc>
          <w:tcPr>
            <w:tcW w:w="2340" w:type="dxa"/>
            <w:tcBorders>
              <w:top w:val="nil"/>
              <w:left w:val="nil"/>
              <w:bottom w:val="nil"/>
              <w:right w:val="nil"/>
            </w:tcBorders>
            <w:shd w:val="clear" w:color="auto" w:fill="auto"/>
          </w:tcPr>
          <w:p w14:paraId="375D7AC1" w14:textId="77777777" w:rsidR="00547C8B" w:rsidRPr="00547C8B" w:rsidRDefault="00547C8B" w:rsidP="00547C8B">
            <w:pPr>
              <w:spacing w:before="120" w:after="120" w:line="240" w:lineRule="exact"/>
              <w:jc w:val="both"/>
              <w:rPr>
                <w:rFonts w:ascii="David" w:hAnsi="David"/>
                <w:b/>
                <w:bCs/>
                <w:sz w:val="26"/>
                <w:szCs w:val="26"/>
                <w:rtl/>
              </w:rPr>
            </w:pPr>
            <w:bookmarkStart w:id="1" w:name="FirstAppellant"/>
            <w:r w:rsidRPr="00547C8B">
              <w:rPr>
                <w:rFonts w:ascii="David" w:hAnsi="David" w:hint="cs"/>
                <w:b/>
                <w:bCs/>
                <w:sz w:val="26"/>
                <w:szCs w:val="26"/>
                <w:rtl/>
              </w:rPr>
              <w:t>המאשימה:</w:t>
            </w:r>
          </w:p>
        </w:tc>
        <w:tc>
          <w:tcPr>
            <w:tcW w:w="6480" w:type="dxa"/>
            <w:tcBorders>
              <w:top w:val="nil"/>
              <w:left w:val="nil"/>
              <w:bottom w:val="nil"/>
              <w:right w:val="nil"/>
            </w:tcBorders>
            <w:shd w:val="clear" w:color="auto" w:fill="auto"/>
          </w:tcPr>
          <w:p w14:paraId="183B06F2" w14:textId="77777777" w:rsidR="00547C8B" w:rsidRPr="00547C8B" w:rsidRDefault="00547C8B" w:rsidP="00547C8B">
            <w:pPr>
              <w:spacing w:before="120" w:after="120" w:line="240" w:lineRule="exact"/>
              <w:jc w:val="both"/>
              <w:rPr>
                <w:rFonts w:ascii="David" w:hAnsi="David"/>
                <w:b/>
                <w:bCs/>
                <w:sz w:val="26"/>
                <w:szCs w:val="26"/>
                <w:rtl/>
              </w:rPr>
            </w:pPr>
            <w:r w:rsidRPr="00547C8B">
              <w:rPr>
                <w:rFonts w:ascii="David" w:hAnsi="David" w:hint="cs"/>
                <w:b/>
                <w:bCs/>
                <w:sz w:val="26"/>
                <w:szCs w:val="26"/>
                <w:rtl/>
              </w:rPr>
              <w:t xml:space="preserve">מדינת ישראל </w:t>
            </w:r>
          </w:p>
        </w:tc>
      </w:tr>
      <w:bookmarkEnd w:id="1"/>
      <w:tr w:rsidR="00547C8B" w:rsidRPr="00547C8B" w14:paraId="3B7C3557" w14:textId="77777777" w:rsidTr="00C619A3">
        <w:trPr>
          <w:trHeight w:val="355"/>
        </w:trPr>
        <w:tc>
          <w:tcPr>
            <w:tcW w:w="8820" w:type="dxa"/>
            <w:gridSpan w:val="2"/>
            <w:tcBorders>
              <w:top w:val="nil"/>
              <w:left w:val="nil"/>
              <w:bottom w:val="nil"/>
              <w:right w:val="nil"/>
            </w:tcBorders>
            <w:shd w:val="clear" w:color="auto" w:fill="auto"/>
          </w:tcPr>
          <w:p w14:paraId="57859A45" w14:textId="77777777" w:rsidR="00547C8B" w:rsidRPr="00547C8B" w:rsidRDefault="00547C8B" w:rsidP="00547C8B">
            <w:pPr>
              <w:spacing w:before="240" w:after="240" w:line="240" w:lineRule="exact"/>
              <w:jc w:val="center"/>
              <w:rPr>
                <w:rFonts w:ascii="David" w:hAnsi="David"/>
                <w:b/>
                <w:bCs/>
                <w:sz w:val="26"/>
                <w:szCs w:val="26"/>
              </w:rPr>
            </w:pPr>
            <w:r w:rsidRPr="00547C8B">
              <w:rPr>
                <w:rFonts w:ascii="David" w:hAnsi="David"/>
                <w:b/>
                <w:bCs/>
                <w:sz w:val="26"/>
                <w:szCs w:val="26"/>
                <w:rtl/>
              </w:rPr>
              <w:t>נגד</w:t>
            </w:r>
          </w:p>
        </w:tc>
      </w:tr>
      <w:tr w:rsidR="00547C8B" w:rsidRPr="00547C8B" w14:paraId="12471AE1" w14:textId="77777777" w:rsidTr="00C619A3">
        <w:trPr>
          <w:trHeight w:val="355"/>
        </w:trPr>
        <w:tc>
          <w:tcPr>
            <w:tcW w:w="2340" w:type="dxa"/>
            <w:tcBorders>
              <w:top w:val="nil"/>
              <w:left w:val="nil"/>
              <w:bottom w:val="nil"/>
              <w:right w:val="nil"/>
            </w:tcBorders>
            <w:shd w:val="clear" w:color="auto" w:fill="auto"/>
          </w:tcPr>
          <w:p w14:paraId="27171024" w14:textId="77777777" w:rsidR="00547C8B" w:rsidRPr="00547C8B" w:rsidRDefault="00547C8B" w:rsidP="00547C8B">
            <w:pPr>
              <w:spacing w:before="120" w:after="120" w:line="240" w:lineRule="exact"/>
              <w:jc w:val="both"/>
              <w:rPr>
                <w:rFonts w:ascii="David" w:hAnsi="David"/>
                <w:b/>
                <w:bCs/>
                <w:sz w:val="26"/>
                <w:szCs w:val="26"/>
                <w:rtl/>
              </w:rPr>
            </w:pPr>
            <w:r w:rsidRPr="00547C8B">
              <w:rPr>
                <w:rFonts w:ascii="David" w:hAnsi="David" w:hint="cs"/>
                <w:b/>
                <w:bCs/>
                <w:sz w:val="26"/>
                <w:szCs w:val="26"/>
                <w:rtl/>
              </w:rPr>
              <w:t>הנאשמים:</w:t>
            </w:r>
          </w:p>
        </w:tc>
        <w:tc>
          <w:tcPr>
            <w:tcW w:w="6480" w:type="dxa"/>
            <w:tcBorders>
              <w:top w:val="nil"/>
              <w:left w:val="nil"/>
              <w:bottom w:val="nil"/>
              <w:right w:val="nil"/>
            </w:tcBorders>
            <w:shd w:val="clear" w:color="auto" w:fill="auto"/>
          </w:tcPr>
          <w:p w14:paraId="3AD2FE22" w14:textId="77777777" w:rsidR="00547C8B" w:rsidRPr="00547C8B" w:rsidRDefault="00547C8B" w:rsidP="00547C8B">
            <w:pPr>
              <w:spacing w:before="120" w:after="120" w:line="240" w:lineRule="exact"/>
              <w:jc w:val="both"/>
              <w:rPr>
                <w:rFonts w:ascii="David" w:hAnsi="David"/>
                <w:b/>
                <w:bCs/>
                <w:sz w:val="26"/>
                <w:szCs w:val="26"/>
                <w:rtl/>
              </w:rPr>
            </w:pPr>
            <w:r w:rsidRPr="00547C8B">
              <w:rPr>
                <w:rFonts w:ascii="David" w:hAnsi="David"/>
                <w:b/>
                <w:bCs/>
                <w:sz w:val="26"/>
                <w:szCs w:val="26"/>
                <w:rtl/>
              </w:rPr>
              <w:t>1.</w:t>
            </w:r>
            <w:r w:rsidRPr="00547C8B">
              <w:rPr>
                <w:rFonts w:ascii="David" w:hAnsi="David" w:hint="cs"/>
                <w:b/>
                <w:bCs/>
                <w:sz w:val="26"/>
                <w:szCs w:val="26"/>
                <w:rtl/>
              </w:rPr>
              <w:t xml:space="preserve"> </w:t>
            </w:r>
            <w:r w:rsidRPr="00547C8B">
              <w:rPr>
                <w:rFonts w:ascii="David" w:hAnsi="David"/>
                <w:b/>
                <w:bCs/>
                <w:sz w:val="26"/>
                <w:szCs w:val="26"/>
                <w:rtl/>
              </w:rPr>
              <w:t>פאדל אבו טאהא (עציר)</w:t>
            </w:r>
          </w:p>
          <w:p w14:paraId="4B6C3C03" w14:textId="77777777" w:rsidR="00547C8B" w:rsidRPr="00547C8B" w:rsidRDefault="00547C8B" w:rsidP="00547C8B">
            <w:pPr>
              <w:spacing w:before="120" w:after="120" w:line="240" w:lineRule="exact"/>
              <w:jc w:val="both"/>
              <w:rPr>
                <w:rFonts w:ascii="David" w:hAnsi="David"/>
                <w:b/>
                <w:bCs/>
                <w:sz w:val="26"/>
                <w:szCs w:val="26"/>
              </w:rPr>
            </w:pPr>
            <w:r w:rsidRPr="00547C8B">
              <w:rPr>
                <w:rFonts w:ascii="David" w:hAnsi="David"/>
                <w:b/>
                <w:bCs/>
                <w:sz w:val="26"/>
                <w:szCs w:val="26"/>
                <w:rtl/>
              </w:rPr>
              <w:t>2.</w:t>
            </w:r>
            <w:r w:rsidRPr="00547C8B">
              <w:rPr>
                <w:rFonts w:ascii="David" w:hAnsi="David" w:hint="cs"/>
                <w:b/>
                <w:bCs/>
                <w:sz w:val="26"/>
                <w:szCs w:val="26"/>
                <w:rtl/>
              </w:rPr>
              <w:t xml:space="preserve"> </w:t>
            </w:r>
            <w:r w:rsidRPr="00547C8B">
              <w:rPr>
                <w:rFonts w:ascii="David" w:hAnsi="David"/>
                <w:b/>
                <w:bCs/>
                <w:sz w:val="26"/>
                <w:szCs w:val="26"/>
                <w:rtl/>
              </w:rPr>
              <w:t>פתחי אבו טאה (עציר)</w:t>
            </w:r>
          </w:p>
        </w:tc>
      </w:tr>
    </w:tbl>
    <w:p w14:paraId="4CDEF0C5" w14:textId="77777777" w:rsidR="00A84695" w:rsidRPr="00393BA8" w:rsidRDefault="00A84695" w:rsidP="00A84695">
      <w:pPr>
        <w:spacing w:line="360" w:lineRule="auto"/>
        <w:jc w:val="both"/>
        <w:rPr>
          <w:rFonts w:ascii="David" w:hAnsi="David"/>
          <w:b/>
          <w:bCs/>
        </w:rPr>
      </w:pPr>
    </w:p>
    <w:p w14:paraId="1FC796E7" w14:textId="77777777" w:rsidR="00DB401F" w:rsidRPr="00DB401F" w:rsidRDefault="00DB401F" w:rsidP="00DB401F">
      <w:pPr>
        <w:spacing w:before="120" w:after="120" w:line="240" w:lineRule="exact"/>
        <w:ind w:left="283" w:hanging="283"/>
        <w:jc w:val="both"/>
        <w:rPr>
          <w:rFonts w:ascii="FrankRuehl" w:hAnsi="FrankRuehl" w:cs="FrankRuehl"/>
          <w:rtl/>
        </w:rPr>
      </w:pPr>
      <w:bookmarkStart w:id="2" w:name="LawTable"/>
      <w:bookmarkEnd w:id="2"/>
      <w:r w:rsidRPr="00DB401F">
        <w:rPr>
          <w:rFonts w:ascii="FrankRuehl" w:hAnsi="FrankRuehl" w:cs="FrankRuehl"/>
          <w:rtl/>
        </w:rPr>
        <w:t xml:space="preserve">חקיקה שאוזכרה: </w:t>
      </w:r>
    </w:p>
    <w:p w14:paraId="46F4CD85" w14:textId="77777777" w:rsidR="00DB401F" w:rsidRPr="00DB401F" w:rsidRDefault="00DB401F" w:rsidP="00DB401F">
      <w:pPr>
        <w:spacing w:before="120" w:after="120" w:line="240" w:lineRule="exact"/>
        <w:ind w:left="283" w:hanging="283"/>
        <w:jc w:val="both"/>
        <w:rPr>
          <w:rFonts w:ascii="FrankRuehl" w:hAnsi="FrankRuehl" w:cs="FrankRuehl"/>
          <w:rtl/>
        </w:rPr>
      </w:pPr>
      <w:hyperlink r:id="rId6" w:history="1">
        <w:r w:rsidRPr="00DB401F">
          <w:rPr>
            <w:rFonts w:ascii="FrankRuehl" w:hAnsi="FrankRuehl" w:cs="FrankRuehl"/>
            <w:color w:val="0000FF"/>
            <w:u w:val="single"/>
            <w:rtl/>
          </w:rPr>
          <w:t>חוק העונשין, תשל"ז-1977</w:t>
        </w:r>
      </w:hyperlink>
      <w:r w:rsidRPr="00DB401F">
        <w:rPr>
          <w:rFonts w:ascii="FrankRuehl" w:hAnsi="FrankRuehl" w:cs="FrankRuehl"/>
          <w:rtl/>
        </w:rPr>
        <w:t xml:space="preserve">: סע'  </w:t>
      </w:r>
      <w:hyperlink r:id="rId7" w:history="1">
        <w:r w:rsidRPr="00DB401F">
          <w:rPr>
            <w:rFonts w:ascii="FrankRuehl" w:hAnsi="FrankRuehl" w:cs="FrankRuehl"/>
            <w:color w:val="0000FF"/>
            <w:u w:val="single"/>
            <w:rtl/>
          </w:rPr>
          <w:t>31</w:t>
        </w:r>
      </w:hyperlink>
      <w:r w:rsidRPr="00DB401F">
        <w:rPr>
          <w:rFonts w:ascii="FrankRuehl" w:hAnsi="FrankRuehl" w:cs="FrankRuehl"/>
          <w:rtl/>
        </w:rPr>
        <w:t xml:space="preserve">, </w:t>
      </w:r>
      <w:hyperlink r:id="rId8" w:history="1">
        <w:r w:rsidRPr="00DB401F">
          <w:rPr>
            <w:rFonts w:ascii="FrankRuehl" w:hAnsi="FrankRuehl" w:cs="FrankRuehl"/>
            <w:color w:val="0000FF"/>
            <w:u w:val="single"/>
            <w:rtl/>
          </w:rPr>
          <w:t>144 (ב2)</w:t>
        </w:r>
      </w:hyperlink>
    </w:p>
    <w:p w14:paraId="387D4A99" w14:textId="77777777" w:rsidR="00547C8B" w:rsidRDefault="00547C8B" w:rsidP="00DB401F">
      <w:pPr>
        <w:spacing w:line="360" w:lineRule="auto"/>
        <w:jc w:val="both"/>
        <w:rPr>
          <w:rFonts w:ascii="David" w:hAnsi="David" w:hint="cs"/>
          <w:rtl/>
        </w:rPr>
      </w:pPr>
      <w:bookmarkStart w:id="3" w:name="LawTable_End"/>
      <w:bookmarkEnd w:id="3"/>
    </w:p>
    <w:p w14:paraId="39A39CE9" w14:textId="77777777" w:rsidR="00351FD0" w:rsidRDefault="00351FD0" w:rsidP="00351FD0">
      <w:pPr>
        <w:pBdr>
          <w:top w:val="single" w:sz="4" w:space="1" w:color="auto"/>
          <w:bottom w:val="single" w:sz="4" w:space="1" w:color="auto"/>
        </w:pBdr>
        <w:spacing w:after="120" w:line="320" w:lineRule="exact"/>
        <w:jc w:val="both"/>
        <w:rPr>
          <w:rFonts w:cs="FrankRuehl" w:hint="cs"/>
          <w:szCs w:val="26"/>
          <w:rtl/>
        </w:rPr>
      </w:pPr>
      <w:bookmarkStart w:id="4" w:name="ABSTRACT_START"/>
      <w:bookmarkEnd w:id="4"/>
      <w:r>
        <w:rPr>
          <w:rFonts w:cs="FrankRuehl"/>
          <w:szCs w:val="26"/>
          <w:rtl/>
        </w:rPr>
        <w:t>מיני-רציו:</w:t>
      </w:r>
    </w:p>
    <w:p w14:paraId="54C75B81" w14:textId="77777777" w:rsidR="00351FD0" w:rsidRPr="00351FD0" w:rsidRDefault="00351FD0" w:rsidP="00351FD0">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w:t>
      </w:r>
      <w:r w:rsidRPr="00351FD0">
        <w:rPr>
          <w:rFonts w:cs="FrankRuehl" w:hint="cs"/>
          <w:szCs w:val="26"/>
          <w:rtl/>
        </w:rPr>
        <w:t xml:space="preserve"> בית המשפט גזר את דינם של נאשמים שהורשעו בעבירות נשק. </w:t>
      </w:r>
      <w:r w:rsidRPr="00351FD0">
        <w:rPr>
          <w:rFonts w:cs="FrankRuehl"/>
          <w:szCs w:val="26"/>
          <w:rtl/>
        </w:rPr>
        <w:t>נאשם 1</w:t>
      </w:r>
      <w:r w:rsidRPr="00351FD0">
        <w:rPr>
          <w:rFonts w:cs="FrankRuehl" w:hint="cs"/>
          <w:szCs w:val="26"/>
          <w:rtl/>
        </w:rPr>
        <w:t xml:space="preserve"> נידון ל-</w:t>
      </w:r>
      <w:r w:rsidRPr="00351FD0">
        <w:rPr>
          <w:rFonts w:cs="FrankRuehl"/>
          <w:szCs w:val="26"/>
          <w:rtl/>
        </w:rPr>
        <w:t>45 חודשי מאסר בפועל</w:t>
      </w:r>
      <w:r w:rsidRPr="00351FD0">
        <w:rPr>
          <w:rFonts w:cs="FrankRuehl" w:hint="cs"/>
          <w:szCs w:val="26"/>
          <w:rtl/>
        </w:rPr>
        <w:t xml:space="preserve"> ו-</w:t>
      </w:r>
      <w:r w:rsidRPr="00351FD0">
        <w:rPr>
          <w:rFonts w:cs="FrankRuehl"/>
          <w:szCs w:val="26"/>
          <w:rtl/>
        </w:rPr>
        <w:t>12 חודשי מאסר על תנאי</w:t>
      </w:r>
      <w:r w:rsidRPr="00351FD0">
        <w:rPr>
          <w:rFonts w:cs="FrankRuehl" w:hint="cs"/>
          <w:szCs w:val="26"/>
          <w:rtl/>
        </w:rPr>
        <w:t xml:space="preserve"> והנאשם 2 ל-</w:t>
      </w:r>
      <w:r w:rsidRPr="00351FD0">
        <w:rPr>
          <w:rFonts w:cs="FrankRuehl"/>
          <w:szCs w:val="26"/>
          <w:rtl/>
        </w:rPr>
        <w:t>36</w:t>
      </w:r>
      <w:r>
        <w:rPr>
          <w:rFonts w:cs="FrankRuehl" w:hint="cs"/>
          <w:szCs w:val="26"/>
          <w:rtl/>
        </w:rPr>
        <w:t xml:space="preserve"> </w:t>
      </w:r>
      <w:r w:rsidRPr="00351FD0">
        <w:rPr>
          <w:rFonts w:cs="FrankRuehl"/>
          <w:szCs w:val="26"/>
          <w:rtl/>
        </w:rPr>
        <w:t>חודשי מאסר בפועל</w:t>
      </w:r>
      <w:r w:rsidRPr="00351FD0">
        <w:rPr>
          <w:rFonts w:cs="FrankRuehl" w:hint="cs"/>
          <w:szCs w:val="26"/>
          <w:rtl/>
        </w:rPr>
        <w:t xml:space="preserve"> ו-</w:t>
      </w:r>
      <w:r w:rsidRPr="00351FD0">
        <w:rPr>
          <w:rFonts w:cs="FrankRuehl"/>
          <w:szCs w:val="26"/>
          <w:rtl/>
        </w:rPr>
        <w:t>12 חודשי מאסר על תנאי</w:t>
      </w:r>
      <w:r w:rsidRPr="00351FD0">
        <w:rPr>
          <w:rFonts w:cs="FrankRuehl" w:hint="cs"/>
          <w:szCs w:val="26"/>
          <w:rtl/>
        </w:rPr>
        <w:t>.</w:t>
      </w:r>
    </w:p>
    <w:p w14:paraId="7F0E3AED" w14:textId="77777777" w:rsidR="00351FD0" w:rsidRDefault="00351FD0" w:rsidP="00351FD0">
      <w:pPr>
        <w:pBdr>
          <w:top w:val="single" w:sz="4" w:space="1" w:color="auto"/>
          <w:bottom w:val="single" w:sz="4" w:space="1" w:color="auto"/>
        </w:pBdr>
        <w:spacing w:after="120" w:line="320" w:lineRule="exact"/>
        <w:jc w:val="both"/>
        <w:rPr>
          <w:rFonts w:cs="FrankRuehl" w:hint="cs"/>
          <w:szCs w:val="26"/>
          <w:rtl/>
        </w:rPr>
      </w:pPr>
      <w:r>
        <w:rPr>
          <w:rFonts w:cs="FrankRuehl"/>
          <w:szCs w:val="26"/>
          <w:rtl/>
        </w:rPr>
        <w:t>* עונשין – ענישה – מדיניות ענישה: עבירות נשק</w:t>
      </w:r>
    </w:p>
    <w:p w14:paraId="5FF798D9" w14:textId="77777777" w:rsidR="00351FD0" w:rsidRDefault="00351FD0" w:rsidP="00351FD0">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w:t>
      </w:r>
    </w:p>
    <w:p w14:paraId="38AF9553" w14:textId="77777777" w:rsidR="00351FD0" w:rsidRPr="00351FD0" w:rsidRDefault="00351FD0" w:rsidP="00351FD0">
      <w:pPr>
        <w:pBdr>
          <w:top w:val="single" w:sz="4" w:space="1" w:color="auto"/>
          <w:bottom w:val="single" w:sz="4" w:space="1" w:color="auto"/>
        </w:pBdr>
        <w:spacing w:after="120" w:line="320" w:lineRule="exact"/>
        <w:jc w:val="both"/>
        <w:rPr>
          <w:rFonts w:cs="FrankRuehl" w:hint="cs"/>
          <w:szCs w:val="26"/>
          <w:rtl/>
        </w:rPr>
      </w:pPr>
      <w:r w:rsidRPr="00351FD0">
        <w:rPr>
          <w:rFonts w:cs="FrankRuehl"/>
          <w:szCs w:val="26"/>
          <w:rtl/>
        </w:rPr>
        <w:t>על יסוד הודאת הנאשמים בעובדות כתב אישום מתוקן, הנאשם 1 הורשע בעבירות של סיוע לעסקה אחרת בנשק בצוותא וסחר בנשק בצוותא,</w:t>
      </w:r>
      <w:r w:rsidRPr="00351FD0">
        <w:rPr>
          <w:rFonts w:cs="FrankRuehl" w:hint="cs"/>
          <w:szCs w:val="26"/>
          <w:rtl/>
        </w:rPr>
        <w:t xml:space="preserve"> </w:t>
      </w:r>
      <w:r w:rsidRPr="00351FD0">
        <w:rPr>
          <w:rFonts w:cs="FrankRuehl"/>
          <w:szCs w:val="26"/>
          <w:rtl/>
        </w:rPr>
        <w:t>והנאשם 2 הורשע בעבירה של עסקה אחרת בנשק בצוותא.</w:t>
      </w:r>
    </w:p>
    <w:p w14:paraId="4300587C" w14:textId="77777777" w:rsidR="00351FD0" w:rsidRDefault="00351FD0" w:rsidP="00351FD0">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w:t>
      </w:r>
    </w:p>
    <w:p w14:paraId="7F4F63E3" w14:textId="77777777" w:rsidR="00351FD0" w:rsidRPr="00351FD0" w:rsidRDefault="00351FD0" w:rsidP="00351FD0">
      <w:pPr>
        <w:pBdr>
          <w:top w:val="single" w:sz="4" w:space="1" w:color="auto"/>
          <w:bottom w:val="single" w:sz="4" w:space="1" w:color="auto"/>
        </w:pBdr>
        <w:spacing w:after="120" w:line="320" w:lineRule="exact"/>
        <w:jc w:val="both"/>
        <w:rPr>
          <w:rFonts w:cs="FrankRuehl" w:hint="cs"/>
          <w:szCs w:val="26"/>
          <w:rtl/>
        </w:rPr>
      </w:pPr>
      <w:r w:rsidRPr="00351FD0">
        <w:rPr>
          <w:rFonts w:cs="FrankRuehl"/>
          <w:szCs w:val="26"/>
          <w:rtl/>
        </w:rPr>
        <w:t>בית המשפט המחוזי</w:t>
      </w:r>
      <w:r w:rsidRPr="00351FD0">
        <w:rPr>
          <w:rFonts w:cs="FrankRuehl" w:hint="cs"/>
          <w:szCs w:val="26"/>
          <w:rtl/>
        </w:rPr>
        <w:t xml:space="preserve"> גזר את הדין כדלהלן:</w:t>
      </w:r>
    </w:p>
    <w:p w14:paraId="23B7E950" w14:textId="77777777" w:rsidR="00351FD0" w:rsidRPr="00351FD0" w:rsidRDefault="00351FD0" w:rsidP="00351FD0">
      <w:pPr>
        <w:pBdr>
          <w:top w:val="single" w:sz="4" w:space="1" w:color="auto"/>
          <w:bottom w:val="single" w:sz="4" w:space="1" w:color="auto"/>
        </w:pBdr>
        <w:spacing w:after="120" w:line="320" w:lineRule="exact"/>
        <w:jc w:val="both"/>
        <w:rPr>
          <w:rFonts w:cs="FrankRuehl"/>
          <w:szCs w:val="26"/>
          <w:rtl/>
        </w:rPr>
      </w:pPr>
      <w:r w:rsidRPr="00351FD0">
        <w:rPr>
          <w:rFonts w:cs="FrankRuehl"/>
          <w:szCs w:val="26"/>
          <w:rtl/>
        </w:rPr>
        <w:t>החומרה הטמונה במכירת נשק בלתי חוקית לאחר, ברורה מאליה. הערכים החברתיים המוגנים בעבירות הנשק, הם בין היתר, שמירת החיים והגוף ושמירת שלום הציבור ובטחונו. כאן, בהתחשב בסוג הנשק ובנסיבות העברתו מיד ליד, מידת הפגיעה בערכים החברתיים היא משמעותית.</w:t>
      </w:r>
      <w:r w:rsidRPr="00351FD0">
        <w:rPr>
          <w:rFonts w:cs="FrankRuehl" w:hint="cs"/>
          <w:szCs w:val="26"/>
          <w:rtl/>
        </w:rPr>
        <w:t xml:space="preserve"> </w:t>
      </w:r>
      <w:r w:rsidRPr="00351FD0">
        <w:rPr>
          <w:rFonts w:cs="FrankRuehl"/>
          <w:szCs w:val="26"/>
          <w:rtl/>
        </w:rPr>
        <w:t>בשנים האחרונות ישנה מגמת החמרה מוצהרת בענישת עבירות הנשק</w:t>
      </w:r>
      <w:r w:rsidRPr="00351FD0">
        <w:rPr>
          <w:rFonts w:cs="FrankRuehl" w:hint="cs"/>
          <w:szCs w:val="26"/>
          <w:rtl/>
        </w:rPr>
        <w:t xml:space="preserve">. </w:t>
      </w:r>
      <w:r w:rsidRPr="00351FD0">
        <w:rPr>
          <w:rFonts w:cs="FrankRuehl"/>
          <w:szCs w:val="26"/>
          <w:rtl/>
        </w:rPr>
        <w:t>התופעה של סחר בלתי חוקי בנשק, החזקת נשק בידי אזרחים שאינם מורשים לכך ועשיית שימוש פוגעני בנשק, הגיעה לממדים בלתי נסבלים</w:t>
      </w:r>
      <w:r w:rsidRPr="00351FD0">
        <w:rPr>
          <w:rFonts w:cs="FrankRuehl" w:hint="cs"/>
          <w:szCs w:val="26"/>
          <w:rtl/>
        </w:rPr>
        <w:t xml:space="preserve"> </w:t>
      </w:r>
      <w:r w:rsidRPr="00351FD0">
        <w:rPr>
          <w:rFonts w:cs="FrankRuehl"/>
          <w:szCs w:val="26"/>
          <w:rtl/>
        </w:rPr>
        <w:t xml:space="preserve">והעיניים נשואות למערכות אכיפת החוק בציפיה לנקיטה בצעדים הנדרשים לבלימת התופעה. החלק התחתון של מתחם העונש ההולם לעבירת סחר בנשק או עשיית עסקה אחרת בו שיש עמה מסירת החזקה בנשק לזולת </w:t>
      </w:r>
      <w:r w:rsidRPr="00351FD0">
        <w:rPr>
          <w:rFonts w:cs="FrankRuehl"/>
          <w:szCs w:val="26"/>
          <w:rtl/>
        </w:rPr>
        <w:lastRenderedPageBreak/>
        <w:t>כשמדובר ברובה אחד ובמידת אשם גבוהה של הנאשם, צרי</w:t>
      </w:r>
      <w:r w:rsidRPr="00351FD0">
        <w:rPr>
          <w:rFonts w:cs="FrankRuehl" w:hint="cs"/>
          <w:szCs w:val="26"/>
          <w:rtl/>
        </w:rPr>
        <w:t>ך</w:t>
      </w:r>
      <w:r w:rsidRPr="00351FD0">
        <w:rPr>
          <w:rFonts w:cs="FrankRuehl"/>
          <w:szCs w:val="26"/>
          <w:rtl/>
        </w:rPr>
        <w:t xml:space="preserve"> להיות 3 שנות מאסר בפועל.</w:t>
      </w:r>
      <w:r w:rsidRPr="00351FD0">
        <w:rPr>
          <w:rFonts w:cs="FrankRuehl" w:hint="cs"/>
          <w:szCs w:val="26"/>
          <w:rtl/>
        </w:rPr>
        <w:t xml:space="preserve"> </w:t>
      </w:r>
      <w:r w:rsidRPr="00351FD0">
        <w:rPr>
          <w:rFonts w:cs="FrankRuehl"/>
          <w:szCs w:val="26"/>
          <w:rtl/>
        </w:rPr>
        <w:t>מתחם העונש ההולם למעשי הנאשם 1 נע בין</w:t>
      </w:r>
      <w:r>
        <w:rPr>
          <w:rFonts w:cs="FrankRuehl"/>
          <w:szCs w:val="26"/>
          <w:rtl/>
        </w:rPr>
        <w:t xml:space="preserve"> </w:t>
      </w:r>
      <w:r w:rsidRPr="00351FD0">
        <w:rPr>
          <w:rFonts w:cs="FrankRuehl"/>
          <w:szCs w:val="26"/>
          <w:rtl/>
        </w:rPr>
        <w:t>3.5 ל-5.5 שנות מאסר ומתחם העונש ההולם למעשי הנאשם 2 נע בין 3 ל-5 שנות מאסר.</w:t>
      </w:r>
      <w:r w:rsidRPr="00351FD0">
        <w:rPr>
          <w:rFonts w:cs="FrankRuehl" w:hint="cs"/>
          <w:szCs w:val="26"/>
          <w:rtl/>
        </w:rPr>
        <w:t xml:space="preserve"> </w:t>
      </w:r>
      <w:r w:rsidRPr="00351FD0">
        <w:rPr>
          <w:rFonts w:cs="FrankRuehl"/>
          <w:szCs w:val="26"/>
          <w:rtl/>
        </w:rPr>
        <w:t>בהתחשב בכל ה</w:t>
      </w:r>
      <w:r w:rsidRPr="00351FD0">
        <w:rPr>
          <w:rFonts w:cs="FrankRuehl" w:hint="cs"/>
          <w:szCs w:val="26"/>
          <w:rtl/>
        </w:rPr>
        <w:t>נדרש</w:t>
      </w:r>
      <w:r w:rsidRPr="00351FD0">
        <w:rPr>
          <w:rFonts w:cs="FrankRuehl"/>
          <w:szCs w:val="26"/>
          <w:rtl/>
        </w:rPr>
        <w:t xml:space="preserve">, </w:t>
      </w:r>
      <w:r w:rsidRPr="00351FD0">
        <w:rPr>
          <w:rFonts w:cs="FrankRuehl" w:hint="cs"/>
          <w:szCs w:val="26"/>
          <w:rtl/>
        </w:rPr>
        <w:t>נידון</w:t>
      </w:r>
      <w:r w:rsidRPr="00351FD0">
        <w:rPr>
          <w:rFonts w:cs="FrankRuehl"/>
          <w:szCs w:val="26"/>
          <w:rtl/>
        </w:rPr>
        <w:t xml:space="preserve"> נאשם 1</w:t>
      </w:r>
      <w:r w:rsidRPr="00351FD0">
        <w:rPr>
          <w:rFonts w:cs="FrankRuehl" w:hint="cs"/>
          <w:szCs w:val="26"/>
          <w:rtl/>
        </w:rPr>
        <w:t xml:space="preserve"> ל-</w:t>
      </w:r>
      <w:r w:rsidRPr="00351FD0">
        <w:rPr>
          <w:rFonts w:cs="FrankRuehl"/>
          <w:szCs w:val="26"/>
          <w:rtl/>
        </w:rPr>
        <w:t>45 חודשי מאסר בפועל</w:t>
      </w:r>
      <w:r w:rsidRPr="00351FD0">
        <w:rPr>
          <w:rFonts w:cs="FrankRuehl" w:hint="cs"/>
          <w:szCs w:val="26"/>
          <w:rtl/>
        </w:rPr>
        <w:t xml:space="preserve"> ו-</w:t>
      </w:r>
      <w:r w:rsidRPr="00351FD0">
        <w:rPr>
          <w:rFonts w:cs="FrankRuehl"/>
          <w:szCs w:val="26"/>
          <w:rtl/>
        </w:rPr>
        <w:t>12 חודשי מאסר על תנאי</w:t>
      </w:r>
      <w:r w:rsidRPr="00351FD0">
        <w:rPr>
          <w:rFonts w:cs="FrankRuehl" w:hint="cs"/>
          <w:szCs w:val="26"/>
          <w:rtl/>
        </w:rPr>
        <w:t xml:space="preserve"> והנאשם 2 ל-</w:t>
      </w:r>
      <w:r w:rsidRPr="00351FD0">
        <w:rPr>
          <w:rFonts w:cs="FrankRuehl"/>
          <w:szCs w:val="26"/>
          <w:rtl/>
        </w:rPr>
        <w:t>36</w:t>
      </w:r>
      <w:r>
        <w:rPr>
          <w:rFonts w:cs="FrankRuehl" w:hint="cs"/>
          <w:szCs w:val="26"/>
          <w:rtl/>
        </w:rPr>
        <w:t xml:space="preserve"> </w:t>
      </w:r>
      <w:r w:rsidRPr="00351FD0">
        <w:rPr>
          <w:rFonts w:cs="FrankRuehl"/>
          <w:szCs w:val="26"/>
          <w:rtl/>
        </w:rPr>
        <w:t>חודשי מאסר בפועל</w:t>
      </w:r>
      <w:r w:rsidRPr="00351FD0">
        <w:rPr>
          <w:rFonts w:cs="FrankRuehl" w:hint="cs"/>
          <w:szCs w:val="26"/>
          <w:rtl/>
        </w:rPr>
        <w:t xml:space="preserve"> ו-</w:t>
      </w:r>
      <w:r w:rsidRPr="00351FD0">
        <w:rPr>
          <w:rFonts w:cs="FrankRuehl"/>
          <w:szCs w:val="26"/>
          <w:rtl/>
        </w:rPr>
        <w:t>12 חודשי מאסר על תנאי</w:t>
      </w:r>
      <w:r w:rsidRPr="00351FD0">
        <w:rPr>
          <w:rFonts w:cs="FrankRuehl" w:hint="cs"/>
          <w:szCs w:val="26"/>
          <w:rtl/>
        </w:rPr>
        <w:t>.</w:t>
      </w:r>
    </w:p>
    <w:p w14:paraId="617E60A0" w14:textId="77777777" w:rsidR="00351FD0" w:rsidRPr="00DB401F" w:rsidRDefault="00351FD0" w:rsidP="00DB401F">
      <w:pPr>
        <w:spacing w:line="360" w:lineRule="auto"/>
        <w:jc w:val="both"/>
        <w:rPr>
          <w:rFonts w:ascii="David" w:hAnsi="David" w:hint="cs"/>
          <w:rtl/>
        </w:rPr>
      </w:pPr>
      <w:bookmarkStart w:id="5" w:name="ABSTRACT_END"/>
      <w:bookmarkEnd w:id="5"/>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A84695" w:rsidRPr="00B40964" w14:paraId="6BD7D00B" w14:textId="77777777" w:rsidTr="00A84695">
        <w:trPr>
          <w:trHeight w:val="355"/>
          <w:jc w:val="center"/>
        </w:trPr>
        <w:tc>
          <w:tcPr>
            <w:tcW w:w="8820" w:type="dxa"/>
            <w:tcBorders>
              <w:top w:val="nil"/>
              <w:left w:val="nil"/>
              <w:bottom w:val="nil"/>
              <w:right w:val="nil"/>
            </w:tcBorders>
            <w:shd w:val="clear" w:color="auto" w:fill="auto"/>
          </w:tcPr>
          <w:p w14:paraId="484DCDAA" w14:textId="77777777" w:rsidR="00A84695" w:rsidRPr="00393BA8" w:rsidRDefault="00393BA8" w:rsidP="00393BA8">
            <w:pPr>
              <w:spacing w:line="360" w:lineRule="auto"/>
              <w:jc w:val="center"/>
              <w:rPr>
                <w:rFonts w:ascii="David" w:hAnsi="David"/>
                <w:b/>
                <w:bCs/>
                <w:sz w:val="28"/>
                <w:szCs w:val="28"/>
                <w:u w:val="single"/>
                <w:rtl/>
              </w:rPr>
            </w:pPr>
            <w:bookmarkStart w:id="6" w:name="PsakDin" w:colFirst="0" w:colLast="0"/>
            <w:r w:rsidRPr="00393BA8">
              <w:rPr>
                <w:rFonts w:ascii="David" w:hAnsi="David"/>
                <w:b/>
                <w:bCs/>
                <w:sz w:val="28"/>
                <w:szCs w:val="28"/>
                <w:u w:val="single"/>
                <w:rtl/>
              </w:rPr>
              <w:t>גזר דין</w:t>
            </w:r>
          </w:p>
        </w:tc>
      </w:tr>
      <w:bookmarkEnd w:id="6"/>
    </w:tbl>
    <w:p w14:paraId="5155154E" w14:textId="77777777" w:rsidR="00A84695" w:rsidRPr="00B40964" w:rsidRDefault="00A84695" w:rsidP="00A84695">
      <w:pPr>
        <w:spacing w:line="360" w:lineRule="auto"/>
        <w:jc w:val="both"/>
        <w:rPr>
          <w:rFonts w:ascii="David" w:hAnsi="David"/>
          <w:rtl/>
        </w:rPr>
      </w:pPr>
    </w:p>
    <w:p w14:paraId="481F2CF9" w14:textId="77777777" w:rsidR="00A84695" w:rsidRPr="00B40964" w:rsidRDefault="00A84695" w:rsidP="00A84695">
      <w:pPr>
        <w:spacing w:line="360" w:lineRule="auto"/>
        <w:ind w:left="720" w:hanging="720"/>
        <w:jc w:val="both"/>
        <w:rPr>
          <w:rFonts w:ascii="David" w:hAnsi="David"/>
          <w:rtl/>
        </w:rPr>
      </w:pPr>
      <w:r w:rsidRPr="00B40964">
        <w:rPr>
          <w:rFonts w:ascii="David" w:hAnsi="David"/>
          <w:rtl/>
        </w:rPr>
        <w:t>1.</w:t>
      </w:r>
      <w:r w:rsidRPr="00B40964">
        <w:rPr>
          <w:rFonts w:ascii="David" w:hAnsi="David"/>
          <w:rtl/>
        </w:rPr>
        <w:tab/>
        <w:t>בטרם שמיעת הראיות הגיעו הצדדים להסדר, במסגרתו, כתב האישום המקורי שהוגש נגד הנאשמים תוקן והנאשמים הודו בעובדות כתב האישום המתוקן, שאלה הן עיקריהן:</w:t>
      </w:r>
    </w:p>
    <w:p w14:paraId="6F0D2BEA" w14:textId="77777777" w:rsidR="00A84695" w:rsidRPr="00B40964" w:rsidRDefault="00A84695" w:rsidP="00A84695">
      <w:pPr>
        <w:spacing w:line="360" w:lineRule="auto"/>
        <w:ind w:left="720"/>
        <w:jc w:val="both"/>
        <w:rPr>
          <w:rFonts w:ascii="David" w:hAnsi="David"/>
          <w:rtl/>
        </w:rPr>
      </w:pPr>
    </w:p>
    <w:p w14:paraId="675A9994" w14:textId="77777777" w:rsidR="00A84695" w:rsidRPr="00B40964" w:rsidRDefault="00A84695" w:rsidP="00A84695">
      <w:pPr>
        <w:spacing w:line="360" w:lineRule="auto"/>
        <w:ind w:left="720"/>
        <w:jc w:val="both"/>
        <w:rPr>
          <w:rFonts w:ascii="David" w:hAnsi="David"/>
          <w:rtl/>
        </w:rPr>
      </w:pPr>
      <w:r w:rsidRPr="00B40964">
        <w:rPr>
          <w:rFonts w:ascii="David" w:hAnsi="David"/>
          <w:rtl/>
        </w:rPr>
        <w:t xml:space="preserve">במהלך החודשים פברואר 2018 ועד פברואר 2019 משטרת ישראל הפעילה סוכן סמוי (להלן: "הסוכן") לשם איסוף ראיות נגד חשודים שונים בתחום האמל"ח. </w:t>
      </w:r>
    </w:p>
    <w:p w14:paraId="19C2C06C" w14:textId="77777777" w:rsidR="00A84695" w:rsidRPr="00B40964" w:rsidRDefault="00A84695" w:rsidP="00A84695">
      <w:pPr>
        <w:spacing w:line="360" w:lineRule="auto"/>
        <w:ind w:left="720"/>
        <w:jc w:val="both"/>
        <w:rPr>
          <w:rFonts w:ascii="David" w:hAnsi="David"/>
          <w:rtl/>
        </w:rPr>
      </w:pPr>
    </w:p>
    <w:p w14:paraId="5F5CBA29" w14:textId="77777777" w:rsidR="00A84695" w:rsidRPr="00B40964" w:rsidRDefault="00A84695" w:rsidP="00A84695">
      <w:pPr>
        <w:spacing w:line="360" w:lineRule="auto"/>
        <w:ind w:left="720"/>
        <w:jc w:val="both"/>
        <w:rPr>
          <w:rFonts w:ascii="David" w:hAnsi="David"/>
          <w:b/>
          <w:bCs/>
          <w:u w:val="single"/>
          <w:rtl/>
        </w:rPr>
      </w:pPr>
      <w:r w:rsidRPr="00B40964">
        <w:rPr>
          <w:rFonts w:ascii="David" w:hAnsi="David"/>
          <w:b/>
          <w:bCs/>
          <w:u w:val="single"/>
          <w:rtl/>
        </w:rPr>
        <w:t>אישום ראשון - שני הנאשמים</w:t>
      </w:r>
    </w:p>
    <w:p w14:paraId="035EA950" w14:textId="77777777" w:rsidR="00A84695" w:rsidRPr="00B40964" w:rsidRDefault="00A84695" w:rsidP="00A84695">
      <w:pPr>
        <w:spacing w:line="360" w:lineRule="auto"/>
        <w:ind w:left="720"/>
        <w:jc w:val="both"/>
        <w:rPr>
          <w:rFonts w:ascii="David" w:hAnsi="David"/>
          <w:rtl/>
        </w:rPr>
      </w:pPr>
      <w:r w:rsidRPr="00B40964">
        <w:rPr>
          <w:rFonts w:ascii="David" w:hAnsi="David"/>
          <w:rtl/>
        </w:rPr>
        <w:t>בתאריך 10.09.18, אדם בשם עבדאללה אבו זאיד (להלן: "עבדאללה") – שהיה מעורב בעסקת נשק עם הסוכן - שלח לסוכן הודעה בה הציע לו לקנות רובה "קרלו" תמורת 8,500 ₪. כעבור יומיים, עבדאללה והסוכן נסעו לתל שבע, ובמהלך הנסיעה הם שוחחו על מחיר הנשק המדובר ועל התשלום שכל אחד מהם אמור לקבל מהעסקה. סמוך לפני הגעתם לתל שבע, עבדאללה שוחח עם הנאשם 2, שהכווין אותם למקום הימצאו, סמוך לביתו של הנאשם 1. בהגיע הסוכן ועבדאללה למקום, הם פגשו בנאשם 2 ובאדם נוסף, ונכנסו לשיג הסמוך לבית (להלן: "השיג") שם נכח הנאשם 1, ומי מהנוכחים אמר שהנשק יגיע עוד מעט. לאחר זמן מה, הנאשם 2 יצא מהשיג וחזר אליו כשבידו תת מקלע מאולתר, יורה, אשר בכוחו להמית (להלן: "הנשק"). הסוכן ועבדאללה, כל אחד בתורו, דרכו את הנשק ובדקו אותו. הסוכן ועבדאללה התמקחו עם הנאשם 2 על מחיר הנשק, אך לא הצליחו להפחיתו, והסוכן שילם לנאשם 2 8,500 ₪ במזומן. הנאשם 2 קיבל את הכסף והעבירו לידי הנאשם 1. עבדאללה אמר לסוכן שיש בביתו שני כדורי תחמושת וניתן לבדוק באמצעותם את הנשק, ומי מהנאשמים 1 או 2 אמר לסוכן כי עד שיודיע להם שהנשק תקין הם לא יעבירו את חלק הכסף המגיע לבעל הנשק. הסוכן ועבדאללה נסעו לרהט, שם בדקו את הנשק וראו שהוא יורה.</w:t>
      </w:r>
    </w:p>
    <w:p w14:paraId="6192238C" w14:textId="77777777" w:rsidR="00A84695" w:rsidRPr="00B40964" w:rsidRDefault="00A84695" w:rsidP="00A84695">
      <w:pPr>
        <w:spacing w:line="360" w:lineRule="auto"/>
        <w:ind w:left="720"/>
        <w:jc w:val="both"/>
        <w:rPr>
          <w:rFonts w:ascii="David" w:hAnsi="David"/>
          <w:rtl/>
        </w:rPr>
      </w:pPr>
    </w:p>
    <w:p w14:paraId="3E6AA89F" w14:textId="77777777" w:rsidR="00A84695" w:rsidRPr="00B40964" w:rsidRDefault="00A84695" w:rsidP="00A84695">
      <w:pPr>
        <w:spacing w:line="360" w:lineRule="auto"/>
        <w:ind w:left="720"/>
        <w:jc w:val="both"/>
        <w:rPr>
          <w:rFonts w:ascii="David" w:hAnsi="David"/>
          <w:rtl/>
        </w:rPr>
      </w:pPr>
      <w:r w:rsidRPr="00B40964">
        <w:rPr>
          <w:rFonts w:ascii="David" w:hAnsi="David"/>
          <w:rtl/>
        </w:rPr>
        <w:t xml:space="preserve">נוכח המתואר, צוין, שהנאשם 1  סייע לביצוע עסקה אחרת בנשק בכך שהעמיד את שיג ביתו לצורך ביצוע העסקה, נכח בעסקה, וקיבל לידיו מהנאשם 2 את הכסף ששולם עבור הנשק. והנאשם 2 ביצע עסקה אחרת בנשק בצוותא, בכך שהכווין את עבדאללה והסוכן למקום ביצוע העסקה, הביא את הנשק, וקיבל תשלום עבור הנשק שאת חלקו היה אמור להעביר לבעל הנשק. </w:t>
      </w:r>
    </w:p>
    <w:p w14:paraId="1CD3B1C8" w14:textId="77777777" w:rsidR="00A84695" w:rsidRPr="00B40964" w:rsidRDefault="00A84695" w:rsidP="00A84695">
      <w:pPr>
        <w:spacing w:line="360" w:lineRule="auto"/>
        <w:ind w:left="720"/>
        <w:jc w:val="both"/>
        <w:rPr>
          <w:rFonts w:ascii="David" w:hAnsi="David"/>
          <w:rtl/>
        </w:rPr>
      </w:pPr>
    </w:p>
    <w:p w14:paraId="00580D38" w14:textId="77777777" w:rsidR="00A84695" w:rsidRPr="00B40964" w:rsidRDefault="00A84695" w:rsidP="00A84695">
      <w:pPr>
        <w:spacing w:line="360" w:lineRule="auto"/>
        <w:ind w:left="720"/>
        <w:jc w:val="both"/>
        <w:rPr>
          <w:rFonts w:ascii="David" w:hAnsi="David"/>
          <w:b/>
          <w:bCs/>
          <w:u w:val="single"/>
          <w:rtl/>
        </w:rPr>
      </w:pPr>
      <w:r w:rsidRPr="00B40964">
        <w:rPr>
          <w:rFonts w:ascii="David" w:hAnsi="David"/>
          <w:b/>
          <w:bCs/>
          <w:u w:val="single"/>
          <w:rtl/>
        </w:rPr>
        <w:t xml:space="preserve">אישום שני - הנאשם 1 </w:t>
      </w:r>
    </w:p>
    <w:p w14:paraId="4CFFBC5D" w14:textId="77777777" w:rsidR="00A84695" w:rsidRPr="00B40964" w:rsidRDefault="00A84695" w:rsidP="00A84695">
      <w:pPr>
        <w:spacing w:line="360" w:lineRule="auto"/>
        <w:ind w:left="720"/>
        <w:jc w:val="both"/>
        <w:rPr>
          <w:rFonts w:ascii="David" w:hAnsi="David"/>
          <w:rtl/>
        </w:rPr>
      </w:pPr>
      <w:r w:rsidRPr="00B40964">
        <w:rPr>
          <w:rFonts w:ascii="David" w:hAnsi="David"/>
          <w:rtl/>
        </w:rPr>
        <w:t xml:space="preserve">בתאריך 13.09.18 עבדאללה פנה לסוכן והציע לו לקנות שני רובים מסוג "קרלו", האחד תמורת 8,000 ₪ מתל שבע, והשני תמורת 7,500 ₪ מרהט. שלושה ימים לאחר מכן, הסוכן ועבדאללה שוחחו מספר פעמים בנושא העסקה, ובערב, בתיאום מראש, הסוכן אסף את עבדאללה והם נסעו יחד לתל שבע לצורך ביצוע עסקת הנשק. הם הגיעו לביתו של הנאשם 1 והוא פתח להם את שער הכניסה לבית ואפשר לסוכן להיכנס עם רכבו למתחם הבית. הסוכן ועבדאללה ירדו מהרכב וניגשו לנאשם 1. הנאשם 1 שאל את הסוכן האם הביא עמו כדורי תחמושת והסוכן השיב בחיוב. הנאשם 1 הוביל את עבדאללה והסוכן לחצר הסמוכה לבית קטן, וילד שהיה שם הוציא מהבית הקטן תת מקלע מאולתר, היורה ובכוחו להמית (להלן: "הנשק"), עטוף בבד, ומסר אותו לנאשם 1. הנאשם 1 הוציא את הנשק מהבד ודרך אותו. הסוכן לקח את הנשק מהנאשם 1 ובחן אותו. ועבדאללה ביקש מהסוכן כדור תחמושת כדי לבדוק את הנשק, וירה ירייה אחת לאוויר, בחצר הבית בו שהו. לאחר מכן הסוכן לקח את הנשק, עלה עם עבדאללה לרכב, והעביר לנאשם 1, דרך חלון הרכב, סך של 9,000 ₪ (במקום 8,000 ₪ שסוכמו, עקב טעות בספירת הכסף על ידי הסוכן ועבדאללה). והסוכן ועבדאללה עזבו את המקום עם הנשק. </w:t>
      </w:r>
    </w:p>
    <w:p w14:paraId="09EA1D46" w14:textId="77777777" w:rsidR="00A84695" w:rsidRPr="00B40964" w:rsidRDefault="00A84695" w:rsidP="00A84695">
      <w:pPr>
        <w:spacing w:line="360" w:lineRule="auto"/>
        <w:ind w:left="720"/>
        <w:jc w:val="both"/>
        <w:rPr>
          <w:rFonts w:ascii="David" w:hAnsi="David"/>
          <w:rtl/>
        </w:rPr>
      </w:pPr>
    </w:p>
    <w:p w14:paraId="7571ADFD" w14:textId="77777777" w:rsidR="00A84695" w:rsidRPr="00B40964" w:rsidRDefault="00A84695" w:rsidP="00A84695">
      <w:pPr>
        <w:spacing w:line="360" w:lineRule="auto"/>
        <w:ind w:left="720" w:hanging="720"/>
        <w:jc w:val="both"/>
        <w:rPr>
          <w:rFonts w:ascii="David" w:hAnsi="David"/>
          <w:rtl/>
          <w:lang w:eastAsia="he-IL"/>
        </w:rPr>
      </w:pPr>
      <w:r w:rsidRPr="00B40964">
        <w:rPr>
          <w:rFonts w:ascii="David" w:hAnsi="David"/>
          <w:rtl/>
        </w:rPr>
        <w:t>2.</w:t>
      </w:r>
      <w:r w:rsidRPr="00B40964">
        <w:rPr>
          <w:rFonts w:ascii="David" w:hAnsi="David"/>
          <w:rtl/>
        </w:rPr>
        <w:tab/>
        <w:t xml:space="preserve">על יסוד הודאת הנאשמים בעובדות כתב האישום המתוקן, כאמור, הנאשם 1 הורשע בעבירות של סיוע לעסקה אחרת בנשק, בצוותא, לפי סעיפים </w:t>
      </w:r>
      <w:hyperlink r:id="rId9" w:history="1">
        <w:r w:rsidR="009D1125" w:rsidRPr="009D1125">
          <w:rPr>
            <w:rFonts w:ascii="David" w:hAnsi="David"/>
            <w:color w:val="0000FF"/>
            <w:u w:val="single"/>
            <w:rtl/>
            <w:lang w:eastAsia="he-IL"/>
          </w:rPr>
          <w:t>144 (ב2)</w:t>
        </w:r>
      </w:hyperlink>
      <w:r w:rsidRPr="00B40964">
        <w:rPr>
          <w:rFonts w:ascii="David" w:hAnsi="David"/>
          <w:rtl/>
          <w:lang w:eastAsia="he-IL"/>
        </w:rPr>
        <w:t xml:space="preserve"> ו- </w:t>
      </w:r>
      <w:hyperlink r:id="rId10" w:history="1">
        <w:r w:rsidR="009D1125" w:rsidRPr="009D1125">
          <w:rPr>
            <w:rFonts w:ascii="David" w:hAnsi="David"/>
            <w:color w:val="0000FF"/>
            <w:u w:val="single"/>
            <w:rtl/>
            <w:lang w:eastAsia="he-IL"/>
          </w:rPr>
          <w:t>31</w:t>
        </w:r>
      </w:hyperlink>
      <w:r w:rsidRPr="00B40964">
        <w:rPr>
          <w:rFonts w:ascii="David" w:hAnsi="David"/>
          <w:rtl/>
          <w:lang w:eastAsia="he-IL"/>
        </w:rPr>
        <w:t xml:space="preserve"> ל</w:t>
      </w:r>
      <w:hyperlink r:id="rId11" w:history="1">
        <w:r w:rsidR="00393BA8" w:rsidRPr="00393BA8">
          <w:rPr>
            <w:rFonts w:ascii="David" w:hAnsi="David"/>
            <w:color w:val="0000FF"/>
            <w:u w:val="single"/>
            <w:rtl/>
            <w:lang w:eastAsia="he-IL"/>
          </w:rPr>
          <w:t>חוק העונשין</w:t>
        </w:r>
      </w:hyperlink>
      <w:r w:rsidRPr="00B40964">
        <w:rPr>
          <w:rFonts w:ascii="David" w:hAnsi="David"/>
          <w:rtl/>
          <w:lang w:eastAsia="he-IL"/>
        </w:rPr>
        <w:t xml:space="preserve"> תשל"ז – 1977 (להלן: "חוק העונשין"); וסחר בנשק בצוותא, לפי </w:t>
      </w:r>
      <w:hyperlink r:id="rId12" w:history="1">
        <w:r w:rsidR="009D1125" w:rsidRPr="009D1125">
          <w:rPr>
            <w:rFonts w:ascii="David" w:hAnsi="David"/>
            <w:color w:val="0000FF"/>
            <w:u w:val="single"/>
            <w:rtl/>
            <w:lang w:eastAsia="he-IL"/>
          </w:rPr>
          <w:t>סעיף 144(ב2)</w:t>
        </w:r>
      </w:hyperlink>
      <w:r w:rsidRPr="00B40964">
        <w:rPr>
          <w:rFonts w:ascii="David" w:hAnsi="David"/>
          <w:rtl/>
          <w:lang w:eastAsia="he-IL"/>
        </w:rPr>
        <w:t xml:space="preserve"> לחוק העונשין. והנאשם 2 הורשע בעבירה של </w:t>
      </w:r>
      <w:r w:rsidRPr="00B40964">
        <w:rPr>
          <w:rFonts w:ascii="David" w:hAnsi="David"/>
          <w:rtl/>
        </w:rPr>
        <w:t xml:space="preserve">עסקה אחרת בנשק, בצוותא, לפי סעיף </w:t>
      </w:r>
      <w:hyperlink r:id="rId13" w:history="1">
        <w:r w:rsidR="009D1125" w:rsidRPr="009D1125">
          <w:rPr>
            <w:rFonts w:ascii="David" w:hAnsi="David"/>
            <w:color w:val="0000FF"/>
            <w:u w:val="single"/>
            <w:rtl/>
            <w:lang w:eastAsia="he-IL"/>
          </w:rPr>
          <w:t>144 (ב2)</w:t>
        </w:r>
      </w:hyperlink>
      <w:r w:rsidRPr="00B40964">
        <w:rPr>
          <w:rFonts w:ascii="David" w:hAnsi="David"/>
          <w:rtl/>
          <w:lang w:eastAsia="he-IL"/>
        </w:rPr>
        <w:t xml:space="preserve"> ל</w:t>
      </w:r>
      <w:hyperlink r:id="rId14" w:history="1">
        <w:r w:rsidR="00393BA8" w:rsidRPr="00393BA8">
          <w:rPr>
            <w:rFonts w:ascii="David" w:hAnsi="David"/>
            <w:color w:val="0000FF"/>
            <w:u w:val="single"/>
            <w:rtl/>
            <w:lang w:eastAsia="he-IL"/>
          </w:rPr>
          <w:t>חוק העונשין</w:t>
        </w:r>
      </w:hyperlink>
      <w:r w:rsidRPr="00B40964">
        <w:rPr>
          <w:rFonts w:ascii="David" w:hAnsi="David"/>
          <w:rtl/>
          <w:lang w:eastAsia="he-IL"/>
        </w:rPr>
        <w:t>.</w:t>
      </w:r>
    </w:p>
    <w:p w14:paraId="252CBF85" w14:textId="77777777" w:rsidR="00A84695" w:rsidRPr="00B40964" w:rsidRDefault="00A84695" w:rsidP="00A84695">
      <w:pPr>
        <w:spacing w:line="360" w:lineRule="auto"/>
        <w:ind w:left="720" w:hanging="720"/>
        <w:jc w:val="both"/>
        <w:rPr>
          <w:rFonts w:ascii="David" w:hAnsi="David"/>
          <w:rtl/>
        </w:rPr>
      </w:pPr>
    </w:p>
    <w:p w14:paraId="40BC077D" w14:textId="77777777" w:rsidR="00A84695" w:rsidRPr="00B40964" w:rsidRDefault="00A84695" w:rsidP="00A84695">
      <w:pPr>
        <w:spacing w:line="360" w:lineRule="auto"/>
        <w:ind w:left="720" w:hanging="720"/>
        <w:jc w:val="both"/>
        <w:rPr>
          <w:rFonts w:ascii="David" w:hAnsi="David"/>
          <w:rtl/>
        </w:rPr>
      </w:pPr>
      <w:r w:rsidRPr="00B40964">
        <w:rPr>
          <w:rFonts w:ascii="David" w:hAnsi="David"/>
          <w:rtl/>
        </w:rPr>
        <w:t>3.</w:t>
      </w:r>
      <w:r w:rsidRPr="00B40964">
        <w:rPr>
          <w:rFonts w:ascii="David" w:hAnsi="David"/>
          <w:rtl/>
        </w:rPr>
        <w:tab/>
        <w:t xml:space="preserve">ההסדר בין הצדדים לא כלל הסכמה לעניין העונש. </w:t>
      </w:r>
    </w:p>
    <w:p w14:paraId="08782CC4" w14:textId="77777777" w:rsidR="00A84695" w:rsidRPr="00B40964" w:rsidRDefault="00A84695" w:rsidP="00A84695">
      <w:pPr>
        <w:spacing w:line="360" w:lineRule="auto"/>
        <w:ind w:left="720"/>
        <w:jc w:val="both"/>
        <w:rPr>
          <w:rFonts w:ascii="David" w:hAnsi="David"/>
          <w:rtl/>
        </w:rPr>
      </w:pPr>
      <w:r w:rsidRPr="00B40964">
        <w:rPr>
          <w:rFonts w:ascii="David" w:hAnsi="David"/>
          <w:rtl/>
        </w:rPr>
        <w:t xml:space="preserve">בזמן ביצוע העבירות היה הנאשם 1 </w:t>
      </w:r>
      <w:r w:rsidRPr="00B40964">
        <w:rPr>
          <w:rFonts w:ascii="David" w:hAnsi="David"/>
          <w:rtl/>
          <w:lang w:eastAsia="he-IL"/>
        </w:rPr>
        <w:t xml:space="preserve">צעיר מגיל 21, ובנסיבות הענין חובה לקבל עליו  תסקיר של שירות המבחן. והצדדים הסכימו ששירות המבחן יגיש תסקיר גם על הנאשם 2. </w:t>
      </w:r>
    </w:p>
    <w:p w14:paraId="055A1354" w14:textId="77777777" w:rsidR="00A84695" w:rsidRDefault="00A84695" w:rsidP="00A84695">
      <w:pPr>
        <w:spacing w:line="360" w:lineRule="auto"/>
        <w:jc w:val="both"/>
        <w:rPr>
          <w:rFonts w:ascii="David" w:hAnsi="David"/>
          <w:rtl/>
        </w:rPr>
      </w:pPr>
    </w:p>
    <w:p w14:paraId="6BA432DD" w14:textId="77777777" w:rsidR="00A84695" w:rsidRPr="00B40964" w:rsidRDefault="00A84695" w:rsidP="00A84695">
      <w:pPr>
        <w:spacing w:line="360" w:lineRule="auto"/>
        <w:jc w:val="both"/>
        <w:rPr>
          <w:rFonts w:ascii="David" w:hAnsi="David"/>
          <w:rtl/>
        </w:rPr>
      </w:pPr>
    </w:p>
    <w:p w14:paraId="15402EB7" w14:textId="77777777" w:rsidR="00A84695" w:rsidRPr="00B40964" w:rsidRDefault="00A84695" w:rsidP="00A84695">
      <w:pPr>
        <w:spacing w:line="360" w:lineRule="auto"/>
        <w:jc w:val="both"/>
        <w:rPr>
          <w:rFonts w:ascii="David" w:hAnsi="David"/>
          <w:b/>
          <w:bCs/>
          <w:u w:val="single"/>
          <w:rtl/>
        </w:rPr>
      </w:pPr>
      <w:r w:rsidRPr="00B40964">
        <w:rPr>
          <w:rFonts w:ascii="David" w:hAnsi="David"/>
          <w:b/>
          <w:bCs/>
          <w:u w:val="single"/>
          <w:rtl/>
        </w:rPr>
        <w:t>תסקירי שירות המבחן</w:t>
      </w:r>
    </w:p>
    <w:p w14:paraId="5A4CE1A5" w14:textId="77777777" w:rsidR="00A84695" w:rsidRPr="00B40964" w:rsidRDefault="00A84695" w:rsidP="00A84695">
      <w:pPr>
        <w:spacing w:line="360" w:lineRule="auto"/>
        <w:jc w:val="both"/>
        <w:rPr>
          <w:rFonts w:ascii="David" w:hAnsi="David"/>
          <w:b/>
          <w:bCs/>
          <w:u w:val="single"/>
          <w:rtl/>
        </w:rPr>
      </w:pPr>
      <w:r w:rsidRPr="00B40964">
        <w:rPr>
          <w:rFonts w:ascii="David" w:hAnsi="David"/>
          <w:b/>
          <w:bCs/>
          <w:u w:val="single"/>
          <w:rtl/>
        </w:rPr>
        <w:t>הנאשם 1</w:t>
      </w:r>
    </w:p>
    <w:p w14:paraId="52795580" w14:textId="77777777" w:rsidR="00A84695" w:rsidRPr="00B40964" w:rsidRDefault="00A84695" w:rsidP="00A84695">
      <w:pPr>
        <w:spacing w:line="360" w:lineRule="auto"/>
        <w:ind w:left="720"/>
        <w:jc w:val="both"/>
        <w:rPr>
          <w:rFonts w:ascii="David" w:hAnsi="David"/>
          <w:rtl/>
        </w:rPr>
      </w:pPr>
      <w:r w:rsidRPr="00B40964">
        <w:rPr>
          <w:rFonts w:ascii="David" w:hAnsi="David"/>
          <w:rtl/>
        </w:rPr>
        <w:t xml:space="preserve">בתסקיר שירות המבחן צוינו בין היתר הדברים הבאים: </w:t>
      </w:r>
    </w:p>
    <w:p w14:paraId="13D1F22F" w14:textId="77777777" w:rsidR="00A84695" w:rsidRPr="00B40964" w:rsidRDefault="00A84695" w:rsidP="00A84695">
      <w:pPr>
        <w:spacing w:line="360" w:lineRule="auto"/>
        <w:ind w:left="720"/>
        <w:jc w:val="both"/>
        <w:rPr>
          <w:rFonts w:ascii="David" w:hAnsi="David"/>
          <w:rtl/>
        </w:rPr>
      </w:pPr>
      <w:r w:rsidRPr="00B40964">
        <w:rPr>
          <w:rFonts w:ascii="David" w:hAnsi="David"/>
          <w:rtl/>
        </w:rPr>
        <w:t xml:space="preserve">הנאשם בן 20, רווק, נושא כעת מאסר. סיים 11 שנות לימוד. עזב את המסגרת הלימודית על מנת להשתלב בתעסוקה בעקבות קשיים כלכליים במשפחתו, ובגיל 17 החל לעבוד. אביו יליד עזה ושוהה בארץ במעמד ארעי. סובל ממחלת נפש ואינו עובד. בשל מעמדו אינו זכאי לקצבאות נכות והנו חסר זכויות כלכליות או רפואיות. אמו עובדת בעבודות מזדמנות. אחד מאחיו סובל ממחלת נפש ואח אחר עצור בגין עבירת אלימות. בשל המצב המשפחתי, הנאשם היה המפרנס העיקרי של משפחתו, וניכר כי הוא נושא באחריות ובמחויבות שאינן תואמות את גילו ובשלותו הרגשית. </w:t>
      </w:r>
    </w:p>
    <w:p w14:paraId="7844B104" w14:textId="77777777" w:rsidR="00A84695" w:rsidRPr="00B40964" w:rsidRDefault="00A84695" w:rsidP="00A84695">
      <w:pPr>
        <w:spacing w:line="360" w:lineRule="auto"/>
        <w:ind w:left="720"/>
        <w:jc w:val="both"/>
        <w:rPr>
          <w:rFonts w:ascii="David" w:hAnsi="David"/>
          <w:rtl/>
        </w:rPr>
      </w:pPr>
    </w:p>
    <w:p w14:paraId="7E47CC47" w14:textId="77777777" w:rsidR="00A84695" w:rsidRPr="00B40964" w:rsidRDefault="00A84695" w:rsidP="00A84695">
      <w:pPr>
        <w:spacing w:line="360" w:lineRule="auto"/>
        <w:ind w:left="720"/>
        <w:jc w:val="both"/>
        <w:rPr>
          <w:rFonts w:ascii="David" w:hAnsi="David"/>
          <w:rtl/>
        </w:rPr>
      </w:pPr>
      <w:r w:rsidRPr="00B40964">
        <w:rPr>
          <w:rFonts w:ascii="David" w:hAnsi="David"/>
          <w:rtl/>
        </w:rPr>
        <w:t xml:space="preserve">במסגרת מעצרו בתיק עליו נדון למאסר, הופנה לשירות המבחן אשר התרשם כי הוא מבטא עמדה קורבנית ולאחר שהביע רצון לטיפול הוצע לשלבו בקבוצה טיפולית. שילובו נדחה בשל רשימת המתנה ובזמן הדחייה ביצע את העבירות נשוא תיק זה. </w:t>
      </w:r>
    </w:p>
    <w:p w14:paraId="2374BA4E" w14:textId="77777777" w:rsidR="00A84695" w:rsidRPr="00B40964" w:rsidRDefault="00A84695" w:rsidP="00A84695">
      <w:pPr>
        <w:spacing w:line="360" w:lineRule="auto"/>
        <w:ind w:left="720"/>
        <w:jc w:val="both"/>
        <w:rPr>
          <w:rFonts w:ascii="David" w:hAnsi="David"/>
          <w:rtl/>
        </w:rPr>
      </w:pPr>
    </w:p>
    <w:p w14:paraId="501BF536" w14:textId="77777777" w:rsidR="00A84695" w:rsidRPr="00B40964" w:rsidRDefault="00A84695" w:rsidP="00A84695">
      <w:pPr>
        <w:spacing w:line="360" w:lineRule="auto"/>
        <w:ind w:left="720"/>
        <w:jc w:val="both"/>
        <w:rPr>
          <w:rFonts w:ascii="David" w:hAnsi="David"/>
          <w:rtl/>
        </w:rPr>
      </w:pPr>
      <w:r w:rsidRPr="00B40964">
        <w:rPr>
          <w:rFonts w:ascii="David" w:hAnsi="David"/>
          <w:rtl/>
        </w:rPr>
        <w:t xml:space="preserve">הנאשם מודה בביצוע העבירות בתיק זה. סיפר, כי במהלך מעצרו הכיר אסירים המעורבים בפלילים ומנהלים קשרים עברייניים מחוץ לכלא. וכאשר שהה במעצר בית, מישהו יצר אתו קשר והציע לו לסחור בנשק שיספק לו תמורת תשלום. טען כי הקשר עם עבדאללה ופתחי המוזכרים בכתב האישום היה שטחי, ולמרות שידע כי הם מעורבים בפלילים הסכים לבצע את העבירות בשל רצונו בכסף זמין. </w:t>
      </w:r>
    </w:p>
    <w:p w14:paraId="5B9AFF45" w14:textId="77777777" w:rsidR="00A84695" w:rsidRPr="00B40964" w:rsidRDefault="00A84695" w:rsidP="00A84695">
      <w:pPr>
        <w:spacing w:line="360" w:lineRule="auto"/>
        <w:ind w:left="720"/>
        <w:jc w:val="both"/>
        <w:rPr>
          <w:rFonts w:ascii="David" w:hAnsi="David"/>
          <w:rtl/>
        </w:rPr>
      </w:pPr>
    </w:p>
    <w:p w14:paraId="643FCE0F" w14:textId="77777777" w:rsidR="00A84695" w:rsidRPr="00B40964" w:rsidRDefault="00A84695" w:rsidP="00A84695">
      <w:pPr>
        <w:spacing w:line="360" w:lineRule="auto"/>
        <w:ind w:left="720"/>
        <w:jc w:val="both"/>
        <w:rPr>
          <w:rFonts w:ascii="David" w:hAnsi="David"/>
          <w:rtl/>
        </w:rPr>
      </w:pPr>
      <w:r w:rsidRPr="00B40964">
        <w:rPr>
          <w:rFonts w:ascii="David" w:hAnsi="David"/>
          <w:rtl/>
        </w:rPr>
        <w:t xml:space="preserve">תיאר כי חווית המעצר והריחוק ממשפחתו מעוררים בו רגשות חרטה ואשם ומהווים עבורו גורם מרתיע ומציב גבולות, וציין את המחירים הכלכליים והרגשיים שמשלמים בני משפחתו בעקבות מעצרו. שיתף כי פעל מבלי לתת את הדעת למשמעות מעשיו והשלכותיהם וכיום נמצא בתהליך של הפקת לקחים ומעוניין לשקם את חייו. </w:t>
      </w:r>
    </w:p>
    <w:p w14:paraId="7ED10709" w14:textId="77777777" w:rsidR="00A84695" w:rsidRPr="00B40964" w:rsidRDefault="00A84695" w:rsidP="00A84695">
      <w:pPr>
        <w:spacing w:line="360" w:lineRule="auto"/>
        <w:ind w:left="720"/>
        <w:jc w:val="both"/>
        <w:rPr>
          <w:rFonts w:ascii="David" w:hAnsi="David"/>
          <w:rtl/>
        </w:rPr>
      </w:pPr>
    </w:p>
    <w:p w14:paraId="3407F28F" w14:textId="77777777" w:rsidR="00A84695" w:rsidRPr="00B40964" w:rsidRDefault="00A84695" w:rsidP="00A84695">
      <w:pPr>
        <w:spacing w:line="360" w:lineRule="auto"/>
        <w:ind w:left="720"/>
        <w:jc w:val="both"/>
        <w:rPr>
          <w:rFonts w:ascii="David" w:hAnsi="David"/>
          <w:rtl/>
        </w:rPr>
      </w:pPr>
      <w:r w:rsidRPr="00B40964">
        <w:rPr>
          <w:rFonts w:ascii="David" w:hAnsi="David"/>
          <w:rtl/>
        </w:rPr>
        <w:t>שירות המבחן התרשם כי הנאשם מונע בעיקר מחששו מתוצאות ההליך המשפטי ולא ממקום עמוק יותר.</w:t>
      </w:r>
      <w:r w:rsidRPr="00B40964">
        <w:rPr>
          <w:rFonts w:ascii="David" w:hAnsi="David"/>
        </w:rPr>
        <w:t xml:space="preserve"> </w:t>
      </w:r>
      <w:r w:rsidRPr="00B40964">
        <w:rPr>
          <w:rFonts w:ascii="David" w:hAnsi="David"/>
          <w:rtl/>
        </w:rPr>
        <w:t xml:space="preserve">וכן שהנאשם אימץ דפוסי חשיבה והתנהגות שוליים ומכשילים בהתמודדות עם מצבי לחץ, הגבולות הפנימיים שלו מטושטשים, יש לו קושי בבחינת השלכות מעשיו והוא מתקשה לשלוט ולווסת את דחפיו ורצונותיו. </w:t>
      </w:r>
    </w:p>
    <w:p w14:paraId="2FF12F64" w14:textId="77777777" w:rsidR="00A84695" w:rsidRPr="00B40964" w:rsidRDefault="00A84695" w:rsidP="00A84695">
      <w:pPr>
        <w:spacing w:line="360" w:lineRule="auto"/>
        <w:ind w:left="720"/>
        <w:jc w:val="both"/>
        <w:rPr>
          <w:rFonts w:ascii="David" w:hAnsi="David"/>
          <w:rtl/>
        </w:rPr>
      </w:pPr>
      <w:r w:rsidRPr="00B40964">
        <w:rPr>
          <w:rFonts w:ascii="David" w:hAnsi="David"/>
          <w:rtl/>
        </w:rPr>
        <w:t xml:space="preserve">צוין, כי העובדה שנוהל נגדו הליך משפטי במסגרתו אף שהה בתנאים מגבילים, לא מנעה ממנו לבצע את העבירות. </w:t>
      </w:r>
    </w:p>
    <w:p w14:paraId="52B3E831" w14:textId="77777777" w:rsidR="00A84695" w:rsidRPr="00B40964" w:rsidRDefault="00A84695" w:rsidP="00A84695">
      <w:pPr>
        <w:spacing w:line="360" w:lineRule="auto"/>
        <w:ind w:left="720"/>
        <w:jc w:val="both"/>
        <w:rPr>
          <w:rFonts w:ascii="David" w:hAnsi="David"/>
          <w:rtl/>
        </w:rPr>
      </w:pPr>
    </w:p>
    <w:p w14:paraId="5ADF89F9" w14:textId="77777777" w:rsidR="00A84695" w:rsidRPr="00B40964" w:rsidRDefault="00A84695" w:rsidP="00A84695">
      <w:pPr>
        <w:spacing w:line="360" w:lineRule="auto"/>
        <w:ind w:left="720"/>
        <w:jc w:val="both"/>
        <w:rPr>
          <w:rFonts w:ascii="David" w:hAnsi="David"/>
          <w:rtl/>
        </w:rPr>
      </w:pPr>
      <w:r w:rsidRPr="00B40964">
        <w:rPr>
          <w:rFonts w:ascii="David" w:hAnsi="David"/>
          <w:rtl/>
        </w:rPr>
        <w:t xml:space="preserve">שירות המבחן שקל את גורמי הסיכוי והסיכון של הנאשם והתרשם כי קיימת רמת סיכון להתנהגות עוברת חוק בעתיד. לאור מאפייני העבירות ואופן ביצוען -בהיותו תחת פיקוח, והערכת הסיכון להתנהגות עוברת חוק, שירות המבחן נמנע מהמלצה טיפולית או שיקומית והמליץ על ענישה מוחשית של מאסר ומאסר על תנאי. הומלץ כי ישולב בטיפול במסגרת מאסרו. </w:t>
      </w:r>
    </w:p>
    <w:p w14:paraId="4CBCFE0E" w14:textId="77777777" w:rsidR="00A84695" w:rsidRPr="00B40964" w:rsidRDefault="00A84695" w:rsidP="00A84695">
      <w:pPr>
        <w:spacing w:line="360" w:lineRule="auto"/>
        <w:jc w:val="both"/>
        <w:rPr>
          <w:rFonts w:ascii="David" w:hAnsi="David"/>
          <w:rtl/>
        </w:rPr>
      </w:pPr>
    </w:p>
    <w:p w14:paraId="096B4ECF" w14:textId="77777777" w:rsidR="00A84695" w:rsidRPr="00B40964" w:rsidRDefault="00A84695" w:rsidP="00A84695">
      <w:pPr>
        <w:spacing w:line="360" w:lineRule="auto"/>
        <w:jc w:val="both"/>
        <w:rPr>
          <w:rFonts w:ascii="David" w:hAnsi="David"/>
          <w:b/>
          <w:bCs/>
          <w:u w:val="single"/>
          <w:rtl/>
        </w:rPr>
      </w:pPr>
      <w:r w:rsidRPr="00B40964">
        <w:rPr>
          <w:rFonts w:ascii="David" w:hAnsi="David"/>
          <w:b/>
          <w:bCs/>
          <w:u w:val="single"/>
          <w:rtl/>
        </w:rPr>
        <w:t>הנאשם 2</w:t>
      </w:r>
    </w:p>
    <w:p w14:paraId="74BB0801" w14:textId="77777777" w:rsidR="00A84695" w:rsidRPr="00B40964" w:rsidRDefault="00A84695" w:rsidP="00A84695">
      <w:pPr>
        <w:spacing w:line="360" w:lineRule="auto"/>
        <w:ind w:left="720"/>
        <w:jc w:val="both"/>
        <w:rPr>
          <w:rFonts w:ascii="David" w:hAnsi="David"/>
          <w:rtl/>
        </w:rPr>
      </w:pPr>
      <w:r w:rsidRPr="00B40964">
        <w:rPr>
          <w:rFonts w:ascii="David" w:hAnsi="David"/>
          <w:rtl/>
        </w:rPr>
        <w:t>בתסקיר שירות המבחן צויינו בין היתר הדברים הבאים:</w:t>
      </w:r>
    </w:p>
    <w:p w14:paraId="462F0008" w14:textId="77777777" w:rsidR="00A84695" w:rsidRPr="00B40964" w:rsidRDefault="00A84695" w:rsidP="00A84695">
      <w:pPr>
        <w:spacing w:line="360" w:lineRule="auto"/>
        <w:ind w:left="720"/>
        <w:jc w:val="both"/>
        <w:rPr>
          <w:rFonts w:ascii="David" w:hAnsi="David"/>
          <w:rtl/>
        </w:rPr>
      </w:pPr>
      <w:r w:rsidRPr="00B40964">
        <w:rPr>
          <w:rFonts w:ascii="David" w:hAnsi="David"/>
          <w:rtl/>
        </w:rPr>
        <w:t xml:space="preserve">הנאשם בן 22, רווק. נעדר עבר פלילי. זוהי כניסתו הרביעית למתקני שב"ס. סיים 12 שנות לימוד בבית ספר מקצועי. שלל קשיים התנהגותיים. שלל שימוש בחומרים משני תודעה. טרם מעצרו התגורר בבית הוריו בתל שבע והיה אמור להינשא. תיאר את סביבתו המשפחתית כמתפקדת באופן תקין ויציב, ללא מעורבות פלילית. </w:t>
      </w:r>
    </w:p>
    <w:p w14:paraId="1420FB84" w14:textId="77777777" w:rsidR="00A84695" w:rsidRPr="00B40964" w:rsidRDefault="00A84695" w:rsidP="00A84695">
      <w:pPr>
        <w:spacing w:line="360" w:lineRule="auto"/>
        <w:ind w:left="720"/>
        <w:jc w:val="both"/>
        <w:rPr>
          <w:rFonts w:ascii="David" w:hAnsi="David"/>
          <w:rtl/>
        </w:rPr>
      </w:pPr>
    </w:p>
    <w:p w14:paraId="505DAACE" w14:textId="77777777" w:rsidR="00A84695" w:rsidRPr="00B40964" w:rsidRDefault="00A84695" w:rsidP="00A84695">
      <w:pPr>
        <w:spacing w:line="360" w:lineRule="auto"/>
        <w:ind w:left="720"/>
        <w:jc w:val="both"/>
        <w:rPr>
          <w:rFonts w:ascii="David" w:hAnsi="David"/>
          <w:rtl/>
        </w:rPr>
      </w:pPr>
      <w:r w:rsidRPr="00B40964">
        <w:rPr>
          <w:rFonts w:ascii="David" w:hAnsi="David"/>
          <w:rtl/>
        </w:rPr>
        <w:t xml:space="preserve">הופנה לשירות המבחן במסגרת תיק המעצר ושירות המבחן העריך כי קיימת רמת סיכון גבוהה להתנהגות עוברת חוק בתחום עבירות הנשק. </w:t>
      </w:r>
    </w:p>
    <w:p w14:paraId="346E6EFD" w14:textId="77777777" w:rsidR="00A84695" w:rsidRPr="00B40964" w:rsidRDefault="00A84695" w:rsidP="00A84695">
      <w:pPr>
        <w:spacing w:line="360" w:lineRule="auto"/>
        <w:ind w:left="720"/>
        <w:jc w:val="both"/>
        <w:rPr>
          <w:rFonts w:ascii="David" w:hAnsi="David"/>
          <w:rtl/>
        </w:rPr>
      </w:pPr>
    </w:p>
    <w:p w14:paraId="0BA4A4B3" w14:textId="77777777" w:rsidR="00A84695" w:rsidRPr="00B40964" w:rsidRDefault="00A84695" w:rsidP="00A84695">
      <w:pPr>
        <w:spacing w:line="360" w:lineRule="auto"/>
        <w:ind w:left="720"/>
        <w:jc w:val="both"/>
        <w:rPr>
          <w:rFonts w:ascii="David" w:hAnsi="David"/>
          <w:rtl/>
        </w:rPr>
      </w:pPr>
      <w:r w:rsidRPr="00B40964">
        <w:rPr>
          <w:rFonts w:ascii="David" w:hAnsi="David"/>
          <w:rtl/>
        </w:rPr>
        <w:t xml:space="preserve">בהתייחס לעבירה, הנאשם מודה בביצועה באופן פורמלי, אך התייחסותו מצמצמת ומטשטשת והוא מתקשה לבחון את הנסיבות שהביאו אותו לביצועה. מסר כי הנאשם 1 הוא בן דודו וחברו הקרוב. וסיפר כי הנאשם 1 ביקש את עזרתו בהעברת חבילה למקום מסוים והוא עשה זאת מבלי שידע מה תכולתה. </w:t>
      </w:r>
    </w:p>
    <w:p w14:paraId="464F10C3" w14:textId="77777777" w:rsidR="00A84695" w:rsidRPr="00B40964" w:rsidRDefault="00A84695" w:rsidP="00A84695">
      <w:pPr>
        <w:spacing w:line="360" w:lineRule="auto"/>
        <w:ind w:left="720"/>
        <w:jc w:val="both"/>
        <w:rPr>
          <w:rFonts w:ascii="David" w:hAnsi="David"/>
          <w:rtl/>
        </w:rPr>
      </w:pPr>
    </w:p>
    <w:p w14:paraId="6242E959" w14:textId="77777777" w:rsidR="00A84695" w:rsidRPr="00B40964" w:rsidRDefault="00A84695" w:rsidP="00A84695">
      <w:pPr>
        <w:spacing w:line="360" w:lineRule="auto"/>
        <w:ind w:left="720"/>
        <w:jc w:val="both"/>
        <w:rPr>
          <w:rFonts w:ascii="David" w:hAnsi="David"/>
          <w:rtl/>
        </w:rPr>
      </w:pPr>
      <w:r w:rsidRPr="00B40964">
        <w:rPr>
          <w:rFonts w:ascii="David" w:hAnsi="David"/>
          <w:rtl/>
        </w:rPr>
        <w:t xml:space="preserve">שירות המבחן שקל את גורמי הסיכון והסיכוי של הנאשם והעריך כי ללא טיפול קיימת רמת סיכון להישנות התנהגות עוברת חוק. </w:t>
      </w:r>
    </w:p>
    <w:p w14:paraId="3BFED360" w14:textId="77777777" w:rsidR="00A84695" w:rsidRPr="00B40964" w:rsidRDefault="00A84695" w:rsidP="00A84695">
      <w:pPr>
        <w:spacing w:line="360" w:lineRule="auto"/>
        <w:ind w:left="720"/>
        <w:jc w:val="both"/>
        <w:rPr>
          <w:rFonts w:ascii="David" w:hAnsi="David"/>
          <w:rtl/>
        </w:rPr>
      </w:pPr>
    </w:p>
    <w:p w14:paraId="39FFCDC3" w14:textId="77777777" w:rsidR="00A84695" w:rsidRPr="00B40964" w:rsidRDefault="00A84695" w:rsidP="00A84695">
      <w:pPr>
        <w:spacing w:line="360" w:lineRule="auto"/>
        <w:ind w:left="720"/>
        <w:jc w:val="both"/>
        <w:rPr>
          <w:rFonts w:ascii="David" w:hAnsi="David"/>
          <w:rtl/>
        </w:rPr>
      </w:pPr>
      <w:r w:rsidRPr="00B40964">
        <w:rPr>
          <w:rFonts w:ascii="David" w:hAnsi="David"/>
          <w:rtl/>
        </w:rPr>
        <w:t xml:space="preserve">בהיעדר מוכנות מצד הנאשם להתערבות גורמי טיפול בעניינו, שירות המבחן העריך שהנאשם יתקשה להפיק תועלת ממעורבות טיפולית, נמנע מהמלצה טיפולית או שיקומית והמליץ על ענישה מוחשית ומאסר על תנאי. </w:t>
      </w:r>
    </w:p>
    <w:p w14:paraId="25857B0C" w14:textId="77777777" w:rsidR="00A84695" w:rsidRPr="00B40964" w:rsidRDefault="00A84695" w:rsidP="00A84695">
      <w:pPr>
        <w:spacing w:line="360" w:lineRule="auto"/>
        <w:jc w:val="both"/>
        <w:rPr>
          <w:rFonts w:ascii="David" w:hAnsi="David"/>
          <w:b/>
          <w:bCs/>
          <w:u w:val="single"/>
          <w:rtl/>
        </w:rPr>
      </w:pPr>
    </w:p>
    <w:p w14:paraId="0CCE4099" w14:textId="77777777" w:rsidR="00A84695" w:rsidRPr="00B40964" w:rsidRDefault="00A84695" w:rsidP="00A84695">
      <w:pPr>
        <w:spacing w:line="360" w:lineRule="auto"/>
        <w:jc w:val="both"/>
        <w:rPr>
          <w:rFonts w:ascii="David" w:hAnsi="David"/>
          <w:b/>
          <w:bCs/>
          <w:u w:val="single"/>
          <w:rtl/>
        </w:rPr>
      </w:pPr>
    </w:p>
    <w:p w14:paraId="5F90DAC3" w14:textId="77777777" w:rsidR="00A84695" w:rsidRDefault="00A84695" w:rsidP="00A84695">
      <w:pPr>
        <w:spacing w:line="360" w:lineRule="auto"/>
        <w:jc w:val="both"/>
        <w:rPr>
          <w:rFonts w:ascii="David" w:hAnsi="David"/>
          <w:b/>
          <w:bCs/>
          <w:u w:val="single"/>
          <w:rtl/>
        </w:rPr>
      </w:pPr>
    </w:p>
    <w:p w14:paraId="532558FC" w14:textId="77777777" w:rsidR="00A84695" w:rsidRPr="00B40964" w:rsidRDefault="00A84695" w:rsidP="00A84695">
      <w:pPr>
        <w:spacing w:line="360" w:lineRule="auto"/>
        <w:jc w:val="both"/>
        <w:rPr>
          <w:rFonts w:ascii="David" w:hAnsi="David"/>
          <w:b/>
          <w:bCs/>
          <w:u w:val="single"/>
          <w:rtl/>
        </w:rPr>
      </w:pPr>
    </w:p>
    <w:p w14:paraId="5AD395D6" w14:textId="77777777" w:rsidR="00A84695" w:rsidRPr="00B40964" w:rsidRDefault="00A84695" w:rsidP="00A84695">
      <w:pPr>
        <w:spacing w:line="360" w:lineRule="auto"/>
        <w:jc w:val="both"/>
        <w:rPr>
          <w:rFonts w:ascii="David" w:hAnsi="David"/>
          <w:b/>
          <w:bCs/>
          <w:u w:val="single"/>
          <w:rtl/>
        </w:rPr>
      </w:pPr>
    </w:p>
    <w:p w14:paraId="022807DD" w14:textId="77777777" w:rsidR="00A84695" w:rsidRPr="00B40964" w:rsidRDefault="00A84695" w:rsidP="00A84695">
      <w:pPr>
        <w:spacing w:line="360" w:lineRule="auto"/>
        <w:jc w:val="both"/>
        <w:rPr>
          <w:rFonts w:ascii="David" w:hAnsi="David"/>
          <w:b/>
          <w:bCs/>
          <w:u w:val="single"/>
          <w:rtl/>
        </w:rPr>
      </w:pPr>
      <w:r w:rsidRPr="00B40964">
        <w:rPr>
          <w:rFonts w:ascii="David" w:hAnsi="David"/>
          <w:b/>
          <w:bCs/>
          <w:u w:val="single"/>
          <w:rtl/>
        </w:rPr>
        <w:t>טענות הצדדים</w:t>
      </w:r>
    </w:p>
    <w:p w14:paraId="54C269F3" w14:textId="77777777" w:rsidR="00A84695" w:rsidRPr="00B40964" w:rsidRDefault="00A84695" w:rsidP="00547C8B">
      <w:pPr>
        <w:spacing w:line="360" w:lineRule="auto"/>
        <w:ind w:left="720" w:hanging="720"/>
        <w:jc w:val="both"/>
        <w:rPr>
          <w:rFonts w:ascii="David" w:hAnsi="David"/>
          <w:rtl/>
        </w:rPr>
      </w:pPr>
      <w:r w:rsidRPr="00B40964">
        <w:rPr>
          <w:rFonts w:ascii="David" w:hAnsi="David"/>
          <w:rtl/>
        </w:rPr>
        <w:t>1.</w:t>
      </w:r>
      <w:r w:rsidRPr="00B40964">
        <w:rPr>
          <w:rFonts w:ascii="David" w:hAnsi="David"/>
          <w:rtl/>
        </w:rPr>
        <w:tab/>
        <w:t>ב"כ התביעה תיארה את חלקו של כל אחד מהנאשמים בעבירות. עמדה על פוטנציאל הנזק בעבירות הנשק והצורך להחמרה בענישה. הפנתה ל</w:t>
      </w:r>
      <w:hyperlink r:id="rId15" w:history="1">
        <w:r w:rsidR="00393BA8" w:rsidRPr="00393BA8">
          <w:rPr>
            <w:rFonts w:ascii="David" w:hAnsi="David"/>
            <w:color w:val="0000FF"/>
            <w:u w:val="single"/>
            <w:rtl/>
          </w:rPr>
          <w:t>ע"פ 971</w:t>
        </w:r>
        <w:r w:rsidR="00393BA8" w:rsidRPr="00393BA8">
          <w:rPr>
            <w:rFonts w:ascii="David" w:hAnsi="David"/>
            <w:color w:val="0000FF"/>
            <w:u w:val="single"/>
            <w:rtl/>
          </w:rPr>
          <w:t>/</w:t>
        </w:r>
        <w:r w:rsidR="00393BA8" w:rsidRPr="00393BA8">
          <w:rPr>
            <w:rFonts w:ascii="David" w:hAnsi="David"/>
            <w:color w:val="0000FF"/>
            <w:u w:val="single"/>
            <w:rtl/>
          </w:rPr>
          <w:t>19</w:t>
        </w:r>
      </w:hyperlink>
      <w:r w:rsidR="00547C8B">
        <w:rPr>
          <w:rFonts w:ascii="David" w:hAnsi="David" w:hint="cs"/>
          <w:rtl/>
        </w:rPr>
        <w:t xml:space="preserve"> </w:t>
      </w:r>
      <w:r w:rsidR="00547C8B" w:rsidRPr="00547C8B">
        <w:rPr>
          <w:sz w:val="22"/>
          <w:rtl/>
        </w:rPr>
        <w:t>[פורסם בנבו]</w:t>
      </w:r>
      <w:r w:rsidRPr="00B40964">
        <w:rPr>
          <w:rFonts w:ascii="David" w:hAnsi="David"/>
          <w:rtl/>
        </w:rPr>
        <w:t xml:space="preserve">. ציינה כי בעניינו מדובר בתת מקלע שמסוכנותו רבה יותר משל אקדח. </w:t>
      </w:r>
    </w:p>
    <w:p w14:paraId="41675FC1" w14:textId="77777777" w:rsidR="00A84695" w:rsidRPr="00B40964" w:rsidRDefault="00A84695" w:rsidP="00A84695">
      <w:pPr>
        <w:spacing w:line="360" w:lineRule="auto"/>
        <w:ind w:left="720" w:hanging="720"/>
        <w:jc w:val="both"/>
        <w:rPr>
          <w:rFonts w:ascii="David" w:hAnsi="David"/>
          <w:rtl/>
        </w:rPr>
      </w:pPr>
      <w:r w:rsidRPr="00B40964">
        <w:rPr>
          <w:rFonts w:ascii="David" w:hAnsi="David"/>
          <w:rtl/>
        </w:rPr>
        <w:tab/>
        <w:t>טענה, כי בהתאם להנחיית פרקליט המדינה, בעבירה של סחר בנשק אחד, התביעה טוענת למתחם עונש הולם הנע בין 3 ל- 7 שנות מאסר. עתרה לקבוע שמתחם העונש ההולם למעשה הנאשם 1 באישום השני נע בין 3 ל- 7 שנות, ומתחם העונש ההולם למעשה הנאשם 1 באישום הראשון נע בין 1.5 ל- 3.5 שנות מאסר. ולקבוע שמתחם העונש ההולם למעשה הנאשם 2 באישום הראשון נע בין 3 ל-7 שנות מאסר.</w:t>
      </w:r>
    </w:p>
    <w:p w14:paraId="35D13CBD" w14:textId="77777777" w:rsidR="00A84695" w:rsidRPr="00B40964" w:rsidRDefault="00A84695" w:rsidP="00A84695">
      <w:pPr>
        <w:spacing w:line="360" w:lineRule="auto"/>
        <w:ind w:left="720" w:hanging="720"/>
        <w:jc w:val="both"/>
        <w:rPr>
          <w:rFonts w:ascii="David" w:hAnsi="David"/>
          <w:rtl/>
        </w:rPr>
      </w:pPr>
      <w:r w:rsidRPr="00B40964">
        <w:rPr>
          <w:rFonts w:ascii="David" w:hAnsi="David"/>
          <w:rtl/>
        </w:rPr>
        <w:tab/>
        <w:t>אשר לעונש הראוי לנאשם 1, ציינה, מחד את מצבו הסוציואקונומי הקשה ואת נשיאת האחריות על משפחתו, ומנגד, את הרשעתו הקודמת ואת העובדה שהוא היה מעורב בשני האירועים, ואת המלצת שירות המבחן להטלת עונש ממשי. ועתרה להטיל עליו 4.5 שנות מאסר בפועל, במצטבר לעונש המאסר אותו הוא מרצה כיום.</w:t>
      </w:r>
    </w:p>
    <w:p w14:paraId="3713FF65" w14:textId="77777777" w:rsidR="00A84695" w:rsidRPr="00B40964" w:rsidRDefault="00A84695" w:rsidP="00A84695">
      <w:pPr>
        <w:spacing w:line="360" w:lineRule="auto"/>
        <w:ind w:left="720" w:hanging="720"/>
        <w:jc w:val="both"/>
        <w:rPr>
          <w:rFonts w:ascii="David" w:hAnsi="David"/>
          <w:rtl/>
        </w:rPr>
      </w:pPr>
      <w:r w:rsidRPr="00B40964">
        <w:rPr>
          <w:rFonts w:ascii="David" w:hAnsi="David"/>
          <w:rtl/>
        </w:rPr>
        <w:tab/>
        <w:t xml:space="preserve">באשר לעונשו של הנאשם 2, ציינה כי הנאשם נעדר עבר פלילי, אך הפנתה להתרשמות שירות המבחן באשר לרמת הסיכון להישנות עבירות, ולהמלצתו. ועתרה להטיל עליו עונש העולה במעט משלוש שנות מאסר בפועל. </w:t>
      </w:r>
    </w:p>
    <w:p w14:paraId="15398C47" w14:textId="77777777" w:rsidR="00A84695" w:rsidRPr="00B40964" w:rsidRDefault="00A84695" w:rsidP="00A84695">
      <w:pPr>
        <w:spacing w:line="360" w:lineRule="auto"/>
        <w:ind w:left="720" w:hanging="720"/>
        <w:jc w:val="both"/>
        <w:rPr>
          <w:rFonts w:ascii="David" w:hAnsi="David"/>
          <w:rtl/>
        </w:rPr>
      </w:pPr>
    </w:p>
    <w:p w14:paraId="5BC73750" w14:textId="77777777" w:rsidR="00A84695" w:rsidRPr="00B40964" w:rsidRDefault="00A84695" w:rsidP="00A84695">
      <w:pPr>
        <w:spacing w:line="360" w:lineRule="auto"/>
        <w:ind w:left="720" w:hanging="720"/>
        <w:jc w:val="both"/>
        <w:rPr>
          <w:rFonts w:ascii="David" w:hAnsi="David"/>
          <w:rtl/>
        </w:rPr>
      </w:pPr>
      <w:r w:rsidRPr="00B40964">
        <w:rPr>
          <w:rFonts w:ascii="David" w:hAnsi="David"/>
          <w:rtl/>
        </w:rPr>
        <w:tab/>
        <w:t>עוד עתרה, להטיל על הנאשמים מאסר על תנאי וקנס כספי.</w:t>
      </w:r>
    </w:p>
    <w:p w14:paraId="04A1E8C2" w14:textId="77777777" w:rsidR="00A84695" w:rsidRPr="00B40964" w:rsidRDefault="00A84695" w:rsidP="00A84695">
      <w:pPr>
        <w:spacing w:line="360" w:lineRule="auto"/>
        <w:ind w:left="720"/>
        <w:jc w:val="both"/>
        <w:rPr>
          <w:rFonts w:ascii="David" w:hAnsi="David"/>
          <w:rtl/>
        </w:rPr>
      </w:pPr>
    </w:p>
    <w:p w14:paraId="526B1525" w14:textId="77777777" w:rsidR="00A84695" w:rsidRPr="00B40964" w:rsidRDefault="00A84695" w:rsidP="00547C8B">
      <w:pPr>
        <w:spacing w:line="360" w:lineRule="auto"/>
        <w:ind w:left="720" w:hanging="720"/>
        <w:jc w:val="both"/>
        <w:rPr>
          <w:rFonts w:ascii="David" w:hAnsi="David"/>
          <w:rtl/>
        </w:rPr>
      </w:pPr>
      <w:r w:rsidRPr="00B40964">
        <w:rPr>
          <w:rFonts w:ascii="David" w:hAnsi="David"/>
          <w:rtl/>
        </w:rPr>
        <w:t>2.</w:t>
      </w:r>
      <w:r w:rsidRPr="00B40964">
        <w:rPr>
          <w:rFonts w:ascii="David" w:hAnsi="David"/>
          <w:rtl/>
        </w:rPr>
        <w:tab/>
        <w:t>ב"כ הנאשם 1 טען כי בנסיבות הענין יש לקבוע מתחם עונש הולם אחד לשני האישומים שיוחסו לנאשם. ציין שהנאשם בחור צעיר אשר הודה במיוחס לו ולקח אחריות על מעשיו. באישום הראשון הנאשם הורשע בסיוע שבא לביטוי בכך שתרם את השיג המשפחתי לצורך ביצוע העסקה, נכח במקום וקיבל מהנאשם 2 כסף, אך לא נטען כי הוא קיבל את כל הסכום ולא ברור כיצד התחלק הכסף בין המעורבים. הפנה ל</w:t>
      </w:r>
      <w:hyperlink r:id="rId16" w:history="1">
        <w:r w:rsidR="00393BA8" w:rsidRPr="00393BA8">
          <w:rPr>
            <w:rFonts w:ascii="David" w:hAnsi="David"/>
            <w:color w:val="0000FF"/>
            <w:u w:val="single"/>
            <w:rtl/>
          </w:rPr>
          <w:t>ע"פ 8045/17</w:t>
        </w:r>
      </w:hyperlink>
      <w:r w:rsidRPr="00B40964">
        <w:rPr>
          <w:rFonts w:ascii="David" w:hAnsi="David"/>
          <w:rtl/>
        </w:rPr>
        <w:t xml:space="preserve"> מחמוד ברנסי ואח' נ' מדינת ישראל</w:t>
      </w:r>
      <w:r w:rsidR="00547C8B">
        <w:rPr>
          <w:rFonts w:ascii="David" w:hAnsi="David" w:hint="cs"/>
          <w:rtl/>
        </w:rPr>
        <w:t xml:space="preserve"> </w:t>
      </w:r>
      <w:r w:rsidR="00547C8B" w:rsidRPr="00547C8B">
        <w:rPr>
          <w:sz w:val="22"/>
          <w:rtl/>
        </w:rPr>
        <w:t>[פורסם בנבו]</w:t>
      </w:r>
      <w:r w:rsidRPr="00B40964">
        <w:rPr>
          <w:rFonts w:ascii="David" w:hAnsi="David"/>
          <w:rtl/>
        </w:rPr>
        <w:t xml:space="preserve">. באותו עניין נדונה פרשת מכירת כלי נשק לסוכן משטרתי. בפסק הדין ישנו דיון מעמיק במתחמי הענישה. בהתייחס לאחד הנאשמים שם, אשר הורשע בסחר ברובה קרלו ובקלצ'ניקוב, נקבע מתחם עונש הנע בין שנתיים לחמש שנות מאסר לכל עסקה, והוא נדון ל 3.5 שנות מאסר בפועל. טען כי עניינו של הנאשם פחות חמור ובהתאם לכך עונשו צריך להיות בסדר גודל של שנתיים מאסר על שני האישומים. הפנה גם לעניינו של נאשם אחר באותה פרשה, שנדון ל- 3 שנות מאסר. </w:t>
      </w:r>
    </w:p>
    <w:p w14:paraId="71170EE5" w14:textId="77777777" w:rsidR="00A84695" w:rsidRPr="00B40964" w:rsidRDefault="00A84695" w:rsidP="00A84695">
      <w:pPr>
        <w:spacing w:line="360" w:lineRule="auto"/>
        <w:ind w:left="720" w:hanging="720"/>
        <w:jc w:val="both"/>
        <w:rPr>
          <w:rFonts w:ascii="David" w:hAnsi="David"/>
          <w:rtl/>
        </w:rPr>
      </w:pPr>
      <w:r w:rsidRPr="00B40964">
        <w:rPr>
          <w:rFonts w:ascii="David" w:hAnsi="David"/>
          <w:rtl/>
        </w:rPr>
        <w:tab/>
        <w:t xml:space="preserve">בהתייחס לטענת התביעה שיש להחמיר בעבירות נשק מסוג קרלו ביחס לעבירות נשק המתייחסות לאקדח, טען, כי רוב עבירות האלימות הפליליות מבוצעות באמצעות אקדחים והשימוש ברובי קרלו מופיע יותר בהקשר למחבלים בשטחים, וטען כי לטעמו לא צריך להיות הבדל במתחמים בין סחר באקדח לסחר ברובה קרלו. </w:t>
      </w:r>
    </w:p>
    <w:p w14:paraId="1CA35AF5" w14:textId="77777777" w:rsidR="00A84695" w:rsidRPr="00B40964" w:rsidRDefault="00A84695" w:rsidP="00A84695">
      <w:pPr>
        <w:spacing w:line="360" w:lineRule="auto"/>
        <w:ind w:left="720"/>
        <w:jc w:val="both"/>
        <w:rPr>
          <w:rFonts w:ascii="David" w:hAnsi="David"/>
          <w:rtl/>
        </w:rPr>
      </w:pPr>
      <w:r w:rsidRPr="00B40964">
        <w:rPr>
          <w:rFonts w:ascii="David" w:hAnsi="David"/>
          <w:rtl/>
        </w:rPr>
        <w:t xml:space="preserve">אשר לנאשם עצמו, טען, כי הוא בן 20. נסיבות חייו קשות. נטל פרנסת המשפחה נפל על כתפיו. עד גיל 18 הוא תפקד באופן נורמטיבי, ובגיל 18 ומספר חודשים הוא הסתבך בעבירה שבעטיה הוא מרצה היום מאסר. בזמן שהיה עצור התחבר לגורמים שליליים ובהשפעה זו הוא ביצע את העבירות בתיק זה. ציין כי שירות המבחן סבור שהנאשם נמצא בשלב קריטי מבחינת דרכו בחיים. וטען כי הנאשם עדיין לא הפנים דפוסי עבריינות נוקשים. עוד טען כי התביעה עותרת לעונש של 4.5 שנות מאסר במצטבר לעונש שהוא מרצה כיום ומשמעות הדבר היא מאסר של 6.5 שנים לבחור צעיר. עתר להטיל על הנאשם שנתיים מאסר, על מנת לאפשר לו לשקם את חייו. ביקש לחפוף חלקית את תקופת המאסר שתוטל עם המאסר שהוא מרצה כיום. </w:t>
      </w:r>
    </w:p>
    <w:p w14:paraId="41E534E8" w14:textId="77777777" w:rsidR="00A84695" w:rsidRPr="00B40964" w:rsidRDefault="00A84695" w:rsidP="00A84695">
      <w:pPr>
        <w:spacing w:line="360" w:lineRule="auto"/>
        <w:ind w:left="720"/>
        <w:jc w:val="both"/>
        <w:rPr>
          <w:rFonts w:ascii="David" w:hAnsi="David"/>
          <w:rtl/>
        </w:rPr>
      </w:pPr>
    </w:p>
    <w:p w14:paraId="112B8233" w14:textId="77777777" w:rsidR="00A84695" w:rsidRPr="00B40964" w:rsidRDefault="00A84695" w:rsidP="00A84695">
      <w:pPr>
        <w:spacing w:line="360" w:lineRule="auto"/>
        <w:ind w:left="720"/>
        <w:jc w:val="both"/>
        <w:rPr>
          <w:rFonts w:ascii="David" w:hAnsi="David"/>
          <w:rtl/>
        </w:rPr>
      </w:pPr>
      <w:r w:rsidRPr="00B40964">
        <w:rPr>
          <w:rFonts w:ascii="David" w:hAnsi="David"/>
          <w:rtl/>
        </w:rPr>
        <w:t>הנאשם הביע צער על מעשיו ואמר כי למד לקח ולא ישוב על כך.</w:t>
      </w:r>
    </w:p>
    <w:p w14:paraId="4D2E90CE" w14:textId="77777777" w:rsidR="00A84695" w:rsidRPr="00B40964" w:rsidRDefault="00A84695" w:rsidP="00A84695">
      <w:pPr>
        <w:spacing w:line="360" w:lineRule="auto"/>
        <w:jc w:val="both"/>
        <w:rPr>
          <w:rFonts w:ascii="David" w:hAnsi="David"/>
          <w:rtl/>
        </w:rPr>
      </w:pPr>
    </w:p>
    <w:p w14:paraId="0E76041C" w14:textId="77777777" w:rsidR="00A84695" w:rsidRPr="00B40964" w:rsidRDefault="00A84695" w:rsidP="00A84695">
      <w:pPr>
        <w:spacing w:line="360" w:lineRule="auto"/>
        <w:ind w:left="720" w:hanging="720"/>
        <w:jc w:val="both"/>
        <w:rPr>
          <w:rFonts w:ascii="David" w:hAnsi="David"/>
          <w:rtl/>
        </w:rPr>
      </w:pPr>
      <w:r>
        <w:rPr>
          <w:rFonts w:ascii="David" w:hAnsi="David" w:hint="cs"/>
          <w:rtl/>
        </w:rPr>
        <w:t>3</w:t>
      </w:r>
      <w:r w:rsidRPr="00B40964">
        <w:rPr>
          <w:rFonts w:ascii="David" w:hAnsi="David"/>
          <w:rtl/>
        </w:rPr>
        <w:t>.</w:t>
      </w:r>
      <w:r w:rsidRPr="00B40964">
        <w:rPr>
          <w:rFonts w:ascii="David" w:hAnsi="David"/>
          <w:rtl/>
        </w:rPr>
        <w:tab/>
        <w:t>ב"כ הנאשם 2 טען, כי עתירת התביעה למתחמים אשר צוינו אינה במקומה, בהתייחס לכך שבמסגרת עניינם של נאשמים אחרים בפרשה נקבעו מתחמי עונש הולמים אחרים ולא הוגשו על כך ערעורים מטעם התביעה. הפנה ל</w:t>
      </w:r>
      <w:r w:rsidR="00393BA8" w:rsidRPr="00547C8B">
        <w:rPr>
          <w:rFonts w:ascii="David" w:hAnsi="David"/>
          <w:rtl/>
        </w:rPr>
        <w:t>ת.פ 61618-</w:t>
      </w:r>
      <w:r w:rsidR="00393BA8" w:rsidRPr="00547C8B">
        <w:rPr>
          <w:rFonts w:ascii="David" w:hAnsi="David"/>
          <w:rtl/>
        </w:rPr>
        <w:t>0</w:t>
      </w:r>
      <w:r w:rsidR="00393BA8" w:rsidRPr="00547C8B">
        <w:rPr>
          <w:rFonts w:ascii="David" w:hAnsi="David"/>
          <w:rtl/>
        </w:rPr>
        <w:t>2-19</w:t>
      </w:r>
      <w:r w:rsidRPr="00B40964">
        <w:rPr>
          <w:rFonts w:ascii="David" w:hAnsi="David"/>
          <w:rtl/>
        </w:rPr>
        <w:t xml:space="preserve"> בו נקבע מתחם עונש הנע בין 18 ל- 48 חודשי מאסר בפועל בגין עסקת סחר בנשק שהושלמה, והוטלו 22 חודשי מאסר בפועל. טען כי מתחם העונש ההולם צריך להתחיל ב- 12 חודשי מאסר בפועל וזאת בהתייחס לכך שבשונה מ</w:t>
      </w:r>
      <w:r w:rsidR="00393BA8" w:rsidRPr="00547C8B">
        <w:rPr>
          <w:rFonts w:ascii="David" w:hAnsi="David"/>
          <w:rtl/>
        </w:rPr>
        <w:t>ת"פ 61618-</w:t>
      </w:r>
      <w:r w:rsidR="00393BA8" w:rsidRPr="00547C8B">
        <w:rPr>
          <w:rFonts w:ascii="David" w:hAnsi="David"/>
          <w:rtl/>
        </w:rPr>
        <w:t>0</w:t>
      </w:r>
      <w:r w:rsidR="00393BA8" w:rsidRPr="00547C8B">
        <w:rPr>
          <w:rFonts w:ascii="David" w:hAnsi="David"/>
          <w:rtl/>
        </w:rPr>
        <w:t>2-19</w:t>
      </w:r>
      <w:r w:rsidRPr="00B40964">
        <w:rPr>
          <w:rFonts w:ascii="David" w:hAnsi="David"/>
          <w:rtl/>
        </w:rPr>
        <w:t xml:space="preserve"> הנ"ל הרי שבענייננו מדובר ברובה מאולתר ולא תקני, והתמורה בגינו היא בערך שליש מזו שהתקבלה בתיק האחר. עוד טען, כי הנאשם הוא חוליה משנית בפרשה ומיוחסת לו עסקה אחת בלבד. הא לא הרוח החיה מאחורי עסקאות הנשק. טען כי העונש ההולם צריך להיות בתחתית המתחם ואף לחרוג ממנו. הפנה לתסקיר שירות המבחן. לכך שהנאשם מחזיק בעמדות נורמטיביות ברובן ומבטא שאיפות לאורח חיים תקין. ציין כי הנאשם שולב בטיפול בבית המעצר וטען כי מכלול הנתונים מלמד על קיומו של סיכוי לשיקום הנאשם. </w:t>
      </w:r>
    </w:p>
    <w:p w14:paraId="60884E68" w14:textId="77777777" w:rsidR="00A84695" w:rsidRPr="00B40964" w:rsidRDefault="00A84695" w:rsidP="00A84695">
      <w:pPr>
        <w:spacing w:line="360" w:lineRule="auto"/>
        <w:ind w:left="720" w:hanging="720"/>
        <w:jc w:val="both"/>
        <w:rPr>
          <w:rFonts w:ascii="David" w:hAnsi="David"/>
          <w:rtl/>
        </w:rPr>
      </w:pPr>
      <w:r w:rsidRPr="00B40964">
        <w:rPr>
          <w:rFonts w:ascii="David" w:hAnsi="David"/>
          <w:rtl/>
        </w:rPr>
        <w:tab/>
      </w:r>
    </w:p>
    <w:p w14:paraId="6834DA60" w14:textId="77777777" w:rsidR="00A84695" w:rsidRPr="00B40964" w:rsidRDefault="00A84695" w:rsidP="00A84695">
      <w:pPr>
        <w:spacing w:line="360" w:lineRule="auto"/>
        <w:ind w:left="720" w:hanging="720"/>
        <w:jc w:val="both"/>
        <w:rPr>
          <w:rFonts w:ascii="David" w:hAnsi="David"/>
          <w:rtl/>
        </w:rPr>
      </w:pPr>
      <w:r w:rsidRPr="00B40964">
        <w:rPr>
          <w:rFonts w:ascii="David" w:hAnsi="David"/>
          <w:rtl/>
        </w:rPr>
        <w:tab/>
        <w:t xml:space="preserve">הנאשם הביע צער על מעשיו והביע רצון לשקם את חייו. </w:t>
      </w:r>
    </w:p>
    <w:p w14:paraId="4EAA729C" w14:textId="77777777" w:rsidR="00A84695" w:rsidRPr="00B40964" w:rsidRDefault="00A84695" w:rsidP="00A84695">
      <w:pPr>
        <w:spacing w:line="360" w:lineRule="auto"/>
        <w:ind w:left="720" w:hanging="720"/>
        <w:jc w:val="both"/>
        <w:rPr>
          <w:rFonts w:ascii="David" w:hAnsi="David"/>
          <w:rtl/>
        </w:rPr>
      </w:pPr>
    </w:p>
    <w:p w14:paraId="7BFBAD6D" w14:textId="77777777" w:rsidR="00A84695" w:rsidRPr="00B40964" w:rsidRDefault="00A84695" w:rsidP="00A84695">
      <w:pPr>
        <w:spacing w:line="360" w:lineRule="auto"/>
        <w:ind w:left="720" w:hanging="720"/>
        <w:jc w:val="both"/>
        <w:rPr>
          <w:rFonts w:ascii="David" w:hAnsi="David"/>
          <w:rtl/>
        </w:rPr>
      </w:pPr>
      <w:r>
        <w:rPr>
          <w:rFonts w:ascii="David" w:hAnsi="David" w:hint="cs"/>
          <w:rtl/>
        </w:rPr>
        <w:t>4</w:t>
      </w:r>
      <w:r w:rsidRPr="00B40964">
        <w:rPr>
          <w:rFonts w:ascii="David" w:hAnsi="David"/>
          <w:rtl/>
        </w:rPr>
        <w:t>.</w:t>
      </w:r>
      <w:r w:rsidRPr="00B40964">
        <w:rPr>
          <w:rFonts w:ascii="David" w:hAnsi="David"/>
          <w:rtl/>
        </w:rPr>
        <w:tab/>
        <w:t xml:space="preserve">אביו של הנאשם 2 העיד לטובתו. ציין כי הוא כועס על בנו בשל המעשה שעשה והוא אינו  מבקרו במקום מעצרו, וטען כי בנו יודע שטעה. סיפר כי בנו עמד להתחתן לפני שנעצר. </w:t>
      </w:r>
    </w:p>
    <w:p w14:paraId="013917E0" w14:textId="77777777" w:rsidR="00A84695" w:rsidRPr="00B40964" w:rsidRDefault="00A84695" w:rsidP="00A84695">
      <w:pPr>
        <w:spacing w:line="360" w:lineRule="auto"/>
        <w:jc w:val="both"/>
        <w:rPr>
          <w:rFonts w:ascii="David" w:hAnsi="David"/>
          <w:b/>
          <w:bCs/>
          <w:u w:val="single"/>
          <w:rtl/>
        </w:rPr>
      </w:pPr>
    </w:p>
    <w:p w14:paraId="0655A7CC" w14:textId="77777777" w:rsidR="00A84695" w:rsidRPr="00B40964" w:rsidRDefault="00A84695" w:rsidP="00A84695">
      <w:pPr>
        <w:spacing w:line="360" w:lineRule="auto"/>
        <w:jc w:val="both"/>
        <w:rPr>
          <w:rFonts w:ascii="David" w:hAnsi="David"/>
          <w:b/>
          <w:bCs/>
          <w:u w:val="single"/>
          <w:rtl/>
        </w:rPr>
      </w:pPr>
      <w:r w:rsidRPr="00B40964">
        <w:rPr>
          <w:rFonts w:ascii="David" w:hAnsi="David"/>
          <w:b/>
          <w:bCs/>
          <w:u w:val="single"/>
          <w:rtl/>
        </w:rPr>
        <w:t>דיון והכרעה</w:t>
      </w:r>
      <w:r w:rsidRPr="00B40964">
        <w:rPr>
          <w:rFonts w:ascii="David" w:hAnsi="David"/>
          <w:rtl/>
        </w:rPr>
        <w:t xml:space="preserve"> </w:t>
      </w:r>
    </w:p>
    <w:p w14:paraId="1F12F22A" w14:textId="77777777" w:rsidR="00A84695" w:rsidRPr="00B40964" w:rsidRDefault="00A84695" w:rsidP="00A84695">
      <w:pPr>
        <w:spacing w:line="360" w:lineRule="auto"/>
        <w:ind w:left="720" w:hanging="720"/>
        <w:jc w:val="both"/>
        <w:rPr>
          <w:rFonts w:ascii="David" w:hAnsi="David"/>
          <w:rtl/>
        </w:rPr>
      </w:pPr>
    </w:p>
    <w:p w14:paraId="34E0E4F2" w14:textId="77777777" w:rsidR="00A84695" w:rsidRPr="00B40964" w:rsidRDefault="00A84695" w:rsidP="00A84695">
      <w:pPr>
        <w:spacing w:line="360" w:lineRule="auto"/>
        <w:ind w:left="720" w:hanging="720"/>
        <w:jc w:val="both"/>
        <w:rPr>
          <w:rFonts w:ascii="David" w:hAnsi="David"/>
          <w:rtl/>
        </w:rPr>
      </w:pPr>
      <w:r w:rsidRPr="00B40964">
        <w:rPr>
          <w:rFonts w:ascii="David" w:hAnsi="David"/>
          <w:rtl/>
        </w:rPr>
        <w:t xml:space="preserve">1. </w:t>
      </w:r>
      <w:r w:rsidRPr="00B40964">
        <w:rPr>
          <w:rFonts w:ascii="David" w:hAnsi="David"/>
          <w:rtl/>
        </w:rPr>
        <w:tab/>
        <w:t xml:space="preserve">הנאשם 1 הורשע בשתי עבירות. שתי העבירות הן מאותו סוג; הן בוצעו בהפרש של מספר ימים זו מזו; ועם אותם מעורבים; ובנסיבות יש לראות בשתיהן כמהוות אירוע אחד. על כן, מתחם העונש ההולם שייקבע יהיה לאירוע כולו וייגזר על הנאשם 1 עונש כולל לשתי העבירות בהן הורשע. הנאשם 2 הורשע בעבירה אחת. </w:t>
      </w:r>
    </w:p>
    <w:p w14:paraId="32BBEE7F" w14:textId="77777777" w:rsidR="00A84695" w:rsidRPr="00B40964" w:rsidRDefault="00A84695" w:rsidP="00A84695">
      <w:pPr>
        <w:spacing w:line="360" w:lineRule="auto"/>
        <w:ind w:left="720" w:hanging="720"/>
        <w:jc w:val="both"/>
        <w:rPr>
          <w:rFonts w:ascii="David" w:hAnsi="David"/>
          <w:rtl/>
        </w:rPr>
      </w:pPr>
    </w:p>
    <w:p w14:paraId="6EB94069" w14:textId="77777777" w:rsidR="00A84695" w:rsidRPr="00B40964" w:rsidRDefault="00A84695" w:rsidP="00A84695">
      <w:pPr>
        <w:spacing w:line="360" w:lineRule="auto"/>
        <w:ind w:left="720" w:hanging="720"/>
        <w:jc w:val="both"/>
        <w:rPr>
          <w:rFonts w:ascii="David" w:hAnsi="David"/>
          <w:rtl/>
        </w:rPr>
      </w:pPr>
      <w:r w:rsidRPr="00B40964">
        <w:rPr>
          <w:rFonts w:ascii="David" w:hAnsi="David"/>
          <w:rtl/>
        </w:rPr>
        <w:t>2.</w:t>
      </w:r>
      <w:r w:rsidRPr="00B40964">
        <w:rPr>
          <w:rFonts w:ascii="David" w:hAnsi="David"/>
          <w:rtl/>
        </w:rPr>
        <w:tab/>
        <w:t xml:space="preserve">הרובים המדוברים כאן הם רובים מאולתרים. הורתו של הנשק המאולתר, בכלל, בפשע. ייצור כּלֵי נשק על ידי מי שאינם מורשים לכך נועד לספק כּלִי קטלני למטרות פסולות, והוא מהווה סכנה חמורה לציבור. רוכשי כלי הנשק המאולתרים, אלה המחזיקים בהם, ואלה המעבירים אותם מיד ליד, מאפשרים את קיום התופעה ותורמים להתגברותה. </w:t>
      </w:r>
    </w:p>
    <w:p w14:paraId="53E8DC2A" w14:textId="77777777" w:rsidR="00A84695" w:rsidRPr="00B40964" w:rsidRDefault="00A84695" w:rsidP="00A84695">
      <w:pPr>
        <w:spacing w:line="360" w:lineRule="auto"/>
        <w:ind w:left="720" w:hanging="570"/>
        <w:jc w:val="both"/>
        <w:rPr>
          <w:rFonts w:ascii="David" w:hAnsi="David"/>
          <w:rtl/>
        </w:rPr>
      </w:pPr>
      <w:r w:rsidRPr="00B40964">
        <w:rPr>
          <w:rFonts w:ascii="David" w:hAnsi="David"/>
          <w:rtl/>
        </w:rPr>
        <w:tab/>
        <w:t xml:space="preserve">בפועל, כלי נשק כאלה מעורבים בביצוע עבירות פליליות חמורות ובפיגועים חבלניים.   </w:t>
      </w:r>
    </w:p>
    <w:p w14:paraId="27531B97" w14:textId="77777777" w:rsidR="00A84695" w:rsidRPr="00B40964" w:rsidRDefault="00A84695" w:rsidP="00A84695">
      <w:pPr>
        <w:spacing w:line="360" w:lineRule="auto"/>
        <w:ind w:left="720" w:hanging="720"/>
        <w:jc w:val="both"/>
        <w:rPr>
          <w:rFonts w:ascii="David" w:hAnsi="David"/>
          <w:rtl/>
        </w:rPr>
      </w:pPr>
    </w:p>
    <w:p w14:paraId="3A562BA6" w14:textId="77777777" w:rsidR="00A84695" w:rsidRPr="00B40964" w:rsidRDefault="00A84695" w:rsidP="00A84695">
      <w:pPr>
        <w:spacing w:line="360" w:lineRule="auto"/>
        <w:ind w:left="720" w:hanging="720"/>
        <w:jc w:val="both"/>
        <w:rPr>
          <w:rFonts w:ascii="David" w:hAnsi="David"/>
          <w:rtl/>
          <w:lang w:eastAsia="he-IL"/>
        </w:rPr>
      </w:pPr>
      <w:r w:rsidRPr="00B40964">
        <w:rPr>
          <w:rFonts w:ascii="David" w:hAnsi="David"/>
          <w:rtl/>
          <w:lang w:eastAsia="he-IL"/>
        </w:rPr>
        <w:t>3.</w:t>
      </w:r>
      <w:r w:rsidRPr="00B40964">
        <w:rPr>
          <w:rFonts w:ascii="David" w:hAnsi="David"/>
          <w:rtl/>
          <w:lang w:eastAsia="he-IL"/>
        </w:rPr>
        <w:tab/>
        <w:t xml:space="preserve">החומרה הטמונה במכירת נשק בלתי חוקית לאחר, ברורה מאליה. </w:t>
      </w:r>
    </w:p>
    <w:p w14:paraId="16D55733" w14:textId="77777777" w:rsidR="00A84695" w:rsidRPr="00B40964" w:rsidRDefault="00A84695" w:rsidP="00A84695">
      <w:pPr>
        <w:spacing w:line="360" w:lineRule="auto"/>
        <w:ind w:left="720" w:hanging="720"/>
        <w:jc w:val="both"/>
        <w:rPr>
          <w:rFonts w:ascii="David" w:hAnsi="David"/>
          <w:rtl/>
          <w:lang w:eastAsia="he-IL"/>
        </w:rPr>
      </w:pPr>
    </w:p>
    <w:p w14:paraId="117EF57B" w14:textId="77777777" w:rsidR="00A84695" w:rsidRPr="00B40964" w:rsidRDefault="00A84695" w:rsidP="00A84695">
      <w:pPr>
        <w:spacing w:line="360" w:lineRule="auto"/>
        <w:ind w:left="1440"/>
        <w:jc w:val="both"/>
        <w:rPr>
          <w:rFonts w:ascii="David" w:hAnsi="David"/>
          <w:rtl/>
        </w:rPr>
      </w:pPr>
      <w:r w:rsidRPr="00B40964">
        <w:rPr>
          <w:rFonts w:ascii="David" w:hAnsi="David"/>
          <w:rtl/>
          <w:lang w:eastAsia="he-IL"/>
        </w:rPr>
        <w:t>"כלי הנשק הנסחרים עלולים לעבור מיד ליד. הם לא נרכשו באופן חוקי וחזקה שהם לא נועדו לשמש מטרה חוקית. גם כשהם נמצאים בידי אדם שאינו עבריין טמונה בהם סכנת חיים. קל וחומר אם הם מתגלגלים ומגיעים לידי גורמים עוינים, ועלינו לקחת בחשבון אפשרות זו, להרתיע מפניה ולמנוע את הסכנה המחמירה והולכת הצפויה מן הסחר בנשק. לכן שומה על בית-המשפט להתריע כנגד סכנה זאת ולפעול כנדרש כדי להרתיע מפני עבירה זאת".</w:t>
      </w:r>
      <w:r w:rsidRPr="00B40964">
        <w:rPr>
          <w:rFonts w:ascii="David" w:hAnsi="David"/>
          <w:b/>
          <w:bCs/>
          <w:rtl/>
          <w:lang w:eastAsia="he-IL"/>
        </w:rPr>
        <w:t xml:space="preserve"> </w:t>
      </w:r>
      <w:r w:rsidRPr="00B40964">
        <w:rPr>
          <w:rFonts w:ascii="David" w:hAnsi="David"/>
          <w:rtl/>
          <w:lang w:eastAsia="he-IL"/>
        </w:rPr>
        <w:t>(</w:t>
      </w:r>
      <w:hyperlink r:id="rId17" w:history="1">
        <w:r w:rsidR="00393BA8" w:rsidRPr="00393BA8">
          <w:rPr>
            <w:rFonts w:ascii="David" w:hAnsi="David"/>
            <w:color w:val="0000FF"/>
            <w:u w:val="single"/>
            <w:rtl/>
            <w:lang w:eastAsia="he-IL"/>
          </w:rPr>
          <w:t>ע"פ 4609/98</w:t>
        </w:r>
      </w:hyperlink>
      <w:r w:rsidRPr="00B40964">
        <w:rPr>
          <w:rFonts w:ascii="David" w:hAnsi="David"/>
          <w:rtl/>
          <w:lang w:eastAsia="he-IL"/>
        </w:rPr>
        <w:t xml:space="preserve"> </w:t>
      </w:r>
      <w:r w:rsidRPr="00B40964">
        <w:rPr>
          <w:rFonts w:ascii="David" w:hAnsi="David"/>
          <w:b/>
          <w:bCs/>
          <w:rtl/>
          <w:lang w:eastAsia="he-IL"/>
        </w:rPr>
        <w:t>טאהא</w:t>
      </w:r>
      <w:r w:rsidRPr="00B40964">
        <w:rPr>
          <w:rFonts w:ascii="David" w:hAnsi="David"/>
          <w:rtl/>
          <w:lang w:eastAsia="he-IL"/>
        </w:rPr>
        <w:t xml:space="preserve"> נ'</w:t>
      </w:r>
      <w:r w:rsidRPr="00B40964">
        <w:rPr>
          <w:rFonts w:ascii="David" w:hAnsi="David"/>
          <w:b/>
          <w:bCs/>
          <w:rtl/>
          <w:lang w:eastAsia="he-IL"/>
        </w:rPr>
        <w:t xml:space="preserve"> מדינת ישראל, </w:t>
      </w:r>
      <w:r w:rsidR="00547C8B" w:rsidRPr="00547C8B">
        <w:rPr>
          <w:sz w:val="22"/>
          <w:rtl/>
          <w:lang w:eastAsia="he-IL"/>
        </w:rPr>
        <w:t xml:space="preserve">[פורסם בנבו] </w:t>
      </w:r>
      <w:r w:rsidRPr="00B40964">
        <w:rPr>
          <w:rFonts w:ascii="David" w:hAnsi="David"/>
          <w:rtl/>
          <w:lang w:eastAsia="he-IL"/>
        </w:rPr>
        <w:t>תק - על 99(2) 716).</w:t>
      </w:r>
    </w:p>
    <w:p w14:paraId="4E9C1AC4" w14:textId="77777777" w:rsidR="00A84695" w:rsidRPr="00B40964" w:rsidRDefault="00A84695" w:rsidP="00A84695">
      <w:pPr>
        <w:spacing w:line="360" w:lineRule="auto"/>
        <w:ind w:left="720" w:hanging="720"/>
        <w:jc w:val="both"/>
        <w:rPr>
          <w:rFonts w:ascii="David" w:hAnsi="David"/>
          <w:rtl/>
        </w:rPr>
      </w:pPr>
    </w:p>
    <w:p w14:paraId="55BBBC0D" w14:textId="77777777" w:rsidR="00A84695" w:rsidRPr="00B40964" w:rsidRDefault="00A84695" w:rsidP="00A84695">
      <w:pPr>
        <w:spacing w:line="360" w:lineRule="auto"/>
        <w:ind w:left="1440"/>
        <w:jc w:val="both"/>
        <w:rPr>
          <w:rFonts w:ascii="David" w:hAnsi="David"/>
          <w:rtl/>
          <w:lang w:eastAsia="he-IL"/>
        </w:rPr>
      </w:pPr>
      <w:r w:rsidRPr="00B40964">
        <w:rPr>
          <w:rFonts w:ascii="David" w:hAnsi="David"/>
          <w:rtl/>
          <w:lang w:eastAsia="he-IL"/>
        </w:rPr>
        <w:t>"</w:t>
      </w:r>
      <w:r w:rsidRPr="00B40964">
        <w:rPr>
          <w:rFonts w:ascii="David" w:hAnsi="David"/>
          <w:b/>
          <w:bCs/>
          <w:rtl/>
          <w:lang w:eastAsia="he-IL"/>
        </w:rPr>
        <w:t>אין ערוך למסוכנות הסחר הבלתי חוקי בנשק</w:t>
      </w:r>
      <w:r w:rsidRPr="00B40964">
        <w:rPr>
          <w:rFonts w:ascii="David" w:hAnsi="David"/>
          <w:rtl/>
          <w:lang w:eastAsia="he-IL"/>
        </w:rPr>
        <w:t xml:space="preserve">. נשק שכזה עושה את דרכו בדרך לא דרך לידיים עברייניות, לגורמים עויינים, לשימוש פלילי ולפעילות טרור. </w:t>
      </w:r>
      <w:r w:rsidRPr="00B40964">
        <w:rPr>
          <w:rFonts w:ascii="David" w:hAnsi="David"/>
          <w:b/>
          <w:bCs/>
          <w:rtl/>
          <w:lang w:eastAsia="he-IL"/>
        </w:rPr>
        <w:t>סכנת נפשות ליחידים ולציבור</w:t>
      </w:r>
      <w:r w:rsidRPr="00B40964">
        <w:rPr>
          <w:rFonts w:ascii="David" w:hAnsi="David"/>
          <w:rtl/>
          <w:lang w:eastAsia="he-IL"/>
        </w:rPr>
        <w:t xml:space="preserve">. בשיקולי הענישה בכגון דא </w:t>
      </w:r>
      <w:r w:rsidRPr="00B40964">
        <w:rPr>
          <w:rFonts w:ascii="David" w:hAnsi="David"/>
          <w:b/>
          <w:bCs/>
          <w:rtl/>
          <w:lang w:eastAsia="he-IL"/>
        </w:rPr>
        <w:t>יש לבכּר את האינטרס החברתי הכולל, על פני נסיבותיו האישיות של נאשם</w:t>
      </w:r>
      <w:r w:rsidRPr="00B40964">
        <w:rPr>
          <w:rFonts w:ascii="David" w:hAnsi="David"/>
          <w:rtl/>
          <w:lang w:eastAsia="he-IL"/>
        </w:rPr>
        <w:t xml:space="preserve">" - </w:t>
      </w:r>
      <w:hyperlink r:id="rId18" w:history="1">
        <w:r w:rsidR="00393BA8" w:rsidRPr="00393BA8">
          <w:rPr>
            <w:rFonts w:ascii="David" w:hAnsi="David"/>
            <w:color w:val="0000FF"/>
            <w:u w:val="single"/>
            <w:rtl/>
            <w:lang w:eastAsia="he-IL"/>
          </w:rPr>
          <w:t>ע"פ 3138/11</w:t>
        </w:r>
      </w:hyperlink>
      <w:r w:rsidRPr="00B40964">
        <w:rPr>
          <w:rFonts w:ascii="David" w:hAnsi="David"/>
          <w:rtl/>
          <w:lang w:eastAsia="he-IL"/>
        </w:rPr>
        <w:t xml:space="preserve"> עפיף הייבי נ' מדינ"י (פורסם בנבו 6.3.12)</w:t>
      </w:r>
    </w:p>
    <w:p w14:paraId="1E2A1950" w14:textId="77777777" w:rsidR="00A84695" w:rsidRPr="00B40964" w:rsidRDefault="00A84695" w:rsidP="00A84695">
      <w:pPr>
        <w:tabs>
          <w:tab w:val="left" w:pos="800"/>
        </w:tabs>
        <w:overflowPunct w:val="0"/>
        <w:autoSpaceDE w:val="0"/>
        <w:autoSpaceDN w:val="0"/>
        <w:adjustRightInd w:val="0"/>
        <w:spacing w:line="360" w:lineRule="auto"/>
        <w:ind w:left="1440"/>
        <w:jc w:val="both"/>
        <w:rPr>
          <w:rFonts w:ascii="David" w:hAnsi="David"/>
          <w:spacing w:val="10"/>
          <w:rtl/>
        </w:rPr>
      </w:pPr>
    </w:p>
    <w:p w14:paraId="5019DCB1" w14:textId="77777777" w:rsidR="00A84695" w:rsidRPr="00B40964" w:rsidRDefault="00A84695" w:rsidP="00A84695">
      <w:pPr>
        <w:spacing w:line="360" w:lineRule="auto"/>
        <w:ind w:left="720" w:hanging="720"/>
        <w:jc w:val="both"/>
        <w:rPr>
          <w:rFonts w:ascii="David" w:hAnsi="David"/>
          <w:rtl/>
        </w:rPr>
      </w:pPr>
      <w:r w:rsidRPr="00B40964">
        <w:rPr>
          <w:rFonts w:ascii="David" w:hAnsi="David"/>
          <w:rtl/>
        </w:rPr>
        <w:t>4.</w:t>
      </w:r>
      <w:r w:rsidRPr="00B40964">
        <w:rPr>
          <w:rFonts w:ascii="David" w:hAnsi="David"/>
          <w:rtl/>
        </w:rPr>
        <w:tab/>
        <w:t>הערכים החברתיים המוגנים בעבירות הנשק, הם בין היתר, שמירת החיים והגוף ושמירת שלום הציבור ובטחונו. כאן, בהתחשב בסוג הנשק ובנסיבות העברתו מיד ליד, מידת הפגיעה בערכים החברתיים היא משמעותית.</w:t>
      </w:r>
    </w:p>
    <w:p w14:paraId="0B3448D9" w14:textId="77777777" w:rsidR="00A84695" w:rsidRPr="00B40964" w:rsidRDefault="00A84695" w:rsidP="00A84695">
      <w:pPr>
        <w:spacing w:line="360" w:lineRule="auto"/>
        <w:ind w:left="720" w:hanging="720"/>
        <w:jc w:val="both"/>
        <w:rPr>
          <w:rFonts w:ascii="David" w:hAnsi="David"/>
          <w:rtl/>
        </w:rPr>
      </w:pPr>
      <w:r w:rsidRPr="00B40964">
        <w:rPr>
          <w:rFonts w:ascii="David" w:hAnsi="David"/>
          <w:rtl/>
        </w:rPr>
        <w:t xml:space="preserve"> </w:t>
      </w:r>
    </w:p>
    <w:p w14:paraId="6FDB5870" w14:textId="77777777" w:rsidR="00A84695" w:rsidRPr="00B40964" w:rsidRDefault="00A84695" w:rsidP="00A84695">
      <w:pPr>
        <w:spacing w:line="360" w:lineRule="auto"/>
        <w:ind w:left="720" w:hanging="720"/>
        <w:jc w:val="both"/>
        <w:rPr>
          <w:rFonts w:ascii="David" w:hAnsi="David"/>
          <w:rtl/>
          <w:lang w:eastAsia="he-IL"/>
        </w:rPr>
      </w:pPr>
      <w:r w:rsidRPr="00B40964">
        <w:rPr>
          <w:rFonts w:ascii="David" w:hAnsi="David"/>
          <w:rtl/>
        </w:rPr>
        <w:t>5.</w:t>
      </w:r>
      <w:r w:rsidRPr="00B40964">
        <w:rPr>
          <w:rFonts w:ascii="David" w:hAnsi="David"/>
          <w:rtl/>
        </w:rPr>
        <w:tab/>
        <w:t xml:space="preserve">כברוב העבירות, גם </w:t>
      </w:r>
      <w:r w:rsidRPr="00B40964">
        <w:rPr>
          <w:rFonts w:ascii="David" w:hAnsi="David"/>
          <w:rtl/>
          <w:lang w:eastAsia="he-IL"/>
        </w:rPr>
        <w:t>בעבירות הנשק, ניתן למצוא קשת רחבה של עונשים, המושפעת מנתונים ומרכיבים שונים ובהם סוג הנשק וטיבו, כמותו, נסיבות המעשה והעושה, ועוד.</w:t>
      </w:r>
    </w:p>
    <w:p w14:paraId="4CDCB5F3" w14:textId="77777777" w:rsidR="00A84695" w:rsidRPr="00B40964" w:rsidRDefault="00A84695" w:rsidP="00A84695">
      <w:pPr>
        <w:spacing w:line="360" w:lineRule="auto"/>
        <w:ind w:left="720"/>
        <w:jc w:val="both"/>
        <w:rPr>
          <w:rFonts w:ascii="David" w:hAnsi="David"/>
          <w:rtl/>
          <w:lang w:eastAsia="he-IL"/>
        </w:rPr>
      </w:pPr>
      <w:r w:rsidRPr="00B40964">
        <w:rPr>
          <w:rFonts w:ascii="David" w:hAnsi="David"/>
          <w:rtl/>
          <w:lang w:eastAsia="he-IL"/>
        </w:rPr>
        <w:t>עם זאת, בשנים האחרונות ישנה מגמת החמרה מוצהרת בענישת עבירות אלה –</w:t>
      </w:r>
    </w:p>
    <w:p w14:paraId="4A3D0F75" w14:textId="77777777" w:rsidR="00A84695" w:rsidRPr="00B40964" w:rsidRDefault="00A84695" w:rsidP="00A84695">
      <w:pPr>
        <w:spacing w:before="120" w:after="120" w:line="360" w:lineRule="auto"/>
        <w:ind w:left="720"/>
        <w:contextualSpacing/>
        <w:jc w:val="both"/>
        <w:rPr>
          <w:rFonts w:ascii="David" w:hAnsi="David"/>
          <w:rtl/>
          <w:lang w:eastAsia="he-IL"/>
        </w:rPr>
      </w:pPr>
    </w:p>
    <w:p w14:paraId="2386CFBA" w14:textId="77777777" w:rsidR="00A84695" w:rsidRPr="00B40964" w:rsidRDefault="00A84695" w:rsidP="00A84695">
      <w:pPr>
        <w:spacing w:line="360" w:lineRule="auto"/>
        <w:ind w:left="1440"/>
        <w:jc w:val="both"/>
        <w:rPr>
          <w:rFonts w:ascii="David" w:hAnsi="David"/>
          <w:rtl/>
        </w:rPr>
      </w:pPr>
      <w:r w:rsidRPr="00B40964">
        <w:rPr>
          <w:rFonts w:ascii="David" w:hAnsi="David"/>
          <w:rtl/>
          <w:lang w:eastAsia="he-IL"/>
        </w:rPr>
        <w:t xml:space="preserve">"נוכח היקפן המתרחב של עבירות המבוצעות בנשק בכלל וסחר בנשק בפרט, וזמינותו המדאיגה של נשק בלתי חוקי במחוזותינו, התעורר הצורך </w:t>
      </w:r>
      <w:r w:rsidRPr="00B40964">
        <w:rPr>
          <w:rFonts w:ascii="David" w:hAnsi="David"/>
          <w:b/>
          <w:bCs/>
          <w:rtl/>
          <w:lang w:eastAsia="he-IL"/>
        </w:rPr>
        <w:t>להחמיר בעונשי המאסר המוטלים בעבירות אלה</w:t>
      </w:r>
      <w:r w:rsidRPr="00B40964">
        <w:rPr>
          <w:rFonts w:ascii="David" w:hAnsi="David"/>
          <w:rtl/>
          <w:lang w:eastAsia="he-IL"/>
        </w:rPr>
        <w:t xml:space="preserve">. אכן, "התגלגלותם" של כלי נשק מיד ליד ללא פיקוח עלולה להוביל להגעתם בדרך לא דרך לגורמים פליליים ועוינים. אין לדעת מה יעלה בגורלם של כלי נשק אלה ולאילו תוצאות הרסניות יובילו – בסכסוך ברחוב, בקטטה בין ניצים ואף בתוך המשפחה פנימה. </w:t>
      </w:r>
      <w:r w:rsidRPr="00B40964">
        <w:rPr>
          <w:rFonts w:ascii="David" w:hAnsi="David"/>
          <w:b/>
          <w:bCs/>
          <w:rtl/>
          <w:lang w:eastAsia="he-IL"/>
        </w:rPr>
        <w:t>הסכנה הנשקפת לציבור כתוצאה מעבירות אלה, לצד המימדים שאליהם הגיעו, מחייבים לתת ביטוי הולם וכבד משקל להגנה על הערך החברתי שנפגע כתוצאה מפעילות עבריינית זאת, הגנה על שלום הציבור מפני פגיעות בגוף או בנפש, ולהחמיר את עונשי המאסר המוטלים בגין פעילות עבריינית זאת, בהדרגה..."</w:t>
      </w:r>
      <w:r w:rsidRPr="00B40964">
        <w:rPr>
          <w:rFonts w:ascii="David" w:hAnsi="David"/>
          <w:rtl/>
          <w:lang w:eastAsia="he-IL"/>
        </w:rPr>
        <w:t xml:space="preserve"> - </w:t>
      </w:r>
      <w:hyperlink r:id="rId19" w:history="1">
        <w:r w:rsidR="00393BA8" w:rsidRPr="00393BA8">
          <w:rPr>
            <w:rFonts w:ascii="David" w:hAnsi="David"/>
            <w:color w:val="0000FF"/>
            <w:u w:val="single"/>
            <w:rtl/>
            <w:lang w:eastAsia="he-IL"/>
          </w:rPr>
          <w:t>ע"פ 1323/13</w:t>
        </w:r>
      </w:hyperlink>
      <w:r w:rsidRPr="00B40964">
        <w:rPr>
          <w:rFonts w:ascii="David" w:hAnsi="David"/>
          <w:rtl/>
          <w:lang w:eastAsia="he-IL"/>
        </w:rPr>
        <w:t xml:space="preserve"> </w:t>
      </w:r>
      <w:r w:rsidRPr="00B40964">
        <w:rPr>
          <w:rFonts w:ascii="David" w:hAnsi="David"/>
          <w:b/>
          <w:bCs/>
          <w:rtl/>
        </w:rPr>
        <w:t>רך חסן</w:t>
      </w:r>
      <w:r w:rsidRPr="00B40964">
        <w:rPr>
          <w:rFonts w:ascii="David" w:hAnsi="David"/>
          <w:rtl/>
        </w:rPr>
        <w:t xml:space="preserve"> נ' </w:t>
      </w:r>
      <w:r w:rsidRPr="00B40964">
        <w:rPr>
          <w:rFonts w:ascii="David" w:hAnsi="David"/>
          <w:b/>
          <w:bCs/>
          <w:rtl/>
        </w:rPr>
        <w:t>מדינת ישראל</w:t>
      </w:r>
      <w:r w:rsidRPr="00B40964">
        <w:rPr>
          <w:rFonts w:ascii="David" w:hAnsi="David"/>
          <w:rtl/>
        </w:rPr>
        <w:t xml:space="preserve"> [פורסם בנבו] (05.06.13)</w:t>
      </w:r>
    </w:p>
    <w:p w14:paraId="05DBCC58" w14:textId="77777777" w:rsidR="00A84695" w:rsidRPr="00B40964" w:rsidRDefault="00A84695" w:rsidP="00A84695">
      <w:pPr>
        <w:spacing w:line="360" w:lineRule="auto"/>
        <w:ind w:left="1440"/>
        <w:jc w:val="both"/>
        <w:rPr>
          <w:rFonts w:ascii="David" w:hAnsi="David"/>
          <w:rtl/>
          <w:lang w:eastAsia="he-IL"/>
        </w:rPr>
      </w:pPr>
    </w:p>
    <w:p w14:paraId="5C3B012B" w14:textId="77777777" w:rsidR="00A84695" w:rsidRPr="00B40964" w:rsidRDefault="00A84695" w:rsidP="00A84695">
      <w:pPr>
        <w:spacing w:line="360" w:lineRule="auto"/>
        <w:ind w:left="1440"/>
        <w:jc w:val="both"/>
        <w:rPr>
          <w:rFonts w:ascii="David" w:hAnsi="David"/>
          <w:lang w:eastAsia="he-IL"/>
        </w:rPr>
      </w:pPr>
      <w:r w:rsidRPr="00B40964">
        <w:rPr>
          <w:rFonts w:ascii="David" w:hAnsi="David"/>
          <w:rtl/>
          <w:lang w:eastAsia="he-IL"/>
        </w:rPr>
        <w:t xml:space="preserve">"פעילות של סחר בלתי חוקי בנשק אוצרת בחובה פגיעה בערכים חברתיים בעלי חשיבות רבה, בהם שלמות הגוף, חיי אדם ושלום הציבור וביטחונו. כלי הנשק שנמכרו במסגרת האישומים הם על פי טיבם כאלה שבאמצעותם ניתן בנקל לפגוע בשלמות הגוף ולגדוע חיי אדם. חומרת הנזק הנגרם בעקבות ביצוע עבירות כגון אלו מתעצמת במקרים כבענייננו, שבהם נמכרים כלי נשק בעלי פוטנציאל פגיעה ממשי... החומרה היתרה הכרוכה בעבירות נשק והסיכון הנשקף מביצוען לציבור, מקבלים משנה תוקף בשים לב להיקפיה של התופעה ואופן התפשטותה. כמענה לכך, </w:t>
      </w:r>
      <w:r w:rsidRPr="00B40964">
        <w:rPr>
          <w:rFonts w:ascii="David" w:hAnsi="David"/>
          <w:b/>
          <w:bCs/>
          <w:rtl/>
          <w:lang w:eastAsia="he-IL"/>
        </w:rPr>
        <w:t>מסתמנת בפסיקה מגמה עקבית להחמיר את הענישה בגין עבירות אלו</w:t>
      </w:r>
      <w:r w:rsidRPr="00B40964">
        <w:rPr>
          <w:rFonts w:ascii="David" w:hAnsi="David"/>
          <w:rtl/>
          <w:lang w:eastAsia="he-IL"/>
        </w:rPr>
        <w:t xml:space="preserve">, באופן שיהלום את מידת פגיעתן בערכים המוגנים ויקדם את מיגור התופעה (עניין דהוד, פסקה 11; עניין חסן, פסקה 12; עניין עספור, פסקה 7). משכך, </w:t>
      </w:r>
      <w:r w:rsidRPr="00B40964">
        <w:rPr>
          <w:rFonts w:ascii="David" w:hAnsi="David"/>
          <w:b/>
          <w:bCs/>
          <w:rtl/>
          <w:lang w:eastAsia="he-IL"/>
        </w:rPr>
        <w:t>חרף עיקרון הענישה האינדיבידואלית והמשקל שיש ליתן לנסיבותיו האישיות של כל נאשם לגופו, בבואו לגזור את דינו של מי שהורשע בביצוע עבירות חמורות אלו,</w:t>
      </w:r>
      <w:r w:rsidRPr="00B40964">
        <w:rPr>
          <w:rFonts w:ascii="David" w:hAnsi="David"/>
          <w:rtl/>
          <w:lang w:eastAsia="he-IL"/>
        </w:rPr>
        <w:t xml:space="preserve"> </w:t>
      </w:r>
      <w:r w:rsidRPr="00B40964">
        <w:rPr>
          <w:rFonts w:ascii="David" w:hAnsi="David"/>
          <w:b/>
          <w:bCs/>
          <w:rtl/>
          <w:lang w:eastAsia="he-IL"/>
        </w:rPr>
        <w:t>על בית המשפט לתת בכורה לשיקולי ההרתעה והאינטרס הציבורי</w:t>
      </w:r>
      <w:r w:rsidRPr="00B40964">
        <w:rPr>
          <w:rFonts w:ascii="David" w:hAnsi="David"/>
          <w:rtl/>
          <w:lang w:eastAsia="he-IL"/>
        </w:rPr>
        <w:t xml:space="preserve"> (</w:t>
      </w:r>
      <w:hyperlink r:id="rId20" w:history="1">
        <w:r w:rsidR="00393BA8" w:rsidRPr="00393BA8">
          <w:rPr>
            <w:rFonts w:ascii="David" w:hAnsi="David"/>
            <w:color w:val="0000FF"/>
            <w:u w:val="single"/>
            <w:rtl/>
            <w:lang w:eastAsia="he-IL"/>
          </w:rPr>
          <w:t>ע"פ 5643/14</w:t>
        </w:r>
      </w:hyperlink>
      <w:r w:rsidRPr="00B40964">
        <w:rPr>
          <w:rFonts w:ascii="David" w:hAnsi="David"/>
          <w:rtl/>
          <w:lang w:eastAsia="he-IL"/>
        </w:rPr>
        <w:t xml:space="preserve"> עיסא נ' מדינת ישראל </w:t>
      </w:r>
      <w:r w:rsidR="00547C8B" w:rsidRPr="00547C8B">
        <w:rPr>
          <w:sz w:val="22"/>
          <w:rtl/>
          <w:lang w:eastAsia="he-IL"/>
        </w:rPr>
        <w:t xml:space="preserve">[פורסם בנבו] </w:t>
      </w:r>
      <w:r w:rsidRPr="00B40964">
        <w:rPr>
          <w:rFonts w:ascii="David" w:hAnsi="David"/>
          <w:rtl/>
          <w:lang w:eastAsia="he-IL"/>
        </w:rPr>
        <w:t xml:space="preserve">(23.6.2015) (להלן: עניין עיסא), פסקה 13; עניין נפאע, פסקה 5)." - </w:t>
      </w:r>
      <w:hyperlink r:id="rId21" w:history="1">
        <w:r w:rsidR="00393BA8" w:rsidRPr="00393BA8">
          <w:rPr>
            <w:rFonts w:ascii="David" w:hAnsi="David"/>
            <w:color w:val="0000FF"/>
            <w:u w:val="single"/>
            <w:rtl/>
            <w:lang w:eastAsia="he-IL"/>
          </w:rPr>
          <w:t>ע"פ 8045/17</w:t>
        </w:r>
      </w:hyperlink>
      <w:r w:rsidRPr="00B40964">
        <w:rPr>
          <w:rFonts w:ascii="David" w:hAnsi="David"/>
          <w:rtl/>
          <w:lang w:eastAsia="he-IL"/>
        </w:rPr>
        <w:t xml:space="preserve"> מחמוד בראנסי נ' מדינת ישראל </w:t>
      </w:r>
      <w:r w:rsidR="00547C8B" w:rsidRPr="00547C8B">
        <w:rPr>
          <w:sz w:val="22"/>
          <w:rtl/>
          <w:lang w:eastAsia="he-IL"/>
        </w:rPr>
        <w:t xml:space="preserve">[פורסם בנבו] </w:t>
      </w:r>
      <w:r w:rsidRPr="00B40964">
        <w:rPr>
          <w:rFonts w:ascii="David" w:hAnsi="David"/>
          <w:rtl/>
          <w:lang w:eastAsia="he-IL"/>
        </w:rPr>
        <w:t>(ניתן ביום 16.8.18)</w:t>
      </w:r>
    </w:p>
    <w:p w14:paraId="5EA8A71C" w14:textId="77777777" w:rsidR="00A84695" w:rsidRPr="00B40964" w:rsidRDefault="00A84695" w:rsidP="00A84695">
      <w:pPr>
        <w:spacing w:line="360" w:lineRule="auto"/>
        <w:ind w:left="1440"/>
        <w:jc w:val="both"/>
        <w:rPr>
          <w:rFonts w:ascii="David" w:hAnsi="David"/>
          <w:rtl/>
          <w:lang w:eastAsia="he-IL"/>
        </w:rPr>
      </w:pPr>
    </w:p>
    <w:p w14:paraId="071FCADF" w14:textId="77777777" w:rsidR="00A84695" w:rsidRPr="00B40964" w:rsidRDefault="00A84695" w:rsidP="00A84695">
      <w:pPr>
        <w:spacing w:line="360" w:lineRule="auto"/>
        <w:ind w:left="720" w:hanging="720"/>
        <w:jc w:val="both"/>
        <w:rPr>
          <w:rFonts w:ascii="David" w:hAnsi="David"/>
          <w:lang w:eastAsia="he-IL"/>
        </w:rPr>
      </w:pPr>
      <w:r w:rsidRPr="00B40964">
        <w:rPr>
          <w:rFonts w:ascii="David" w:hAnsi="David"/>
          <w:rtl/>
          <w:lang w:eastAsia="he-IL"/>
        </w:rPr>
        <w:t>6.</w:t>
      </w:r>
      <w:r w:rsidRPr="00B40964">
        <w:rPr>
          <w:rFonts w:ascii="David" w:hAnsi="David"/>
          <w:rtl/>
          <w:lang w:eastAsia="he-IL"/>
        </w:rPr>
        <w:tab/>
        <w:t>הכלל הוא, שבעבירות החמורות, ובהן עבירות הנשק, נסיבותיו האישיות של הנאשם ושיקולי השיקום שלו נסוגים מפני האינטרס הציבורי שבהרתעת עבריינים ומפני שיקולי הגמול, ובתי המשפט מטילים עונשי מאסר בפועל גם על מי שזו היתה עבירתו הראשונה   (ראה</w:t>
      </w:r>
      <w:r w:rsidRPr="00B40964">
        <w:rPr>
          <w:rFonts w:ascii="David" w:hAnsi="David"/>
          <w:b/>
          <w:bCs/>
          <w:rtl/>
          <w:lang w:eastAsia="he-IL"/>
        </w:rPr>
        <w:t xml:space="preserve"> </w:t>
      </w:r>
      <w:hyperlink r:id="rId22" w:history="1">
        <w:r w:rsidR="00547C8B" w:rsidRPr="00547C8B">
          <w:rPr>
            <w:rFonts w:ascii="David" w:hAnsi="David"/>
            <w:b/>
            <w:bCs/>
            <w:color w:val="0000FF"/>
            <w:u w:val="single"/>
            <w:rtl/>
            <w:lang w:eastAsia="he-IL"/>
          </w:rPr>
          <w:t xml:space="preserve">אבו דחאל נ' מדינת ישראל </w:t>
        </w:r>
      </w:hyperlink>
      <w:r w:rsidRPr="00B40964">
        <w:rPr>
          <w:rFonts w:ascii="David" w:hAnsi="David"/>
          <w:rtl/>
          <w:lang w:eastAsia="he-IL"/>
        </w:rPr>
        <w:t xml:space="preserve"> [פורסם בנבו] (29.3.2004); </w:t>
      </w:r>
      <w:hyperlink r:id="rId23" w:history="1">
        <w:r w:rsidR="00393BA8" w:rsidRPr="00393BA8">
          <w:rPr>
            <w:rFonts w:ascii="David" w:hAnsi="David"/>
            <w:color w:val="0000FF"/>
            <w:u w:val="single"/>
            <w:rtl/>
            <w:lang w:eastAsia="he-IL"/>
          </w:rPr>
          <w:t>ע"פ 5220/09</w:t>
        </w:r>
      </w:hyperlink>
      <w:r w:rsidRPr="00B40964">
        <w:rPr>
          <w:rFonts w:ascii="David" w:hAnsi="David"/>
          <w:rtl/>
          <w:lang w:eastAsia="he-IL"/>
        </w:rPr>
        <w:t xml:space="preserve"> </w:t>
      </w:r>
      <w:r w:rsidRPr="00B40964">
        <w:rPr>
          <w:rFonts w:ascii="David" w:hAnsi="David"/>
          <w:b/>
          <w:bCs/>
          <w:rtl/>
          <w:lang w:eastAsia="he-IL"/>
        </w:rPr>
        <w:t xml:space="preserve">עוואודה </w:t>
      </w:r>
      <w:r w:rsidRPr="00B40964">
        <w:rPr>
          <w:rFonts w:ascii="David" w:hAnsi="David"/>
          <w:rtl/>
          <w:lang w:eastAsia="he-IL"/>
        </w:rPr>
        <w:t>נ'</w:t>
      </w:r>
      <w:r w:rsidRPr="00B40964">
        <w:rPr>
          <w:rFonts w:ascii="David" w:hAnsi="David"/>
          <w:b/>
          <w:bCs/>
          <w:rtl/>
          <w:lang w:eastAsia="he-IL"/>
        </w:rPr>
        <w:t xml:space="preserve"> מדינת ישראל</w:t>
      </w:r>
      <w:r w:rsidRPr="00B40964">
        <w:rPr>
          <w:rFonts w:ascii="David" w:hAnsi="David"/>
          <w:rtl/>
          <w:lang w:eastAsia="he-IL"/>
        </w:rPr>
        <w:t xml:space="preserve"> [פורסם בנבו] (30/12/09)).</w:t>
      </w:r>
    </w:p>
    <w:p w14:paraId="69B67D7D" w14:textId="77777777" w:rsidR="00A84695" w:rsidRPr="00B40964" w:rsidRDefault="00A84695" w:rsidP="00A84695">
      <w:pPr>
        <w:spacing w:line="360" w:lineRule="auto"/>
        <w:ind w:left="720" w:hanging="720"/>
        <w:jc w:val="both"/>
        <w:rPr>
          <w:rFonts w:ascii="David" w:hAnsi="David"/>
          <w:rtl/>
        </w:rPr>
      </w:pPr>
    </w:p>
    <w:p w14:paraId="18F91242" w14:textId="77777777" w:rsidR="00A84695" w:rsidRPr="00B40964" w:rsidRDefault="00A84695" w:rsidP="00A84695">
      <w:pPr>
        <w:spacing w:line="360" w:lineRule="auto"/>
        <w:ind w:left="720" w:hanging="720"/>
        <w:jc w:val="both"/>
        <w:rPr>
          <w:rFonts w:ascii="David" w:hAnsi="David"/>
          <w:b/>
          <w:bCs/>
          <w:lang w:eastAsia="he-IL"/>
        </w:rPr>
      </w:pPr>
      <w:r w:rsidRPr="00B40964">
        <w:rPr>
          <w:rFonts w:ascii="David" w:hAnsi="David"/>
          <w:rtl/>
        </w:rPr>
        <w:t>7.</w:t>
      </w:r>
      <w:r w:rsidRPr="00B40964">
        <w:rPr>
          <w:rFonts w:ascii="David" w:hAnsi="David"/>
          <w:rtl/>
        </w:rPr>
        <w:tab/>
      </w:r>
      <w:r w:rsidRPr="00B40964">
        <w:rPr>
          <w:rFonts w:ascii="David" w:hAnsi="David"/>
          <w:rtl/>
          <w:lang w:eastAsia="he-IL"/>
        </w:rPr>
        <w:t>ב</w:t>
      </w:r>
      <w:hyperlink r:id="rId24" w:history="1">
        <w:r w:rsidR="00393BA8" w:rsidRPr="00393BA8">
          <w:rPr>
            <w:rFonts w:ascii="David" w:hAnsi="David"/>
            <w:color w:val="0000FF"/>
            <w:u w:val="single"/>
            <w:rtl/>
            <w:lang w:eastAsia="he-IL"/>
          </w:rPr>
          <w:t>ע"פ 2834/18</w:t>
        </w:r>
      </w:hyperlink>
      <w:r w:rsidRPr="00B40964">
        <w:rPr>
          <w:rFonts w:ascii="David" w:hAnsi="David"/>
          <w:rtl/>
          <w:lang w:eastAsia="he-IL"/>
        </w:rPr>
        <w:t xml:space="preserve"> </w:t>
      </w:r>
      <w:r w:rsidRPr="00B40964">
        <w:rPr>
          <w:rFonts w:ascii="David" w:hAnsi="David"/>
          <w:b/>
          <w:bCs/>
          <w:rtl/>
          <w:lang w:eastAsia="he-IL"/>
        </w:rPr>
        <w:t>מאזן ג'אבר</w:t>
      </w:r>
      <w:r w:rsidRPr="00B40964">
        <w:rPr>
          <w:rFonts w:ascii="David" w:hAnsi="David"/>
          <w:rtl/>
          <w:lang w:eastAsia="he-IL"/>
        </w:rPr>
        <w:t xml:space="preserve"> נ' </w:t>
      </w:r>
      <w:r w:rsidRPr="00B40964">
        <w:rPr>
          <w:rFonts w:ascii="David" w:hAnsi="David"/>
          <w:b/>
          <w:bCs/>
          <w:rtl/>
          <w:lang w:eastAsia="he-IL"/>
        </w:rPr>
        <w:t>מדינת ישראל</w:t>
      </w:r>
      <w:r w:rsidRPr="00B40964">
        <w:rPr>
          <w:rFonts w:ascii="David" w:hAnsi="David"/>
          <w:rtl/>
          <w:lang w:eastAsia="he-IL"/>
        </w:rPr>
        <w:t xml:space="preserve"> (פורסם בנבו, 15.1.19) המערער הורשע בשלוש עבירות של סחר בנשק, נשיאת נשק, סחר בסם מסוכן, קשירת קשר לביצוע פשע ושימוש במסמך מזויף. המערער מכר לסוכן משטרתי תת מקלע מסוג קרלו בתמורה ל- 10,000 ₪; חשיש במשקל של 94 גרם; ניהל עמו מגעים לרכישת אמל"ח נוסף ומכר לו 8 רימוני הלם; וניהל עמו מו"מ ומכר לו קלצניקוב ו </w:t>
      </w:r>
      <w:r w:rsidRPr="00B40964">
        <w:rPr>
          <w:rFonts w:ascii="David" w:hAnsi="David"/>
          <w:lang w:eastAsia="he-IL"/>
        </w:rPr>
        <w:t>M16</w:t>
      </w:r>
      <w:r w:rsidRPr="00B40964">
        <w:rPr>
          <w:rFonts w:ascii="David" w:hAnsi="David"/>
          <w:rtl/>
          <w:lang w:eastAsia="he-IL"/>
        </w:rPr>
        <w:t>. בית המשפט המחוזי קבע כי מתחם העונש ההולם לעבירת מכירת כלי נשק תקין לסוכן משטרתי תמורת תשלום נע בין 20 ל- 48 חודשי מאסר בפועל;  מתחם העונש ההולם לעבירות של עסקה או תיווך שלא הגיעו לגדר סחר בנשק נע בין 15 ל- 36 חודשי מאסר  בפועל; ולעבירות של קשירת קשר לביצוע פשע אשר לא הגיעו לכדי עסקה בנשק, או נשיאת נשק, נע מתחם העונש ההולם בין 10 ל- 24 חודשי מאסר בפועל.</w:t>
      </w:r>
      <w:r w:rsidRPr="00B40964">
        <w:rPr>
          <w:rFonts w:ascii="David" w:hAnsi="David"/>
          <w:lang w:eastAsia="he-IL"/>
        </w:rPr>
        <w:t xml:space="preserve"> </w:t>
      </w:r>
      <w:r w:rsidRPr="00B40964">
        <w:rPr>
          <w:rFonts w:ascii="David" w:hAnsi="David"/>
          <w:rtl/>
          <w:lang w:eastAsia="he-IL"/>
        </w:rPr>
        <w:t>צוין כי המערער ביצע את העבירות מספר חודשים לאחר שהשתחרר משמונה שנות מאסר בגין עבירות שוד. והוטלו על המערער</w:t>
      </w:r>
      <w:r w:rsidRPr="00B40964">
        <w:rPr>
          <w:rFonts w:ascii="David" w:hAnsi="David"/>
          <w:b/>
          <w:bCs/>
          <w:rtl/>
          <w:lang w:eastAsia="he-IL"/>
        </w:rPr>
        <w:t xml:space="preserve"> 7 שנות מאסר. </w:t>
      </w:r>
    </w:p>
    <w:p w14:paraId="263E2C65" w14:textId="77777777" w:rsidR="00A84695" w:rsidRPr="00B40964" w:rsidRDefault="00A84695" w:rsidP="00A84695">
      <w:pPr>
        <w:spacing w:line="360" w:lineRule="auto"/>
        <w:ind w:firstLine="720"/>
        <w:jc w:val="both"/>
        <w:rPr>
          <w:rFonts w:ascii="David" w:hAnsi="David"/>
          <w:rtl/>
          <w:lang w:eastAsia="he-IL"/>
        </w:rPr>
      </w:pPr>
      <w:r w:rsidRPr="00B40964">
        <w:rPr>
          <w:rFonts w:ascii="David" w:hAnsi="David"/>
          <w:rtl/>
          <w:lang w:eastAsia="he-IL"/>
        </w:rPr>
        <w:t xml:space="preserve">בית המשפט העליון דחה את הערעור וקבע- </w:t>
      </w:r>
    </w:p>
    <w:p w14:paraId="3A39DDEE" w14:textId="77777777" w:rsidR="00A84695" w:rsidRPr="00B40964" w:rsidRDefault="00A84695" w:rsidP="00A84695">
      <w:pPr>
        <w:spacing w:line="360" w:lineRule="auto"/>
        <w:ind w:left="1440"/>
        <w:jc w:val="both"/>
        <w:rPr>
          <w:rFonts w:ascii="David" w:hAnsi="David"/>
          <w:rtl/>
          <w:lang w:eastAsia="he-IL"/>
        </w:rPr>
      </w:pPr>
      <w:r w:rsidRPr="00B40964">
        <w:rPr>
          <w:rFonts w:ascii="David" w:hAnsi="David"/>
          <w:rtl/>
          <w:lang w:eastAsia="he-IL"/>
        </w:rPr>
        <w:t>"מתחמי הענישה שקבע בית המשפט המחוזי אינם חורגים ממדיניות הענישה הנוהגת, והם הולמים את חומרת המעשים, את נסיבות המקרה, ואת מגמת הפסיקה בנסיון לגדוע את התופעה המסוכנת של סחר בלתי חוקי בנשק."</w:t>
      </w:r>
    </w:p>
    <w:p w14:paraId="5903D8FD" w14:textId="77777777" w:rsidR="00A84695" w:rsidRPr="00B40964" w:rsidRDefault="00A84695" w:rsidP="00A84695">
      <w:pPr>
        <w:spacing w:line="360" w:lineRule="auto"/>
        <w:ind w:left="720" w:hanging="720"/>
        <w:jc w:val="both"/>
        <w:rPr>
          <w:rFonts w:ascii="David" w:hAnsi="David"/>
          <w:rtl/>
        </w:rPr>
      </w:pPr>
    </w:p>
    <w:p w14:paraId="03A84079" w14:textId="77777777" w:rsidR="00A84695" w:rsidRPr="00B40964" w:rsidRDefault="00A84695" w:rsidP="00A84695">
      <w:pPr>
        <w:spacing w:line="360" w:lineRule="auto"/>
        <w:ind w:left="720"/>
        <w:jc w:val="both"/>
        <w:rPr>
          <w:rFonts w:ascii="David" w:hAnsi="David"/>
          <w:lang w:eastAsia="he-IL"/>
        </w:rPr>
      </w:pPr>
      <w:r w:rsidRPr="00B40964">
        <w:rPr>
          <w:rFonts w:ascii="David" w:hAnsi="David"/>
          <w:rtl/>
          <w:lang w:eastAsia="he-IL"/>
        </w:rPr>
        <w:t>ב</w:t>
      </w:r>
      <w:hyperlink r:id="rId25" w:history="1">
        <w:r w:rsidR="00393BA8" w:rsidRPr="00393BA8">
          <w:rPr>
            <w:rFonts w:ascii="David" w:hAnsi="David"/>
            <w:color w:val="0000FF"/>
            <w:u w:val="single"/>
            <w:rtl/>
            <w:lang w:eastAsia="he-IL"/>
          </w:rPr>
          <w:t>ע"פ 8045/17</w:t>
        </w:r>
      </w:hyperlink>
      <w:r w:rsidRPr="00B40964">
        <w:rPr>
          <w:rFonts w:ascii="David" w:hAnsi="David"/>
          <w:rtl/>
          <w:lang w:eastAsia="he-IL"/>
        </w:rPr>
        <w:t xml:space="preserve"> </w:t>
      </w:r>
      <w:r w:rsidRPr="00B40964">
        <w:rPr>
          <w:rFonts w:ascii="David" w:hAnsi="David"/>
          <w:b/>
          <w:bCs/>
          <w:rtl/>
          <w:lang w:eastAsia="he-IL"/>
        </w:rPr>
        <w:t>בראנסי</w:t>
      </w:r>
      <w:r w:rsidRPr="00B40964">
        <w:rPr>
          <w:rFonts w:ascii="David" w:hAnsi="David"/>
          <w:rtl/>
          <w:lang w:eastAsia="he-IL"/>
        </w:rPr>
        <w:t xml:space="preserve"> נ' </w:t>
      </w:r>
      <w:r w:rsidRPr="00B40964">
        <w:rPr>
          <w:rFonts w:ascii="David" w:hAnsi="David"/>
          <w:b/>
          <w:bCs/>
          <w:rtl/>
          <w:lang w:eastAsia="he-IL"/>
        </w:rPr>
        <w:t>מדינת ישראל</w:t>
      </w:r>
      <w:r w:rsidRPr="00B40964">
        <w:rPr>
          <w:rFonts w:ascii="David" w:hAnsi="David"/>
          <w:rtl/>
          <w:lang w:eastAsia="he-IL"/>
        </w:rPr>
        <w:t xml:space="preserve"> (פורסם בנבו, 16.8.18) –נדונו ערעורים על עונשיהם של אחד-עשר נאשמים שהורשעו בעבירות סחר בנשק, לאחר שמכרו נשק לסוכן משטרה. חלק מהערעורים היו של הנאשמים וחלק של המדינה. כל הערעורים נדחו, למעט אחד שבו בית המשפט התערב בעונש לחומרה. כך, בין היתר:</w:t>
      </w:r>
    </w:p>
    <w:p w14:paraId="68BE1E46" w14:textId="77777777" w:rsidR="00A84695" w:rsidRPr="00B40964" w:rsidRDefault="00A84695" w:rsidP="00A84695">
      <w:pPr>
        <w:spacing w:line="360" w:lineRule="auto"/>
        <w:ind w:left="720"/>
        <w:jc w:val="both"/>
        <w:rPr>
          <w:rFonts w:ascii="David" w:hAnsi="David"/>
          <w:rtl/>
          <w:lang w:eastAsia="he-IL"/>
        </w:rPr>
      </w:pPr>
      <w:r w:rsidRPr="00B40964">
        <w:rPr>
          <w:rFonts w:ascii="David" w:hAnsi="David"/>
          <w:rtl/>
          <w:lang w:eastAsia="he-IL"/>
        </w:rPr>
        <w:t>נאשם 8 (פסקאות 69-63) – הורשע בעבירות סחר בנשק וקשירת קשר לסחר בנשק בקשר ל</w:t>
      </w:r>
      <w:r w:rsidRPr="00B40964">
        <w:rPr>
          <w:rFonts w:ascii="David" w:hAnsi="David"/>
          <w:b/>
          <w:bCs/>
          <w:rtl/>
          <w:lang w:eastAsia="he-IL"/>
        </w:rPr>
        <w:t xml:space="preserve">שתי עסקאות סחר בנשק, </w:t>
      </w:r>
      <w:r w:rsidRPr="00B40964">
        <w:rPr>
          <w:rFonts w:ascii="David" w:hAnsi="David"/>
          <w:rtl/>
          <w:lang w:eastAsia="he-IL"/>
        </w:rPr>
        <w:t xml:space="preserve">שבמסגרתן </w:t>
      </w:r>
      <w:r w:rsidRPr="00B40964">
        <w:rPr>
          <w:rFonts w:ascii="David" w:hAnsi="David"/>
          <w:b/>
          <w:bCs/>
          <w:rtl/>
          <w:lang w:eastAsia="he-IL"/>
        </w:rPr>
        <w:t>נמכרו תת מקלע מסוג קרלו ורובה סער מסוג קלצ'ניקוב</w:t>
      </w:r>
      <w:r w:rsidRPr="00B40964">
        <w:rPr>
          <w:rFonts w:ascii="David" w:hAnsi="David"/>
          <w:rtl/>
          <w:lang w:eastAsia="he-IL"/>
        </w:rPr>
        <w:t xml:space="preserve">. הנאשם צעיר כבן 21 ללא הרשעות קודמות. </w:t>
      </w:r>
      <w:r w:rsidRPr="00B40964">
        <w:rPr>
          <w:rFonts w:ascii="David" w:hAnsi="David"/>
          <w:b/>
          <w:bCs/>
          <w:rtl/>
          <w:lang w:eastAsia="he-IL"/>
        </w:rPr>
        <w:t>בית המשפט המחוזי קבע שמתחם העונש ההולם נע בין 2 ל-5 שנות מאסר לכל אחת מהעסקאות</w:t>
      </w:r>
      <w:r w:rsidRPr="00B40964">
        <w:rPr>
          <w:rFonts w:ascii="David" w:hAnsi="David"/>
          <w:rtl/>
          <w:lang w:eastAsia="he-IL"/>
        </w:rPr>
        <w:t xml:space="preserve">. בסופו של יום הושת עונש של </w:t>
      </w:r>
      <w:r w:rsidRPr="00B40964">
        <w:rPr>
          <w:rFonts w:ascii="David" w:hAnsi="David"/>
          <w:b/>
          <w:bCs/>
          <w:rtl/>
          <w:lang w:eastAsia="he-IL"/>
        </w:rPr>
        <w:t>3.5 שנות מאסר</w:t>
      </w:r>
      <w:r w:rsidRPr="00B40964">
        <w:rPr>
          <w:rFonts w:ascii="David" w:hAnsi="David"/>
          <w:rtl/>
          <w:lang w:eastAsia="he-IL"/>
        </w:rPr>
        <w:t>, מאסר מותנה וקנס. ערעור המדינה נדחה.</w:t>
      </w:r>
    </w:p>
    <w:p w14:paraId="609C45BC" w14:textId="77777777" w:rsidR="00A84695" w:rsidRPr="00B40964" w:rsidRDefault="00A84695" w:rsidP="00A84695">
      <w:pPr>
        <w:spacing w:line="360" w:lineRule="auto"/>
        <w:ind w:left="720"/>
        <w:jc w:val="both"/>
        <w:rPr>
          <w:rFonts w:ascii="David" w:hAnsi="David"/>
          <w:lang w:eastAsia="he-IL"/>
        </w:rPr>
      </w:pPr>
    </w:p>
    <w:p w14:paraId="662C231F" w14:textId="77777777" w:rsidR="00A84695" w:rsidRPr="00B40964" w:rsidRDefault="00A84695" w:rsidP="00A84695">
      <w:pPr>
        <w:spacing w:line="360" w:lineRule="auto"/>
        <w:ind w:left="720"/>
        <w:jc w:val="both"/>
        <w:rPr>
          <w:rFonts w:ascii="David" w:hAnsi="David"/>
          <w:lang w:eastAsia="he-IL"/>
        </w:rPr>
      </w:pPr>
      <w:r w:rsidRPr="00B40964">
        <w:rPr>
          <w:rFonts w:ascii="David" w:hAnsi="David"/>
          <w:rtl/>
          <w:lang w:eastAsia="he-IL"/>
        </w:rPr>
        <w:t xml:space="preserve">נאשם 15 (פסקאות 84-78) – הורשע בעבירה של </w:t>
      </w:r>
      <w:r w:rsidRPr="00B40964">
        <w:rPr>
          <w:rFonts w:ascii="David" w:hAnsi="David"/>
          <w:b/>
          <w:bCs/>
          <w:rtl/>
          <w:lang w:eastAsia="he-IL"/>
        </w:rPr>
        <w:t xml:space="preserve">סיוע </w:t>
      </w:r>
      <w:r w:rsidRPr="00B40964">
        <w:rPr>
          <w:rFonts w:ascii="David" w:hAnsi="David"/>
          <w:rtl/>
          <w:lang w:eastAsia="he-IL"/>
        </w:rPr>
        <w:t xml:space="preserve">לסחר בנשק בקשר לעסקה שבמסגרתה </w:t>
      </w:r>
      <w:r w:rsidRPr="00B40964">
        <w:rPr>
          <w:rFonts w:ascii="David" w:hAnsi="David"/>
          <w:b/>
          <w:bCs/>
          <w:rtl/>
          <w:lang w:eastAsia="he-IL"/>
        </w:rPr>
        <w:t>נמכרו קלצ'ניקוב ושתי מחסניות תואמות</w:t>
      </w:r>
      <w:r w:rsidRPr="00B40964">
        <w:rPr>
          <w:rFonts w:ascii="David" w:hAnsi="David"/>
          <w:rtl/>
          <w:lang w:eastAsia="he-IL"/>
        </w:rPr>
        <w:t xml:space="preserve">. </w:t>
      </w:r>
      <w:r w:rsidRPr="00B40964">
        <w:rPr>
          <w:rFonts w:ascii="David" w:hAnsi="David"/>
          <w:b/>
          <w:bCs/>
          <w:rtl/>
          <w:lang w:eastAsia="he-IL"/>
        </w:rPr>
        <w:t>מתחם העונש הועמד על 20-8 חודשי מאסר</w:t>
      </w:r>
      <w:r w:rsidRPr="00B40964">
        <w:rPr>
          <w:rFonts w:ascii="David" w:hAnsi="David"/>
          <w:rtl/>
          <w:lang w:eastAsia="he-IL"/>
        </w:rPr>
        <w:t xml:space="preserve">. הושת עונש של </w:t>
      </w:r>
      <w:r w:rsidRPr="00B40964">
        <w:rPr>
          <w:rFonts w:ascii="David" w:hAnsi="David"/>
          <w:b/>
          <w:bCs/>
          <w:rtl/>
          <w:lang w:eastAsia="he-IL"/>
        </w:rPr>
        <w:t>שנת מאסר בפועל</w:t>
      </w:r>
      <w:r w:rsidRPr="00B40964">
        <w:rPr>
          <w:rFonts w:ascii="David" w:hAnsi="David"/>
          <w:rtl/>
          <w:lang w:eastAsia="he-IL"/>
        </w:rPr>
        <w:t xml:space="preserve">, מאסר מותנה וקנס. לנוכח הרשעותיו הקודמות והעובדה שהעבירה נעברה שעה שהיה נתון במעצר בפיקוח אלקטרוני, </w:t>
      </w:r>
      <w:r w:rsidRPr="00B40964">
        <w:rPr>
          <w:rFonts w:ascii="David" w:hAnsi="David"/>
          <w:b/>
          <w:bCs/>
          <w:rtl/>
          <w:lang w:eastAsia="he-IL"/>
        </w:rPr>
        <w:t>התקבל ערעור המדינה, כך שעונש המאסר בפועל הועמד על 20 חודש</w:t>
      </w:r>
      <w:r w:rsidRPr="00B40964">
        <w:rPr>
          <w:rFonts w:ascii="David" w:hAnsi="David"/>
          <w:rtl/>
          <w:lang w:eastAsia="he-IL"/>
        </w:rPr>
        <w:t>י</w:t>
      </w:r>
      <w:r w:rsidRPr="00B40964">
        <w:rPr>
          <w:rFonts w:ascii="David" w:hAnsi="David"/>
          <w:b/>
          <w:bCs/>
          <w:rtl/>
          <w:lang w:eastAsia="he-IL"/>
        </w:rPr>
        <w:t xml:space="preserve"> מאסר בפועל</w:t>
      </w:r>
      <w:r w:rsidRPr="00B40964">
        <w:rPr>
          <w:rFonts w:ascii="David" w:hAnsi="David"/>
          <w:rtl/>
          <w:lang w:eastAsia="he-IL"/>
        </w:rPr>
        <w:t>.</w:t>
      </w:r>
    </w:p>
    <w:p w14:paraId="464C56B2" w14:textId="77777777" w:rsidR="00A84695" w:rsidRPr="00B40964" w:rsidRDefault="00A84695" w:rsidP="00A84695">
      <w:pPr>
        <w:spacing w:line="360" w:lineRule="auto"/>
        <w:jc w:val="both"/>
        <w:rPr>
          <w:rFonts w:ascii="David" w:hAnsi="David"/>
          <w:lang w:eastAsia="he-IL"/>
        </w:rPr>
      </w:pPr>
    </w:p>
    <w:p w14:paraId="79A6BCDB" w14:textId="77777777" w:rsidR="00A84695" w:rsidRPr="00B40964" w:rsidRDefault="00A84695" w:rsidP="00A84695">
      <w:pPr>
        <w:spacing w:line="360" w:lineRule="auto"/>
        <w:ind w:left="720"/>
        <w:jc w:val="both"/>
        <w:rPr>
          <w:rFonts w:ascii="David" w:hAnsi="David"/>
          <w:lang w:eastAsia="he-IL"/>
        </w:rPr>
      </w:pPr>
      <w:r w:rsidRPr="00B40964">
        <w:rPr>
          <w:rFonts w:ascii="David" w:hAnsi="David"/>
          <w:rtl/>
          <w:lang w:eastAsia="he-IL"/>
        </w:rPr>
        <w:t xml:space="preserve">נאשם 5 (פסקאות 98-93) – הורשע בשתי עבירות של סחר בנשק, שתי עבירות של קשירת קשר לסחר בנשק ועבירה של ניסיון לסחר בנשק בקשר למעורבותו בשתי עסקאות שבמסגרתן נמכרו </w:t>
      </w:r>
      <w:r w:rsidRPr="00B40964">
        <w:rPr>
          <w:rFonts w:ascii="David" w:hAnsi="David"/>
          <w:b/>
          <w:bCs/>
          <w:rtl/>
          <w:lang w:eastAsia="he-IL"/>
        </w:rPr>
        <w:t xml:space="preserve">שני תתי מקלע מסוג קרלו. </w:t>
      </w:r>
      <w:r w:rsidRPr="00B40964">
        <w:rPr>
          <w:rFonts w:ascii="David" w:hAnsi="David"/>
          <w:rtl/>
          <w:lang w:eastAsia="he-IL"/>
        </w:rPr>
        <w:t xml:space="preserve">לנאשם אין הרשעות קודמות. </w:t>
      </w:r>
      <w:r w:rsidRPr="00B40964">
        <w:rPr>
          <w:rFonts w:ascii="David" w:hAnsi="David"/>
          <w:b/>
          <w:bCs/>
          <w:rtl/>
          <w:lang w:eastAsia="he-IL"/>
        </w:rPr>
        <w:t>מתחם העונש הועמד על 6-3 שנות מאסר בפועל</w:t>
      </w:r>
      <w:r w:rsidRPr="00B40964">
        <w:rPr>
          <w:rFonts w:ascii="David" w:hAnsi="David"/>
          <w:rtl/>
          <w:lang w:eastAsia="he-IL"/>
        </w:rPr>
        <w:t xml:space="preserve">. ניתן עונש של </w:t>
      </w:r>
      <w:r w:rsidRPr="00B40964">
        <w:rPr>
          <w:rFonts w:ascii="David" w:hAnsi="David"/>
          <w:b/>
          <w:bCs/>
          <w:rtl/>
          <w:lang w:eastAsia="he-IL"/>
        </w:rPr>
        <w:t>40 חודשי מאסר בפועל</w:t>
      </w:r>
      <w:r w:rsidRPr="00B40964">
        <w:rPr>
          <w:rFonts w:ascii="David" w:hAnsi="David"/>
          <w:rtl/>
          <w:lang w:eastAsia="he-IL"/>
        </w:rPr>
        <w:t>, מאסר מותנה וקנס. ערעורו של המערער וערעורה של המדינה נדחו.</w:t>
      </w:r>
    </w:p>
    <w:p w14:paraId="0CA827BB" w14:textId="77777777" w:rsidR="00A84695" w:rsidRPr="00B40964" w:rsidRDefault="00A84695" w:rsidP="00A84695">
      <w:pPr>
        <w:spacing w:line="360" w:lineRule="auto"/>
        <w:ind w:left="720" w:hanging="720"/>
        <w:jc w:val="both"/>
        <w:rPr>
          <w:rFonts w:ascii="David" w:hAnsi="David"/>
          <w:rtl/>
        </w:rPr>
      </w:pPr>
    </w:p>
    <w:p w14:paraId="2A08E250" w14:textId="77777777" w:rsidR="00A84695" w:rsidRPr="00B40964" w:rsidRDefault="00A84695" w:rsidP="00A84695">
      <w:pPr>
        <w:spacing w:line="360" w:lineRule="auto"/>
        <w:ind w:left="720"/>
        <w:jc w:val="both"/>
        <w:rPr>
          <w:rFonts w:ascii="David" w:hAnsi="David"/>
          <w:rtl/>
          <w:lang w:eastAsia="he-IL"/>
        </w:rPr>
      </w:pPr>
      <w:r w:rsidRPr="00B40964">
        <w:rPr>
          <w:rFonts w:ascii="David" w:hAnsi="David"/>
          <w:rtl/>
          <w:lang w:eastAsia="he-IL"/>
        </w:rPr>
        <w:t>ב</w:t>
      </w:r>
      <w:hyperlink r:id="rId26" w:history="1">
        <w:r w:rsidR="00393BA8" w:rsidRPr="00393BA8">
          <w:rPr>
            <w:rFonts w:ascii="David" w:hAnsi="David"/>
            <w:color w:val="0000FF"/>
            <w:u w:val="single"/>
            <w:rtl/>
            <w:lang w:eastAsia="he-IL"/>
          </w:rPr>
          <w:t>ע"פ 2802/18</w:t>
        </w:r>
      </w:hyperlink>
      <w:r w:rsidRPr="00B40964">
        <w:rPr>
          <w:rFonts w:ascii="David" w:hAnsi="David"/>
          <w:rtl/>
          <w:lang w:eastAsia="he-IL"/>
        </w:rPr>
        <w:t xml:space="preserve"> </w:t>
      </w:r>
      <w:r w:rsidRPr="00B40964">
        <w:rPr>
          <w:rFonts w:ascii="David" w:hAnsi="David"/>
          <w:b/>
          <w:bCs/>
          <w:rtl/>
          <w:lang w:eastAsia="he-IL"/>
        </w:rPr>
        <w:t>איוב ג'ואמיס</w:t>
      </w:r>
      <w:r w:rsidRPr="00B40964">
        <w:rPr>
          <w:rFonts w:ascii="David" w:hAnsi="David"/>
          <w:rtl/>
          <w:lang w:eastAsia="he-IL"/>
        </w:rPr>
        <w:t xml:space="preserve"> נ' </w:t>
      </w:r>
      <w:r w:rsidRPr="00B40964">
        <w:rPr>
          <w:rFonts w:ascii="David" w:hAnsi="David"/>
          <w:b/>
          <w:bCs/>
          <w:rtl/>
          <w:lang w:eastAsia="he-IL"/>
        </w:rPr>
        <w:t>מדינת ישראל</w:t>
      </w:r>
      <w:r w:rsidRPr="00B40964">
        <w:rPr>
          <w:rFonts w:ascii="David" w:hAnsi="David"/>
          <w:rtl/>
          <w:lang w:eastAsia="he-IL"/>
        </w:rPr>
        <w:t xml:space="preserve"> (פורסם בנבו, 26.07.18) המערער הורשע על פי הודאתו ב</w:t>
      </w:r>
      <w:r w:rsidRPr="00B40964">
        <w:rPr>
          <w:rFonts w:ascii="David" w:hAnsi="David"/>
          <w:b/>
          <w:bCs/>
          <w:rtl/>
          <w:lang w:eastAsia="he-IL"/>
        </w:rPr>
        <w:t xml:space="preserve">שתי עבירות סחר בנשק </w:t>
      </w:r>
      <w:r w:rsidRPr="00B40964">
        <w:rPr>
          <w:rFonts w:ascii="David" w:hAnsi="David"/>
          <w:rtl/>
          <w:lang w:eastAsia="he-IL"/>
        </w:rPr>
        <w:t xml:space="preserve">ונגזרו עליו </w:t>
      </w:r>
      <w:r w:rsidRPr="00B40964">
        <w:rPr>
          <w:rFonts w:ascii="David" w:hAnsi="David"/>
          <w:b/>
          <w:bCs/>
          <w:rtl/>
          <w:lang w:eastAsia="he-IL"/>
        </w:rPr>
        <w:t>42 חודשי מאסר בפועל</w:t>
      </w:r>
      <w:r w:rsidRPr="00B40964">
        <w:rPr>
          <w:rFonts w:ascii="David" w:hAnsi="David"/>
          <w:rtl/>
          <w:lang w:eastAsia="he-IL"/>
        </w:rPr>
        <w:t xml:space="preserve">. מערער נוסף הורשע על פי הודאתו בעבירת </w:t>
      </w:r>
      <w:r w:rsidRPr="00B40964">
        <w:rPr>
          <w:rFonts w:ascii="David" w:hAnsi="David"/>
          <w:b/>
          <w:bCs/>
          <w:rtl/>
          <w:lang w:eastAsia="he-IL"/>
        </w:rPr>
        <w:t>סיוע לסחר בנשק</w:t>
      </w:r>
      <w:r w:rsidRPr="00B40964">
        <w:rPr>
          <w:rFonts w:ascii="David" w:hAnsi="David"/>
          <w:rtl/>
          <w:lang w:eastAsia="he-IL"/>
        </w:rPr>
        <w:t xml:space="preserve"> ונגזרו עליו </w:t>
      </w:r>
      <w:r w:rsidRPr="00B40964">
        <w:rPr>
          <w:rFonts w:ascii="David" w:hAnsi="David"/>
          <w:b/>
          <w:bCs/>
          <w:rtl/>
          <w:lang w:eastAsia="he-IL"/>
        </w:rPr>
        <w:t>15 חודשי מאסר</w:t>
      </w:r>
      <w:r w:rsidRPr="00B40964">
        <w:rPr>
          <w:rFonts w:ascii="David" w:hAnsi="David"/>
          <w:rtl/>
          <w:lang w:eastAsia="he-IL"/>
        </w:rPr>
        <w:t xml:space="preserve"> בפועל. </w:t>
      </w:r>
    </w:p>
    <w:p w14:paraId="31DEE570" w14:textId="77777777" w:rsidR="00A84695" w:rsidRPr="00B40964" w:rsidRDefault="00A84695" w:rsidP="00A84695">
      <w:pPr>
        <w:spacing w:line="360" w:lineRule="auto"/>
        <w:ind w:left="720"/>
        <w:jc w:val="both"/>
        <w:rPr>
          <w:rFonts w:ascii="David" w:hAnsi="David"/>
          <w:lang w:eastAsia="he-IL"/>
        </w:rPr>
      </w:pPr>
      <w:r w:rsidRPr="00B40964">
        <w:rPr>
          <w:rFonts w:ascii="David" w:hAnsi="David"/>
          <w:rtl/>
          <w:lang w:eastAsia="he-IL"/>
        </w:rPr>
        <w:t>בית המשפט העליון דחה את הערעור. (אשר למערער הנוסף, בית המשפט העליון קיבל את הערעור והקל בעונש המאסר, כך שעמד על תשעה חודשים נוכח נסיבותיו האישיות החריגות, תסקירי שירות המבחן החיוביים המעידים על סיכויי שיקומו הגבוהים ונוכח הסכמת המדינה.)</w:t>
      </w:r>
    </w:p>
    <w:p w14:paraId="4F14D360" w14:textId="77777777" w:rsidR="00A84695" w:rsidRPr="00B40964" w:rsidRDefault="00A84695" w:rsidP="00A84695">
      <w:pPr>
        <w:spacing w:line="360" w:lineRule="auto"/>
        <w:jc w:val="both"/>
        <w:rPr>
          <w:rFonts w:ascii="David" w:hAnsi="David"/>
          <w:rtl/>
          <w:lang w:eastAsia="he-IL"/>
        </w:rPr>
      </w:pPr>
    </w:p>
    <w:p w14:paraId="6CFDF3F9" w14:textId="77777777" w:rsidR="00A84695" w:rsidRPr="00B40964" w:rsidRDefault="00A84695" w:rsidP="00A84695">
      <w:pPr>
        <w:spacing w:line="360" w:lineRule="auto"/>
        <w:ind w:left="720"/>
        <w:jc w:val="both"/>
        <w:rPr>
          <w:rFonts w:ascii="David" w:hAnsi="David"/>
          <w:b/>
          <w:bCs/>
          <w:lang w:eastAsia="he-IL"/>
        </w:rPr>
      </w:pPr>
      <w:r w:rsidRPr="00B40964">
        <w:rPr>
          <w:rFonts w:ascii="David" w:hAnsi="David"/>
          <w:rtl/>
          <w:lang w:eastAsia="he-IL"/>
        </w:rPr>
        <w:t>ב</w:t>
      </w:r>
      <w:hyperlink r:id="rId27" w:history="1">
        <w:r w:rsidR="00393BA8" w:rsidRPr="00393BA8">
          <w:rPr>
            <w:rFonts w:ascii="David" w:hAnsi="David"/>
            <w:color w:val="0000FF"/>
            <w:u w:val="single"/>
            <w:rtl/>
            <w:lang w:eastAsia="he-IL"/>
          </w:rPr>
          <w:t>ע"פ 1397/16</w:t>
        </w:r>
      </w:hyperlink>
      <w:r w:rsidRPr="00B40964">
        <w:rPr>
          <w:rFonts w:ascii="David" w:hAnsi="David"/>
          <w:rtl/>
          <w:lang w:eastAsia="he-IL"/>
        </w:rPr>
        <w:t xml:space="preserve"> </w:t>
      </w:r>
      <w:r w:rsidRPr="00B40964">
        <w:rPr>
          <w:rFonts w:ascii="David" w:hAnsi="David"/>
          <w:b/>
          <w:bCs/>
          <w:rtl/>
          <w:lang w:eastAsia="he-IL"/>
        </w:rPr>
        <w:t>מדינת ישראל</w:t>
      </w:r>
      <w:r w:rsidRPr="00B40964">
        <w:rPr>
          <w:rFonts w:ascii="David" w:hAnsi="David"/>
          <w:rtl/>
          <w:lang w:eastAsia="he-IL"/>
        </w:rPr>
        <w:t xml:space="preserve"> נ' </w:t>
      </w:r>
      <w:r w:rsidRPr="00B40964">
        <w:rPr>
          <w:rFonts w:ascii="David" w:hAnsi="David"/>
          <w:b/>
          <w:bCs/>
          <w:rtl/>
          <w:lang w:eastAsia="he-IL"/>
        </w:rPr>
        <w:t>אחמד חמיאל</w:t>
      </w:r>
      <w:r w:rsidRPr="00B40964">
        <w:rPr>
          <w:rFonts w:ascii="David" w:hAnsi="David"/>
          <w:rtl/>
          <w:lang w:eastAsia="he-IL"/>
        </w:rPr>
        <w:t xml:space="preserve"> (פורסם בנבו, 06.09.16) דחה בית המשפט העליון את ערעורה של המדינה  על גזר דינו של בית המשפט המחוזי בירושלים, במסגרתו הושתו על הנאשם </w:t>
      </w:r>
      <w:r w:rsidRPr="00B40964">
        <w:rPr>
          <w:rFonts w:ascii="David" w:hAnsi="David"/>
          <w:b/>
          <w:bCs/>
          <w:rtl/>
          <w:lang w:eastAsia="he-IL"/>
        </w:rPr>
        <w:t>48 חודשי מאסר לריצוי בפועל</w:t>
      </w:r>
      <w:r w:rsidRPr="00B40964">
        <w:rPr>
          <w:rFonts w:ascii="David" w:hAnsi="David"/>
          <w:rtl/>
          <w:lang w:eastAsia="he-IL"/>
        </w:rPr>
        <w:t xml:space="preserve">, בגין ביצוע </w:t>
      </w:r>
      <w:r w:rsidRPr="00B40964">
        <w:rPr>
          <w:rFonts w:ascii="David" w:hAnsi="David"/>
          <w:b/>
          <w:bCs/>
          <w:rtl/>
          <w:lang w:eastAsia="he-IL"/>
        </w:rPr>
        <w:t>שלוש עבירות של סחר בנשק.</w:t>
      </w:r>
      <w:r w:rsidRPr="00B40964">
        <w:rPr>
          <w:rFonts w:ascii="David" w:hAnsi="David"/>
          <w:rtl/>
          <w:lang w:eastAsia="he-IL"/>
        </w:rPr>
        <w:t xml:space="preserve"> הנאשם, בן 21, ללא עבר פלילי, מכר, בשלוש הזדמנויות שונות, לסוכן משטרתי, רובה מסוג "קרל גוסטב", רובה מסוג </w:t>
      </w:r>
      <w:r w:rsidRPr="00B40964">
        <w:rPr>
          <w:rFonts w:ascii="David" w:hAnsi="David"/>
          <w:lang w:eastAsia="he-IL"/>
        </w:rPr>
        <w:t>M-16</w:t>
      </w:r>
      <w:r w:rsidRPr="00B40964">
        <w:rPr>
          <w:rFonts w:ascii="David" w:hAnsi="David"/>
          <w:rtl/>
          <w:lang w:eastAsia="he-IL"/>
        </w:rPr>
        <w:t xml:space="preserve">, שני רובים מסוג </w:t>
      </w:r>
      <w:r w:rsidRPr="00B40964">
        <w:rPr>
          <w:rFonts w:ascii="David" w:hAnsi="David"/>
          <w:lang w:eastAsia="he-IL"/>
        </w:rPr>
        <w:t>M-16</w:t>
      </w:r>
      <w:r w:rsidRPr="00B40964">
        <w:rPr>
          <w:rFonts w:ascii="David" w:hAnsi="David"/>
          <w:rtl/>
          <w:lang w:eastAsia="he-IL"/>
        </w:rPr>
        <w:t xml:space="preserve"> ואקדח מסוג</w:t>
      </w:r>
      <w:r w:rsidRPr="00B40964">
        <w:rPr>
          <w:rFonts w:ascii="David" w:hAnsi="David"/>
          <w:lang w:eastAsia="he-IL"/>
        </w:rPr>
        <w:t xml:space="preserve">FN </w:t>
      </w:r>
      <w:r w:rsidRPr="00B40964">
        <w:rPr>
          <w:rFonts w:ascii="David" w:hAnsi="David"/>
          <w:rtl/>
          <w:lang w:eastAsia="he-IL"/>
        </w:rPr>
        <w:t xml:space="preserve">. בית המשפט העליון התייחס לעונשו של הנאשם, </w:t>
      </w:r>
      <w:r w:rsidRPr="00B40964">
        <w:rPr>
          <w:rFonts w:ascii="David" w:hAnsi="David"/>
          <w:b/>
          <w:bCs/>
          <w:rtl/>
          <w:lang w:eastAsia="he-IL"/>
        </w:rPr>
        <w:t>וציין כי העונש שנגזר על הנאשם הוא עונש מאסר מקל, אך הוא לא מהווה חריג המצדיק את התערבותה של ערכאת הערעור.</w:t>
      </w:r>
    </w:p>
    <w:p w14:paraId="65857916" w14:textId="77777777" w:rsidR="00A84695" w:rsidRPr="00B40964" w:rsidRDefault="00A84695" w:rsidP="00A84695">
      <w:pPr>
        <w:spacing w:line="360" w:lineRule="auto"/>
        <w:jc w:val="both"/>
        <w:rPr>
          <w:rFonts w:ascii="David" w:hAnsi="David"/>
          <w:rtl/>
          <w:lang w:eastAsia="he-IL"/>
        </w:rPr>
      </w:pPr>
    </w:p>
    <w:p w14:paraId="4C8334E8" w14:textId="77777777" w:rsidR="00A84695" w:rsidRPr="00B40964" w:rsidRDefault="00A84695" w:rsidP="00A84695">
      <w:pPr>
        <w:spacing w:line="360" w:lineRule="auto"/>
        <w:ind w:left="720"/>
        <w:jc w:val="both"/>
        <w:rPr>
          <w:rFonts w:ascii="David" w:hAnsi="David"/>
          <w:rtl/>
          <w:lang w:eastAsia="he-IL"/>
        </w:rPr>
      </w:pPr>
      <w:r w:rsidRPr="00B40964">
        <w:rPr>
          <w:rFonts w:ascii="David" w:hAnsi="David"/>
          <w:rtl/>
          <w:lang w:eastAsia="he-IL"/>
        </w:rPr>
        <w:t>ב</w:t>
      </w:r>
      <w:hyperlink r:id="rId28" w:history="1">
        <w:r w:rsidR="00393BA8" w:rsidRPr="00393BA8">
          <w:rPr>
            <w:rFonts w:ascii="David" w:hAnsi="David"/>
            <w:color w:val="0000FF"/>
            <w:u w:val="single"/>
            <w:rtl/>
            <w:lang w:eastAsia="he-IL"/>
          </w:rPr>
          <w:t>ע"פ 2422/14</w:t>
        </w:r>
      </w:hyperlink>
      <w:r w:rsidRPr="00B40964">
        <w:rPr>
          <w:rFonts w:ascii="David" w:hAnsi="David"/>
          <w:rtl/>
          <w:lang w:eastAsia="he-IL"/>
        </w:rPr>
        <w:t xml:space="preserve"> </w:t>
      </w:r>
      <w:r w:rsidRPr="00B40964">
        <w:rPr>
          <w:rFonts w:ascii="David" w:hAnsi="David"/>
          <w:b/>
          <w:bCs/>
          <w:rtl/>
          <w:lang w:eastAsia="he-IL"/>
        </w:rPr>
        <w:t>עלי חד'ר</w:t>
      </w:r>
      <w:r w:rsidRPr="00B40964">
        <w:rPr>
          <w:rFonts w:ascii="David" w:hAnsi="David"/>
          <w:rtl/>
          <w:lang w:eastAsia="he-IL"/>
        </w:rPr>
        <w:t xml:space="preserve"> נ' </w:t>
      </w:r>
      <w:r w:rsidRPr="00B40964">
        <w:rPr>
          <w:rFonts w:ascii="David" w:hAnsi="David"/>
          <w:b/>
          <w:bCs/>
          <w:rtl/>
          <w:lang w:eastAsia="he-IL"/>
        </w:rPr>
        <w:t>מדינת ישראל</w:t>
      </w:r>
      <w:r w:rsidRPr="00B40964">
        <w:rPr>
          <w:rFonts w:ascii="David" w:hAnsi="David"/>
          <w:rtl/>
          <w:lang w:eastAsia="he-IL"/>
        </w:rPr>
        <w:t xml:space="preserve"> (פורסם בנבו, 21.12.14) המערער </w:t>
      </w:r>
      <w:r w:rsidRPr="00B40964">
        <w:rPr>
          <w:rFonts w:ascii="David" w:hAnsi="David"/>
          <w:b/>
          <w:bCs/>
          <w:rtl/>
          <w:lang w:eastAsia="he-IL"/>
        </w:rPr>
        <w:t>מכר לסוכן משטרתי רובה מסוג "קרל גוסטב"</w:t>
      </w:r>
      <w:r w:rsidRPr="00B40964">
        <w:rPr>
          <w:rFonts w:ascii="David" w:hAnsi="David"/>
          <w:rtl/>
          <w:lang w:eastAsia="he-IL"/>
        </w:rPr>
        <w:t xml:space="preserve">, הורשע בעבירת </w:t>
      </w:r>
      <w:r w:rsidRPr="00B40964">
        <w:rPr>
          <w:rFonts w:ascii="David" w:hAnsi="David"/>
          <w:b/>
          <w:bCs/>
          <w:rtl/>
          <w:lang w:eastAsia="he-IL"/>
        </w:rPr>
        <w:t xml:space="preserve">סחר בנשק </w:t>
      </w:r>
      <w:r w:rsidRPr="00B40964">
        <w:rPr>
          <w:rFonts w:ascii="David" w:hAnsi="David"/>
          <w:rtl/>
          <w:lang w:eastAsia="he-IL"/>
        </w:rPr>
        <w:t xml:space="preserve">ונדון ל- </w:t>
      </w:r>
      <w:r w:rsidRPr="00B40964">
        <w:rPr>
          <w:rFonts w:ascii="David" w:hAnsi="David"/>
          <w:b/>
          <w:bCs/>
          <w:rtl/>
          <w:lang w:eastAsia="he-IL"/>
        </w:rPr>
        <w:t>36 חודשי מאסר בפועל</w:t>
      </w:r>
      <w:r w:rsidRPr="00B40964">
        <w:rPr>
          <w:rFonts w:ascii="David" w:hAnsi="David"/>
          <w:rtl/>
          <w:lang w:eastAsia="he-IL"/>
        </w:rPr>
        <w:t xml:space="preserve">. נאשם נוסף בפרשה, הורשע אף הוא בעבירת סחר בנשק בגינה הושת עליו 20 חודשי מאסר לריצוי בפועל והוא שימש למעשה כמתווך. </w:t>
      </w:r>
      <w:r w:rsidRPr="00B40964">
        <w:rPr>
          <w:rFonts w:ascii="David" w:hAnsi="David"/>
          <w:b/>
          <w:bCs/>
          <w:rtl/>
          <w:lang w:eastAsia="he-IL"/>
        </w:rPr>
        <w:t>הערעור נדחה.</w:t>
      </w:r>
      <w:r w:rsidRPr="00B40964">
        <w:rPr>
          <w:rFonts w:ascii="David" w:hAnsi="David"/>
          <w:rtl/>
          <w:lang w:eastAsia="he-IL"/>
        </w:rPr>
        <w:t xml:space="preserve"> </w:t>
      </w:r>
    </w:p>
    <w:p w14:paraId="6091820B" w14:textId="77777777" w:rsidR="00A84695" w:rsidRPr="00B40964" w:rsidRDefault="00A84695" w:rsidP="00A84695">
      <w:pPr>
        <w:spacing w:line="360" w:lineRule="auto"/>
        <w:ind w:left="720"/>
        <w:jc w:val="both"/>
        <w:rPr>
          <w:rFonts w:ascii="David" w:hAnsi="David"/>
          <w:lang w:eastAsia="he-IL"/>
        </w:rPr>
      </w:pPr>
    </w:p>
    <w:p w14:paraId="4936D110" w14:textId="77777777" w:rsidR="00A84695" w:rsidRPr="00B40964" w:rsidRDefault="00A84695" w:rsidP="00A84695">
      <w:pPr>
        <w:spacing w:line="360" w:lineRule="auto"/>
        <w:ind w:left="720"/>
        <w:jc w:val="both"/>
        <w:rPr>
          <w:rFonts w:ascii="David" w:hAnsi="David"/>
          <w:lang w:eastAsia="he-IL"/>
        </w:rPr>
      </w:pPr>
      <w:r w:rsidRPr="00B40964">
        <w:rPr>
          <w:rFonts w:ascii="David" w:hAnsi="David"/>
          <w:rtl/>
          <w:lang w:eastAsia="he-IL"/>
        </w:rPr>
        <w:t>ב</w:t>
      </w:r>
      <w:hyperlink r:id="rId29" w:history="1">
        <w:r w:rsidR="00393BA8" w:rsidRPr="00393BA8">
          <w:rPr>
            <w:rFonts w:ascii="David" w:hAnsi="David"/>
            <w:color w:val="0000FF"/>
            <w:u w:val="single"/>
            <w:rtl/>
            <w:lang w:eastAsia="he-IL"/>
          </w:rPr>
          <w:t>ת"פ (מחוזי ירושלים) 67703-11-16</w:t>
        </w:r>
      </w:hyperlink>
      <w:r w:rsidRPr="00B40964">
        <w:rPr>
          <w:rFonts w:ascii="David" w:hAnsi="David"/>
          <w:rtl/>
          <w:lang w:eastAsia="he-IL"/>
        </w:rPr>
        <w:t xml:space="preserve"> </w:t>
      </w:r>
      <w:r w:rsidRPr="00B40964">
        <w:rPr>
          <w:rFonts w:ascii="David" w:hAnsi="David"/>
          <w:b/>
          <w:bCs/>
          <w:rtl/>
          <w:lang w:eastAsia="he-IL"/>
        </w:rPr>
        <w:t>מדינת ישראל</w:t>
      </w:r>
      <w:r w:rsidRPr="00B40964">
        <w:rPr>
          <w:rFonts w:ascii="David" w:hAnsi="David"/>
          <w:rtl/>
          <w:lang w:eastAsia="he-IL"/>
        </w:rPr>
        <w:t xml:space="preserve"> נ' </w:t>
      </w:r>
      <w:r w:rsidRPr="00B40964">
        <w:rPr>
          <w:rFonts w:ascii="David" w:hAnsi="David"/>
          <w:b/>
          <w:bCs/>
          <w:rtl/>
          <w:lang w:eastAsia="he-IL"/>
        </w:rPr>
        <w:t xml:space="preserve">מוגרבי </w:t>
      </w:r>
      <w:r w:rsidRPr="00B40964">
        <w:rPr>
          <w:rFonts w:ascii="David" w:hAnsi="David"/>
          <w:rtl/>
          <w:lang w:eastAsia="he-IL"/>
        </w:rPr>
        <w:t>(פורסם בנבו, 22.11.2017), נאשם 2 הורשע ב</w:t>
      </w:r>
      <w:r w:rsidRPr="00B40964">
        <w:rPr>
          <w:rFonts w:ascii="David" w:hAnsi="David"/>
          <w:b/>
          <w:bCs/>
          <w:rtl/>
          <w:lang w:eastAsia="he-IL"/>
        </w:rPr>
        <w:t>שתי עבירות של סחר בנשק, שבמסגרתן נמכר תת מקלע מאולתר.</w:t>
      </w:r>
      <w:r w:rsidRPr="00B40964">
        <w:rPr>
          <w:rFonts w:ascii="David" w:hAnsi="David"/>
          <w:rtl/>
          <w:lang w:eastAsia="he-IL"/>
        </w:rPr>
        <w:t xml:space="preserve"> נאשם 3 הורשע בסיוע לעבירה של סחר בנשק וכן בעבירת תעבורה. בעניין העבירה של סחר בנשק </w:t>
      </w:r>
      <w:r w:rsidRPr="00B40964">
        <w:rPr>
          <w:rFonts w:ascii="David" w:hAnsi="David"/>
          <w:b/>
          <w:bCs/>
          <w:rtl/>
          <w:lang w:eastAsia="he-IL"/>
        </w:rPr>
        <w:t>נקבע מתחם עונש בין 20 ל-40 חודשי מאסר לכל אחת מהעבירות</w:t>
      </w:r>
      <w:r w:rsidRPr="00B40964">
        <w:rPr>
          <w:rFonts w:ascii="David" w:hAnsi="David"/>
          <w:rtl/>
          <w:lang w:eastAsia="he-IL"/>
        </w:rPr>
        <w:t>. לעבירת ה</w:t>
      </w:r>
      <w:r w:rsidRPr="00B40964">
        <w:rPr>
          <w:rFonts w:ascii="David" w:hAnsi="David"/>
          <w:b/>
          <w:bCs/>
          <w:rtl/>
          <w:lang w:eastAsia="he-IL"/>
        </w:rPr>
        <w:t>סיוע בסחר בנשק</w:t>
      </w:r>
      <w:r w:rsidRPr="00B40964">
        <w:rPr>
          <w:rFonts w:ascii="David" w:hAnsi="David"/>
          <w:rtl/>
          <w:lang w:eastAsia="he-IL"/>
        </w:rPr>
        <w:t xml:space="preserve"> נקבע שמתחם העונש יהיה </w:t>
      </w:r>
      <w:r w:rsidRPr="00B40964">
        <w:rPr>
          <w:rFonts w:ascii="David" w:hAnsi="David"/>
          <w:b/>
          <w:bCs/>
          <w:rtl/>
          <w:lang w:eastAsia="he-IL"/>
        </w:rPr>
        <w:t xml:space="preserve">מחצית המתחם </w:t>
      </w:r>
      <w:r w:rsidRPr="00B40964">
        <w:rPr>
          <w:rFonts w:ascii="David" w:hAnsi="David"/>
          <w:rtl/>
          <w:lang w:eastAsia="he-IL"/>
        </w:rPr>
        <w:t>האמור.</w:t>
      </w:r>
    </w:p>
    <w:p w14:paraId="56FF3052" w14:textId="77777777" w:rsidR="00A84695" w:rsidRPr="00B40964" w:rsidRDefault="00A84695" w:rsidP="00A84695">
      <w:pPr>
        <w:spacing w:line="360" w:lineRule="auto"/>
        <w:ind w:left="720"/>
        <w:jc w:val="both"/>
        <w:rPr>
          <w:rFonts w:ascii="David" w:hAnsi="David"/>
          <w:rtl/>
          <w:lang w:eastAsia="he-IL"/>
        </w:rPr>
      </w:pPr>
    </w:p>
    <w:p w14:paraId="16EDAE01" w14:textId="77777777" w:rsidR="00A84695" w:rsidRPr="00B40964" w:rsidRDefault="00A84695" w:rsidP="00A84695">
      <w:pPr>
        <w:spacing w:line="360" w:lineRule="auto"/>
        <w:ind w:left="720"/>
        <w:jc w:val="both"/>
        <w:rPr>
          <w:rFonts w:ascii="David" w:hAnsi="David"/>
          <w:b/>
          <w:bCs/>
          <w:lang w:eastAsia="he-IL"/>
        </w:rPr>
      </w:pPr>
      <w:r w:rsidRPr="00B40964">
        <w:rPr>
          <w:rFonts w:ascii="David" w:hAnsi="David"/>
          <w:rtl/>
          <w:lang w:eastAsia="he-IL"/>
        </w:rPr>
        <w:t>ב</w:t>
      </w:r>
      <w:hyperlink r:id="rId30" w:history="1">
        <w:r w:rsidR="00393BA8" w:rsidRPr="00393BA8">
          <w:rPr>
            <w:rFonts w:ascii="David" w:hAnsi="David"/>
            <w:color w:val="0000FF"/>
            <w:u w:val="single"/>
            <w:rtl/>
            <w:lang w:eastAsia="he-IL"/>
          </w:rPr>
          <w:t>ת"פ (מחוזי ירושלים) 24207-06-13</w:t>
        </w:r>
      </w:hyperlink>
      <w:r w:rsidRPr="00B40964">
        <w:rPr>
          <w:rFonts w:ascii="David" w:hAnsi="David"/>
          <w:lang w:eastAsia="he-IL"/>
        </w:rPr>
        <w:t xml:space="preserve"> </w:t>
      </w:r>
      <w:r w:rsidRPr="00B40964">
        <w:rPr>
          <w:rFonts w:ascii="David" w:hAnsi="David"/>
          <w:b/>
          <w:bCs/>
          <w:rtl/>
          <w:lang w:eastAsia="he-IL"/>
        </w:rPr>
        <w:t>מדינת ישראל</w:t>
      </w:r>
      <w:r w:rsidRPr="00B40964">
        <w:rPr>
          <w:rFonts w:ascii="David" w:hAnsi="David"/>
          <w:rtl/>
          <w:lang w:eastAsia="he-IL"/>
        </w:rPr>
        <w:t xml:space="preserve"> נ' </w:t>
      </w:r>
      <w:r w:rsidRPr="00B40964">
        <w:rPr>
          <w:rFonts w:ascii="David" w:hAnsi="David"/>
          <w:b/>
          <w:bCs/>
          <w:rtl/>
          <w:lang w:eastAsia="he-IL"/>
        </w:rPr>
        <w:t xml:space="preserve">כרכי </w:t>
      </w:r>
      <w:r w:rsidRPr="00B40964">
        <w:rPr>
          <w:rFonts w:ascii="David" w:hAnsi="David"/>
          <w:rtl/>
          <w:lang w:eastAsia="he-IL"/>
        </w:rPr>
        <w:t>(פורסם בנבו, 06.07.14), נאשם הורשע על פי הודאתו, בין היתר, ב</w:t>
      </w:r>
      <w:r w:rsidRPr="00B40964">
        <w:rPr>
          <w:rFonts w:ascii="David" w:hAnsi="David"/>
          <w:b/>
          <w:bCs/>
          <w:rtl/>
          <w:lang w:eastAsia="he-IL"/>
        </w:rPr>
        <w:t>שתי עבירות של סחר בנשק</w:t>
      </w:r>
      <w:r w:rsidRPr="00B40964">
        <w:rPr>
          <w:rFonts w:ascii="David" w:hAnsi="David"/>
          <w:rtl/>
          <w:lang w:eastAsia="he-IL"/>
        </w:rPr>
        <w:t xml:space="preserve"> (שני נשקים ארוכים) ו</w:t>
      </w:r>
      <w:r w:rsidRPr="00B40964">
        <w:rPr>
          <w:rFonts w:ascii="David" w:hAnsi="David"/>
          <w:b/>
          <w:bCs/>
          <w:rtl/>
          <w:lang w:eastAsia="he-IL"/>
        </w:rPr>
        <w:t>בעבירה של סיוע לסחר בנשק</w:t>
      </w:r>
      <w:r w:rsidRPr="00B40964">
        <w:rPr>
          <w:rFonts w:ascii="David" w:hAnsi="David"/>
          <w:rtl/>
          <w:lang w:eastAsia="he-IL"/>
        </w:rPr>
        <w:t xml:space="preserve">, באמצעות סוכן משטרתי, ובית המשפט קבע כי </w:t>
      </w:r>
      <w:r w:rsidRPr="00B40964">
        <w:rPr>
          <w:rFonts w:ascii="David" w:hAnsi="David"/>
          <w:b/>
          <w:bCs/>
          <w:rtl/>
          <w:lang w:eastAsia="he-IL"/>
        </w:rPr>
        <w:t>מתחם הענישה ההולם בגין כל עבירה של סחר בנשק</w:t>
      </w:r>
      <w:r w:rsidRPr="00B40964">
        <w:rPr>
          <w:rFonts w:ascii="David" w:hAnsi="David"/>
          <w:rtl/>
          <w:lang w:eastAsia="he-IL"/>
        </w:rPr>
        <w:t xml:space="preserve"> נע בין מאסר בפועל לתקופה של </w:t>
      </w:r>
      <w:r w:rsidRPr="00B40964">
        <w:rPr>
          <w:rFonts w:ascii="David" w:hAnsi="David"/>
          <w:b/>
          <w:bCs/>
          <w:rtl/>
          <w:lang w:eastAsia="he-IL"/>
        </w:rPr>
        <w:t>24 חודשים לבין מאסר בפועל לתקופה של 48 חודשים.</w:t>
      </w:r>
    </w:p>
    <w:p w14:paraId="37392BA3" w14:textId="77777777" w:rsidR="00A84695" w:rsidRPr="00B40964" w:rsidRDefault="00A84695" w:rsidP="00A84695">
      <w:pPr>
        <w:spacing w:line="360" w:lineRule="auto"/>
        <w:jc w:val="both"/>
        <w:rPr>
          <w:rFonts w:ascii="David" w:hAnsi="David"/>
          <w:rtl/>
          <w:lang w:eastAsia="he-IL"/>
        </w:rPr>
      </w:pPr>
    </w:p>
    <w:p w14:paraId="274BECCD" w14:textId="77777777" w:rsidR="00A84695" w:rsidRPr="00B40964" w:rsidRDefault="00A84695" w:rsidP="00A84695">
      <w:pPr>
        <w:spacing w:line="360" w:lineRule="auto"/>
        <w:ind w:left="720"/>
        <w:jc w:val="both"/>
        <w:rPr>
          <w:rFonts w:ascii="David" w:hAnsi="David"/>
          <w:lang w:eastAsia="he-IL"/>
        </w:rPr>
      </w:pPr>
      <w:r w:rsidRPr="00B40964">
        <w:rPr>
          <w:rFonts w:ascii="David" w:hAnsi="David"/>
          <w:rtl/>
          <w:lang w:eastAsia="he-IL"/>
        </w:rPr>
        <w:t>ב</w:t>
      </w:r>
      <w:hyperlink r:id="rId31" w:history="1">
        <w:r w:rsidR="00393BA8" w:rsidRPr="00393BA8">
          <w:rPr>
            <w:rFonts w:ascii="David" w:hAnsi="David"/>
            <w:color w:val="0000FF"/>
            <w:u w:val="single"/>
            <w:rtl/>
            <w:lang w:eastAsia="he-IL"/>
          </w:rPr>
          <w:t>ת"פ (מחוזי חיפה) 36381-05-15</w:t>
        </w:r>
      </w:hyperlink>
      <w:r w:rsidRPr="00B40964">
        <w:rPr>
          <w:rFonts w:ascii="David" w:hAnsi="David"/>
          <w:rtl/>
          <w:lang w:eastAsia="he-IL"/>
        </w:rPr>
        <w:t xml:space="preserve"> </w:t>
      </w:r>
      <w:r w:rsidRPr="00B40964">
        <w:rPr>
          <w:rFonts w:ascii="David" w:hAnsi="David"/>
          <w:b/>
          <w:bCs/>
          <w:rtl/>
          <w:lang w:eastAsia="he-IL"/>
        </w:rPr>
        <w:t>מדינת ישראל</w:t>
      </w:r>
      <w:r w:rsidRPr="00B40964">
        <w:rPr>
          <w:rFonts w:ascii="David" w:hAnsi="David"/>
          <w:rtl/>
          <w:lang w:eastAsia="he-IL"/>
        </w:rPr>
        <w:t xml:space="preserve"> נ' </w:t>
      </w:r>
      <w:r w:rsidRPr="00B40964">
        <w:rPr>
          <w:rFonts w:ascii="David" w:hAnsi="David"/>
          <w:b/>
          <w:bCs/>
          <w:rtl/>
          <w:lang w:eastAsia="he-IL"/>
        </w:rPr>
        <w:t>אבו שנדי</w:t>
      </w:r>
      <w:r w:rsidRPr="00B40964">
        <w:rPr>
          <w:rFonts w:ascii="David" w:hAnsi="David"/>
          <w:rtl/>
          <w:lang w:eastAsia="he-IL"/>
        </w:rPr>
        <w:t xml:space="preserve"> (פורסם בנבו, 31.12.15), </w:t>
      </w:r>
      <w:r w:rsidRPr="00B40964">
        <w:rPr>
          <w:rFonts w:ascii="David" w:hAnsi="David"/>
          <w:b/>
          <w:bCs/>
          <w:rtl/>
          <w:lang w:eastAsia="he-IL"/>
        </w:rPr>
        <w:t>נקבע מתחם עונש הולם שנע בין 24 חודשים לבין 48 חודשים, בגין עבירה של סחר בנשק, שבוצעה באמצעות סוכן משטרתי (מקלע מאולתר)</w:t>
      </w:r>
      <w:r w:rsidRPr="00B40964">
        <w:rPr>
          <w:rFonts w:ascii="David" w:hAnsi="David"/>
          <w:rtl/>
          <w:lang w:eastAsia="he-IL"/>
        </w:rPr>
        <w:t xml:space="preserve">, ובסופו של יום, הושת על הנאשם, שעברו הפלילי לא היה מכביד, עונש של </w:t>
      </w:r>
      <w:r w:rsidRPr="00B40964">
        <w:rPr>
          <w:rFonts w:ascii="David" w:hAnsi="David"/>
          <w:b/>
          <w:bCs/>
          <w:rtl/>
          <w:lang w:eastAsia="he-IL"/>
        </w:rPr>
        <w:t>28 חודשי מאסר בפועל</w:t>
      </w:r>
      <w:r w:rsidRPr="00B40964">
        <w:rPr>
          <w:rFonts w:ascii="David" w:hAnsi="David"/>
          <w:rtl/>
          <w:lang w:eastAsia="he-IL"/>
        </w:rPr>
        <w:t xml:space="preserve"> לצד רכיבי ענישה נלווים. </w:t>
      </w:r>
    </w:p>
    <w:p w14:paraId="26C82D1F" w14:textId="77777777" w:rsidR="00A84695" w:rsidRPr="00B40964" w:rsidRDefault="00A84695" w:rsidP="00A84695">
      <w:pPr>
        <w:spacing w:line="360" w:lineRule="auto"/>
        <w:ind w:left="720" w:hanging="720"/>
        <w:jc w:val="both"/>
        <w:rPr>
          <w:rFonts w:ascii="David" w:hAnsi="David"/>
          <w:rtl/>
        </w:rPr>
      </w:pPr>
    </w:p>
    <w:p w14:paraId="6877BE06" w14:textId="77777777" w:rsidR="00A84695" w:rsidRPr="00B40964" w:rsidRDefault="00A84695" w:rsidP="00A84695">
      <w:pPr>
        <w:spacing w:line="360" w:lineRule="auto"/>
        <w:ind w:left="720" w:hanging="720"/>
        <w:jc w:val="both"/>
        <w:rPr>
          <w:rFonts w:ascii="David" w:hAnsi="David"/>
          <w:rtl/>
        </w:rPr>
      </w:pPr>
      <w:r w:rsidRPr="00B40964">
        <w:rPr>
          <w:rFonts w:ascii="David" w:hAnsi="David"/>
          <w:rtl/>
        </w:rPr>
        <w:t>8.</w:t>
      </w:r>
      <w:r w:rsidRPr="00B40964">
        <w:rPr>
          <w:rFonts w:ascii="David" w:hAnsi="David"/>
          <w:rtl/>
        </w:rPr>
        <w:tab/>
        <w:t xml:space="preserve">באשר לנסיבות ביצוע העבירות- </w:t>
      </w:r>
    </w:p>
    <w:p w14:paraId="54C1DC1F" w14:textId="77777777" w:rsidR="00A84695" w:rsidRPr="00B40964" w:rsidRDefault="00A84695" w:rsidP="00A84695">
      <w:pPr>
        <w:spacing w:line="360" w:lineRule="auto"/>
        <w:ind w:left="720"/>
        <w:jc w:val="both"/>
        <w:rPr>
          <w:rFonts w:ascii="David" w:hAnsi="David"/>
          <w:rtl/>
        </w:rPr>
      </w:pPr>
      <w:r w:rsidRPr="00B40964">
        <w:rPr>
          <w:rFonts w:ascii="David" w:hAnsi="David"/>
          <w:rtl/>
        </w:rPr>
        <w:t>לעבירות שביצעו הנאשמים קדם תכנון,</w:t>
      </w:r>
      <w:r w:rsidRPr="00B40964">
        <w:rPr>
          <w:rFonts w:ascii="David" w:hAnsi="David"/>
          <w:b/>
          <w:bCs/>
          <w:rtl/>
        </w:rPr>
        <w:t xml:space="preserve"> </w:t>
      </w:r>
      <w:r w:rsidRPr="00B40964">
        <w:rPr>
          <w:rFonts w:ascii="David" w:hAnsi="David"/>
          <w:rtl/>
        </w:rPr>
        <w:t xml:space="preserve">שכלל בין היתר תיאומים עם הסוכן ועבדאללה, קיום מפגשים, והשגת כלי הנשק. </w:t>
      </w:r>
    </w:p>
    <w:p w14:paraId="2C267957" w14:textId="77777777" w:rsidR="00A84695" w:rsidRPr="00B40964" w:rsidRDefault="00A84695" w:rsidP="00A84695">
      <w:pPr>
        <w:spacing w:line="360" w:lineRule="auto"/>
        <w:ind w:left="720"/>
        <w:jc w:val="both"/>
        <w:rPr>
          <w:rFonts w:ascii="David" w:hAnsi="David"/>
          <w:rtl/>
        </w:rPr>
      </w:pPr>
      <w:r w:rsidRPr="00B40964">
        <w:rPr>
          <w:rFonts w:ascii="David" w:hAnsi="David"/>
          <w:rtl/>
        </w:rPr>
        <w:t xml:space="preserve">כידוע, כלי הנשק נמסרו לידי סוכן משטרתי, כך שבפועל הנשק עבר לרשות המדינה, והנזק הטבוע בהחזקת נשק בידיים בלתי מורשות, לא התממש. אולם, הנאשמים לא ידעו כמובן שמקבל כלי הנשק הוא סוכן משטרתי ומבחינתם הנשק הועבר לאזרח, שהם אפילו לא הכירו - על כל הסכנות הטבועות בכך, הידועות לכל. ומבחינה זו פוטנציאל הנזק של מעשי הנאשמים גדול מאוד. </w:t>
      </w:r>
    </w:p>
    <w:p w14:paraId="5B09BD8B" w14:textId="77777777" w:rsidR="00A84695" w:rsidRPr="00B40964" w:rsidRDefault="00A84695" w:rsidP="00A84695">
      <w:pPr>
        <w:spacing w:line="360" w:lineRule="auto"/>
        <w:ind w:left="720"/>
        <w:jc w:val="both"/>
        <w:rPr>
          <w:rFonts w:ascii="David" w:hAnsi="David"/>
          <w:rtl/>
        </w:rPr>
      </w:pPr>
      <w:r w:rsidRPr="00B40964">
        <w:rPr>
          <w:rFonts w:ascii="David" w:hAnsi="David"/>
          <w:rtl/>
        </w:rPr>
        <w:t xml:space="preserve">הנאשמים ביצעו את המעשים מתוך רצון להשיג כסף קל.  </w:t>
      </w:r>
    </w:p>
    <w:p w14:paraId="1FB96D84" w14:textId="77777777" w:rsidR="00A84695" w:rsidRPr="00B40964" w:rsidRDefault="00A84695" w:rsidP="00A84695">
      <w:pPr>
        <w:spacing w:line="360" w:lineRule="auto"/>
        <w:ind w:left="720"/>
        <w:jc w:val="both"/>
        <w:rPr>
          <w:rFonts w:ascii="David" w:hAnsi="David"/>
          <w:b/>
          <w:bCs/>
          <w:rtl/>
        </w:rPr>
      </w:pPr>
    </w:p>
    <w:p w14:paraId="27AB29A3" w14:textId="77777777" w:rsidR="00A84695" w:rsidRPr="00B40964" w:rsidRDefault="00A84695" w:rsidP="00A84695">
      <w:pPr>
        <w:spacing w:line="360" w:lineRule="auto"/>
        <w:ind w:left="720"/>
        <w:jc w:val="both"/>
        <w:rPr>
          <w:rFonts w:ascii="David" w:hAnsi="David"/>
          <w:rtl/>
        </w:rPr>
      </w:pPr>
      <w:r w:rsidRPr="00B40964">
        <w:rPr>
          <w:rFonts w:ascii="David" w:hAnsi="David"/>
          <w:b/>
          <w:bCs/>
          <w:rtl/>
        </w:rPr>
        <w:t xml:space="preserve">חלקו של הנאשם 1 </w:t>
      </w:r>
      <w:r w:rsidRPr="00B40964">
        <w:rPr>
          <w:rFonts w:ascii="David" w:hAnsi="David"/>
          <w:rtl/>
        </w:rPr>
        <w:t xml:space="preserve">בעבירה המתוארת באישום השני, היה מרכזי ומכריע. הגעת הקונים תואמה אתו; הוא קיבל את פניהם בביתו; גרם לכך שהנשק יובא מהמקום בו הוחזק; קיבל לידיו את הנשק; דרך אותו; מסר אותו לקונה; וקיבל את כספי תמורת העסקה.  </w:t>
      </w:r>
    </w:p>
    <w:p w14:paraId="6C690D08" w14:textId="77777777" w:rsidR="00A84695" w:rsidRPr="00B40964" w:rsidRDefault="00A84695" w:rsidP="00A84695">
      <w:pPr>
        <w:spacing w:line="360" w:lineRule="auto"/>
        <w:ind w:left="720"/>
        <w:jc w:val="both"/>
        <w:rPr>
          <w:rFonts w:ascii="David" w:hAnsi="David"/>
          <w:rtl/>
        </w:rPr>
      </w:pPr>
    </w:p>
    <w:p w14:paraId="1525DC4D" w14:textId="77777777" w:rsidR="00A84695" w:rsidRPr="00B40964" w:rsidRDefault="00A84695" w:rsidP="00A84695">
      <w:pPr>
        <w:spacing w:line="360" w:lineRule="auto"/>
        <w:ind w:left="720"/>
        <w:jc w:val="both"/>
        <w:rPr>
          <w:rFonts w:ascii="David" w:hAnsi="David"/>
          <w:rtl/>
        </w:rPr>
      </w:pPr>
      <w:r w:rsidRPr="00B40964">
        <w:rPr>
          <w:rFonts w:ascii="David" w:hAnsi="David"/>
          <w:rtl/>
        </w:rPr>
        <w:t xml:space="preserve">חלקו בעבירה המתוארת באישום הראשון, איננו מבוטל. הצדדים לעסקה הגיעו לשיג שלו; העסקה בוצעה בשיג שלו; והוא קיבל מהנאשם 2 את הכסף שהתקבל מהקונה עבור הנשק. הרושם העולה מהתמונה בכללה, הוא שהנאשם 1 היה מעורה גם בעסקה זו.  </w:t>
      </w:r>
    </w:p>
    <w:p w14:paraId="68813B21" w14:textId="77777777" w:rsidR="00A84695" w:rsidRPr="00B40964" w:rsidRDefault="00A84695" w:rsidP="00A84695">
      <w:pPr>
        <w:spacing w:line="360" w:lineRule="auto"/>
        <w:ind w:left="720"/>
        <w:jc w:val="both"/>
        <w:rPr>
          <w:rFonts w:ascii="David" w:hAnsi="David"/>
          <w:b/>
          <w:bCs/>
          <w:rtl/>
        </w:rPr>
      </w:pPr>
    </w:p>
    <w:p w14:paraId="40C653EE" w14:textId="77777777" w:rsidR="00A84695" w:rsidRPr="00B40964" w:rsidRDefault="00A84695" w:rsidP="00A84695">
      <w:pPr>
        <w:spacing w:line="360" w:lineRule="auto"/>
        <w:ind w:left="720"/>
        <w:jc w:val="both"/>
        <w:rPr>
          <w:rFonts w:ascii="David" w:hAnsi="David"/>
          <w:b/>
          <w:bCs/>
          <w:rtl/>
        </w:rPr>
      </w:pPr>
      <w:r w:rsidRPr="00B40964">
        <w:rPr>
          <w:rFonts w:ascii="David" w:hAnsi="David"/>
          <w:b/>
          <w:bCs/>
          <w:rtl/>
        </w:rPr>
        <w:t xml:space="preserve">חלקו של הנאשם 2 </w:t>
      </w:r>
      <w:r w:rsidRPr="00B40964">
        <w:rPr>
          <w:rFonts w:ascii="David" w:hAnsi="David"/>
          <w:rtl/>
        </w:rPr>
        <w:t xml:space="preserve">בעבירה המתוארת באישום הראשון, היה בולט ומרכזי. אתו נוצר הקשר לקראת קיום הפגישה שנועדה למימוש העסקה; הוא פגש בקוני הנשק; הוא עצמו הלך והביא את הנשק; הוא מסר את הנשק לקונה; הוא זה שניהל את ההתמקחות עם הקונים על מחיר הנשק; והוא זה שקיבל לרשותו את כספי העסקה. </w:t>
      </w:r>
      <w:r w:rsidRPr="00B40964">
        <w:rPr>
          <w:rFonts w:ascii="David" w:hAnsi="David"/>
          <w:b/>
          <w:bCs/>
          <w:rtl/>
        </w:rPr>
        <w:t xml:space="preserve"> </w:t>
      </w:r>
    </w:p>
    <w:p w14:paraId="138E9D5E" w14:textId="77777777" w:rsidR="00A84695" w:rsidRPr="00B40964" w:rsidRDefault="00A84695" w:rsidP="00A84695">
      <w:pPr>
        <w:spacing w:line="360" w:lineRule="auto"/>
        <w:ind w:left="720" w:hanging="720"/>
        <w:jc w:val="both"/>
        <w:rPr>
          <w:rFonts w:ascii="David" w:hAnsi="David"/>
          <w:rtl/>
        </w:rPr>
      </w:pPr>
    </w:p>
    <w:p w14:paraId="6137D2B3" w14:textId="77777777" w:rsidR="00A84695" w:rsidRPr="00B40964" w:rsidRDefault="00A84695" w:rsidP="00A84695">
      <w:pPr>
        <w:spacing w:line="360" w:lineRule="auto"/>
        <w:ind w:left="720" w:hanging="720"/>
        <w:jc w:val="both"/>
        <w:rPr>
          <w:rFonts w:ascii="David" w:hAnsi="David"/>
          <w:rtl/>
        </w:rPr>
      </w:pPr>
      <w:r w:rsidRPr="00B40964">
        <w:rPr>
          <w:rFonts w:ascii="David" w:hAnsi="David"/>
          <w:rtl/>
        </w:rPr>
        <w:t>9.</w:t>
      </w:r>
      <w:r w:rsidRPr="00B40964">
        <w:rPr>
          <w:rFonts w:ascii="David" w:hAnsi="David"/>
          <w:rtl/>
        </w:rPr>
        <w:tab/>
        <w:t xml:space="preserve">התופעה של סחר בלתי חוקי בנשק, החזקת נשק בידי אזרחים שאינם מורשים לכך,  ועשיית שימוש פוגעני בנשק, הגיעה לממדים בלתי נסבלים. הידיעות על ירי מנשק ברחובות עיר וגרימת פגיעות גוף ונפש, הפכו לחלק משגרת חיינו. זעקת הציבור – במיוחד בישובים הערביים – עולה לשמים. והעיניים נשואות למערכות אכיפת החוק בציפיה לנקיטה בצעדים הנדרשים לבלימת התופעה. </w:t>
      </w:r>
    </w:p>
    <w:p w14:paraId="359AF5AB" w14:textId="77777777" w:rsidR="00A84695" w:rsidRPr="00B40964" w:rsidRDefault="00A84695" w:rsidP="00A84695">
      <w:pPr>
        <w:spacing w:line="360" w:lineRule="auto"/>
        <w:ind w:left="720" w:hanging="720"/>
        <w:jc w:val="both"/>
        <w:rPr>
          <w:rFonts w:ascii="David" w:hAnsi="David"/>
          <w:rtl/>
        </w:rPr>
      </w:pPr>
      <w:r w:rsidRPr="00B40964">
        <w:rPr>
          <w:rFonts w:ascii="David" w:hAnsi="David"/>
          <w:rtl/>
        </w:rPr>
        <w:tab/>
      </w:r>
    </w:p>
    <w:p w14:paraId="14CF7664" w14:textId="77777777" w:rsidR="00A84695" w:rsidRPr="00B40964" w:rsidRDefault="00A84695" w:rsidP="00A84695">
      <w:pPr>
        <w:spacing w:line="360" w:lineRule="auto"/>
        <w:ind w:left="720"/>
        <w:jc w:val="both"/>
        <w:rPr>
          <w:rFonts w:ascii="David" w:hAnsi="David"/>
          <w:rtl/>
        </w:rPr>
      </w:pPr>
      <w:r w:rsidRPr="00B40964">
        <w:rPr>
          <w:rFonts w:ascii="David" w:hAnsi="David"/>
          <w:rtl/>
        </w:rPr>
        <w:t xml:space="preserve">ואכן, המצב חמור ומחייב שינוס מתניים של כלל הגורמים הנוגעים לענין. </w:t>
      </w:r>
    </w:p>
    <w:p w14:paraId="75FDA8ED" w14:textId="77777777" w:rsidR="00A84695" w:rsidRPr="00B40964" w:rsidRDefault="00A84695" w:rsidP="00A84695">
      <w:pPr>
        <w:spacing w:line="360" w:lineRule="auto"/>
        <w:ind w:left="720" w:hanging="720"/>
        <w:jc w:val="both"/>
        <w:rPr>
          <w:rFonts w:ascii="David" w:hAnsi="David"/>
          <w:rtl/>
        </w:rPr>
      </w:pPr>
    </w:p>
    <w:p w14:paraId="1F467AB2" w14:textId="77777777" w:rsidR="00A84695" w:rsidRPr="00B40964" w:rsidRDefault="00A84695" w:rsidP="00A84695">
      <w:pPr>
        <w:spacing w:line="360" w:lineRule="auto"/>
        <w:ind w:left="720" w:hanging="720"/>
        <w:jc w:val="both"/>
        <w:rPr>
          <w:rFonts w:ascii="David" w:hAnsi="David"/>
          <w:rtl/>
        </w:rPr>
      </w:pPr>
      <w:r w:rsidRPr="00B40964">
        <w:rPr>
          <w:rFonts w:ascii="David" w:hAnsi="David"/>
          <w:rtl/>
        </w:rPr>
        <w:t>10.</w:t>
      </w:r>
      <w:r w:rsidRPr="00B40964">
        <w:rPr>
          <w:rFonts w:ascii="David" w:hAnsi="David"/>
          <w:rtl/>
        </w:rPr>
        <w:tab/>
        <w:t xml:space="preserve">שמירת שלום הציבור ובטחונו מפני הפגיעות הנובעות מזמינותם הגבוהה של כלי נשק המוחזקים באופן בלתי חוקי, הינה ערך ראשון במעלה, המצדיק נקיטה בצעדים, גם חריפים יותר מאלו שננקטו עד כה, הדרושים להשגת המטרה. אין המדובר כאן בתחרות כלכלית בין שני צדדים הגונים בעלי אינטרסים לגיטימיים מנוגדים, שכל צד מבקש שזכויותיו לא יפגעו וההגינות מחייבת למצוא את נקודת האיזון בין הרצונות המנוגדים, אלא בהתנגשות בין ציבור אזרחי המדינה, המבקש לחיות את חייו בבטחון מבלי להיות נתון לסכנות הנובעות מהשימוש הבלתי חוקי בנשק, הגובה מחיר דמים, לבין פרטים עברייניים, הפועלים לקידום מטרותיהם הפרטיות הנלוזות תוך התעלמות מהמחיר שהציבור משלם על כך. במצב דברים זה, קיימת הצדקה מלאה לתנועת נגד, השמה את עיקר המשקל על טובת הציבור ונותנת משקל נמוך לאינטרס הפרטי של העבריין, ומממשת את קו החומרה שהותווה בפסיקת בית המשפט העליון בנוגע לעבירות הנשק, בהטלת עונשי מאסר חמורים. </w:t>
      </w:r>
    </w:p>
    <w:p w14:paraId="6DDDB609" w14:textId="77777777" w:rsidR="00A84695" w:rsidRPr="00B40964" w:rsidRDefault="00A84695" w:rsidP="00A84695">
      <w:pPr>
        <w:spacing w:line="360" w:lineRule="auto"/>
        <w:ind w:left="720" w:hanging="720"/>
        <w:jc w:val="both"/>
        <w:rPr>
          <w:rFonts w:ascii="David" w:hAnsi="David"/>
          <w:rtl/>
        </w:rPr>
      </w:pPr>
      <w:r w:rsidRPr="00B40964">
        <w:rPr>
          <w:rFonts w:ascii="David" w:hAnsi="David"/>
          <w:rtl/>
        </w:rPr>
        <w:tab/>
      </w:r>
    </w:p>
    <w:p w14:paraId="6D9D5A06" w14:textId="77777777" w:rsidR="00A84695" w:rsidRPr="00B40964" w:rsidRDefault="00A84695" w:rsidP="00A84695">
      <w:pPr>
        <w:spacing w:line="360" w:lineRule="auto"/>
        <w:ind w:left="720" w:hanging="720"/>
        <w:jc w:val="both"/>
        <w:rPr>
          <w:rFonts w:ascii="David" w:hAnsi="David"/>
          <w:rtl/>
        </w:rPr>
      </w:pPr>
      <w:r w:rsidRPr="00B40964">
        <w:rPr>
          <w:rFonts w:ascii="David" w:hAnsi="David"/>
          <w:rtl/>
        </w:rPr>
        <w:t>11.</w:t>
      </w:r>
      <w:r w:rsidRPr="00B40964">
        <w:rPr>
          <w:rFonts w:ascii="David" w:hAnsi="David"/>
          <w:rtl/>
        </w:rPr>
        <w:tab/>
        <w:t>מדיניות ענישה היא דבר דינמי, היכול להשתנות בהתאם לצורך ולהתפתחויות. כשתופעה עבריינית מסוימת מרימה ראש ומתגברת, ניתן להגיב לכך בהחמרת הענישה, ובהמשך, עם התמתנות התופעה, לבחון את צרכי הענישה העדכניים. דוגמא בולטת לכך ניתן לראות בענישת עבירות סיכון חיי אדם בנתיב תחבורה. במשך תקופה של מספר שנים, בהן התופעה של נהיגה פרועה המסכנת את המשתמשים בדרך הלכה והתרחבה, במיוחד באזור הדרום, בית המשפט העליון קבע מדיניות ענישה מחמירה, במסגרתה הוטלו עונשי מאסר בפועל לתקופות שנעו סביב ה- 4 שנים, ובתי המשפט הדיוניים מימשו מדיניות זו. ברבות הזמן, החמרת הענישה השיגה את המטרה ומיתנה משמעותית את התופעה, והענישה חזרה לרמתה הקודמת. כך מתבקש לעשות בעת הזאת בענין עבירות הנשק.</w:t>
      </w:r>
    </w:p>
    <w:p w14:paraId="4893819B" w14:textId="77777777" w:rsidR="00A84695" w:rsidRPr="00B40964" w:rsidRDefault="00A84695" w:rsidP="00A84695">
      <w:pPr>
        <w:spacing w:line="360" w:lineRule="auto"/>
        <w:ind w:left="720" w:hanging="720"/>
        <w:jc w:val="both"/>
        <w:rPr>
          <w:rFonts w:ascii="David" w:hAnsi="David"/>
          <w:rtl/>
        </w:rPr>
      </w:pPr>
      <w:r w:rsidRPr="00B40964">
        <w:rPr>
          <w:rFonts w:ascii="David" w:hAnsi="David"/>
          <w:rtl/>
        </w:rPr>
        <w:tab/>
      </w:r>
    </w:p>
    <w:p w14:paraId="5DDFE0A9" w14:textId="77777777" w:rsidR="00A84695" w:rsidRPr="00B40964" w:rsidRDefault="00A84695" w:rsidP="00A84695">
      <w:pPr>
        <w:spacing w:line="360" w:lineRule="auto"/>
        <w:ind w:left="720" w:hanging="720"/>
        <w:jc w:val="both"/>
        <w:rPr>
          <w:rFonts w:ascii="David" w:hAnsi="David"/>
          <w:rtl/>
        </w:rPr>
      </w:pPr>
      <w:r w:rsidRPr="00B40964">
        <w:rPr>
          <w:rFonts w:ascii="David" w:hAnsi="David"/>
          <w:rtl/>
        </w:rPr>
        <w:t>12.</w:t>
      </w:r>
      <w:r w:rsidRPr="00B40964">
        <w:rPr>
          <w:rFonts w:ascii="David" w:hAnsi="David"/>
          <w:rtl/>
        </w:rPr>
        <w:tab/>
        <w:t xml:space="preserve">הגם שהעבירות הפליליות החמורות שונות אלו מאלו מבחינת טיבן ומהותן, הרי שהענישה לגביהן שומרת על יחס מסוים של התאמה. למרות השוני הידוע בין עבירות הנשק לעבירות הסמים, הרי שיש ביניהן קווי דמיון וקרבה מסוימים. בשני המקרים מדובר במוצר האסור להחזקה, שמטיבו עלול לפגוע בפרט ובחברה בכללה, שהחברה החליטה לאסור עליו מלחמה. </w:t>
      </w:r>
    </w:p>
    <w:p w14:paraId="70BAACED" w14:textId="77777777" w:rsidR="00A84695" w:rsidRPr="00B40964" w:rsidRDefault="00A84695" w:rsidP="00A84695">
      <w:pPr>
        <w:spacing w:line="360" w:lineRule="auto"/>
        <w:ind w:left="720"/>
        <w:jc w:val="both"/>
        <w:rPr>
          <w:rFonts w:ascii="David" w:hAnsi="David"/>
          <w:rtl/>
        </w:rPr>
      </w:pPr>
      <w:r w:rsidRPr="00B40964">
        <w:rPr>
          <w:rFonts w:ascii="David" w:hAnsi="David"/>
          <w:rtl/>
        </w:rPr>
        <w:t xml:space="preserve">העונשים הקבועים בחוק לעבירות הסמים והנשק (במופען החמור יותר) הם מהחמורים שבחוק  העונשין, ומדיניות הענישה ביחס לשני סוגי העבירות היא של חומרה מובהקת. </w:t>
      </w:r>
    </w:p>
    <w:p w14:paraId="4488F1C4" w14:textId="77777777" w:rsidR="00A84695" w:rsidRPr="00B40964" w:rsidRDefault="00A84695" w:rsidP="00A84695">
      <w:pPr>
        <w:spacing w:line="360" w:lineRule="auto"/>
        <w:ind w:left="720"/>
        <w:jc w:val="both"/>
        <w:rPr>
          <w:rFonts w:ascii="David" w:hAnsi="David"/>
          <w:rtl/>
        </w:rPr>
      </w:pPr>
    </w:p>
    <w:p w14:paraId="54AFB4CF" w14:textId="77777777" w:rsidR="00A84695" w:rsidRPr="00B40964" w:rsidRDefault="00A84695" w:rsidP="00A84695">
      <w:pPr>
        <w:spacing w:line="360" w:lineRule="auto"/>
        <w:ind w:left="720"/>
        <w:jc w:val="both"/>
        <w:rPr>
          <w:rFonts w:ascii="David" w:hAnsi="David"/>
          <w:b/>
          <w:rtl/>
          <w:lang w:eastAsia="he-IL"/>
        </w:rPr>
      </w:pPr>
      <w:r w:rsidRPr="00B40964">
        <w:rPr>
          <w:rFonts w:ascii="David" w:hAnsi="David"/>
          <w:rtl/>
        </w:rPr>
        <w:t xml:space="preserve">מי שמוכר או מחזיק שלא לצריכה עצמית, 50 או 100 גרם סם "קשה", כמו הרואין או קוקאין, צפוי לעונש של כ- 4 שנות מאסר בפועל. (ראה </w:t>
      </w:r>
      <w:hyperlink r:id="rId32" w:history="1">
        <w:r w:rsidR="00393BA8" w:rsidRPr="00393BA8">
          <w:rPr>
            <w:rFonts w:ascii="David" w:hAnsi="David"/>
            <w:color w:val="0000FF"/>
            <w:u w:val="single"/>
            <w:rtl/>
            <w:lang w:eastAsia="he-IL"/>
          </w:rPr>
          <w:t>ע"פ  1905/12</w:t>
        </w:r>
      </w:hyperlink>
      <w:r w:rsidRPr="00B40964">
        <w:rPr>
          <w:rFonts w:ascii="David" w:hAnsi="David"/>
          <w:rtl/>
          <w:lang w:eastAsia="he-IL"/>
        </w:rPr>
        <w:t xml:space="preserve"> אליהו דהן נ' מדינת ישראל (פורסם בנבו,08.11.12); </w:t>
      </w:r>
      <w:hyperlink r:id="rId33" w:history="1">
        <w:r w:rsidR="00393BA8" w:rsidRPr="00393BA8">
          <w:rPr>
            <w:rFonts w:ascii="David" w:hAnsi="David"/>
            <w:color w:val="0000FF"/>
            <w:u w:val="single"/>
            <w:rtl/>
            <w:lang w:eastAsia="he-IL"/>
          </w:rPr>
          <w:t>ת"פ 8163/04</w:t>
        </w:r>
      </w:hyperlink>
      <w:r w:rsidRPr="00B40964">
        <w:rPr>
          <w:rFonts w:ascii="David" w:hAnsi="David"/>
          <w:rtl/>
          <w:lang w:eastAsia="he-IL"/>
        </w:rPr>
        <w:t xml:space="preserve"> מדינת ישראל נ' פאיז בן סאלם אבו זקיקה (פורסם בנבו, 07.04.05); </w:t>
      </w:r>
      <w:hyperlink r:id="rId34" w:history="1">
        <w:r w:rsidR="00393BA8" w:rsidRPr="00393BA8">
          <w:rPr>
            <w:rFonts w:ascii="David" w:hAnsi="David"/>
            <w:color w:val="0000FF"/>
            <w:u w:val="single"/>
            <w:rtl/>
            <w:lang w:eastAsia="he-IL"/>
          </w:rPr>
          <w:t>ע"פ 4938/00</w:t>
        </w:r>
      </w:hyperlink>
      <w:r w:rsidRPr="00B40964">
        <w:rPr>
          <w:rFonts w:ascii="David" w:hAnsi="David"/>
          <w:rtl/>
          <w:lang w:eastAsia="he-IL"/>
        </w:rPr>
        <w:t xml:space="preserve"> כרים זידאן נ' מדינת ישראל </w:t>
      </w:r>
      <w:r w:rsidR="00547C8B" w:rsidRPr="00547C8B">
        <w:rPr>
          <w:sz w:val="22"/>
          <w:rtl/>
          <w:lang w:eastAsia="he-IL"/>
        </w:rPr>
        <w:t xml:space="preserve">[פורסם בנבו] </w:t>
      </w:r>
      <w:r w:rsidRPr="00B40964">
        <w:rPr>
          <w:rFonts w:ascii="David" w:hAnsi="David"/>
          <w:rtl/>
          <w:lang w:eastAsia="he-IL"/>
        </w:rPr>
        <w:t xml:space="preserve">(07.06.01); </w:t>
      </w:r>
      <w:hyperlink r:id="rId35" w:history="1">
        <w:r w:rsidR="00393BA8" w:rsidRPr="00393BA8">
          <w:rPr>
            <w:rFonts w:ascii="David" w:hAnsi="David"/>
            <w:color w:val="0000FF"/>
            <w:u w:val="single"/>
            <w:rtl/>
            <w:lang w:eastAsia="he-IL"/>
          </w:rPr>
          <w:t>ע"פ 6839/97</w:t>
        </w:r>
      </w:hyperlink>
      <w:r w:rsidRPr="00B40964">
        <w:rPr>
          <w:rFonts w:ascii="David" w:hAnsi="David"/>
          <w:rtl/>
          <w:lang w:eastAsia="he-IL"/>
        </w:rPr>
        <w:t xml:space="preserve"> מרדכי עזרן נ' מדינת ישראל (פורסם בנבו 28.04.98);</w:t>
      </w:r>
      <w:r w:rsidRPr="00B40964">
        <w:rPr>
          <w:rFonts w:ascii="David" w:hAnsi="David"/>
          <w:b/>
          <w:rtl/>
          <w:lang w:eastAsia="he-IL"/>
        </w:rPr>
        <w:t xml:space="preserve"> </w:t>
      </w:r>
      <w:hyperlink r:id="rId36" w:history="1">
        <w:r w:rsidR="00393BA8" w:rsidRPr="00393BA8">
          <w:rPr>
            <w:rFonts w:ascii="David" w:hAnsi="David"/>
            <w:b/>
            <w:color w:val="0000FF"/>
            <w:u w:val="single"/>
            <w:rtl/>
            <w:lang w:eastAsia="he-IL"/>
          </w:rPr>
          <w:t>ע"פ 211/09</w:t>
        </w:r>
      </w:hyperlink>
      <w:r w:rsidRPr="00B40964">
        <w:rPr>
          <w:rFonts w:ascii="David" w:hAnsi="David"/>
          <w:b/>
          <w:rtl/>
          <w:lang w:eastAsia="he-IL"/>
        </w:rPr>
        <w:t xml:space="preserve"> שמעון אזולאי נ' מדינת ישראל (פורסם בנבו, 22.06.10)).</w:t>
      </w:r>
    </w:p>
    <w:p w14:paraId="73B84369" w14:textId="77777777" w:rsidR="00A84695" w:rsidRPr="00B40964" w:rsidRDefault="00A84695" w:rsidP="00A84695">
      <w:pPr>
        <w:spacing w:line="360" w:lineRule="auto"/>
        <w:ind w:left="720"/>
        <w:jc w:val="both"/>
        <w:rPr>
          <w:rFonts w:ascii="David" w:hAnsi="David"/>
          <w:rtl/>
        </w:rPr>
      </w:pPr>
    </w:p>
    <w:p w14:paraId="7EFF07A8" w14:textId="77777777" w:rsidR="00A84695" w:rsidRDefault="00A84695" w:rsidP="00A84695">
      <w:pPr>
        <w:spacing w:line="360" w:lineRule="auto"/>
        <w:ind w:left="720"/>
        <w:jc w:val="both"/>
        <w:rPr>
          <w:rFonts w:ascii="David" w:hAnsi="David"/>
          <w:rtl/>
        </w:rPr>
      </w:pPr>
      <w:r w:rsidRPr="00B40964">
        <w:rPr>
          <w:rFonts w:ascii="David" w:hAnsi="David"/>
          <w:rtl/>
        </w:rPr>
        <w:t xml:space="preserve">הסכנות לציבור הכרוכות במכירת תת מקלע למי שאינו מורשה להחזיקו, אינן נופלות בחומרתן ובהיקפן מהסכנות הנובעות ממכירת עשרות גרמים של סמים קשים. הדבר צריך לקבל ביטוי מתאים בענישת עבירות הנשק, שיעמיד את הענישה במיקום היחסי הראוי לה בין העבירות החמורות. </w:t>
      </w:r>
    </w:p>
    <w:p w14:paraId="18D5A342" w14:textId="77777777" w:rsidR="00A84695" w:rsidRPr="00B40964" w:rsidRDefault="00A84695" w:rsidP="00A84695">
      <w:pPr>
        <w:spacing w:line="360" w:lineRule="auto"/>
        <w:ind w:left="720"/>
        <w:jc w:val="both"/>
        <w:rPr>
          <w:rFonts w:ascii="David" w:hAnsi="David"/>
          <w:rtl/>
        </w:rPr>
      </w:pPr>
    </w:p>
    <w:p w14:paraId="56E4CBC1" w14:textId="77777777" w:rsidR="00A84695" w:rsidRPr="00B40964" w:rsidRDefault="00A84695" w:rsidP="00A84695">
      <w:pPr>
        <w:spacing w:line="360" w:lineRule="auto"/>
        <w:ind w:left="720" w:hanging="720"/>
        <w:jc w:val="both"/>
        <w:rPr>
          <w:rFonts w:ascii="David" w:hAnsi="David"/>
          <w:rtl/>
        </w:rPr>
      </w:pPr>
    </w:p>
    <w:p w14:paraId="22698E78" w14:textId="77777777" w:rsidR="00A84695" w:rsidRPr="00B40964" w:rsidRDefault="00A84695" w:rsidP="00A84695">
      <w:pPr>
        <w:spacing w:line="360" w:lineRule="auto"/>
        <w:ind w:left="720" w:hanging="720"/>
        <w:jc w:val="both"/>
        <w:rPr>
          <w:rFonts w:ascii="David" w:hAnsi="David"/>
          <w:rtl/>
        </w:rPr>
      </w:pPr>
      <w:r w:rsidRPr="00B40964">
        <w:rPr>
          <w:rFonts w:ascii="David" w:hAnsi="David"/>
          <w:rtl/>
        </w:rPr>
        <w:t>13.</w:t>
      </w:r>
      <w:r w:rsidRPr="00B40964">
        <w:rPr>
          <w:rFonts w:ascii="David" w:hAnsi="David"/>
          <w:rtl/>
        </w:rPr>
        <w:tab/>
        <w:t>המרכיבים העיקריים לקביעת מתחם העונש ההולם הם, חומרת מעשה העבירה בנסיבותיו ומידת אשמו של הנאשם. בדרך כלל, בעבירת סחר בנשק או עשיית עסקה אחרת בו, נסיבות ביצוע העבירה הן די דומות, והשוני מתבטא בסוג הנשק ובכמותו. כך שכאשר מדובר בעבירת סחר או עשיית עסקה אחרת ברובה אחד, ובנסיבות של מידת אשם גבוהה של הנאשם, ניתן לקבוע עמדת מוצא כללית למתחם העונש ההולם. דבר זה הולם את הרעיון שביסוד ההסדר החוקי של הבניית שיקול הדעת השיפוטי בענישה הבא לביטוי בתיקון 113 ל</w:t>
      </w:r>
      <w:hyperlink r:id="rId37" w:history="1">
        <w:r w:rsidR="00393BA8" w:rsidRPr="00393BA8">
          <w:rPr>
            <w:rFonts w:ascii="David" w:hAnsi="David"/>
            <w:color w:val="0000FF"/>
            <w:u w:val="single"/>
            <w:rtl/>
          </w:rPr>
          <w:t>חוק העונשין</w:t>
        </w:r>
      </w:hyperlink>
      <w:r w:rsidRPr="00B40964">
        <w:rPr>
          <w:rFonts w:ascii="David" w:hAnsi="David"/>
          <w:rtl/>
        </w:rPr>
        <w:t xml:space="preserve">. </w:t>
      </w:r>
    </w:p>
    <w:p w14:paraId="468B65E3" w14:textId="77777777" w:rsidR="00A84695" w:rsidRPr="00B40964" w:rsidRDefault="00A84695" w:rsidP="00A84695">
      <w:pPr>
        <w:spacing w:line="360" w:lineRule="auto"/>
        <w:ind w:left="720"/>
        <w:jc w:val="both"/>
        <w:rPr>
          <w:rFonts w:ascii="David" w:hAnsi="David"/>
          <w:rtl/>
        </w:rPr>
      </w:pPr>
      <w:r w:rsidRPr="00B40964">
        <w:rPr>
          <w:rFonts w:ascii="David" w:hAnsi="David"/>
          <w:rtl/>
        </w:rPr>
        <w:tab/>
        <w:t xml:space="preserve"> </w:t>
      </w:r>
      <w:r w:rsidRPr="00B40964">
        <w:rPr>
          <w:rFonts w:ascii="David" w:hAnsi="David"/>
          <w:rtl/>
        </w:rPr>
        <w:tab/>
        <w:t xml:space="preserve"> </w:t>
      </w:r>
    </w:p>
    <w:p w14:paraId="6CD09C90" w14:textId="77777777" w:rsidR="00A84695" w:rsidRPr="00B40964" w:rsidRDefault="00A84695" w:rsidP="00A84695">
      <w:pPr>
        <w:spacing w:line="360" w:lineRule="auto"/>
        <w:ind w:left="1440"/>
        <w:jc w:val="both"/>
        <w:rPr>
          <w:rFonts w:ascii="David" w:hAnsi="David"/>
          <w:rtl/>
          <w:lang w:eastAsia="he-IL"/>
        </w:rPr>
      </w:pPr>
      <w:r w:rsidRPr="00B40964">
        <w:rPr>
          <w:rFonts w:ascii="David" w:hAnsi="David"/>
          <w:rtl/>
          <w:lang w:eastAsia="he-IL"/>
        </w:rPr>
        <w:t xml:space="preserve">"כמוסכם על הכל, נקודת המוצא לבחינת העונש ההולם דבר עבירה הוא בקביעת מתחם הענישה הראוי לעבירה בנסיבותיה (ובכללן מידת האשם של מבצע העבירה). </w:t>
      </w:r>
      <w:r w:rsidRPr="00B40964">
        <w:rPr>
          <w:rFonts w:ascii="David" w:hAnsi="David"/>
          <w:b/>
          <w:bCs/>
          <w:rtl/>
          <w:lang w:eastAsia="he-IL"/>
        </w:rPr>
        <w:t>ברי, כי אין משמעות הדבר שבכל מקרה ומקרה 'יומצא הגלגל מחדש', וייקבע מתחם ענישה המותאם לנסיבות הספציפיות של ההליך. קביעה שכזאת הייתה מרוקנת מתוכן את סעיף החוק והיא נוגדת את תכליתו.</w:t>
      </w:r>
      <w:r w:rsidRPr="00B40964">
        <w:rPr>
          <w:rFonts w:ascii="David" w:hAnsi="David"/>
          <w:rtl/>
          <w:lang w:eastAsia="he-IL"/>
        </w:rPr>
        <w:t xml:space="preserve"> מאידך, אין לקבוע מתחם ענישה כללי, הכולל קשת רחבה מאוד של מעשים אפשריים. ככל שעסקינן בעבירות דוגמת עבירת השוד, בה ניתן להצביע על מדרג של חומרה, עלינו לזהות את מתחם הענישה הראוי לקבוצות המעשים הדומים בנסיבותיהם..." (</w:t>
      </w:r>
      <w:hyperlink r:id="rId38" w:history="1">
        <w:r w:rsidR="00393BA8" w:rsidRPr="00393BA8">
          <w:rPr>
            <w:rFonts w:ascii="David" w:hAnsi="David"/>
            <w:color w:val="0000FF"/>
            <w:u w:val="single"/>
            <w:rtl/>
            <w:lang w:eastAsia="he-IL"/>
          </w:rPr>
          <w:t>ע"פ 7655/12</w:t>
        </w:r>
      </w:hyperlink>
      <w:r w:rsidRPr="00B40964">
        <w:rPr>
          <w:rFonts w:ascii="David" w:hAnsi="David"/>
          <w:rtl/>
          <w:lang w:eastAsia="he-IL"/>
        </w:rPr>
        <w:t xml:space="preserve"> </w:t>
      </w:r>
      <w:r w:rsidRPr="00B40964">
        <w:rPr>
          <w:rFonts w:ascii="David" w:hAnsi="David"/>
          <w:b/>
          <w:bCs/>
          <w:rtl/>
          <w:lang w:eastAsia="he-IL"/>
        </w:rPr>
        <w:t>פייסל</w:t>
      </w:r>
      <w:r w:rsidRPr="00B40964">
        <w:rPr>
          <w:rFonts w:ascii="David" w:hAnsi="David"/>
          <w:rtl/>
          <w:lang w:eastAsia="he-IL"/>
        </w:rPr>
        <w:t xml:space="preserve"> נ' </w:t>
      </w:r>
      <w:r w:rsidRPr="00B40964">
        <w:rPr>
          <w:rFonts w:ascii="David" w:hAnsi="David"/>
          <w:b/>
          <w:bCs/>
          <w:rtl/>
          <w:lang w:eastAsia="he-IL"/>
        </w:rPr>
        <w:t>מדינת ישראל</w:t>
      </w:r>
      <w:r w:rsidRPr="00B40964">
        <w:rPr>
          <w:rFonts w:ascii="David" w:hAnsi="David"/>
          <w:rtl/>
          <w:lang w:eastAsia="he-IL"/>
        </w:rPr>
        <w:t>, [פורסם בנבו], פסקה 7 (4.4.2013)).</w:t>
      </w:r>
    </w:p>
    <w:p w14:paraId="1A133E1F" w14:textId="77777777" w:rsidR="00A84695" w:rsidRPr="00B40964" w:rsidRDefault="00A84695" w:rsidP="00A84695">
      <w:pPr>
        <w:spacing w:line="360" w:lineRule="auto"/>
        <w:ind w:left="720" w:hanging="720"/>
        <w:jc w:val="both"/>
        <w:rPr>
          <w:rFonts w:ascii="David" w:hAnsi="David"/>
          <w:rtl/>
        </w:rPr>
      </w:pPr>
    </w:p>
    <w:p w14:paraId="6F42DDD6" w14:textId="77777777" w:rsidR="00A84695" w:rsidRPr="00B40964" w:rsidRDefault="00A84695" w:rsidP="00A84695">
      <w:pPr>
        <w:spacing w:line="360" w:lineRule="auto"/>
        <w:ind w:left="720" w:hanging="720"/>
        <w:jc w:val="both"/>
        <w:rPr>
          <w:rFonts w:ascii="David" w:hAnsi="David"/>
          <w:rtl/>
        </w:rPr>
      </w:pPr>
    </w:p>
    <w:p w14:paraId="73454BE2" w14:textId="77777777" w:rsidR="00A84695" w:rsidRPr="00B40964" w:rsidRDefault="00A84695" w:rsidP="00A84695">
      <w:pPr>
        <w:spacing w:line="360" w:lineRule="auto"/>
        <w:ind w:left="720"/>
        <w:jc w:val="both"/>
        <w:rPr>
          <w:rFonts w:ascii="David" w:hAnsi="David"/>
          <w:rtl/>
        </w:rPr>
      </w:pPr>
      <w:r w:rsidRPr="00B40964">
        <w:rPr>
          <w:rFonts w:ascii="David" w:hAnsi="David"/>
          <w:rtl/>
        </w:rPr>
        <w:t xml:space="preserve">כך למשל נעשה בנוגע לעבירות הכניסה לישראל שלא כדין - שגם בהן נסיבות ביצוע העבירה בדרך כלל דומות או אינן משנות לענין העונש - אשר הפסיקה אפיינה אותן  בהתאם לנסיבותיהן וקבעה להן מעין נקודות מוצא עונשיות, כלליות. (ראה </w:t>
      </w:r>
      <w:hyperlink r:id="rId39" w:history="1">
        <w:r w:rsidR="00393BA8" w:rsidRPr="00393BA8">
          <w:rPr>
            <w:rFonts w:ascii="David" w:hAnsi="David"/>
            <w:color w:val="0000FF"/>
            <w:u w:val="single"/>
            <w:rtl/>
          </w:rPr>
          <w:t>רע"פ 3173/09</w:t>
        </w:r>
      </w:hyperlink>
      <w:r w:rsidRPr="00B40964">
        <w:rPr>
          <w:rFonts w:ascii="David" w:hAnsi="David"/>
          <w:rtl/>
        </w:rPr>
        <w:t xml:space="preserve"> מוחמד פראגין נ' מדינת ישראל (פורסם בנבו, 05.05.09); </w:t>
      </w:r>
      <w:hyperlink r:id="rId40" w:history="1">
        <w:r w:rsidR="00393BA8" w:rsidRPr="00393BA8">
          <w:rPr>
            <w:rFonts w:ascii="David" w:hAnsi="David"/>
            <w:color w:val="0000FF"/>
            <w:u w:val="single"/>
            <w:rtl/>
          </w:rPr>
          <w:t>רע"פ 3677/13</w:t>
        </w:r>
      </w:hyperlink>
      <w:r w:rsidRPr="00B40964">
        <w:rPr>
          <w:rFonts w:ascii="David" w:hAnsi="David"/>
          <w:rtl/>
        </w:rPr>
        <w:t xml:space="preserve"> מוחמד אלהרוש נ' מדינת ישראל (פורסם בנבו, 09.12.14)).</w:t>
      </w:r>
    </w:p>
    <w:p w14:paraId="447D01BB" w14:textId="77777777" w:rsidR="00A84695" w:rsidRPr="00B40964" w:rsidRDefault="00A84695" w:rsidP="00A84695">
      <w:pPr>
        <w:spacing w:line="360" w:lineRule="auto"/>
        <w:ind w:left="720" w:hanging="720"/>
        <w:jc w:val="both"/>
        <w:rPr>
          <w:rFonts w:ascii="David" w:hAnsi="David"/>
          <w:rtl/>
        </w:rPr>
      </w:pPr>
    </w:p>
    <w:p w14:paraId="0AB83AAE" w14:textId="77777777" w:rsidR="00A84695" w:rsidRPr="00B40964" w:rsidRDefault="00A84695" w:rsidP="00A84695">
      <w:pPr>
        <w:spacing w:line="360" w:lineRule="auto"/>
        <w:ind w:left="720" w:hanging="720"/>
        <w:jc w:val="both"/>
        <w:rPr>
          <w:rFonts w:ascii="David" w:hAnsi="David"/>
          <w:rtl/>
        </w:rPr>
      </w:pPr>
      <w:r w:rsidRPr="00B40964">
        <w:rPr>
          <w:rFonts w:ascii="David" w:hAnsi="David"/>
          <w:rtl/>
        </w:rPr>
        <w:t>14.</w:t>
      </w:r>
      <w:r w:rsidRPr="00B40964">
        <w:rPr>
          <w:rFonts w:ascii="David" w:hAnsi="David"/>
          <w:rtl/>
        </w:rPr>
        <w:tab/>
        <w:t xml:space="preserve">נראה לי שנקודת המוצא של החלק התחתון של מתחם העונש ההולם לעבירת סחר בנשק או עשיית עסקה אחרת בו שיש עמה מסירת החזקה בנשק לזולת (לפי </w:t>
      </w:r>
      <w:hyperlink r:id="rId41" w:history="1">
        <w:r w:rsidR="009D1125" w:rsidRPr="009D1125">
          <w:rPr>
            <w:rFonts w:ascii="David" w:hAnsi="David"/>
            <w:color w:val="0000FF"/>
            <w:u w:val="single"/>
            <w:rtl/>
          </w:rPr>
          <w:t>סעיף 144(ב2)</w:t>
        </w:r>
      </w:hyperlink>
      <w:r w:rsidRPr="00B40964">
        <w:rPr>
          <w:rFonts w:ascii="David" w:hAnsi="David"/>
          <w:rtl/>
        </w:rPr>
        <w:t xml:space="preserve"> ל</w:t>
      </w:r>
      <w:hyperlink r:id="rId42" w:history="1">
        <w:r w:rsidR="00393BA8" w:rsidRPr="00393BA8">
          <w:rPr>
            <w:rFonts w:ascii="David" w:hAnsi="David"/>
            <w:color w:val="0000FF"/>
            <w:u w:val="single"/>
            <w:rtl/>
          </w:rPr>
          <w:t>חוק העונשין</w:t>
        </w:r>
      </w:hyperlink>
      <w:r w:rsidRPr="00B40964">
        <w:rPr>
          <w:rFonts w:ascii="David" w:hAnsi="David"/>
          <w:rtl/>
        </w:rPr>
        <w:t xml:space="preserve">) כשמדובר ברובה אחד </w:t>
      </w:r>
      <w:r w:rsidRPr="00B40964">
        <w:rPr>
          <w:rFonts w:ascii="David" w:hAnsi="David"/>
          <w:b/>
          <w:bCs/>
          <w:rtl/>
        </w:rPr>
        <w:t>ובמידת אשם גבוהה של הנאשם</w:t>
      </w:r>
      <w:r w:rsidRPr="00B40964">
        <w:rPr>
          <w:rFonts w:ascii="David" w:hAnsi="David"/>
          <w:rtl/>
        </w:rPr>
        <w:t xml:space="preserve">, צריכה להיות 3 שנות מאסר בפועל. בהקשר לכך יוזכר כי העונש הקבוע לעבירת הסחר בנשק הינו 15 שנות מאסר, כך שהפרופורציה בהחלט נשמרת. (ראה והשווה, </w:t>
      </w:r>
      <w:hyperlink r:id="rId43" w:history="1">
        <w:r w:rsidR="00393BA8" w:rsidRPr="00393BA8">
          <w:rPr>
            <w:rFonts w:ascii="David" w:hAnsi="David"/>
            <w:color w:val="0000FF"/>
            <w:u w:val="single"/>
            <w:rtl/>
          </w:rPr>
          <w:t>ע"פ 785/15</w:t>
        </w:r>
      </w:hyperlink>
      <w:r w:rsidRPr="00B40964">
        <w:rPr>
          <w:rFonts w:ascii="David" w:hAnsi="David"/>
          <w:rtl/>
        </w:rPr>
        <w:t xml:space="preserve"> </w:t>
      </w:r>
      <w:r w:rsidRPr="00B40964">
        <w:rPr>
          <w:rFonts w:ascii="David" w:hAnsi="David"/>
          <w:b/>
          <w:bCs/>
          <w:rtl/>
        </w:rPr>
        <w:t xml:space="preserve">איהב פואקה </w:t>
      </w:r>
      <w:r w:rsidRPr="00B40964">
        <w:rPr>
          <w:rFonts w:ascii="David" w:hAnsi="David"/>
          <w:rtl/>
        </w:rPr>
        <w:t xml:space="preserve">נ' </w:t>
      </w:r>
      <w:r w:rsidRPr="00B40964">
        <w:rPr>
          <w:rFonts w:ascii="David" w:hAnsi="David"/>
          <w:b/>
          <w:bCs/>
          <w:rtl/>
        </w:rPr>
        <w:t>מדינת ישראל</w:t>
      </w:r>
      <w:r w:rsidR="00547C8B">
        <w:rPr>
          <w:rFonts w:ascii="David" w:hAnsi="David" w:hint="cs"/>
          <w:b/>
          <w:bCs/>
          <w:rtl/>
        </w:rPr>
        <w:t xml:space="preserve"> </w:t>
      </w:r>
      <w:r w:rsidR="00547C8B" w:rsidRPr="00547C8B">
        <w:rPr>
          <w:sz w:val="22"/>
          <w:rtl/>
        </w:rPr>
        <w:t xml:space="preserve">[פורסם בנבו] </w:t>
      </w:r>
      <w:r w:rsidRPr="00B40964">
        <w:rPr>
          <w:rFonts w:ascii="David" w:hAnsi="David"/>
          <w:b/>
          <w:bCs/>
          <w:rtl/>
        </w:rPr>
        <w:t xml:space="preserve">; </w:t>
      </w:r>
      <w:hyperlink r:id="rId44" w:history="1">
        <w:r w:rsidR="00393BA8" w:rsidRPr="00393BA8">
          <w:rPr>
            <w:rFonts w:ascii="David" w:hAnsi="David"/>
            <w:color w:val="0000FF"/>
            <w:u w:val="single"/>
            <w:rtl/>
          </w:rPr>
          <w:t>ע"פ 971/19</w:t>
        </w:r>
      </w:hyperlink>
      <w:r w:rsidRPr="00B40964">
        <w:rPr>
          <w:rFonts w:ascii="David" w:hAnsi="David"/>
          <w:rtl/>
        </w:rPr>
        <w:t xml:space="preserve"> </w:t>
      </w:r>
      <w:r w:rsidRPr="00B40964">
        <w:rPr>
          <w:rFonts w:ascii="David" w:hAnsi="David"/>
          <w:b/>
          <w:bCs/>
          <w:rtl/>
        </w:rPr>
        <w:t xml:space="preserve">מדינת ישראל </w:t>
      </w:r>
      <w:r w:rsidRPr="00B40964">
        <w:rPr>
          <w:rFonts w:ascii="David" w:hAnsi="David"/>
          <w:rtl/>
        </w:rPr>
        <w:t xml:space="preserve">נ' </w:t>
      </w:r>
      <w:r w:rsidRPr="00B40964">
        <w:rPr>
          <w:rFonts w:ascii="David" w:hAnsi="David"/>
          <w:b/>
          <w:bCs/>
          <w:rtl/>
        </w:rPr>
        <w:t>מחמד געביס</w:t>
      </w:r>
      <w:r w:rsidR="00547C8B">
        <w:rPr>
          <w:rFonts w:ascii="David" w:hAnsi="David" w:hint="cs"/>
          <w:b/>
          <w:bCs/>
          <w:rtl/>
        </w:rPr>
        <w:t xml:space="preserve"> </w:t>
      </w:r>
      <w:r w:rsidR="00547C8B" w:rsidRPr="00547C8B">
        <w:rPr>
          <w:sz w:val="22"/>
          <w:rtl/>
        </w:rPr>
        <w:t xml:space="preserve">[פורסם בנבו] </w:t>
      </w:r>
      <w:r w:rsidRPr="00B40964">
        <w:rPr>
          <w:rFonts w:ascii="David" w:hAnsi="David"/>
          <w:rtl/>
        </w:rPr>
        <w:t>)</w:t>
      </w:r>
      <w:r w:rsidRPr="00B40964">
        <w:rPr>
          <w:rFonts w:ascii="David" w:hAnsi="David"/>
          <w:b/>
          <w:bCs/>
          <w:rtl/>
        </w:rPr>
        <w:t xml:space="preserve"> </w:t>
      </w:r>
    </w:p>
    <w:p w14:paraId="58AFCD39" w14:textId="77777777" w:rsidR="00A84695" w:rsidRPr="00B40964" w:rsidRDefault="00A84695" w:rsidP="00A84695">
      <w:pPr>
        <w:spacing w:line="360" w:lineRule="auto"/>
        <w:ind w:left="720"/>
        <w:jc w:val="both"/>
        <w:rPr>
          <w:rFonts w:ascii="David" w:hAnsi="David"/>
          <w:rtl/>
        </w:rPr>
      </w:pPr>
    </w:p>
    <w:p w14:paraId="6B60DD65" w14:textId="77777777" w:rsidR="00A84695" w:rsidRPr="00B40964" w:rsidRDefault="00A84695" w:rsidP="00A84695">
      <w:pPr>
        <w:spacing w:line="360" w:lineRule="auto"/>
        <w:ind w:left="720" w:hanging="720"/>
        <w:jc w:val="both"/>
        <w:rPr>
          <w:rFonts w:ascii="David" w:hAnsi="David"/>
          <w:rtl/>
        </w:rPr>
      </w:pPr>
      <w:r w:rsidRPr="00B40964">
        <w:rPr>
          <w:rFonts w:ascii="David" w:hAnsi="David"/>
          <w:rtl/>
        </w:rPr>
        <w:t>15.</w:t>
      </w:r>
      <w:r w:rsidRPr="00B40964">
        <w:rPr>
          <w:rFonts w:ascii="David" w:hAnsi="David"/>
          <w:rtl/>
        </w:rPr>
        <w:tab/>
        <w:t xml:space="preserve">כפי שכבר נקבע, מידת האשם של כל אחד מהנאשמים בקשר למעשים בהם נטלו חלק, הינה משמעותית. </w:t>
      </w:r>
    </w:p>
    <w:p w14:paraId="7E1A55C9" w14:textId="77777777" w:rsidR="00A84695" w:rsidRPr="00B40964" w:rsidRDefault="00A84695" w:rsidP="00A84695">
      <w:pPr>
        <w:spacing w:line="360" w:lineRule="auto"/>
        <w:ind w:left="720"/>
        <w:jc w:val="both"/>
        <w:rPr>
          <w:rFonts w:ascii="David" w:hAnsi="David"/>
        </w:rPr>
      </w:pPr>
    </w:p>
    <w:p w14:paraId="535A0803" w14:textId="77777777" w:rsidR="00A84695" w:rsidRPr="00B40964" w:rsidRDefault="00A84695" w:rsidP="00A84695">
      <w:pPr>
        <w:spacing w:line="360" w:lineRule="auto"/>
        <w:ind w:left="720" w:hanging="720"/>
        <w:jc w:val="both"/>
        <w:rPr>
          <w:rFonts w:ascii="David" w:hAnsi="David"/>
          <w:rtl/>
        </w:rPr>
      </w:pPr>
      <w:r w:rsidRPr="00B40964">
        <w:rPr>
          <w:rFonts w:ascii="David" w:hAnsi="David"/>
          <w:rtl/>
        </w:rPr>
        <w:t>16.</w:t>
      </w:r>
      <w:r w:rsidRPr="00B40964">
        <w:rPr>
          <w:rFonts w:ascii="David" w:hAnsi="David"/>
          <w:rtl/>
        </w:rPr>
        <w:tab/>
        <w:t>בהתחשב בחומרת מעשי העבירות שביצעו הנאשמים בנסיבותיהן; במידת האשם של  הנאשמים; בערכים החברתיים שנפגעו ובמידת הפגיעה בהם; במדיניות הענישה הנהוגה ובנסיבות הקשורות בביצוע העבירות; נראה לי כי מתחם העונש ההולם למעשי הנאשם 1 נע בין  3.5 ל-5.5 שנות מאסר ומתחם העונש ההולם למעשי הנאשם 2 נע בין 3 ל- 5 שנות מאסר.</w:t>
      </w:r>
    </w:p>
    <w:p w14:paraId="3FF24F01" w14:textId="77777777" w:rsidR="00A84695" w:rsidRPr="00B40964" w:rsidRDefault="00A84695" w:rsidP="00A84695">
      <w:pPr>
        <w:spacing w:line="360" w:lineRule="auto"/>
        <w:ind w:left="720" w:hanging="720"/>
        <w:jc w:val="both"/>
        <w:rPr>
          <w:rFonts w:ascii="David" w:hAnsi="David"/>
          <w:rtl/>
        </w:rPr>
      </w:pPr>
    </w:p>
    <w:p w14:paraId="4DCDB320" w14:textId="77777777" w:rsidR="00A84695" w:rsidRPr="00B40964" w:rsidRDefault="00A84695" w:rsidP="00A84695">
      <w:pPr>
        <w:spacing w:line="360" w:lineRule="auto"/>
        <w:ind w:left="720" w:hanging="720"/>
        <w:jc w:val="both"/>
        <w:rPr>
          <w:rFonts w:ascii="David" w:hAnsi="David"/>
          <w:rtl/>
        </w:rPr>
      </w:pPr>
      <w:r w:rsidRPr="00B40964">
        <w:rPr>
          <w:rFonts w:ascii="David" w:hAnsi="David"/>
          <w:rtl/>
        </w:rPr>
        <w:t>17.</w:t>
      </w:r>
      <w:r w:rsidRPr="00B40964">
        <w:rPr>
          <w:rFonts w:ascii="David" w:hAnsi="David"/>
          <w:rtl/>
        </w:rPr>
        <w:tab/>
        <w:t>הסנגורים הפנו לעונשים שהוטלו על נאשמים אחרים שהובאו לדין באותו מבצע משטרתי עם אותו סוכן, וביקשו להטיל על הנאשמים כאן עונשים דומים, בשם עיקרון אחידות הענישה. (תיקים פליליים 61618-02-19; 72129-02-19; 23645-03-19; ו- 72210-02-19)</w:t>
      </w:r>
    </w:p>
    <w:p w14:paraId="675DC3B1" w14:textId="77777777" w:rsidR="00A84695" w:rsidRPr="00B40964" w:rsidRDefault="00A84695" w:rsidP="00A84695">
      <w:pPr>
        <w:spacing w:line="360" w:lineRule="auto"/>
        <w:ind w:left="720" w:hanging="720"/>
        <w:jc w:val="both"/>
        <w:rPr>
          <w:rFonts w:ascii="David" w:hAnsi="David"/>
          <w:rtl/>
        </w:rPr>
      </w:pPr>
    </w:p>
    <w:p w14:paraId="13293AD0" w14:textId="77777777" w:rsidR="00A84695" w:rsidRPr="00B40964" w:rsidRDefault="00A84695" w:rsidP="00A84695">
      <w:pPr>
        <w:spacing w:line="360" w:lineRule="auto"/>
        <w:ind w:left="720"/>
        <w:jc w:val="both"/>
        <w:rPr>
          <w:rFonts w:ascii="David" w:hAnsi="David"/>
          <w:rtl/>
          <w:lang w:eastAsia="he-IL"/>
        </w:rPr>
      </w:pPr>
      <w:r w:rsidRPr="00B40964">
        <w:rPr>
          <w:rFonts w:ascii="David" w:hAnsi="David"/>
          <w:rtl/>
          <w:lang w:eastAsia="he-IL"/>
        </w:rPr>
        <w:t xml:space="preserve">עיינתי בגזרי הדין האמורים ואינני סבור שיש בהם כדי להשפיע על עונשם של הנאשמים. </w:t>
      </w:r>
    </w:p>
    <w:p w14:paraId="2FC20B6A" w14:textId="77777777" w:rsidR="00A84695" w:rsidRPr="00B40964" w:rsidRDefault="00A84695" w:rsidP="00A84695">
      <w:pPr>
        <w:spacing w:line="360" w:lineRule="auto"/>
        <w:ind w:left="720"/>
        <w:jc w:val="both"/>
        <w:rPr>
          <w:rFonts w:ascii="David" w:hAnsi="David"/>
          <w:rtl/>
          <w:lang w:eastAsia="he-IL"/>
        </w:rPr>
      </w:pPr>
      <w:r w:rsidRPr="00B40964">
        <w:rPr>
          <w:rFonts w:ascii="David" w:hAnsi="David"/>
          <w:rtl/>
          <w:lang w:eastAsia="he-IL"/>
        </w:rPr>
        <w:t xml:space="preserve">ראשית, עיקרון אחידות הענישה איננו גורם הנלקח בחשבון בקביעת מתחם העונש ההולם – שהמרכיבים המשפיעים עליו מפורטים בחוק. שנית, עיקרון אחידות הענישה איננו "עיקרון על", הגובר על כל שאר שיקולי הענישה הנוגעים לענין. ושלישית, בתהליך השוואת המקרים והתוצאות העונשיות בעבירות נשק, יש לקחת בחשבון את סוגי הנשק המדוברים בכל אחד מהמקרים; את מידת האשם של כל אחד מהנאשמים; את מרכזיותו בהוצאת העבירה אל הפועל; את נסיבותיהם האישיות של הנאשמים שענייניהם נטענים להיות דומים; ואת השאלה האם העונש ניתן תוך אימוץ הסדר טיעון הכולל הסכמה לעונש. </w:t>
      </w:r>
    </w:p>
    <w:p w14:paraId="423CB0C8" w14:textId="77777777" w:rsidR="00A84695" w:rsidRPr="00B40964" w:rsidRDefault="00A84695" w:rsidP="00A84695">
      <w:pPr>
        <w:spacing w:line="360" w:lineRule="auto"/>
        <w:jc w:val="both"/>
        <w:rPr>
          <w:rFonts w:ascii="David" w:hAnsi="David"/>
          <w:rtl/>
          <w:lang w:eastAsia="he-IL"/>
        </w:rPr>
      </w:pPr>
    </w:p>
    <w:p w14:paraId="2D56C93E" w14:textId="77777777" w:rsidR="00A84695" w:rsidRPr="00B40964" w:rsidRDefault="00A84695" w:rsidP="00A84695">
      <w:pPr>
        <w:spacing w:line="360" w:lineRule="auto"/>
        <w:ind w:left="720"/>
        <w:jc w:val="both"/>
        <w:rPr>
          <w:rFonts w:ascii="David" w:hAnsi="David"/>
          <w:rtl/>
          <w:lang w:eastAsia="he-IL"/>
        </w:rPr>
      </w:pPr>
      <w:r w:rsidRPr="00B40964">
        <w:rPr>
          <w:rFonts w:ascii="David" w:hAnsi="David"/>
          <w:rtl/>
          <w:lang w:eastAsia="he-IL"/>
        </w:rPr>
        <w:t>כאשר חלקו התחתון של מתחם העונש ההולם שנקבע למעשה עבירה בתיק מסוים, גבוה מהעונש שהוטל בתיק האחר שלגביו נטען כי עיקרון אחידות הענישה מחייב להטיל עונש דומה במקרה הנדון, ובנסיבות אין מקום לגזור את דינו של הנאשם בו דנים בחריגה ממתחם העונש ההולם, לא ניתן להטיל את אותו עונש על שני הנאשמים. המחלוקת במקרה כזה נעוצה בשאלה מהו מתחם העונש ההולם המתאים.</w:t>
      </w:r>
    </w:p>
    <w:p w14:paraId="7573082B" w14:textId="77777777" w:rsidR="00A84695" w:rsidRPr="00B40964" w:rsidRDefault="00A84695" w:rsidP="00A84695">
      <w:pPr>
        <w:spacing w:line="360" w:lineRule="auto"/>
        <w:ind w:left="720"/>
        <w:jc w:val="both"/>
        <w:rPr>
          <w:rFonts w:ascii="David" w:hAnsi="David"/>
          <w:rtl/>
          <w:lang w:eastAsia="he-IL"/>
        </w:rPr>
      </w:pPr>
    </w:p>
    <w:p w14:paraId="590D3FBF" w14:textId="77777777" w:rsidR="00A84695" w:rsidRPr="00B40964" w:rsidRDefault="00A84695" w:rsidP="00A84695">
      <w:pPr>
        <w:spacing w:line="360" w:lineRule="auto"/>
        <w:ind w:left="720"/>
        <w:jc w:val="both"/>
        <w:rPr>
          <w:rFonts w:ascii="David" w:hAnsi="David"/>
          <w:rtl/>
          <w:lang w:eastAsia="he-IL"/>
        </w:rPr>
      </w:pPr>
      <w:r w:rsidRPr="00B40964">
        <w:rPr>
          <w:rFonts w:ascii="David" w:hAnsi="David"/>
          <w:rtl/>
          <w:lang w:eastAsia="he-IL"/>
        </w:rPr>
        <w:t xml:space="preserve">נוכח השוני במרכיבים הרלוונטים בין ענייננו לבין התיקים האחרים, ובהתחשב במתחמי העונש ההולם שנקבעו בכל אחד מהתיקים, אין מקום להשוות את עונשם של הנאשמים לעונשים שהוטלו בתיקים האחרים. </w:t>
      </w:r>
    </w:p>
    <w:p w14:paraId="6C537267" w14:textId="77777777" w:rsidR="00A84695" w:rsidRPr="00B40964" w:rsidRDefault="00A84695" w:rsidP="00A84695">
      <w:pPr>
        <w:spacing w:line="360" w:lineRule="auto"/>
        <w:ind w:left="720"/>
        <w:jc w:val="both"/>
        <w:rPr>
          <w:rFonts w:ascii="David" w:hAnsi="David"/>
          <w:rtl/>
          <w:lang w:eastAsia="he-IL"/>
        </w:rPr>
      </w:pPr>
    </w:p>
    <w:p w14:paraId="5858C876" w14:textId="77777777" w:rsidR="00A84695" w:rsidRPr="00B40964" w:rsidRDefault="00A84695" w:rsidP="00A84695">
      <w:pPr>
        <w:spacing w:line="360" w:lineRule="auto"/>
        <w:ind w:left="720" w:hanging="720"/>
        <w:jc w:val="both"/>
        <w:rPr>
          <w:rFonts w:ascii="David" w:hAnsi="David"/>
          <w:rtl/>
        </w:rPr>
      </w:pPr>
      <w:r w:rsidRPr="00B40964">
        <w:rPr>
          <w:rFonts w:ascii="David" w:hAnsi="David"/>
          <w:rtl/>
        </w:rPr>
        <w:t>18.</w:t>
      </w:r>
      <w:r w:rsidRPr="00B40964">
        <w:rPr>
          <w:rFonts w:ascii="David" w:hAnsi="David"/>
          <w:rtl/>
        </w:rPr>
        <w:tab/>
        <w:t xml:space="preserve">הנאשם 1 בן 20. לחובתו הרשעה קודמת בעבירות חטיפה וסחיטה בכח, עליה נדון למאסר למשך 20 חודשים, אותו הוא נושא כעת. כתב האישום נגדו בעבירות החטיפה והסחיטה הוגש ביום 4.5.18. בית המשפט עצר אותו עד תום ההליכים המשפטיים, ובהמשך, בתאריך 5.9.18, הוא שוחרר ממעצרו בערובה, בתנאי "מעצר בית". כעבור ימים ספורים הוא ביצע את העבירות בתיק זה (ביום 12.9.18 וביום 16.9.18). </w:t>
      </w:r>
    </w:p>
    <w:p w14:paraId="610F3833" w14:textId="77777777" w:rsidR="00A84695" w:rsidRPr="00B40964" w:rsidRDefault="00A84695" w:rsidP="00A84695">
      <w:pPr>
        <w:spacing w:line="360" w:lineRule="auto"/>
        <w:ind w:left="720" w:hanging="720"/>
        <w:jc w:val="both"/>
        <w:rPr>
          <w:rFonts w:ascii="David" w:hAnsi="David"/>
          <w:rtl/>
        </w:rPr>
      </w:pPr>
    </w:p>
    <w:p w14:paraId="1FEBD47F" w14:textId="77777777" w:rsidR="00A84695" w:rsidRPr="00B40964" w:rsidRDefault="00A84695" w:rsidP="00A84695">
      <w:pPr>
        <w:spacing w:line="360" w:lineRule="auto"/>
        <w:ind w:left="720" w:hanging="720"/>
        <w:jc w:val="both"/>
        <w:rPr>
          <w:rFonts w:ascii="David" w:hAnsi="David"/>
          <w:rtl/>
        </w:rPr>
      </w:pPr>
      <w:r w:rsidRPr="00B40964">
        <w:rPr>
          <w:rFonts w:ascii="David" w:hAnsi="David"/>
          <w:rtl/>
        </w:rPr>
        <w:tab/>
        <w:t xml:space="preserve">הנאשם 2 בן 22, ללא הרשעות קודמות.  </w:t>
      </w:r>
    </w:p>
    <w:p w14:paraId="3543C90E" w14:textId="77777777" w:rsidR="00A84695" w:rsidRPr="00B40964" w:rsidRDefault="00A84695" w:rsidP="00A84695">
      <w:pPr>
        <w:spacing w:line="360" w:lineRule="auto"/>
        <w:ind w:left="720" w:hanging="720"/>
        <w:jc w:val="both"/>
        <w:rPr>
          <w:rFonts w:ascii="David" w:hAnsi="David"/>
          <w:rtl/>
        </w:rPr>
      </w:pPr>
    </w:p>
    <w:p w14:paraId="0484EB6A" w14:textId="77777777" w:rsidR="00A84695" w:rsidRPr="00B40964" w:rsidRDefault="00A84695" w:rsidP="00A84695">
      <w:pPr>
        <w:spacing w:line="360" w:lineRule="auto"/>
        <w:ind w:left="720" w:hanging="720"/>
        <w:jc w:val="both"/>
        <w:rPr>
          <w:rFonts w:ascii="David" w:hAnsi="David"/>
          <w:rtl/>
        </w:rPr>
      </w:pPr>
      <w:r w:rsidRPr="00B40964">
        <w:rPr>
          <w:rFonts w:ascii="David" w:hAnsi="David"/>
          <w:rtl/>
        </w:rPr>
        <w:t>19.</w:t>
      </w:r>
      <w:r w:rsidRPr="00B40964">
        <w:rPr>
          <w:rFonts w:ascii="David" w:hAnsi="David"/>
          <w:rtl/>
        </w:rPr>
        <w:tab/>
        <w:t xml:space="preserve">בגזירת עונשם של הנאשמים אני מביא בחשבון את גילם הצעיר; את נסיבותיהם האישיות והמשפחתיות, המפורטות בתסקירי שירות המבחן, ובמיוחד את נסיבותיו המורכבות של הנאשם1; את הפגיעה הצפויה להם ולמשפחותיהם – במיוחד לזו של הנאשם 1 - ממאסרם; את הודאתם; ואת סיכויי שיקומם. </w:t>
      </w:r>
    </w:p>
    <w:p w14:paraId="7A48065D" w14:textId="77777777" w:rsidR="00A84695" w:rsidRPr="00B40964" w:rsidRDefault="00A84695" w:rsidP="00A84695">
      <w:pPr>
        <w:spacing w:line="360" w:lineRule="auto"/>
        <w:ind w:left="720"/>
        <w:jc w:val="both"/>
        <w:rPr>
          <w:rFonts w:ascii="David" w:hAnsi="David"/>
          <w:rtl/>
        </w:rPr>
      </w:pPr>
    </w:p>
    <w:p w14:paraId="38291B37" w14:textId="77777777" w:rsidR="00A84695" w:rsidRPr="00B40964" w:rsidRDefault="00A84695" w:rsidP="00A84695">
      <w:pPr>
        <w:spacing w:line="360" w:lineRule="auto"/>
        <w:ind w:left="720" w:hanging="720"/>
        <w:jc w:val="both"/>
        <w:rPr>
          <w:rFonts w:ascii="David" w:hAnsi="David"/>
          <w:rtl/>
        </w:rPr>
      </w:pPr>
      <w:r w:rsidRPr="00B40964">
        <w:rPr>
          <w:rFonts w:ascii="David" w:hAnsi="David"/>
          <w:rtl/>
        </w:rPr>
        <w:t>20.</w:t>
      </w:r>
      <w:r w:rsidRPr="00B40964">
        <w:rPr>
          <w:rFonts w:ascii="David" w:hAnsi="David"/>
          <w:rtl/>
        </w:rPr>
        <w:tab/>
        <w:t xml:space="preserve">על רקע הדברים המצוינים בתסקירי שירות המבחן, ובעיקר ההערכות הנוגעות לרמת הסיכון להישנות עבירות, וביחס לנאשם 1 גם העובדה שהוא ביצע את המעשים בזמן שמשפט אחר מתנהל נגדו, בתוך ימים ספורים מאז שחרורו בערובה בהמשך להחלטת בית המשפט העליון,  נראה שכל אחד מהנאשמים זקוק להרתעה אישית. </w:t>
      </w:r>
    </w:p>
    <w:p w14:paraId="1C05E985" w14:textId="77777777" w:rsidR="00A84695" w:rsidRPr="00B40964" w:rsidRDefault="00A84695" w:rsidP="00A84695">
      <w:pPr>
        <w:spacing w:line="360" w:lineRule="auto"/>
        <w:ind w:left="720"/>
        <w:jc w:val="both"/>
        <w:rPr>
          <w:rFonts w:ascii="David" w:hAnsi="David"/>
          <w:rtl/>
        </w:rPr>
      </w:pPr>
    </w:p>
    <w:p w14:paraId="29DC534F" w14:textId="77777777" w:rsidR="00A84695" w:rsidRPr="00B40964" w:rsidRDefault="00A84695" w:rsidP="00A84695">
      <w:pPr>
        <w:spacing w:line="360" w:lineRule="auto"/>
        <w:ind w:left="720" w:hanging="720"/>
        <w:jc w:val="both"/>
        <w:rPr>
          <w:rFonts w:ascii="David" w:hAnsi="David"/>
          <w:rtl/>
          <w:lang w:eastAsia="he-IL"/>
        </w:rPr>
      </w:pPr>
      <w:r w:rsidRPr="00B40964">
        <w:rPr>
          <w:rFonts w:ascii="David" w:hAnsi="David"/>
          <w:rtl/>
          <w:lang w:eastAsia="he-IL"/>
        </w:rPr>
        <w:t>21.</w:t>
      </w:r>
      <w:r w:rsidRPr="00B40964">
        <w:rPr>
          <w:rFonts w:ascii="David" w:hAnsi="David"/>
          <w:rtl/>
          <w:lang w:eastAsia="he-IL"/>
        </w:rPr>
        <w:tab/>
        <w:t xml:space="preserve">נוכח נפוצות עבירות הנשק ועל רקע פסיקת בית המשפט העליון כי יש להטיל על עבירות אלו עונשים שיהיה בהם כדי להרתיע את הציבור מביצוען (ראה בין היתר </w:t>
      </w:r>
      <w:hyperlink r:id="rId45" w:history="1">
        <w:r w:rsidR="00393BA8" w:rsidRPr="00393BA8">
          <w:rPr>
            <w:rFonts w:ascii="David" w:hAnsi="David"/>
            <w:color w:val="0000FF"/>
            <w:u w:val="single"/>
            <w:rtl/>
            <w:lang w:eastAsia="he-IL"/>
          </w:rPr>
          <w:t>ע.פ. 1323/13</w:t>
        </w:r>
      </w:hyperlink>
      <w:r w:rsidRPr="00B40964">
        <w:rPr>
          <w:rFonts w:ascii="David" w:hAnsi="David"/>
          <w:rtl/>
          <w:lang w:eastAsia="he-IL"/>
        </w:rPr>
        <w:t xml:space="preserve"> </w:t>
      </w:r>
      <w:r w:rsidRPr="00B40964">
        <w:rPr>
          <w:rFonts w:ascii="David" w:hAnsi="David"/>
          <w:b/>
          <w:bCs/>
          <w:rtl/>
          <w:lang w:eastAsia="he-IL"/>
        </w:rPr>
        <w:t>רך חסן ונסים אגברייה</w:t>
      </w:r>
      <w:r w:rsidRPr="00B40964">
        <w:rPr>
          <w:rFonts w:ascii="David" w:hAnsi="David"/>
          <w:rtl/>
          <w:lang w:eastAsia="he-IL"/>
        </w:rPr>
        <w:t xml:space="preserve"> נ' </w:t>
      </w:r>
      <w:r w:rsidRPr="00B40964">
        <w:rPr>
          <w:rFonts w:ascii="David" w:hAnsi="David"/>
          <w:b/>
          <w:bCs/>
          <w:rtl/>
          <w:lang w:eastAsia="he-IL"/>
        </w:rPr>
        <w:t xml:space="preserve">מדינת ישראל </w:t>
      </w:r>
      <w:r w:rsidRPr="00B40964">
        <w:rPr>
          <w:rFonts w:ascii="David" w:hAnsi="David"/>
          <w:rtl/>
          <w:lang w:eastAsia="he-IL"/>
        </w:rPr>
        <w:t xml:space="preserve">– פורסם בנבו. 5.6.13), אני מוצא כי יש צורך בהרתעת הרבים מפני ביצוע עבירות הנשק שביצעו הנאשמים ושיש סיכוי ממשי שהחמרה בעונשם של הנאשמים תביא להרתעת הרבים. </w:t>
      </w:r>
    </w:p>
    <w:p w14:paraId="0474B5D3" w14:textId="77777777" w:rsidR="00A84695" w:rsidRPr="00B40964" w:rsidRDefault="00A84695" w:rsidP="00A84695">
      <w:pPr>
        <w:spacing w:line="360" w:lineRule="auto"/>
        <w:ind w:left="720" w:hanging="720"/>
        <w:jc w:val="both"/>
        <w:rPr>
          <w:rFonts w:ascii="David" w:hAnsi="David"/>
          <w:rtl/>
        </w:rPr>
      </w:pPr>
    </w:p>
    <w:p w14:paraId="0C701501" w14:textId="77777777" w:rsidR="00A84695" w:rsidRPr="00B40964" w:rsidRDefault="00A84695" w:rsidP="00A84695">
      <w:pPr>
        <w:spacing w:line="360" w:lineRule="auto"/>
        <w:ind w:left="720" w:hanging="720"/>
        <w:jc w:val="both"/>
        <w:rPr>
          <w:rFonts w:ascii="David" w:hAnsi="David"/>
          <w:rtl/>
        </w:rPr>
      </w:pPr>
      <w:r w:rsidRPr="00B40964">
        <w:rPr>
          <w:rFonts w:ascii="David" w:hAnsi="David"/>
          <w:rtl/>
        </w:rPr>
        <w:t xml:space="preserve">22. </w:t>
      </w:r>
      <w:r w:rsidRPr="00B40964">
        <w:rPr>
          <w:rFonts w:ascii="David" w:hAnsi="David"/>
          <w:rtl/>
        </w:rPr>
        <w:tab/>
        <w:t>בהתחשב בכל האמור, אני גוזר על הנאשמים את  העונשים הבאים:</w:t>
      </w:r>
    </w:p>
    <w:p w14:paraId="42E2876D" w14:textId="77777777" w:rsidR="00A84695" w:rsidRDefault="00A84695" w:rsidP="00A84695">
      <w:pPr>
        <w:spacing w:line="360" w:lineRule="auto"/>
        <w:ind w:left="720" w:hanging="720"/>
        <w:jc w:val="both"/>
        <w:rPr>
          <w:rFonts w:ascii="David" w:hAnsi="David"/>
          <w:b/>
          <w:bCs/>
          <w:u w:val="single"/>
          <w:rtl/>
        </w:rPr>
      </w:pPr>
      <w:r w:rsidRPr="00B40964">
        <w:rPr>
          <w:rFonts w:ascii="David" w:hAnsi="David"/>
          <w:rtl/>
        </w:rPr>
        <w:tab/>
      </w:r>
    </w:p>
    <w:p w14:paraId="0772460E" w14:textId="77777777" w:rsidR="00A84695" w:rsidRPr="00B40964" w:rsidRDefault="00A84695" w:rsidP="00A84695">
      <w:pPr>
        <w:spacing w:line="360" w:lineRule="auto"/>
        <w:ind w:left="720"/>
        <w:jc w:val="both"/>
        <w:rPr>
          <w:rFonts w:ascii="David" w:hAnsi="David"/>
          <w:b/>
          <w:bCs/>
          <w:u w:val="single"/>
          <w:rtl/>
        </w:rPr>
      </w:pPr>
      <w:r w:rsidRPr="00B40964">
        <w:rPr>
          <w:rFonts w:ascii="David" w:hAnsi="David"/>
          <w:b/>
          <w:bCs/>
          <w:u w:val="single"/>
          <w:rtl/>
        </w:rPr>
        <w:t>הנאשם 1</w:t>
      </w:r>
    </w:p>
    <w:p w14:paraId="45F63850" w14:textId="77777777" w:rsidR="00A84695" w:rsidRPr="00B40964" w:rsidRDefault="00A84695" w:rsidP="00A84695">
      <w:pPr>
        <w:spacing w:line="360" w:lineRule="auto"/>
        <w:ind w:left="1440" w:hanging="720"/>
        <w:jc w:val="both"/>
        <w:rPr>
          <w:rFonts w:ascii="David" w:hAnsi="David"/>
          <w:rtl/>
        </w:rPr>
      </w:pPr>
      <w:r w:rsidRPr="00B40964">
        <w:rPr>
          <w:rFonts w:ascii="David" w:hAnsi="David"/>
          <w:rtl/>
        </w:rPr>
        <w:t>א.</w:t>
      </w:r>
      <w:r w:rsidRPr="00B40964">
        <w:rPr>
          <w:rFonts w:ascii="David" w:hAnsi="David"/>
          <w:rtl/>
        </w:rPr>
        <w:tab/>
        <w:t xml:space="preserve">45 חודשי מאסר בפועל, בניכוי ימי מעצרו. הנאשם ישא את תקופת המאסר במצטבר לכל מאסר שהוא נושא. </w:t>
      </w:r>
    </w:p>
    <w:p w14:paraId="11DB3BDE" w14:textId="77777777" w:rsidR="00A84695" w:rsidRPr="00B40964" w:rsidRDefault="00A84695" w:rsidP="00A84695">
      <w:pPr>
        <w:spacing w:line="360" w:lineRule="auto"/>
        <w:ind w:left="1440" w:hanging="720"/>
        <w:jc w:val="both"/>
        <w:rPr>
          <w:rFonts w:ascii="David" w:hAnsi="David"/>
          <w:rtl/>
        </w:rPr>
      </w:pPr>
      <w:r w:rsidRPr="00B40964">
        <w:rPr>
          <w:rFonts w:ascii="David" w:hAnsi="David"/>
          <w:rtl/>
        </w:rPr>
        <w:t>ב.</w:t>
      </w:r>
      <w:r w:rsidRPr="00B40964">
        <w:rPr>
          <w:rFonts w:ascii="David" w:hAnsi="David"/>
          <w:rtl/>
        </w:rPr>
        <w:tab/>
        <w:t>12 חודשי מאסר על תנאי למשך שלוש שנים מיום שחרורו מהמאסר, שלא יעבור עבירת נשק המסווגת כפשע.</w:t>
      </w:r>
    </w:p>
    <w:p w14:paraId="22946F38" w14:textId="77777777" w:rsidR="00A84695" w:rsidRPr="00B40964" w:rsidRDefault="00A84695" w:rsidP="00A84695">
      <w:pPr>
        <w:spacing w:line="360" w:lineRule="auto"/>
        <w:jc w:val="both"/>
        <w:rPr>
          <w:rFonts w:ascii="David" w:hAnsi="David"/>
          <w:rtl/>
        </w:rPr>
      </w:pPr>
    </w:p>
    <w:p w14:paraId="337B7A55" w14:textId="77777777" w:rsidR="00A84695" w:rsidRPr="00B40964" w:rsidRDefault="00A84695" w:rsidP="00A84695">
      <w:pPr>
        <w:spacing w:line="360" w:lineRule="auto"/>
        <w:ind w:left="720"/>
        <w:jc w:val="both"/>
        <w:rPr>
          <w:rFonts w:ascii="David" w:hAnsi="David"/>
          <w:b/>
          <w:bCs/>
          <w:u w:val="single"/>
          <w:rtl/>
        </w:rPr>
      </w:pPr>
      <w:r w:rsidRPr="00B40964">
        <w:rPr>
          <w:rFonts w:ascii="David" w:hAnsi="David"/>
          <w:b/>
          <w:bCs/>
          <w:u w:val="single"/>
          <w:rtl/>
        </w:rPr>
        <w:t>הנאשם 2</w:t>
      </w:r>
    </w:p>
    <w:p w14:paraId="2310D131" w14:textId="77777777" w:rsidR="00A84695" w:rsidRPr="00B40964" w:rsidRDefault="00A84695" w:rsidP="00A84695">
      <w:pPr>
        <w:spacing w:line="360" w:lineRule="auto"/>
        <w:ind w:left="1440" w:hanging="720"/>
        <w:jc w:val="both"/>
        <w:rPr>
          <w:rFonts w:ascii="David" w:hAnsi="David"/>
          <w:rtl/>
        </w:rPr>
      </w:pPr>
      <w:r w:rsidRPr="00B40964">
        <w:rPr>
          <w:rFonts w:ascii="David" w:hAnsi="David"/>
          <w:rtl/>
        </w:rPr>
        <w:t xml:space="preserve">א.  </w:t>
      </w:r>
      <w:r w:rsidRPr="00B40964">
        <w:rPr>
          <w:rFonts w:ascii="David" w:hAnsi="David"/>
          <w:rtl/>
        </w:rPr>
        <w:tab/>
        <w:t>36 חודשי מאסר בפועל, בניכוי ימי מעצרו.</w:t>
      </w:r>
    </w:p>
    <w:p w14:paraId="5736151F" w14:textId="77777777" w:rsidR="00A84695" w:rsidRPr="00B40964" w:rsidRDefault="00A84695" w:rsidP="00A84695">
      <w:pPr>
        <w:spacing w:line="360" w:lineRule="auto"/>
        <w:ind w:left="1440" w:hanging="720"/>
        <w:jc w:val="both"/>
        <w:rPr>
          <w:rFonts w:ascii="David" w:hAnsi="David"/>
          <w:rtl/>
        </w:rPr>
      </w:pPr>
      <w:r w:rsidRPr="00B40964">
        <w:rPr>
          <w:rFonts w:ascii="David" w:hAnsi="David"/>
          <w:rtl/>
        </w:rPr>
        <w:t>ב.</w:t>
      </w:r>
      <w:r w:rsidRPr="00B40964">
        <w:rPr>
          <w:rFonts w:ascii="David" w:hAnsi="David"/>
          <w:rtl/>
        </w:rPr>
        <w:tab/>
        <w:t>12 חודשי מאסר על תנאי למשך שלוש שנים מיום שחרורו מהמאסר, שלא יעבור עבירת נשק המסווגת כפשע.</w:t>
      </w:r>
    </w:p>
    <w:p w14:paraId="50D53BAC" w14:textId="77777777" w:rsidR="00A84695" w:rsidRPr="00B40964" w:rsidRDefault="00A84695" w:rsidP="00A84695">
      <w:pPr>
        <w:spacing w:line="360" w:lineRule="auto"/>
        <w:jc w:val="both"/>
        <w:rPr>
          <w:rFonts w:ascii="David" w:hAnsi="David"/>
          <w:rtl/>
        </w:rPr>
      </w:pPr>
    </w:p>
    <w:p w14:paraId="1F5F2787" w14:textId="77777777" w:rsidR="00A84695" w:rsidRDefault="00A84695" w:rsidP="00A84695">
      <w:pPr>
        <w:spacing w:line="360" w:lineRule="auto"/>
        <w:jc w:val="both"/>
        <w:rPr>
          <w:rFonts w:ascii="David" w:hAnsi="David"/>
          <w:rtl/>
        </w:rPr>
      </w:pPr>
      <w:r w:rsidRPr="00B40964">
        <w:rPr>
          <w:rFonts w:ascii="David" w:hAnsi="David"/>
          <w:rtl/>
        </w:rPr>
        <w:t xml:space="preserve">נוכח מצבם הכלכלי של הנאשמים ובהתחשב בתקופות המאסר שנגזרו עליהם, אני נמנע מלהטיל עליהם קנס.  </w:t>
      </w:r>
    </w:p>
    <w:p w14:paraId="207C2B0E" w14:textId="77777777" w:rsidR="00A84695" w:rsidRDefault="00A84695" w:rsidP="00A84695">
      <w:pPr>
        <w:spacing w:line="360" w:lineRule="auto"/>
        <w:jc w:val="both"/>
        <w:rPr>
          <w:rFonts w:ascii="David" w:hAnsi="David"/>
          <w:rtl/>
        </w:rPr>
      </w:pPr>
    </w:p>
    <w:p w14:paraId="568C76BA" w14:textId="77777777" w:rsidR="00A84695" w:rsidRPr="00393BA8" w:rsidRDefault="00393BA8" w:rsidP="00A84695">
      <w:pPr>
        <w:spacing w:line="360" w:lineRule="auto"/>
        <w:jc w:val="both"/>
        <w:rPr>
          <w:rFonts w:ascii="David" w:hAnsi="David"/>
          <w:color w:val="FFFFFF"/>
          <w:sz w:val="2"/>
          <w:szCs w:val="2"/>
          <w:rtl/>
        </w:rPr>
      </w:pPr>
      <w:r w:rsidRPr="00393BA8">
        <w:rPr>
          <w:rFonts w:ascii="David" w:hAnsi="David"/>
          <w:color w:val="FFFFFF"/>
          <w:sz w:val="2"/>
          <w:szCs w:val="2"/>
          <w:rtl/>
        </w:rPr>
        <w:t>5129371</w:t>
      </w:r>
    </w:p>
    <w:p w14:paraId="65B391B6" w14:textId="77777777" w:rsidR="00A84695" w:rsidRPr="00B40964" w:rsidRDefault="00393BA8" w:rsidP="00A84695">
      <w:pPr>
        <w:spacing w:line="360" w:lineRule="auto"/>
        <w:jc w:val="both"/>
        <w:rPr>
          <w:rFonts w:ascii="David" w:hAnsi="David"/>
          <w:rtl/>
        </w:rPr>
      </w:pPr>
      <w:r w:rsidRPr="00393BA8">
        <w:rPr>
          <w:rFonts w:ascii="David" w:hAnsi="David"/>
          <w:color w:val="FFFFFF"/>
          <w:sz w:val="2"/>
          <w:szCs w:val="2"/>
          <w:rtl/>
        </w:rPr>
        <w:t>54678313</w:t>
      </w:r>
      <w:r w:rsidR="00A84695" w:rsidRPr="00B40964">
        <w:rPr>
          <w:rFonts w:ascii="David" w:hAnsi="David"/>
          <w:rtl/>
        </w:rPr>
        <w:t>זכות ערעור תוך 45 יום.</w:t>
      </w:r>
    </w:p>
    <w:p w14:paraId="34E9F2A5" w14:textId="77777777" w:rsidR="00A84695" w:rsidRPr="00B40964" w:rsidRDefault="00A84695" w:rsidP="00A84695">
      <w:pPr>
        <w:spacing w:line="360" w:lineRule="auto"/>
        <w:jc w:val="both"/>
        <w:rPr>
          <w:rFonts w:ascii="David" w:hAnsi="David"/>
          <w:rtl/>
        </w:rPr>
      </w:pPr>
    </w:p>
    <w:p w14:paraId="0E0E83A1" w14:textId="77777777" w:rsidR="00A84695" w:rsidRPr="009D1125" w:rsidRDefault="009D1125" w:rsidP="00A84695">
      <w:pPr>
        <w:spacing w:line="360" w:lineRule="auto"/>
        <w:jc w:val="both"/>
        <w:rPr>
          <w:rFonts w:ascii="David" w:hAnsi="David"/>
          <w:color w:val="FFFFFF"/>
          <w:sz w:val="2"/>
          <w:szCs w:val="2"/>
          <w:rtl/>
        </w:rPr>
      </w:pPr>
      <w:r w:rsidRPr="009D1125">
        <w:rPr>
          <w:rFonts w:ascii="David" w:hAnsi="David"/>
          <w:color w:val="FFFFFF"/>
          <w:sz w:val="2"/>
          <w:szCs w:val="2"/>
          <w:rtl/>
        </w:rPr>
        <w:t>5129371</w:t>
      </w:r>
    </w:p>
    <w:p w14:paraId="5DDC693D" w14:textId="77777777" w:rsidR="008652DF" w:rsidRPr="00393BA8" w:rsidRDefault="009D1125" w:rsidP="00393BA8">
      <w:pPr>
        <w:keepNext/>
        <w:rPr>
          <w:rFonts w:ascii="David" w:hAnsi="David"/>
          <w:color w:val="000000"/>
          <w:sz w:val="22"/>
          <w:szCs w:val="22"/>
        </w:rPr>
      </w:pPr>
      <w:bookmarkStart w:id="7" w:name="Nitan"/>
      <w:r w:rsidRPr="009D1125">
        <w:rPr>
          <w:rFonts w:ascii="David" w:hAnsi="David"/>
          <w:b/>
          <w:bCs/>
          <w:color w:val="FFFFFF"/>
          <w:sz w:val="2"/>
          <w:szCs w:val="2"/>
          <w:rtl/>
        </w:rPr>
        <w:t>54678313</w:t>
      </w:r>
      <w:r w:rsidR="00393BA8">
        <w:rPr>
          <w:rFonts w:ascii="David" w:hAnsi="David"/>
          <w:b/>
          <w:bCs/>
          <w:rtl/>
        </w:rPr>
        <w:t xml:space="preserve">ניתן היום,  ו' כסלו תש"פ, 04 דצמבר 2019, בנוכחות הצדדים. </w:t>
      </w:r>
      <w:bookmarkEnd w:id="7"/>
    </w:p>
    <w:p w14:paraId="6BBE3A60" w14:textId="77777777" w:rsidR="00393BA8" w:rsidRPr="009D1125" w:rsidRDefault="00393BA8" w:rsidP="00393BA8">
      <w:pPr>
        <w:rPr>
          <w:rtl/>
        </w:rPr>
      </w:pPr>
    </w:p>
    <w:p w14:paraId="7BD26052" w14:textId="77777777" w:rsidR="00393BA8" w:rsidRDefault="00393BA8" w:rsidP="00393BA8">
      <w:pPr>
        <w:jc w:val="center"/>
        <w:rPr>
          <w:color w:val="0000FF"/>
          <w:u w:val="single"/>
        </w:rPr>
      </w:pPr>
      <w:hyperlink r:id="rId46" w:history="1">
        <w:r>
          <w:rPr>
            <w:color w:val="0000FF"/>
            <w:u w:val="single"/>
            <w:rtl/>
          </w:rPr>
          <w:t>בעניין עריכה ושינויים במסמכי פסיקה, חקיקה ועוד באתר נבו – הקש כאן</w:t>
        </w:r>
      </w:hyperlink>
    </w:p>
    <w:p w14:paraId="50C615E9" w14:textId="77777777" w:rsidR="009D1125" w:rsidRPr="009D1125" w:rsidRDefault="009D1125" w:rsidP="009D1125">
      <w:pPr>
        <w:keepNext/>
        <w:rPr>
          <w:rFonts w:ascii="David" w:hAnsi="David"/>
          <w:color w:val="000000"/>
          <w:sz w:val="22"/>
          <w:szCs w:val="22"/>
          <w:rtl/>
        </w:rPr>
      </w:pPr>
    </w:p>
    <w:p w14:paraId="5A4369AE" w14:textId="77777777" w:rsidR="009D1125" w:rsidRPr="009D1125" w:rsidRDefault="009D1125" w:rsidP="009D1125">
      <w:pPr>
        <w:keepNext/>
        <w:rPr>
          <w:rFonts w:ascii="David" w:hAnsi="David"/>
          <w:color w:val="000000"/>
          <w:sz w:val="22"/>
          <w:szCs w:val="22"/>
          <w:rtl/>
        </w:rPr>
      </w:pPr>
      <w:r w:rsidRPr="009D1125">
        <w:rPr>
          <w:rFonts w:ascii="David" w:hAnsi="David"/>
          <w:color w:val="000000"/>
          <w:sz w:val="22"/>
          <w:szCs w:val="22"/>
          <w:rtl/>
        </w:rPr>
        <w:t>אליהו ביתן 54678313-/</w:t>
      </w:r>
    </w:p>
    <w:p w14:paraId="673A1079" w14:textId="77777777" w:rsidR="00393BA8" w:rsidRPr="00393BA8" w:rsidRDefault="009D1125" w:rsidP="009D1125">
      <w:pPr>
        <w:rPr>
          <w:color w:val="0000FF"/>
          <w:u w:val="single"/>
        </w:rPr>
      </w:pPr>
      <w:r w:rsidRPr="009D1125">
        <w:rPr>
          <w:color w:val="000000"/>
          <w:u w:val="single"/>
          <w:rtl/>
        </w:rPr>
        <w:t>נוסח מסמך זה כפוף לשינויי ניסוח ועריכה</w:t>
      </w:r>
    </w:p>
    <w:sectPr w:rsidR="00393BA8" w:rsidRPr="00393BA8" w:rsidSect="009D1125">
      <w:headerReference w:type="even" r:id="rId47"/>
      <w:headerReference w:type="default" r:id="rId48"/>
      <w:footerReference w:type="even" r:id="rId49"/>
      <w:footerReference w:type="default" r:id="rId50"/>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7FE209" w14:textId="77777777" w:rsidR="00C2597B" w:rsidRDefault="00C2597B" w:rsidP="008865F8">
      <w:r>
        <w:separator/>
      </w:r>
    </w:p>
  </w:endnote>
  <w:endnote w:type="continuationSeparator" w:id="0">
    <w:p w14:paraId="3C9E646B" w14:textId="77777777" w:rsidR="00C2597B" w:rsidRDefault="00C2597B" w:rsidP="008865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E1FC0F" w14:textId="77777777" w:rsidR="00DB401F" w:rsidRDefault="00DB401F" w:rsidP="009D1125">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478F8E0F" w14:textId="77777777" w:rsidR="00DB401F" w:rsidRPr="009D1125" w:rsidRDefault="00DB401F" w:rsidP="009D1125">
    <w:pPr>
      <w:pStyle w:val="a5"/>
      <w:pBdr>
        <w:top w:val="single" w:sz="4" w:space="1" w:color="auto"/>
        <w:between w:val="single" w:sz="4" w:space="0" w:color="auto"/>
      </w:pBdr>
      <w:spacing w:after="60"/>
      <w:jc w:val="center"/>
      <w:rPr>
        <w:rFonts w:ascii="FrankRuehl" w:hAnsi="FrankRuehl" w:cs="FrankRuehl"/>
        <w:color w:val="000000"/>
      </w:rPr>
    </w:pPr>
    <w:r w:rsidRPr="009D1125">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7.9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96BBDF" w14:textId="77777777" w:rsidR="00DB401F" w:rsidRDefault="00DB401F" w:rsidP="009D1125">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486D9D">
      <w:rPr>
        <w:rFonts w:ascii="FrankRuehl" w:hAnsi="FrankRuehl" w:cs="FrankRuehl"/>
        <w:noProof/>
        <w:rtl/>
      </w:rPr>
      <w:t>1</w:t>
    </w:r>
    <w:r>
      <w:rPr>
        <w:rFonts w:ascii="FrankRuehl" w:hAnsi="FrankRuehl" w:cs="FrankRuehl"/>
        <w:rtl/>
      </w:rPr>
      <w:fldChar w:fldCharType="end"/>
    </w:r>
  </w:p>
  <w:p w14:paraId="2AB22731" w14:textId="77777777" w:rsidR="00DB401F" w:rsidRPr="009D1125" w:rsidRDefault="00DB401F" w:rsidP="009D1125">
    <w:pPr>
      <w:pStyle w:val="a5"/>
      <w:pBdr>
        <w:top w:val="single" w:sz="4" w:space="1" w:color="auto"/>
        <w:between w:val="single" w:sz="4" w:space="0" w:color="auto"/>
      </w:pBdr>
      <w:spacing w:after="60"/>
      <w:jc w:val="center"/>
      <w:rPr>
        <w:rFonts w:ascii="FrankRuehl" w:hAnsi="FrankRuehl" w:cs="FrankRuehl"/>
        <w:color w:val="000000"/>
      </w:rPr>
    </w:pPr>
    <w:r w:rsidRPr="009D1125">
      <w:rPr>
        <w:rFonts w:ascii="FrankRuehl" w:hAnsi="FrankRuehl" w:cs="FrankRuehl"/>
        <w:color w:val="000000"/>
      </w:rPr>
      <w:pict w14:anchorId="2B779C9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7.9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ACA260" w14:textId="77777777" w:rsidR="00C2597B" w:rsidRDefault="00C2597B" w:rsidP="008865F8">
      <w:r>
        <w:separator/>
      </w:r>
    </w:p>
  </w:footnote>
  <w:footnote w:type="continuationSeparator" w:id="0">
    <w:p w14:paraId="38EE9BA3" w14:textId="77777777" w:rsidR="00C2597B" w:rsidRDefault="00C2597B" w:rsidP="008865F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4CFB49" w14:textId="77777777" w:rsidR="00DB401F" w:rsidRPr="009D1125" w:rsidRDefault="00DB401F" w:rsidP="009D1125">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(ב"ש) 61759-02-19</w:t>
    </w:r>
    <w:r>
      <w:rPr>
        <w:rFonts w:ascii="David" w:hAnsi="David"/>
        <w:color w:val="000000"/>
        <w:sz w:val="22"/>
        <w:szCs w:val="22"/>
        <w:rtl/>
      </w:rPr>
      <w:tab/>
      <w:t xml:space="preserve"> מדינת ישראל נ' פאדל אבו טאהא</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583AA1" w14:textId="77777777" w:rsidR="00DB401F" w:rsidRPr="009D1125" w:rsidRDefault="00DB401F" w:rsidP="009D1125">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(ב"ש) 61759-02-19</w:t>
    </w:r>
    <w:r>
      <w:rPr>
        <w:rFonts w:ascii="David" w:hAnsi="David"/>
        <w:color w:val="000000"/>
        <w:sz w:val="22"/>
        <w:szCs w:val="22"/>
        <w:rtl/>
      </w:rPr>
      <w:tab/>
      <w:t xml:space="preserve"> מדינת ישראל נ' פאדל אבו טאהא</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A84695"/>
    <w:rsid w:val="00351FD0"/>
    <w:rsid w:val="00393BA8"/>
    <w:rsid w:val="00486D9D"/>
    <w:rsid w:val="004B07B6"/>
    <w:rsid w:val="00547C8B"/>
    <w:rsid w:val="006519C2"/>
    <w:rsid w:val="00682E6A"/>
    <w:rsid w:val="006B273B"/>
    <w:rsid w:val="008652DF"/>
    <w:rsid w:val="008865F8"/>
    <w:rsid w:val="009D1125"/>
    <w:rsid w:val="00A84695"/>
    <w:rsid w:val="00C2597B"/>
    <w:rsid w:val="00C619A3"/>
    <w:rsid w:val="00CB63BD"/>
    <w:rsid w:val="00DB401F"/>
    <w:rsid w:val="00EE51F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F13E2A4"/>
  <w15:chartTrackingRefBased/>
  <w15:docId w15:val="{B443C99E-02E8-4E22-89B8-C07413D3E2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A84695"/>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A84695"/>
    <w:pPr>
      <w:tabs>
        <w:tab w:val="center" w:pos="4153"/>
        <w:tab w:val="right" w:pos="8306"/>
      </w:tabs>
    </w:pPr>
  </w:style>
  <w:style w:type="character" w:customStyle="1" w:styleId="a4">
    <w:name w:val="כותרת עליונה תו"/>
    <w:link w:val="a3"/>
    <w:rsid w:val="00A84695"/>
    <w:rPr>
      <w:rFonts w:ascii="Times New Roman" w:eastAsia="Times New Roman" w:hAnsi="Times New Roman" w:cs="David"/>
      <w:sz w:val="24"/>
      <w:szCs w:val="24"/>
    </w:rPr>
  </w:style>
  <w:style w:type="paragraph" w:styleId="a5">
    <w:name w:val="footer"/>
    <w:basedOn w:val="a"/>
    <w:link w:val="a6"/>
    <w:rsid w:val="00A84695"/>
    <w:pPr>
      <w:tabs>
        <w:tab w:val="center" w:pos="4153"/>
        <w:tab w:val="right" w:pos="8306"/>
      </w:tabs>
    </w:pPr>
  </w:style>
  <w:style w:type="character" w:customStyle="1" w:styleId="a6">
    <w:name w:val="כותרת תחתונה תו"/>
    <w:link w:val="a5"/>
    <w:rsid w:val="00A84695"/>
    <w:rPr>
      <w:rFonts w:ascii="Times New Roman" w:eastAsia="Times New Roman" w:hAnsi="Times New Roman" w:cs="David"/>
      <w:sz w:val="24"/>
      <w:szCs w:val="24"/>
    </w:rPr>
  </w:style>
  <w:style w:type="table" w:styleId="a7">
    <w:name w:val="Table Grid"/>
    <w:basedOn w:val="a1"/>
    <w:rsid w:val="00A84695"/>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A84695"/>
  </w:style>
  <w:style w:type="character" w:styleId="Hyperlink">
    <w:name w:val="Hyperlink"/>
    <w:rsid w:val="00393BA8"/>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144.b2" TargetMode="External"/><Relationship Id="rId18" Type="http://schemas.openxmlformats.org/officeDocument/2006/relationships/hyperlink" Target="http://www.nevo.co.il/case/5878120" TargetMode="External"/><Relationship Id="rId26" Type="http://schemas.openxmlformats.org/officeDocument/2006/relationships/hyperlink" Target="http://www.nevo.co.il/case/23850962" TargetMode="External"/><Relationship Id="rId39" Type="http://schemas.openxmlformats.org/officeDocument/2006/relationships/hyperlink" Target="http://www.nevo.co.il/case/5880417" TargetMode="External"/><Relationship Id="rId21" Type="http://schemas.openxmlformats.org/officeDocument/2006/relationships/hyperlink" Target="http://www.nevo.co.il/case/23750625" TargetMode="External"/><Relationship Id="rId34" Type="http://schemas.openxmlformats.org/officeDocument/2006/relationships/hyperlink" Target="http://www.nevo.co.il/case/5984454" TargetMode="External"/><Relationship Id="rId42" Type="http://schemas.openxmlformats.org/officeDocument/2006/relationships/hyperlink" Target="http://www.nevo.co.il/law/70301" TargetMode="External"/><Relationship Id="rId47" Type="http://schemas.openxmlformats.org/officeDocument/2006/relationships/header" Target="header1.xml"/><Relationship Id="rId50" Type="http://schemas.openxmlformats.org/officeDocument/2006/relationships/footer" Target="footer2.xml"/><Relationship Id="rId7" Type="http://schemas.openxmlformats.org/officeDocument/2006/relationships/hyperlink" Target="http://www.nevo.co.il/law/70301/31" TargetMode="External"/><Relationship Id="rId2" Type="http://schemas.openxmlformats.org/officeDocument/2006/relationships/settings" Target="settings.xml"/><Relationship Id="rId16" Type="http://schemas.openxmlformats.org/officeDocument/2006/relationships/hyperlink" Target="http://www.nevo.co.il/case/23750625" TargetMode="External"/><Relationship Id="rId29" Type="http://schemas.openxmlformats.org/officeDocument/2006/relationships/hyperlink" Target="http://www.nevo.co.il/case/21688764" TargetMode="External"/><Relationship Id="rId11" Type="http://schemas.openxmlformats.org/officeDocument/2006/relationships/hyperlink" Target="http://www.nevo.co.il/law/70301" TargetMode="External"/><Relationship Id="rId24" Type="http://schemas.openxmlformats.org/officeDocument/2006/relationships/hyperlink" Target="http://www.nevo.co.il/case/23850993" TargetMode="External"/><Relationship Id="rId32" Type="http://schemas.openxmlformats.org/officeDocument/2006/relationships/hyperlink" Target="http://www.nevo.co.il/case/5578372" TargetMode="External"/><Relationship Id="rId37" Type="http://schemas.openxmlformats.org/officeDocument/2006/relationships/hyperlink" Target="http://www.nevo.co.il/law/70301" TargetMode="External"/><Relationship Id="rId40" Type="http://schemas.openxmlformats.org/officeDocument/2006/relationships/hyperlink" Target="http://www.nevo.co.il/case/7691216" TargetMode="External"/><Relationship Id="rId45" Type="http://schemas.openxmlformats.org/officeDocument/2006/relationships/hyperlink" Target="http://www.nevo.co.il/case/6473037" TargetMode="External"/><Relationship Id="rId5" Type="http://schemas.openxmlformats.org/officeDocument/2006/relationships/endnotes" Target="endnotes.xml"/><Relationship Id="rId15" Type="http://schemas.openxmlformats.org/officeDocument/2006/relationships/hyperlink" Target="http://www.nevo.co.il/case/25430243" TargetMode="External"/><Relationship Id="rId23" Type="http://schemas.openxmlformats.org/officeDocument/2006/relationships/hyperlink" Target="http://www.nevo.co.il/case/6000182" TargetMode="External"/><Relationship Id="rId28" Type="http://schemas.openxmlformats.org/officeDocument/2006/relationships/hyperlink" Target="http://www.nevo.co.il/case/13090914" TargetMode="External"/><Relationship Id="rId36" Type="http://schemas.openxmlformats.org/officeDocument/2006/relationships/hyperlink" Target="http://www.nevo.co.il/case/5698919" TargetMode="External"/><Relationship Id="rId49" Type="http://schemas.openxmlformats.org/officeDocument/2006/relationships/footer" Target="footer1.xml"/><Relationship Id="rId10" Type="http://schemas.openxmlformats.org/officeDocument/2006/relationships/hyperlink" Target="http://www.nevo.co.il/law/70301/31" TargetMode="External"/><Relationship Id="rId19" Type="http://schemas.openxmlformats.org/officeDocument/2006/relationships/hyperlink" Target="http://www.nevo.co.il/case/6473037" TargetMode="External"/><Relationship Id="rId31" Type="http://schemas.openxmlformats.org/officeDocument/2006/relationships/hyperlink" Target="http://www.nevo.co.il/case/20296345" TargetMode="External"/><Relationship Id="rId44" Type="http://schemas.openxmlformats.org/officeDocument/2006/relationships/hyperlink" Target="http://www.nevo.co.il/case/25430243" TargetMode="External"/><Relationship Id="rId52"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hyperlink" Target="http://www.nevo.co.il/law/70301/144.b2" TargetMode="External"/><Relationship Id="rId14" Type="http://schemas.openxmlformats.org/officeDocument/2006/relationships/hyperlink" Target="http://www.nevo.co.il/law/70301" TargetMode="External"/><Relationship Id="rId22" Type="http://schemas.openxmlformats.org/officeDocument/2006/relationships/hyperlink" Target="http://www.nevo.co.il/case/5852404" TargetMode="External"/><Relationship Id="rId27" Type="http://schemas.openxmlformats.org/officeDocument/2006/relationships/hyperlink" Target="http://www.nevo.co.il/case/21472788" TargetMode="External"/><Relationship Id="rId30" Type="http://schemas.openxmlformats.org/officeDocument/2006/relationships/hyperlink" Target="http://www.nevo.co.il/case/7779334" TargetMode="External"/><Relationship Id="rId35" Type="http://schemas.openxmlformats.org/officeDocument/2006/relationships/hyperlink" Target="http://www.nevo.co.il/case/6085666" TargetMode="External"/><Relationship Id="rId43" Type="http://schemas.openxmlformats.org/officeDocument/2006/relationships/hyperlink" Target="http://www.nevo.co.il/case/20007334" TargetMode="External"/><Relationship Id="rId48" Type="http://schemas.openxmlformats.org/officeDocument/2006/relationships/header" Target="header2.xml"/><Relationship Id="rId8" Type="http://schemas.openxmlformats.org/officeDocument/2006/relationships/hyperlink" Target="http://www.nevo.co.il/law/70301/144.b2" TargetMode="External"/><Relationship Id="rId51" Type="http://schemas.openxmlformats.org/officeDocument/2006/relationships/fontTable" Target="fontTable.xml"/><Relationship Id="rId3" Type="http://schemas.openxmlformats.org/officeDocument/2006/relationships/webSettings" Target="webSettings.xml"/><Relationship Id="rId12" Type="http://schemas.openxmlformats.org/officeDocument/2006/relationships/hyperlink" Target="http://www.nevo.co.il/law/70301/144.b2" TargetMode="External"/><Relationship Id="rId17" Type="http://schemas.openxmlformats.org/officeDocument/2006/relationships/hyperlink" Target="http://www.nevo.co.il/case/5707014" TargetMode="External"/><Relationship Id="rId25" Type="http://schemas.openxmlformats.org/officeDocument/2006/relationships/hyperlink" Target="http://www.nevo.co.il/case/23750625" TargetMode="External"/><Relationship Id="rId33" Type="http://schemas.openxmlformats.org/officeDocument/2006/relationships/hyperlink" Target="http://www.nevo.co.il/case/379984" TargetMode="External"/><Relationship Id="rId38" Type="http://schemas.openxmlformats.org/officeDocument/2006/relationships/hyperlink" Target="http://www.nevo.co.il/case/5603213" TargetMode="External"/><Relationship Id="rId46" Type="http://schemas.openxmlformats.org/officeDocument/2006/relationships/hyperlink" Target="http://www.nevo.co.il/advertisements/nevo-100.doc" TargetMode="External"/><Relationship Id="rId20" Type="http://schemas.openxmlformats.org/officeDocument/2006/relationships/hyperlink" Target="http://www.nevo.co.il/case/17954235" TargetMode="External"/><Relationship Id="rId41" Type="http://schemas.openxmlformats.org/officeDocument/2006/relationships/hyperlink" Target="http://www.nevo.co.il/law/70301/144.b2" TargetMode="External"/><Relationship Id="rId1" Type="http://schemas.openxmlformats.org/officeDocument/2006/relationships/styles" Target="styles.xml"/><Relationship Id="rId6" Type="http://schemas.openxmlformats.org/officeDocument/2006/relationships/hyperlink" Target="http://www.nevo.co.il/law/70301"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5462</Words>
  <Characters>27314</Characters>
  <Application>Microsoft Office Word</Application>
  <DocSecurity>0</DocSecurity>
  <Lines>227</Lines>
  <Paragraphs>65</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32711</CharactersWithSpaces>
  <SharedDoc>false</SharedDoc>
  <HLinks>
    <vt:vector size="246" baseType="variant">
      <vt:variant>
        <vt:i4>393283</vt:i4>
      </vt:variant>
      <vt:variant>
        <vt:i4>120</vt:i4>
      </vt:variant>
      <vt:variant>
        <vt:i4>0</vt:i4>
      </vt:variant>
      <vt:variant>
        <vt:i4>5</vt:i4>
      </vt:variant>
      <vt:variant>
        <vt:lpwstr>http://www.nevo.co.il/advertisements/nevo-100.doc</vt:lpwstr>
      </vt:variant>
      <vt:variant>
        <vt:lpwstr/>
      </vt:variant>
      <vt:variant>
        <vt:i4>3539056</vt:i4>
      </vt:variant>
      <vt:variant>
        <vt:i4>117</vt:i4>
      </vt:variant>
      <vt:variant>
        <vt:i4>0</vt:i4>
      </vt:variant>
      <vt:variant>
        <vt:i4>5</vt:i4>
      </vt:variant>
      <vt:variant>
        <vt:lpwstr>http://www.nevo.co.il/case/6473037</vt:lpwstr>
      </vt:variant>
      <vt:variant>
        <vt:lpwstr/>
      </vt:variant>
      <vt:variant>
        <vt:i4>3276912</vt:i4>
      </vt:variant>
      <vt:variant>
        <vt:i4>114</vt:i4>
      </vt:variant>
      <vt:variant>
        <vt:i4>0</vt:i4>
      </vt:variant>
      <vt:variant>
        <vt:i4>5</vt:i4>
      </vt:variant>
      <vt:variant>
        <vt:lpwstr>http://www.nevo.co.il/case/25430243</vt:lpwstr>
      </vt:variant>
      <vt:variant>
        <vt:lpwstr/>
      </vt:variant>
      <vt:variant>
        <vt:i4>3539063</vt:i4>
      </vt:variant>
      <vt:variant>
        <vt:i4>111</vt:i4>
      </vt:variant>
      <vt:variant>
        <vt:i4>0</vt:i4>
      </vt:variant>
      <vt:variant>
        <vt:i4>5</vt:i4>
      </vt:variant>
      <vt:variant>
        <vt:lpwstr>http://www.nevo.co.il/case/20007334</vt:lpwstr>
      </vt:variant>
      <vt:variant>
        <vt:lpwstr/>
      </vt:variant>
      <vt:variant>
        <vt:i4>7995492</vt:i4>
      </vt:variant>
      <vt:variant>
        <vt:i4>108</vt:i4>
      </vt:variant>
      <vt:variant>
        <vt:i4>0</vt:i4>
      </vt:variant>
      <vt:variant>
        <vt:i4>5</vt:i4>
      </vt:variant>
      <vt:variant>
        <vt:lpwstr>http://www.nevo.co.il/law/70301</vt:lpwstr>
      </vt:variant>
      <vt:variant>
        <vt:lpwstr/>
      </vt:variant>
      <vt:variant>
        <vt:i4>8192050</vt:i4>
      </vt:variant>
      <vt:variant>
        <vt:i4>105</vt:i4>
      </vt:variant>
      <vt:variant>
        <vt:i4>0</vt:i4>
      </vt:variant>
      <vt:variant>
        <vt:i4>5</vt:i4>
      </vt:variant>
      <vt:variant>
        <vt:lpwstr>http://www.nevo.co.il/law/70301/144.b2</vt:lpwstr>
      </vt:variant>
      <vt:variant>
        <vt:lpwstr/>
      </vt:variant>
      <vt:variant>
        <vt:i4>3801202</vt:i4>
      </vt:variant>
      <vt:variant>
        <vt:i4>102</vt:i4>
      </vt:variant>
      <vt:variant>
        <vt:i4>0</vt:i4>
      </vt:variant>
      <vt:variant>
        <vt:i4>5</vt:i4>
      </vt:variant>
      <vt:variant>
        <vt:lpwstr>http://www.nevo.co.il/case/7691216</vt:lpwstr>
      </vt:variant>
      <vt:variant>
        <vt:lpwstr/>
      </vt:variant>
      <vt:variant>
        <vt:i4>4063357</vt:i4>
      </vt:variant>
      <vt:variant>
        <vt:i4>99</vt:i4>
      </vt:variant>
      <vt:variant>
        <vt:i4>0</vt:i4>
      </vt:variant>
      <vt:variant>
        <vt:i4>5</vt:i4>
      </vt:variant>
      <vt:variant>
        <vt:lpwstr>http://www.nevo.co.il/case/5880417</vt:lpwstr>
      </vt:variant>
      <vt:variant>
        <vt:lpwstr/>
      </vt:variant>
      <vt:variant>
        <vt:i4>3407984</vt:i4>
      </vt:variant>
      <vt:variant>
        <vt:i4>96</vt:i4>
      </vt:variant>
      <vt:variant>
        <vt:i4>0</vt:i4>
      </vt:variant>
      <vt:variant>
        <vt:i4>5</vt:i4>
      </vt:variant>
      <vt:variant>
        <vt:lpwstr>http://www.nevo.co.il/case/5603213</vt:lpwstr>
      </vt:variant>
      <vt:variant>
        <vt:lpwstr/>
      </vt:variant>
      <vt:variant>
        <vt:i4>7995492</vt:i4>
      </vt:variant>
      <vt:variant>
        <vt:i4>93</vt:i4>
      </vt:variant>
      <vt:variant>
        <vt:i4>0</vt:i4>
      </vt:variant>
      <vt:variant>
        <vt:i4>5</vt:i4>
      </vt:variant>
      <vt:variant>
        <vt:lpwstr>http://www.nevo.co.il/law/70301</vt:lpwstr>
      </vt:variant>
      <vt:variant>
        <vt:lpwstr/>
      </vt:variant>
      <vt:variant>
        <vt:i4>3932283</vt:i4>
      </vt:variant>
      <vt:variant>
        <vt:i4>90</vt:i4>
      </vt:variant>
      <vt:variant>
        <vt:i4>0</vt:i4>
      </vt:variant>
      <vt:variant>
        <vt:i4>5</vt:i4>
      </vt:variant>
      <vt:variant>
        <vt:lpwstr>http://www.nevo.co.il/case/5698919</vt:lpwstr>
      </vt:variant>
      <vt:variant>
        <vt:lpwstr/>
      </vt:variant>
      <vt:variant>
        <vt:i4>4063351</vt:i4>
      </vt:variant>
      <vt:variant>
        <vt:i4>87</vt:i4>
      </vt:variant>
      <vt:variant>
        <vt:i4>0</vt:i4>
      </vt:variant>
      <vt:variant>
        <vt:i4>5</vt:i4>
      </vt:variant>
      <vt:variant>
        <vt:lpwstr>http://www.nevo.co.il/case/6085666</vt:lpwstr>
      </vt:variant>
      <vt:variant>
        <vt:lpwstr/>
      </vt:variant>
      <vt:variant>
        <vt:i4>3997820</vt:i4>
      </vt:variant>
      <vt:variant>
        <vt:i4>84</vt:i4>
      </vt:variant>
      <vt:variant>
        <vt:i4>0</vt:i4>
      </vt:variant>
      <vt:variant>
        <vt:i4>5</vt:i4>
      </vt:variant>
      <vt:variant>
        <vt:lpwstr>http://www.nevo.co.il/case/5984454</vt:lpwstr>
      </vt:variant>
      <vt:variant>
        <vt:lpwstr/>
      </vt:variant>
      <vt:variant>
        <vt:i4>131146</vt:i4>
      </vt:variant>
      <vt:variant>
        <vt:i4>81</vt:i4>
      </vt:variant>
      <vt:variant>
        <vt:i4>0</vt:i4>
      </vt:variant>
      <vt:variant>
        <vt:i4>5</vt:i4>
      </vt:variant>
      <vt:variant>
        <vt:lpwstr>http://www.nevo.co.il/case/379984</vt:lpwstr>
      </vt:variant>
      <vt:variant>
        <vt:lpwstr/>
      </vt:variant>
      <vt:variant>
        <vt:i4>3342462</vt:i4>
      </vt:variant>
      <vt:variant>
        <vt:i4>78</vt:i4>
      </vt:variant>
      <vt:variant>
        <vt:i4>0</vt:i4>
      </vt:variant>
      <vt:variant>
        <vt:i4>5</vt:i4>
      </vt:variant>
      <vt:variant>
        <vt:lpwstr>http://www.nevo.co.il/case/5578372</vt:lpwstr>
      </vt:variant>
      <vt:variant>
        <vt:lpwstr/>
      </vt:variant>
      <vt:variant>
        <vt:i4>3276926</vt:i4>
      </vt:variant>
      <vt:variant>
        <vt:i4>75</vt:i4>
      </vt:variant>
      <vt:variant>
        <vt:i4>0</vt:i4>
      </vt:variant>
      <vt:variant>
        <vt:i4>5</vt:i4>
      </vt:variant>
      <vt:variant>
        <vt:lpwstr>http://www.nevo.co.il/case/20296345</vt:lpwstr>
      </vt:variant>
      <vt:variant>
        <vt:lpwstr/>
      </vt:variant>
      <vt:variant>
        <vt:i4>3604601</vt:i4>
      </vt:variant>
      <vt:variant>
        <vt:i4>72</vt:i4>
      </vt:variant>
      <vt:variant>
        <vt:i4>0</vt:i4>
      </vt:variant>
      <vt:variant>
        <vt:i4>5</vt:i4>
      </vt:variant>
      <vt:variant>
        <vt:lpwstr>http://www.nevo.co.il/case/7779334</vt:lpwstr>
      </vt:variant>
      <vt:variant>
        <vt:lpwstr/>
      </vt:variant>
      <vt:variant>
        <vt:i4>3801210</vt:i4>
      </vt:variant>
      <vt:variant>
        <vt:i4>69</vt:i4>
      </vt:variant>
      <vt:variant>
        <vt:i4>0</vt:i4>
      </vt:variant>
      <vt:variant>
        <vt:i4>5</vt:i4>
      </vt:variant>
      <vt:variant>
        <vt:lpwstr>http://www.nevo.co.il/case/21688764</vt:lpwstr>
      </vt:variant>
      <vt:variant>
        <vt:lpwstr/>
      </vt:variant>
      <vt:variant>
        <vt:i4>3145847</vt:i4>
      </vt:variant>
      <vt:variant>
        <vt:i4>66</vt:i4>
      </vt:variant>
      <vt:variant>
        <vt:i4>0</vt:i4>
      </vt:variant>
      <vt:variant>
        <vt:i4>5</vt:i4>
      </vt:variant>
      <vt:variant>
        <vt:lpwstr>http://www.nevo.co.il/case/13090914</vt:lpwstr>
      </vt:variant>
      <vt:variant>
        <vt:lpwstr/>
      </vt:variant>
      <vt:variant>
        <vt:i4>3932277</vt:i4>
      </vt:variant>
      <vt:variant>
        <vt:i4>63</vt:i4>
      </vt:variant>
      <vt:variant>
        <vt:i4>0</vt:i4>
      </vt:variant>
      <vt:variant>
        <vt:i4>5</vt:i4>
      </vt:variant>
      <vt:variant>
        <vt:lpwstr>http://www.nevo.co.il/case/21472788</vt:lpwstr>
      </vt:variant>
      <vt:variant>
        <vt:lpwstr/>
      </vt:variant>
      <vt:variant>
        <vt:i4>3932283</vt:i4>
      </vt:variant>
      <vt:variant>
        <vt:i4>60</vt:i4>
      </vt:variant>
      <vt:variant>
        <vt:i4>0</vt:i4>
      </vt:variant>
      <vt:variant>
        <vt:i4>5</vt:i4>
      </vt:variant>
      <vt:variant>
        <vt:lpwstr>http://www.nevo.co.il/case/23850962</vt:lpwstr>
      </vt:variant>
      <vt:variant>
        <vt:lpwstr/>
      </vt:variant>
      <vt:variant>
        <vt:i4>3604596</vt:i4>
      </vt:variant>
      <vt:variant>
        <vt:i4>57</vt:i4>
      </vt:variant>
      <vt:variant>
        <vt:i4>0</vt:i4>
      </vt:variant>
      <vt:variant>
        <vt:i4>5</vt:i4>
      </vt:variant>
      <vt:variant>
        <vt:lpwstr>http://www.nevo.co.il/case/23750625</vt:lpwstr>
      </vt:variant>
      <vt:variant>
        <vt:lpwstr/>
      </vt:variant>
      <vt:variant>
        <vt:i4>3342459</vt:i4>
      </vt:variant>
      <vt:variant>
        <vt:i4>54</vt:i4>
      </vt:variant>
      <vt:variant>
        <vt:i4>0</vt:i4>
      </vt:variant>
      <vt:variant>
        <vt:i4>5</vt:i4>
      </vt:variant>
      <vt:variant>
        <vt:lpwstr>http://www.nevo.co.il/case/23850993</vt:lpwstr>
      </vt:variant>
      <vt:variant>
        <vt:lpwstr/>
      </vt:variant>
      <vt:variant>
        <vt:i4>3473532</vt:i4>
      </vt:variant>
      <vt:variant>
        <vt:i4>51</vt:i4>
      </vt:variant>
      <vt:variant>
        <vt:i4>0</vt:i4>
      </vt:variant>
      <vt:variant>
        <vt:i4>5</vt:i4>
      </vt:variant>
      <vt:variant>
        <vt:lpwstr>http://www.nevo.co.il/case/6000182</vt:lpwstr>
      </vt:variant>
      <vt:variant>
        <vt:lpwstr/>
      </vt:variant>
      <vt:variant>
        <vt:i4>3145854</vt:i4>
      </vt:variant>
      <vt:variant>
        <vt:i4>48</vt:i4>
      </vt:variant>
      <vt:variant>
        <vt:i4>0</vt:i4>
      </vt:variant>
      <vt:variant>
        <vt:i4>5</vt:i4>
      </vt:variant>
      <vt:variant>
        <vt:lpwstr>http://www.nevo.co.il/case/5852404</vt:lpwstr>
      </vt:variant>
      <vt:variant>
        <vt:lpwstr/>
      </vt:variant>
      <vt:variant>
        <vt:i4>3604596</vt:i4>
      </vt:variant>
      <vt:variant>
        <vt:i4>45</vt:i4>
      </vt:variant>
      <vt:variant>
        <vt:i4>0</vt:i4>
      </vt:variant>
      <vt:variant>
        <vt:i4>5</vt:i4>
      </vt:variant>
      <vt:variant>
        <vt:lpwstr>http://www.nevo.co.il/case/23750625</vt:lpwstr>
      </vt:variant>
      <vt:variant>
        <vt:lpwstr/>
      </vt:variant>
      <vt:variant>
        <vt:i4>4128884</vt:i4>
      </vt:variant>
      <vt:variant>
        <vt:i4>42</vt:i4>
      </vt:variant>
      <vt:variant>
        <vt:i4>0</vt:i4>
      </vt:variant>
      <vt:variant>
        <vt:i4>5</vt:i4>
      </vt:variant>
      <vt:variant>
        <vt:lpwstr>http://www.nevo.co.il/case/17954235</vt:lpwstr>
      </vt:variant>
      <vt:variant>
        <vt:lpwstr/>
      </vt:variant>
      <vt:variant>
        <vt:i4>3539056</vt:i4>
      </vt:variant>
      <vt:variant>
        <vt:i4>39</vt:i4>
      </vt:variant>
      <vt:variant>
        <vt:i4>0</vt:i4>
      </vt:variant>
      <vt:variant>
        <vt:i4>5</vt:i4>
      </vt:variant>
      <vt:variant>
        <vt:lpwstr>http://www.nevo.co.il/case/6473037</vt:lpwstr>
      </vt:variant>
      <vt:variant>
        <vt:lpwstr/>
      </vt:variant>
      <vt:variant>
        <vt:i4>3342454</vt:i4>
      </vt:variant>
      <vt:variant>
        <vt:i4>36</vt:i4>
      </vt:variant>
      <vt:variant>
        <vt:i4>0</vt:i4>
      </vt:variant>
      <vt:variant>
        <vt:i4>5</vt:i4>
      </vt:variant>
      <vt:variant>
        <vt:lpwstr>http://www.nevo.co.il/case/5878120</vt:lpwstr>
      </vt:variant>
      <vt:variant>
        <vt:lpwstr/>
      </vt:variant>
      <vt:variant>
        <vt:i4>3211381</vt:i4>
      </vt:variant>
      <vt:variant>
        <vt:i4>33</vt:i4>
      </vt:variant>
      <vt:variant>
        <vt:i4>0</vt:i4>
      </vt:variant>
      <vt:variant>
        <vt:i4>5</vt:i4>
      </vt:variant>
      <vt:variant>
        <vt:lpwstr>http://www.nevo.co.il/case/5707014</vt:lpwstr>
      </vt:variant>
      <vt:variant>
        <vt:lpwstr/>
      </vt:variant>
      <vt:variant>
        <vt:i4>3604596</vt:i4>
      </vt:variant>
      <vt:variant>
        <vt:i4>30</vt:i4>
      </vt:variant>
      <vt:variant>
        <vt:i4>0</vt:i4>
      </vt:variant>
      <vt:variant>
        <vt:i4>5</vt:i4>
      </vt:variant>
      <vt:variant>
        <vt:lpwstr>http://www.nevo.co.il/case/23750625</vt:lpwstr>
      </vt:variant>
      <vt:variant>
        <vt:lpwstr/>
      </vt:variant>
      <vt:variant>
        <vt:i4>3276912</vt:i4>
      </vt:variant>
      <vt:variant>
        <vt:i4>27</vt:i4>
      </vt:variant>
      <vt:variant>
        <vt:i4>0</vt:i4>
      </vt:variant>
      <vt:variant>
        <vt:i4>5</vt:i4>
      </vt:variant>
      <vt:variant>
        <vt:lpwstr>http://www.nevo.co.il/case/25430243</vt:lpwstr>
      </vt:variant>
      <vt:variant>
        <vt:lpwstr/>
      </vt:variant>
      <vt:variant>
        <vt:i4>7995492</vt:i4>
      </vt:variant>
      <vt:variant>
        <vt:i4>24</vt:i4>
      </vt:variant>
      <vt:variant>
        <vt:i4>0</vt:i4>
      </vt:variant>
      <vt:variant>
        <vt:i4>5</vt:i4>
      </vt:variant>
      <vt:variant>
        <vt:lpwstr>http://www.nevo.co.il/law/70301</vt:lpwstr>
      </vt:variant>
      <vt:variant>
        <vt:lpwstr/>
      </vt:variant>
      <vt:variant>
        <vt:i4>8192050</vt:i4>
      </vt:variant>
      <vt:variant>
        <vt:i4>21</vt:i4>
      </vt:variant>
      <vt:variant>
        <vt:i4>0</vt:i4>
      </vt:variant>
      <vt:variant>
        <vt:i4>5</vt:i4>
      </vt:variant>
      <vt:variant>
        <vt:lpwstr>http://www.nevo.co.il/law/70301/144.b2</vt:lpwstr>
      </vt:variant>
      <vt:variant>
        <vt:lpwstr/>
      </vt:variant>
      <vt:variant>
        <vt:i4>8192050</vt:i4>
      </vt:variant>
      <vt:variant>
        <vt:i4>18</vt:i4>
      </vt:variant>
      <vt:variant>
        <vt:i4>0</vt:i4>
      </vt:variant>
      <vt:variant>
        <vt:i4>5</vt:i4>
      </vt:variant>
      <vt:variant>
        <vt:lpwstr>http://www.nevo.co.il/law/70301/144.b2</vt:lpwstr>
      </vt:variant>
      <vt:variant>
        <vt:lpwstr/>
      </vt:variant>
      <vt:variant>
        <vt:i4>7995492</vt:i4>
      </vt:variant>
      <vt:variant>
        <vt:i4>15</vt:i4>
      </vt:variant>
      <vt:variant>
        <vt:i4>0</vt:i4>
      </vt:variant>
      <vt:variant>
        <vt:i4>5</vt:i4>
      </vt:variant>
      <vt:variant>
        <vt:lpwstr>http://www.nevo.co.il/law/70301</vt:lpwstr>
      </vt:variant>
      <vt:variant>
        <vt:lpwstr/>
      </vt:variant>
      <vt:variant>
        <vt:i4>6553702</vt:i4>
      </vt:variant>
      <vt:variant>
        <vt:i4>12</vt:i4>
      </vt:variant>
      <vt:variant>
        <vt:i4>0</vt:i4>
      </vt:variant>
      <vt:variant>
        <vt:i4>5</vt:i4>
      </vt:variant>
      <vt:variant>
        <vt:lpwstr>http://www.nevo.co.il/law/70301/31</vt:lpwstr>
      </vt:variant>
      <vt:variant>
        <vt:lpwstr/>
      </vt:variant>
      <vt:variant>
        <vt:i4>8192050</vt:i4>
      </vt:variant>
      <vt:variant>
        <vt:i4>9</vt:i4>
      </vt:variant>
      <vt:variant>
        <vt:i4>0</vt:i4>
      </vt:variant>
      <vt:variant>
        <vt:i4>5</vt:i4>
      </vt:variant>
      <vt:variant>
        <vt:lpwstr>http://www.nevo.co.il/law/70301/144.b2</vt:lpwstr>
      </vt:variant>
      <vt:variant>
        <vt:lpwstr/>
      </vt:variant>
      <vt:variant>
        <vt:i4>8192050</vt:i4>
      </vt:variant>
      <vt:variant>
        <vt:i4>6</vt:i4>
      </vt:variant>
      <vt:variant>
        <vt:i4>0</vt:i4>
      </vt:variant>
      <vt:variant>
        <vt:i4>5</vt:i4>
      </vt:variant>
      <vt:variant>
        <vt:lpwstr>http://www.nevo.co.il/law/70301/144.b2</vt:lpwstr>
      </vt:variant>
      <vt:variant>
        <vt:lpwstr/>
      </vt:variant>
      <vt:variant>
        <vt:i4>6553702</vt:i4>
      </vt:variant>
      <vt:variant>
        <vt:i4>3</vt:i4>
      </vt:variant>
      <vt:variant>
        <vt:i4>0</vt:i4>
      </vt:variant>
      <vt:variant>
        <vt:i4>5</vt:i4>
      </vt:variant>
      <vt:variant>
        <vt:lpwstr>http://www.nevo.co.il/law/70301/31</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ליאור קובי</cp:lastModifiedBy>
  <cp:revision>2</cp:revision>
  <dcterms:created xsi:type="dcterms:W3CDTF">2023-12-07T12:15:00Z</dcterms:created>
  <dcterms:modified xsi:type="dcterms:W3CDTF">2023-12-07T12:15:00Z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61759</vt:lpwstr>
  </property>
  <property fmtid="{D5CDD505-2E9C-101B-9397-08002B2CF9AE}" pid="6" name="NEWPARTB">
    <vt:lpwstr>02</vt:lpwstr>
  </property>
  <property fmtid="{D5CDD505-2E9C-101B-9397-08002B2CF9AE}" pid="7" name="NEWPARTC">
    <vt:lpwstr>19</vt:lpwstr>
  </property>
  <property fmtid="{D5CDD505-2E9C-101B-9397-08002B2CF9AE}" pid="8" name="APPELLANT">
    <vt:lpwstr>מדינת ישראל</vt:lpwstr>
  </property>
  <property fmtid="{D5CDD505-2E9C-101B-9397-08002B2CF9AE}" pid="9" name="APPELLEE">
    <vt:lpwstr>פאדל אבו טאהא;פתחי אבו טאה</vt:lpwstr>
  </property>
  <property fmtid="{D5CDD505-2E9C-101B-9397-08002B2CF9AE}" pid="10" name="JUDGE">
    <vt:lpwstr>אליהו ביתן</vt:lpwstr>
  </property>
  <property fmtid="{D5CDD505-2E9C-101B-9397-08002B2CF9AE}" pid="11" name="CITY">
    <vt:lpwstr>ב"ש</vt:lpwstr>
  </property>
  <property fmtid="{D5CDD505-2E9C-101B-9397-08002B2CF9AE}" pid="12" name="DATE">
    <vt:lpwstr>20191204</vt:lpwstr>
  </property>
  <property fmtid="{D5CDD505-2E9C-101B-9397-08002B2CF9AE}" pid="13" name="TYPE_N_DATE">
    <vt:lpwstr>39020191204</vt:lpwstr>
  </property>
  <property fmtid="{D5CDD505-2E9C-101B-9397-08002B2CF9AE}" pid="14" name="WORDNUMPAGES">
    <vt:lpwstr>17</vt:lpwstr>
  </property>
  <property fmtid="{D5CDD505-2E9C-101B-9397-08002B2CF9AE}" pid="15" name="TYPE_ABS_DATE">
    <vt:lpwstr>390120191204</vt:lpwstr>
  </property>
  <property fmtid="{D5CDD505-2E9C-101B-9397-08002B2CF9AE}" pid="16" name="ISABSTRACT">
    <vt:lpwstr>Y</vt:lpwstr>
  </property>
  <property fmtid="{D5CDD505-2E9C-101B-9397-08002B2CF9AE}" pid="17" name="LAWYER">
    <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YES</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25430243:2;23750625:3;5707014;5878120;6473037:2;17954235;5852404;6000182;23850993;23850962;21472788;13090914;21688764;7779334;20296345;5578372;379984;5984454;6085666;5698919;5603213;5880417;7691216;20007334</vt:lpwstr>
  </property>
  <property fmtid="{D5CDD505-2E9C-101B-9397-08002B2CF9AE}" pid="36" name="LAWLISTTMP1">
    <vt:lpwstr>70301/144.b2:4;031</vt:lpwstr>
  </property>
  <property fmtid="{D5CDD505-2E9C-101B-9397-08002B2CF9AE}" pid="37" name="NOSE1ID">
    <vt:lpwstr>77</vt:lpwstr>
  </property>
  <property fmtid="{D5CDD505-2E9C-101B-9397-08002B2CF9AE}" pid="38" name="NOSE2ID">
    <vt:lpwstr>1446</vt:lpwstr>
  </property>
  <property fmtid="{D5CDD505-2E9C-101B-9397-08002B2CF9AE}" pid="39" name="NOSE3ID">
    <vt:lpwstr>13800</vt:lpwstr>
  </property>
  <property fmtid="{D5CDD505-2E9C-101B-9397-08002B2CF9AE}" pid="40" name="NOSE11">
    <vt:lpwstr>עונשין</vt:lpwstr>
  </property>
  <property fmtid="{D5CDD505-2E9C-101B-9397-08002B2CF9AE}" pid="41" name="NOSE21">
    <vt:lpwstr>ענישה</vt:lpwstr>
  </property>
  <property fmtid="{D5CDD505-2E9C-101B-9397-08002B2CF9AE}" pid="42" name="NOSE31">
    <vt:lpwstr>מדיניות ענישה: עבירות נשק</vt:lpwstr>
  </property>
  <property fmtid="{D5CDD505-2E9C-101B-9397-08002B2CF9AE}" pid="43" name="NOSE12">
    <vt:lpwstr/>
  </property>
  <property fmtid="{D5CDD505-2E9C-101B-9397-08002B2CF9AE}" pid="44" name="NOSE22">
    <vt:lpwstr/>
  </property>
  <property fmtid="{D5CDD505-2E9C-101B-9397-08002B2CF9AE}" pid="45" name="NOSE32">
    <vt:lpwstr/>
  </property>
  <property fmtid="{D5CDD505-2E9C-101B-9397-08002B2CF9AE}" pid="46" name="NOSE13">
    <vt:lpwstr/>
  </property>
  <property fmtid="{D5CDD505-2E9C-101B-9397-08002B2CF9AE}" pid="47" name="NOSE23">
    <vt:lpwstr/>
  </property>
  <property fmtid="{D5CDD505-2E9C-101B-9397-08002B2CF9AE}" pid="48" name="NOSE33">
    <vt:lpwstr/>
  </property>
  <property fmtid="{D5CDD505-2E9C-101B-9397-08002B2CF9AE}" pid="49" name="NOSE14">
    <vt:lpwstr/>
  </property>
  <property fmtid="{D5CDD505-2E9C-101B-9397-08002B2CF9AE}" pid="50" name="NOSE24">
    <vt:lpwstr/>
  </property>
  <property fmtid="{D5CDD505-2E9C-101B-9397-08002B2CF9AE}" pid="51" name="NOSE34">
    <vt:lpwstr/>
  </property>
  <property fmtid="{D5CDD505-2E9C-101B-9397-08002B2CF9AE}" pid="52" name="NOSE15">
    <vt:lpwstr/>
  </property>
  <property fmtid="{D5CDD505-2E9C-101B-9397-08002B2CF9AE}" pid="53" name="NOSE25">
    <vt:lpwstr/>
  </property>
  <property fmtid="{D5CDD505-2E9C-101B-9397-08002B2CF9AE}" pid="54" name="NOSE35">
    <vt:lpwstr/>
  </property>
  <property fmtid="{D5CDD505-2E9C-101B-9397-08002B2CF9AE}" pid="55" name="NOSE16">
    <vt:lpwstr/>
  </property>
  <property fmtid="{D5CDD505-2E9C-101B-9397-08002B2CF9AE}" pid="56" name="NOSE26">
    <vt:lpwstr/>
  </property>
  <property fmtid="{D5CDD505-2E9C-101B-9397-08002B2CF9AE}" pid="57" name="NOSE36">
    <vt:lpwstr/>
  </property>
  <property fmtid="{D5CDD505-2E9C-101B-9397-08002B2CF9AE}" pid="58" name="NOSE17">
    <vt:lpwstr/>
  </property>
  <property fmtid="{D5CDD505-2E9C-101B-9397-08002B2CF9AE}" pid="59" name="NOSE27">
    <vt:lpwstr/>
  </property>
  <property fmtid="{D5CDD505-2E9C-101B-9397-08002B2CF9AE}" pid="60" name="NOSE37">
    <vt:lpwstr/>
  </property>
  <property fmtid="{D5CDD505-2E9C-101B-9397-08002B2CF9AE}" pid="61" name="NOSE18">
    <vt:lpwstr/>
  </property>
  <property fmtid="{D5CDD505-2E9C-101B-9397-08002B2CF9AE}" pid="62" name="NOSE28">
    <vt:lpwstr/>
  </property>
  <property fmtid="{D5CDD505-2E9C-101B-9397-08002B2CF9AE}" pid="63" name="NOSE38">
    <vt:lpwstr/>
  </property>
  <property fmtid="{D5CDD505-2E9C-101B-9397-08002B2CF9AE}" pid="64" name="NOSE19">
    <vt:lpwstr/>
  </property>
  <property fmtid="{D5CDD505-2E9C-101B-9397-08002B2CF9AE}" pid="65" name="NOSE29">
    <vt:lpwstr/>
  </property>
  <property fmtid="{D5CDD505-2E9C-101B-9397-08002B2CF9AE}" pid="66" name="NOSE39">
    <vt:lpwstr/>
  </property>
  <property fmtid="{D5CDD505-2E9C-101B-9397-08002B2CF9AE}" pid="67" name="NOSE110">
    <vt:lpwstr/>
  </property>
  <property fmtid="{D5CDD505-2E9C-101B-9397-08002B2CF9AE}" pid="68" name="NOSE210">
    <vt:lpwstr/>
  </property>
  <property fmtid="{D5CDD505-2E9C-101B-9397-08002B2CF9AE}" pid="69" name="NOSE310">
    <vt:lpwstr/>
  </property>
  <property fmtid="{D5CDD505-2E9C-101B-9397-08002B2CF9AE}" pid="70" name="PADIDATE">
    <vt:lpwstr>20191231</vt:lpwstr>
  </property>
  <property fmtid="{D5CDD505-2E9C-101B-9397-08002B2CF9AE}" pid="71" name="METAKZER">
    <vt:lpwstr>מיכל</vt:lpwstr>
  </property>
</Properties>
</file>