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6828A4" w:rsidRPr="00FE5FDD" w14:paraId="480F278A" w14:textId="77777777" w:rsidTr="005313E7">
        <w:trPr>
          <w:trHeight w:hRule="exact" w:val="418"/>
          <w:jc w:val="center"/>
        </w:trPr>
        <w:tc>
          <w:tcPr>
            <w:tcW w:w="8721" w:type="dxa"/>
            <w:gridSpan w:val="2"/>
          </w:tcPr>
          <w:p w14:paraId="6906E1BE" w14:textId="77777777" w:rsidR="006828A4" w:rsidRPr="00FE5FDD" w:rsidRDefault="006828A4" w:rsidP="00991A81">
            <w:pPr>
              <w:pStyle w:val="a3"/>
              <w:jc w:val="center"/>
              <w:rPr>
                <w:rFonts w:ascii="Tahoma" w:hAnsi="Tahoma" w:cs="Tahoma"/>
                <w:color w:val="000080"/>
                <w:rtl/>
              </w:rPr>
            </w:pPr>
            <w:bookmarkStart w:id="0" w:name="FirstLawyer"/>
            <w:bookmarkStart w:id="1" w:name="LastJudge"/>
            <w:r w:rsidRPr="00FE5FDD">
              <w:rPr>
                <w:rFonts w:ascii="Tahoma" w:hAnsi="Tahoma" w:cs="Tahoma"/>
                <w:b/>
                <w:bCs/>
                <w:color w:val="000080"/>
                <w:rtl/>
              </w:rPr>
              <w:t>בית המשפט המחוזי בחיפה</w:t>
            </w:r>
          </w:p>
        </w:tc>
      </w:tr>
      <w:tr w:rsidR="006828A4" w:rsidRPr="00FE5FDD" w14:paraId="54AC05BA" w14:textId="77777777" w:rsidTr="005313E7">
        <w:trPr>
          <w:trHeight w:val="337"/>
          <w:jc w:val="center"/>
        </w:trPr>
        <w:tc>
          <w:tcPr>
            <w:tcW w:w="5059" w:type="dxa"/>
          </w:tcPr>
          <w:p w14:paraId="086CBA18" w14:textId="77777777" w:rsidR="006828A4" w:rsidRPr="00FE5FDD" w:rsidRDefault="006828A4" w:rsidP="00991A81">
            <w:pPr>
              <w:rPr>
                <w:rFonts w:cs="FrankRuehl"/>
                <w:sz w:val="28"/>
                <w:szCs w:val="28"/>
                <w:rtl/>
              </w:rPr>
            </w:pPr>
            <w:r w:rsidRPr="00FE5FDD">
              <w:rPr>
                <w:rFonts w:cs="FrankRuehl"/>
                <w:sz w:val="28"/>
                <w:szCs w:val="28"/>
                <w:rtl/>
              </w:rPr>
              <w:t>ת"פ</w:t>
            </w:r>
            <w:r w:rsidRPr="00FE5FDD">
              <w:rPr>
                <w:rFonts w:cs="FrankRuehl" w:hint="cs"/>
                <w:sz w:val="28"/>
                <w:szCs w:val="28"/>
                <w:rtl/>
              </w:rPr>
              <w:t xml:space="preserve"> </w:t>
            </w:r>
            <w:r w:rsidRPr="00FE5FDD">
              <w:rPr>
                <w:rFonts w:cs="FrankRuehl"/>
                <w:sz w:val="28"/>
                <w:szCs w:val="28"/>
                <w:rtl/>
              </w:rPr>
              <w:t>8310-10-18</w:t>
            </w:r>
            <w:r w:rsidRPr="00FE5FDD">
              <w:rPr>
                <w:rFonts w:cs="FrankRuehl" w:hint="cs"/>
                <w:sz w:val="28"/>
                <w:szCs w:val="28"/>
                <w:rtl/>
              </w:rPr>
              <w:t xml:space="preserve"> </w:t>
            </w:r>
            <w:r w:rsidRPr="00FE5FDD">
              <w:rPr>
                <w:rFonts w:cs="FrankRuehl"/>
                <w:sz w:val="28"/>
                <w:szCs w:val="28"/>
                <w:rtl/>
              </w:rPr>
              <w:t>מדינת ישראל נ' נגנאגיה(עצור בפיקוח) ואח'</w:t>
            </w:r>
          </w:p>
          <w:p w14:paraId="4E2BDFD8" w14:textId="77777777" w:rsidR="006828A4" w:rsidRPr="00FE5FDD" w:rsidRDefault="006828A4" w:rsidP="00991A81">
            <w:pPr>
              <w:pStyle w:val="a3"/>
              <w:rPr>
                <w:rFonts w:cs="FrankRuehl"/>
                <w:sz w:val="28"/>
                <w:szCs w:val="28"/>
                <w:rtl/>
              </w:rPr>
            </w:pPr>
          </w:p>
        </w:tc>
        <w:tc>
          <w:tcPr>
            <w:tcW w:w="3662" w:type="dxa"/>
          </w:tcPr>
          <w:p w14:paraId="043732FF" w14:textId="77777777" w:rsidR="006828A4" w:rsidRPr="00FE5FDD" w:rsidRDefault="006828A4" w:rsidP="00991A81">
            <w:pPr>
              <w:pStyle w:val="a3"/>
              <w:jc w:val="right"/>
              <w:rPr>
                <w:rFonts w:cs="FrankRuehl"/>
                <w:sz w:val="28"/>
                <w:szCs w:val="28"/>
                <w:rtl/>
              </w:rPr>
            </w:pPr>
          </w:p>
        </w:tc>
      </w:tr>
    </w:tbl>
    <w:p w14:paraId="66648709" w14:textId="77777777" w:rsidR="006828A4" w:rsidRPr="00FE5FDD" w:rsidRDefault="006828A4" w:rsidP="006828A4">
      <w:pPr>
        <w:pStyle w:val="a3"/>
        <w:rPr>
          <w:rtl/>
        </w:rPr>
      </w:pPr>
      <w:r w:rsidRPr="00FE5FDD">
        <w:rPr>
          <w:rFonts w:hint="cs"/>
          <w:rtl/>
        </w:rPr>
        <w:t xml:space="preserve"> </w:t>
      </w:r>
    </w:p>
    <w:p w14:paraId="399D55A3" w14:textId="77777777" w:rsidR="006828A4" w:rsidRPr="00FE5FDD" w:rsidRDefault="006828A4" w:rsidP="006828A4">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6828A4" w:rsidRPr="00FE5FDD" w14:paraId="4E66DE87" w14:textId="77777777" w:rsidTr="006828A4">
        <w:trPr>
          <w:gridAfter w:val="1"/>
          <w:wAfter w:w="56" w:type="dxa"/>
        </w:trPr>
        <w:tc>
          <w:tcPr>
            <w:tcW w:w="8718" w:type="dxa"/>
            <w:gridSpan w:val="2"/>
            <w:shd w:val="clear" w:color="auto" w:fill="auto"/>
          </w:tcPr>
          <w:p w14:paraId="63EB213C" w14:textId="77777777" w:rsidR="006828A4" w:rsidRPr="00FE5FDD" w:rsidRDefault="006828A4" w:rsidP="00991A81">
            <w:pPr>
              <w:rPr>
                <w:b/>
                <w:bCs/>
                <w:sz w:val="26"/>
                <w:szCs w:val="26"/>
                <w:rtl/>
              </w:rPr>
            </w:pPr>
            <w:r w:rsidRPr="00FE5FDD">
              <w:rPr>
                <w:rFonts w:hint="cs"/>
                <w:b/>
                <w:bCs/>
                <w:sz w:val="26"/>
                <w:szCs w:val="26"/>
                <w:rtl/>
              </w:rPr>
              <w:t>לפני כבוד השופט דניאל פיש</w:t>
            </w:r>
            <w:r w:rsidRPr="00FE5FDD">
              <w:rPr>
                <w:rStyle w:val="TimesNewRomanTimesNewRoman"/>
                <w:rFonts w:hint="cs"/>
                <w:rtl/>
              </w:rPr>
              <w:t xml:space="preserve"> </w:t>
            </w:r>
          </w:p>
        </w:tc>
      </w:tr>
      <w:tr w:rsidR="006828A4" w:rsidRPr="00FE5FDD" w14:paraId="35BC1CC4" w14:textId="77777777" w:rsidTr="006828A4">
        <w:trPr>
          <w:cantSplit/>
          <w:trHeight w:val="724"/>
        </w:trPr>
        <w:tc>
          <w:tcPr>
            <w:tcW w:w="2880" w:type="dxa"/>
            <w:shd w:val="clear" w:color="auto" w:fill="auto"/>
          </w:tcPr>
          <w:p w14:paraId="5B73B1D0" w14:textId="77777777" w:rsidR="006828A4" w:rsidRPr="00FE5FDD" w:rsidRDefault="006828A4" w:rsidP="006828A4">
            <w:pPr>
              <w:ind w:left="26"/>
              <w:jc w:val="right"/>
              <w:rPr>
                <w:b/>
                <w:bCs/>
                <w:sz w:val="26"/>
                <w:szCs w:val="26"/>
                <w:rtl/>
              </w:rPr>
            </w:pPr>
            <w:bookmarkStart w:id="2" w:name="FirstAppellant"/>
          </w:p>
          <w:p w14:paraId="0079716D" w14:textId="77777777" w:rsidR="006828A4" w:rsidRPr="00FE5FDD" w:rsidRDefault="006828A4" w:rsidP="006828A4">
            <w:pPr>
              <w:ind w:left="26"/>
              <w:rPr>
                <w:b/>
                <w:bCs/>
                <w:sz w:val="26"/>
                <w:szCs w:val="26"/>
                <w:rtl/>
              </w:rPr>
            </w:pPr>
            <w:r w:rsidRPr="00FE5FDD">
              <w:rPr>
                <w:rFonts w:hint="cs"/>
                <w:b/>
                <w:bCs/>
                <w:sz w:val="26"/>
                <w:szCs w:val="26"/>
                <w:rtl/>
              </w:rPr>
              <w:t>המאשימה</w:t>
            </w:r>
          </w:p>
        </w:tc>
        <w:tc>
          <w:tcPr>
            <w:tcW w:w="5922" w:type="dxa"/>
            <w:gridSpan w:val="2"/>
            <w:shd w:val="clear" w:color="auto" w:fill="auto"/>
          </w:tcPr>
          <w:p w14:paraId="4E01158C" w14:textId="77777777" w:rsidR="006828A4" w:rsidRPr="00FE5FDD" w:rsidRDefault="006828A4" w:rsidP="006828A4">
            <w:pPr>
              <w:jc w:val="right"/>
              <w:rPr>
                <w:rFonts w:cs="Times New Roman"/>
                <w:rtl/>
              </w:rPr>
            </w:pPr>
          </w:p>
          <w:p w14:paraId="1AA4897C" w14:textId="77777777" w:rsidR="006828A4" w:rsidRPr="00FE5FDD" w:rsidRDefault="006828A4" w:rsidP="00991A81">
            <w:pPr>
              <w:rPr>
                <w:b/>
                <w:bCs/>
                <w:sz w:val="26"/>
                <w:szCs w:val="26"/>
                <w:rtl/>
              </w:rPr>
            </w:pPr>
            <w:r w:rsidRPr="00FE5FDD">
              <w:rPr>
                <w:rtl/>
              </w:rPr>
              <w:t xml:space="preserve"> </w:t>
            </w:r>
            <w:r w:rsidRPr="00FE5FDD">
              <w:rPr>
                <w:rFonts w:hint="cs"/>
                <w:b/>
                <w:bCs/>
                <w:sz w:val="26"/>
                <w:szCs w:val="26"/>
                <w:rtl/>
              </w:rPr>
              <w:t>מדינת ישראל</w:t>
            </w:r>
            <w:r w:rsidRPr="00FE5FDD">
              <w:rPr>
                <w:b/>
                <w:bCs/>
                <w:sz w:val="26"/>
                <w:szCs w:val="26"/>
                <w:rtl/>
              </w:rPr>
              <w:br/>
            </w:r>
            <w:r w:rsidRPr="00FE5FDD">
              <w:rPr>
                <w:rFonts w:hint="cs"/>
                <w:b/>
                <w:bCs/>
                <w:sz w:val="26"/>
                <w:szCs w:val="26"/>
                <w:rtl/>
              </w:rPr>
              <w:t>ע"י ב"כ עו"ד נג'וא סלימאן</w:t>
            </w:r>
            <w:r w:rsidRPr="00FE5FDD">
              <w:rPr>
                <w:b/>
                <w:bCs/>
                <w:sz w:val="26"/>
                <w:szCs w:val="26"/>
                <w:rtl/>
              </w:rPr>
              <w:br/>
            </w:r>
          </w:p>
          <w:p w14:paraId="353B0F06" w14:textId="77777777" w:rsidR="006828A4" w:rsidRPr="00FE5FDD" w:rsidRDefault="006828A4" w:rsidP="006828A4">
            <w:pPr>
              <w:jc w:val="right"/>
              <w:rPr>
                <w:b/>
                <w:bCs/>
                <w:sz w:val="26"/>
                <w:szCs w:val="26"/>
                <w:rtl/>
              </w:rPr>
            </w:pPr>
          </w:p>
        </w:tc>
      </w:tr>
      <w:bookmarkEnd w:id="2"/>
      <w:tr w:rsidR="006828A4" w:rsidRPr="00FE5FDD" w14:paraId="62071C30" w14:textId="77777777" w:rsidTr="006828A4">
        <w:tc>
          <w:tcPr>
            <w:tcW w:w="8802" w:type="dxa"/>
            <w:gridSpan w:val="3"/>
            <w:shd w:val="clear" w:color="auto" w:fill="auto"/>
            <w:vAlign w:val="center"/>
          </w:tcPr>
          <w:p w14:paraId="0CA85EE7" w14:textId="77777777" w:rsidR="006828A4" w:rsidRPr="00FE5FDD" w:rsidRDefault="006828A4" w:rsidP="006828A4">
            <w:pPr>
              <w:jc w:val="center"/>
              <w:rPr>
                <w:rFonts w:ascii="Arial" w:hAnsi="Arial"/>
                <w:b/>
                <w:bCs/>
                <w:sz w:val="26"/>
                <w:szCs w:val="26"/>
                <w:rtl/>
              </w:rPr>
            </w:pPr>
          </w:p>
          <w:p w14:paraId="324D7346" w14:textId="77777777" w:rsidR="006828A4" w:rsidRPr="00FE5FDD" w:rsidRDefault="006828A4" w:rsidP="006828A4">
            <w:pPr>
              <w:jc w:val="center"/>
              <w:rPr>
                <w:rFonts w:ascii="Arial" w:hAnsi="Arial"/>
                <w:b/>
                <w:bCs/>
                <w:sz w:val="26"/>
                <w:szCs w:val="26"/>
                <w:rtl/>
              </w:rPr>
            </w:pPr>
            <w:r w:rsidRPr="00FE5FDD">
              <w:rPr>
                <w:rFonts w:ascii="Arial" w:hAnsi="Arial" w:hint="cs"/>
                <w:b/>
                <w:bCs/>
                <w:sz w:val="26"/>
                <w:szCs w:val="26"/>
                <w:rtl/>
              </w:rPr>
              <w:t>נגד</w:t>
            </w:r>
          </w:p>
          <w:p w14:paraId="604C1679" w14:textId="77777777" w:rsidR="006828A4" w:rsidRPr="00FE5FDD" w:rsidRDefault="006828A4" w:rsidP="006828A4">
            <w:pPr>
              <w:jc w:val="right"/>
              <w:rPr>
                <w:rFonts w:ascii="Arial" w:hAnsi="Arial"/>
                <w:b/>
                <w:bCs/>
                <w:sz w:val="26"/>
                <w:szCs w:val="26"/>
                <w:rtl/>
              </w:rPr>
            </w:pPr>
          </w:p>
        </w:tc>
      </w:tr>
      <w:tr w:rsidR="006828A4" w:rsidRPr="00FE5FDD" w14:paraId="31AE0300" w14:textId="77777777" w:rsidTr="006828A4">
        <w:tc>
          <w:tcPr>
            <w:tcW w:w="2880" w:type="dxa"/>
            <w:shd w:val="clear" w:color="auto" w:fill="auto"/>
          </w:tcPr>
          <w:p w14:paraId="45D13D6C" w14:textId="77777777" w:rsidR="006828A4" w:rsidRPr="00FE5FDD" w:rsidRDefault="006828A4" w:rsidP="006828A4">
            <w:pPr>
              <w:ind w:left="26"/>
              <w:rPr>
                <w:b/>
                <w:bCs/>
                <w:sz w:val="26"/>
                <w:szCs w:val="26"/>
              </w:rPr>
            </w:pPr>
            <w:r w:rsidRPr="00FE5FDD">
              <w:rPr>
                <w:rFonts w:hint="cs"/>
                <w:b/>
                <w:bCs/>
                <w:sz w:val="26"/>
                <w:szCs w:val="26"/>
                <w:rtl/>
              </w:rPr>
              <w:t>הנאשמים</w:t>
            </w:r>
          </w:p>
        </w:tc>
        <w:tc>
          <w:tcPr>
            <w:tcW w:w="5922" w:type="dxa"/>
            <w:gridSpan w:val="2"/>
            <w:shd w:val="clear" w:color="auto" w:fill="auto"/>
          </w:tcPr>
          <w:p w14:paraId="072E25DD" w14:textId="77777777" w:rsidR="006828A4" w:rsidRPr="00FE5FDD" w:rsidRDefault="006828A4" w:rsidP="00991A81">
            <w:pPr>
              <w:rPr>
                <w:b/>
                <w:bCs/>
                <w:sz w:val="26"/>
                <w:szCs w:val="26"/>
                <w:rtl/>
              </w:rPr>
            </w:pPr>
            <w:r w:rsidRPr="00FE5FDD">
              <w:rPr>
                <w:b/>
                <w:bCs/>
                <w:sz w:val="26"/>
                <w:szCs w:val="26"/>
              </w:rPr>
              <w:t>.1</w:t>
            </w:r>
            <w:r w:rsidRPr="00FE5FDD">
              <w:rPr>
                <w:rFonts w:cs="Times New Roman"/>
                <w:rtl/>
              </w:rPr>
              <w:t xml:space="preserve"> </w:t>
            </w:r>
            <w:r w:rsidRPr="00FE5FDD">
              <w:rPr>
                <w:rFonts w:hint="cs"/>
                <w:b/>
                <w:bCs/>
                <w:sz w:val="26"/>
                <w:szCs w:val="26"/>
                <w:rtl/>
              </w:rPr>
              <w:t>מחמוד נגנאגיה (עצור/אסיר בפיקוח)</w:t>
            </w:r>
            <w:r w:rsidRPr="00FE5FDD">
              <w:rPr>
                <w:rFonts w:cs="Times New Roman"/>
                <w:rtl/>
              </w:rPr>
              <w:t xml:space="preserve"> </w:t>
            </w:r>
            <w:r w:rsidRPr="00FE5FDD">
              <w:rPr>
                <w:rFonts w:hint="cs"/>
                <w:b/>
                <w:bCs/>
                <w:sz w:val="26"/>
                <w:szCs w:val="26"/>
                <w:rtl/>
              </w:rPr>
              <w:t xml:space="preserve">ת.ז.  </w:t>
            </w:r>
            <w:r w:rsidR="00FE5FDD">
              <w:rPr>
                <w:b/>
                <w:bCs/>
                <w:sz w:val="26"/>
                <w:szCs w:val="26"/>
              </w:rPr>
              <w:t>xxxxxxxxxx</w:t>
            </w:r>
          </w:p>
          <w:p w14:paraId="106F49A8" w14:textId="77777777" w:rsidR="006828A4" w:rsidRPr="00FE5FDD" w:rsidRDefault="006828A4" w:rsidP="006828A4">
            <w:pPr>
              <w:jc w:val="right"/>
              <w:rPr>
                <w:b/>
                <w:bCs/>
                <w:sz w:val="26"/>
                <w:szCs w:val="26"/>
                <w:rtl/>
              </w:rPr>
            </w:pPr>
          </w:p>
          <w:p w14:paraId="1869789E" w14:textId="77777777" w:rsidR="006828A4" w:rsidRPr="00FE5FDD" w:rsidRDefault="006828A4" w:rsidP="00991A81">
            <w:pPr>
              <w:rPr>
                <w:b/>
                <w:bCs/>
                <w:sz w:val="26"/>
                <w:szCs w:val="26"/>
                <w:rtl/>
              </w:rPr>
            </w:pPr>
            <w:r w:rsidRPr="00FE5FDD">
              <w:rPr>
                <w:b/>
                <w:bCs/>
                <w:sz w:val="26"/>
                <w:szCs w:val="26"/>
              </w:rPr>
              <w:t>.2</w:t>
            </w:r>
            <w:r w:rsidRPr="00FE5FDD">
              <w:rPr>
                <w:rFonts w:cs="Times New Roman"/>
                <w:rtl/>
              </w:rPr>
              <w:t xml:space="preserve"> </w:t>
            </w:r>
            <w:r w:rsidRPr="00FE5FDD">
              <w:rPr>
                <w:rFonts w:hint="cs"/>
                <w:b/>
                <w:bCs/>
                <w:sz w:val="26"/>
                <w:szCs w:val="26"/>
                <w:rtl/>
              </w:rPr>
              <w:t>חוסין נגנאגיה</w:t>
            </w:r>
            <w:r w:rsidRPr="00FE5FDD">
              <w:rPr>
                <w:rFonts w:cs="Times New Roman"/>
                <w:rtl/>
              </w:rPr>
              <w:t xml:space="preserve"> </w:t>
            </w:r>
            <w:r w:rsidRPr="00FE5FDD">
              <w:rPr>
                <w:rFonts w:hint="cs"/>
                <w:b/>
                <w:bCs/>
                <w:sz w:val="26"/>
                <w:szCs w:val="26"/>
                <w:rtl/>
              </w:rPr>
              <w:t xml:space="preserve">ת.ז.  </w:t>
            </w:r>
            <w:r w:rsidR="00FE5FDD">
              <w:rPr>
                <w:b/>
                <w:bCs/>
                <w:sz w:val="26"/>
                <w:szCs w:val="26"/>
              </w:rPr>
              <w:t>xxxxxxxxxx</w:t>
            </w:r>
          </w:p>
          <w:p w14:paraId="2144FCEC" w14:textId="77777777" w:rsidR="006828A4" w:rsidRPr="00FE5FDD" w:rsidRDefault="006828A4" w:rsidP="00991A81">
            <w:pPr>
              <w:rPr>
                <w:b/>
                <w:bCs/>
                <w:sz w:val="26"/>
                <w:szCs w:val="26"/>
                <w:rtl/>
              </w:rPr>
            </w:pPr>
          </w:p>
          <w:p w14:paraId="6EA7B410" w14:textId="77777777" w:rsidR="006828A4" w:rsidRPr="00FE5FDD" w:rsidRDefault="006828A4" w:rsidP="00991A81">
            <w:pPr>
              <w:rPr>
                <w:b/>
                <w:bCs/>
                <w:sz w:val="26"/>
                <w:szCs w:val="26"/>
                <w:rtl/>
              </w:rPr>
            </w:pPr>
            <w:r w:rsidRPr="00FE5FDD">
              <w:rPr>
                <w:rFonts w:hint="cs"/>
                <w:b/>
                <w:bCs/>
                <w:sz w:val="26"/>
                <w:szCs w:val="26"/>
                <w:rtl/>
              </w:rPr>
              <w:t>ע"י ב"כ עו"ד עדאל בויראת</w:t>
            </w:r>
          </w:p>
          <w:p w14:paraId="32B3AAD9" w14:textId="77777777" w:rsidR="006828A4" w:rsidRPr="00FE5FDD" w:rsidRDefault="006828A4" w:rsidP="006828A4">
            <w:pPr>
              <w:jc w:val="right"/>
              <w:rPr>
                <w:b/>
                <w:bCs/>
                <w:sz w:val="26"/>
                <w:szCs w:val="26"/>
                <w:rtl/>
              </w:rPr>
            </w:pPr>
          </w:p>
        </w:tc>
      </w:tr>
    </w:tbl>
    <w:p w14:paraId="7BB5EB5E" w14:textId="77777777" w:rsidR="002B5130" w:rsidRPr="002B5130" w:rsidRDefault="002B5130" w:rsidP="002B5130">
      <w:pPr>
        <w:spacing w:after="120" w:line="240" w:lineRule="exact"/>
        <w:ind w:left="283" w:hanging="283"/>
        <w:jc w:val="both"/>
        <w:rPr>
          <w:rFonts w:ascii="FrankRuehl" w:hAnsi="FrankRuehl" w:cs="FrankRuehl"/>
          <w:rtl/>
        </w:rPr>
      </w:pPr>
    </w:p>
    <w:p w14:paraId="0D136339" w14:textId="77777777" w:rsidR="008714CA" w:rsidRPr="008714CA" w:rsidRDefault="008714CA" w:rsidP="008714CA">
      <w:pPr>
        <w:spacing w:before="120" w:after="120" w:line="240" w:lineRule="exact"/>
        <w:ind w:left="283" w:hanging="283"/>
        <w:jc w:val="both"/>
        <w:rPr>
          <w:rFonts w:ascii="FrankRuehl" w:hAnsi="FrankRuehl" w:cs="FrankRuehl"/>
          <w:rtl/>
        </w:rPr>
      </w:pPr>
      <w:bookmarkStart w:id="3" w:name="LawTable"/>
      <w:bookmarkEnd w:id="3"/>
      <w:r w:rsidRPr="008714CA">
        <w:rPr>
          <w:rFonts w:ascii="FrankRuehl" w:hAnsi="FrankRuehl" w:cs="FrankRuehl"/>
          <w:rtl/>
        </w:rPr>
        <w:t xml:space="preserve">חקיקה שאוזכרה: </w:t>
      </w:r>
    </w:p>
    <w:p w14:paraId="3BD22EBD" w14:textId="77777777" w:rsidR="008714CA" w:rsidRPr="008714CA" w:rsidRDefault="008714CA" w:rsidP="008714CA">
      <w:pPr>
        <w:spacing w:before="120" w:after="120" w:line="240" w:lineRule="exact"/>
        <w:ind w:left="283" w:hanging="283"/>
        <w:jc w:val="both"/>
        <w:rPr>
          <w:rFonts w:ascii="FrankRuehl" w:hAnsi="FrankRuehl" w:cs="FrankRuehl"/>
          <w:rtl/>
        </w:rPr>
      </w:pPr>
      <w:hyperlink r:id="rId6" w:history="1">
        <w:r w:rsidRPr="008714CA">
          <w:rPr>
            <w:rFonts w:ascii="FrankRuehl" w:hAnsi="FrankRuehl" w:cs="FrankRuehl"/>
            <w:color w:val="0000FF"/>
            <w:u w:val="single"/>
            <w:rtl/>
          </w:rPr>
          <w:t>חוק העונשין, תשל"ז-1977</w:t>
        </w:r>
      </w:hyperlink>
      <w:r w:rsidRPr="008714CA">
        <w:rPr>
          <w:rFonts w:ascii="FrankRuehl" w:hAnsi="FrankRuehl" w:cs="FrankRuehl"/>
          <w:rtl/>
        </w:rPr>
        <w:t xml:space="preserve">: סע'  </w:t>
      </w:r>
      <w:hyperlink r:id="rId7" w:history="1">
        <w:r w:rsidRPr="008714CA">
          <w:rPr>
            <w:rFonts w:ascii="FrankRuehl" w:hAnsi="FrankRuehl" w:cs="FrankRuehl"/>
            <w:color w:val="0000FF"/>
            <w:u w:val="single"/>
            <w:rtl/>
          </w:rPr>
          <w:t>144(ב)</w:t>
        </w:r>
      </w:hyperlink>
      <w:r w:rsidRPr="008714CA">
        <w:rPr>
          <w:rFonts w:ascii="FrankRuehl" w:hAnsi="FrankRuehl" w:cs="FrankRuehl"/>
          <w:rtl/>
        </w:rPr>
        <w:t xml:space="preserve">, </w:t>
      </w:r>
      <w:hyperlink r:id="rId8" w:history="1">
        <w:r w:rsidRPr="008714CA">
          <w:rPr>
            <w:rFonts w:ascii="FrankRuehl" w:hAnsi="FrankRuehl" w:cs="FrankRuehl"/>
            <w:color w:val="0000FF"/>
            <w:u w:val="single"/>
            <w:rtl/>
          </w:rPr>
          <w:t>273</w:t>
        </w:r>
      </w:hyperlink>
      <w:r w:rsidRPr="008714CA">
        <w:rPr>
          <w:rFonts w:ascii="FrankRuehl" w:hAnsi="FrankRuehl" w:cs="FrankRuehl"/>
          <w:rtl/>
        </w:rPr>
        <w:t xml:space="preserve">, </w:t>
      </w:r>
      <w:hyperlink r:id="rId9" w:history="1">
        <w:r w:rsidRPr="008714CA">
          <w:rPr>
            <w:rFonts w:ascii="FrankRuehl" w:hAnsi="FrankRuehl" w:cs="FrankRuehl"/>
            <w:color w:val="0000FF"/>
            <w:u w:val="single"/>
            <w:rtl/>
          </w:rPr>
          <w:t>274</w:t>
        </w:r>
      </w:hyperlink>
      <w:r w:rsidRPr="008714CA">
        <w:rPr>
          <w:rFonts w:ascii="FrankRuehl" w:hAnsi="FrankRuehl" w:cs="FrankRuehl"/>
          <w:rtl/>
        </w:rPr>
        <w:t xml:space="preserve">, </w:t>
      </w:r>
      <w:hyperlink r:id="rId10" w:history="1">
        <w:r w:rsidRPr="008714CA">
          <w:rPr>
            <w:rFonts w:ascii="FrankRuehl" w:hAnsi="FrankRuehl" w:cs="FrankRuehl"/>
            <w:color w:val="0000FF"/>
            <w:u w:val="single"/>
            <w:rtl/>
          </w:rPr>
          <w:t>275</w:t>
        </w:r>
      </w:hyperlink>
      <w:r w:rsidRPr="008714CA">
        <w:rPr>
          <w:rFonts w:ascii="FrankRuehl" w:hAnsi="FrankRuehl" w:cs="FrankRuehl"/>
          <w:rtl/>
        </w:rPr>
        <w:t xml:space="preserve">, </w:t>
      </w:r>
      <w:hyperlink r:id="rId11" w:history="1">
        <w:r w:rsidRPr="008714CA">
          <w:rPr>
            <w:rFonts w:ascii="FrankRuehl" w:hAnsi="FrankRuehl" w:cs="FrankRuehl"/>
            <w:color w:val="0000FF"/>
            <w:u w:val="single"/>
            <w:rtl/>
          </w:rPr>
          <w:t>א275</w:t>
        </w:r>
      </w:hyperlink>
    </w:p>
    <w:p w14:paraId="0957E8DF" w14:textId="77777777" w:rsidR="006828A4" w:rsidRPr="008714CA" w:rsidRDefault="006828A4" w:rsidP="008714CA">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28A4" w14:paraId="75AF4955" w14:textId="77777777" w:rsidTr="006828A4">
        <w:trPr>
          <w:trHeight w:val="355"/>
          <w:jc w:val="center"/>
        </w:trPr>
        <w:tc>
          <w:tcPr>
            <w:tcW w:w="8820" w:type="dxa"/>
            <w:tcBorders>
              <w:top w:val="nil"/>
              <w:left w:val="nil"/>
              <w:bottom w:val="nil"/>
              <w:right w:val="nil"/>
            </w:tcBorders>
            <w:shd w:val="clear" w:color="auto" w:fill="auto"/>
          </w:tcPr>
          <w:p w14:paraId="0C8D6F2F" w14:textId="77777777" w:rsidR="00FE5FDD" w:rsidRPr="00FE5FDD" w:rsidRDefault="00FE5FDD" w:rsidP="00FE5FDD">
            <w:pPr>
              <w:jc w:val="center"/>
              <w:rPr>
                <w:rFonts w:ascii="Arial" w:hAnsi="Arial" w:cs="FrankRuehl"/>
                <w:b/>
                <w:bCs/>
                <w:sz w:val="32"/>
                <w:szCs w:val="32"/>
                <w:u w:val="single"/>
                <w:rtl/>
              </w:rPr>
            </w:pPr>
            <w:bookmarkStart w:id="5" w:name="PsakDin" w:colFirst="0" w:colLast="0"/>
            <w:bookmarkEnd w:id="0"/>
            <w:bookmarkEnd w:id="1"/>
            <w:r w:rsidRPr="00FE5FDD">
              <w:rPr>
                <w:rFonts w:ascii="Arial" w:hAnsi="Arial" w:cs="FrankRuehl"/>
                <w:b/>
                <w:bCs/>
                <w:sz w:val="32"/>
                <w:szCs w:val="32"/>
                <w:u w:val="single"/>
                <w:rtl/>
              </w:rPr>
              <w:t>גזר דין</w:t>
            </w:r>
          </w:p>
          <w:p w14:paraId="28EF0C15" w14:textId="77777777" w:rsidR="006828A4" w:rsidRPr="00FE5FDD" w:rsidRDefault="006828A4" w:rsidP="00FE5FDD">
            <w:pPr>
              <w:jc w:val="center"/>
              <w:rPr>
                <w:rFonts w:ascii="Arial" w:hAnsi="Arial" w:cs="FrankRuehl"/>
                <w:bCs/>
                <w:sz w:val="32"/>
                <w:szCs w:val="32"/>
                <w:u w:val="single"/>
                <w:rtl/>
              </w:rPr>
            </w:pPr>
          </w:p>
        </w:tc>
      </w:tr>
      <w:bookmarkEnd w:id="5"/>
    </w:tbl>
    <w:p w14:paraId="609D3B90" w14:textId="77777777" w:rsidR="006828A4" w:rsidRPr="00B05847" w:rsidRDefault="006828A4" w:rsidP="006828A4">
      <w:pPr>
        <w:rPr>
          <w:rFonts w:ascii="Arial" w:hAnsi="Arial"/>
          <w:rtl/>
        </w:rPr>
      </w:pPr>
    </w:p>
    <w:p w14:paraId="0B02DC8E" w14:textId="77777777" w:rsidR="006828A4" w:rsidRPr="00B05847" w:rsidRDefault="006828A4" w:rsidP="006828A4">
      <w:pPr>
        <w:rPr>
          <w:rFonts w:ascii="Arial" w:hAnsi="Arial"/>
          <w:rtl/>
        </w:rPr>
      </w:pPr>
    </w:p>
    <w:p w14:paraId="07D3F3E1" w14:textId="77777777" w:rsidR="006828A4" w:rsidRDefault="006828A4" w:rsidP="006828A4">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הנאשמים הודו במסגרת הסדר טיעון חלקי שלא כלל הסדר אודות העונש בכתב אישום מתוקן שמייחס לנאשם 1 עבירה של נשיאת נשק לפי סעיף </w:t>
      </w:r>
      <w:hyperlink r:id="rId12" w:history="1">
        <w:r w:rsidR="002B5130" w:rsidRPr="002B5130">
          <w:rPr>
            <w:color w:val="0000FF"/>
            <w:u w:val="single"/>
            <w:rtl/>
          </w:rPr>
          <w:t>144(ב)</w:t>
        </w:r>
      </w:hyperlink>
      <w:r>
        <w:rPr>
          <w:rFonts w:hint="cs"/>
          <w:rtl/>
        </w:rPr>
        <w:t>(רישא+ סיפא) ל</w:t>
      </w:r>
      <w:hyperlink r:id="rId13" w:history="1">
        <w:r w:rsidR="00FE5FDD" w:rsidRPr="00FE5FDD">
          <w:rPr>
            <w:color w:val="0000FF"/>
            <w:u w:val="single"/>
            <w:rtl/>
          </w:rPr>
          <w:t>חוק העונשין</w:t>
        </w:r>
      </w:hyperlink>
      <w:r>
        <w:rPr>
          <w:rFonts w:hint="cs"/>
          <w:rtl/>
        </w:rPr>
        <w:t xml:space="preserve"> ולנאשם 2 הפרעה לשוטר במילוי תפקידו לפי </w:t>
      </w:r>
      <w:hyperlink r:id="rId14" w:history="1">
        <w:r w:rsidR="002B5130" w:rsidRPr="002B5130">
          <w:rPr>
            <w:color w:val="0000FF"/>
            <w:u w:val="single"/>
            <w:rtl/>
          </w:rPr>
          <w:t>סעיף 275</w:t>
        </w:r>
      </w:hyperlink>
      <w:r>
        <w:rPr>
          <w:rFonts w:hint="cs"/>
          <w:rtl/>
        </w:rPr>
        <w:t xml:space="preserve"> לחוק.</w:t>
      </w:r>
    </w:p>
    <w:p w14:paraId="693FAC5E" w14:textId="77777777" w:rsidR="006828A4" w:rsidRDefault="006828A4" w:rsidP="006828A4">
      <w:pPr>
        <w:spacing w:line="360" w:lineRule="auto"/>
        <w:ind w:left="720" w:hanging="720"/>
        <w:jc w:val="both"/>
        <w:rPr>
          <w:rtl/>
        </w:rPr>
      </w:pPr>
      <w:bookmarkStart w:id="7" w:name="ABSTRACT_END"/>
      <w:bookmarkEnd w:id="7"/>
    </w:p>
    <w:p w14:paraId="4AC483BD" w14:textId="77777777" w:rsidR="006828A4" w:rsidRDefault="006828A4" w:rsidP="006828A4">
      <w:pPr>
        <w:spacing w:line="360" w:lineRule="auto"/>
        <w:ind w:left="720" w:hanging="720"/>
        <w:jc w:val="both"/>
        <w:rPr>
          <w:rtl/>
        </w:rPr>
      </w:pPr>
      <w:r>
        <w:rPr>
          <w:rFonts w:hint="cs"/>
          <w:rtl/>
        </w:rPr>
        <w:t>2.</w:t>
      </w:r>
      <w:r>
        <w:rPr>
          <w:rFonts w:hint="cs"/>
          <w:rtl/>
        </w:rPr>
        <w:tab/>
        <w:t xml:space="preserve">על פי האמור בכתב האישום המתוקן, הנאשמים - שהם בני דודים המתגוררים בג'סר א זרקא - עמדו בשעת לילה מאוחרת ביום 29.9.18 בכביש פנימי בסמוך למתחם המשפחה, כאשר הנאשם 1 נושא ומחזיק בתוך כיס קדמי של מכנסיו אקדח 9 מ"מ ובתוכו מחסנית ובה 7 כדורי 9 מ"מ. </w:t>
      </w:r>
    </w:p>
    <w:p w14:paraId="6FFED195" w14:textId="77777777" w:rsidR="006828A4" w:rsidRDefault="006828A4" w:rsidP="006828A4">
      <w:pPr>
        <w:spacing w:line="360" w:lineRule="auto"/>
        <w:ind w:left="720" w:hanging="720"/>
        <w:jc w:val="both"/>
        <w:rPr>
          <w:rtl/>
        </w:rPr>
      </w:pPr>
      <w:r>
        <w:rPr>
          <w:rtl/>
        </w:rPr>
        <w:tab/>
      </w:r>
    </w:p>
    <w:p w14:paraId="1DBB3EDC" w14:textId="77777777" w:rsidR="006828A4" w:rsidRDefault="006828A4" w:rsidP="006828A4">
      <w:pPr>
        <w:spacing w:line="360" w:lineRule="auto"/>
        <w:ind w:left="720" w:hanging="720"/>
        <w:jc w:val="both"/>
        <w:rPr>
          <w:rtl/>
        </w:rPr>
      </w:pPr>
      <w:r>
        <w:rPr>
          <w:rtl/>
        </w:rPr>
        <w:tab/>
      </w:r>
      <w:r>
        <w:rPr>
          <w:rFonts w:hint="cs"/>
          <w:rtl/>
        </w:rPr>
        <w:t xml:space="preserve">בסמוך למקום באותה עת סיירו שני שוטרים ברכב סמוי. הם עצרו ליד הנאשמים. הנאשם 1 החל להימלט עם האקדח והשוטר דלק אחריו. תוך כדי הריצה הנאשם 1 הוציא את האקדח והשליך אותו לכיוון גן ילדים שנמצא בסמוך והאקדח נתפס זמן קצר לאחר מכן </w:t>
      </w:r>
      <w:r>
        <w:rPr>
          <w:rFonts w:hint="cs"/>
          <w:rtl/>
        </w:rPr>
        <w:lastRenderedPageBreak/>
        <w:t xml:space="preserve">ע"י השוטרים. הנאשם 2 הגיע למקום בו עמדו השוטר ונאשם 1 וסירב להתרחק למרות שהוזהר ובהמשך דחף את השוטר והרים ידו לעברו. </w:t>
      </w:r>
    </w:p>
    <w:p w14:paraId="33674FF8" w14:textId="77777777" w:rsidR="006828A4" w:rsidRDefault="006828A4" w:rsidP="006828A4">
      <w:pPr>
        <w:spacing w:line="360" w:lineRule="auto"/>
        <w:ind w:left="720" w:hanging="720"/>
        <w:jc w:val="both"/>
        <w:rPr>
          <w:rtl/>
        </w:rPr>
      </w:pPr>
    </w:p>
    <w:p w14:paraId="1D73B2F7" w14:textId="77777777" w:rsidR="006828A4" w:rsidRDefault="006828A4" w:rsidP="006828A4">
      <w:pPr>
        <w:spacing w:line="360" w:lineRule="auto"/>
        <w:ind w:left="720" w:hanging="720"/>
        <w:jc w:val="both"/>
        <w:rPr>
          <w:b/>
          <w:bCs/>
          <w:u w:val="single"/>
          <w:rtl/>
        </w:rPr>
      </w:pPr>
      <w:r w:rsidRPr="006F24EB">
        <w:rPr>
          <w:rFonts w:hint="cs"/>
          <w:b/>
          <w:bCs/>
          <w:u w:val="single"/>
          <w:rtl/>
        </w:rPr>
        <w:t>טיעוני המדינה לעונש</w:t>
      </w:r>
    </w:p>
    <w:p w14:paraId="7AA56759" w14:textId="77777777" w:rsidR="006828A4" w:rsidRDefault="006828A4" w:rsidP="006828A4">
      <w:pPr>
        <w:spacing w:line="360" w:lineRule="auto"/>
        <w:ind w:left="720" w:hanging="720"/>
        <w:jc w:val="both"/>
        <w:rPr>
          <w:rtl/>
        </w:rPr>
      </w:pPr>
    </w:p>
    <w:p w14:paraId="367AB552" w14:textId="77777777" w:rsidR="006828A4" w:rsidRDefault="006828A4" w:rsidP="006828A4">
      <w:pPr>
        <w:spacing w:line="360" w:lineRule="auto"/>
        <w:ind w:left="720" w:hanging="720"/>
        <w:jc w:val="both"/>
        <w:rPr>
          <w:rtl/>
        </w:rPr>
      </w:pPr>
      <w:r>
        <w:rPr>
          <w:rFonts w:hint="cs"/>
          <w:rtl/>
        </w:rPr>
        <w:t>3.</w:t>
      </w:r>
      <w:r>
        <w:rPr>
          <w:rFonts w:hint="cs"/>
          <w:rtl/>
        </w:rPr>
        <w:tab/>
        <w:t>המדינה אזכרה את הנחיות פרקליט המדינה באשר למדיניות הענישה בעבירות נשק, לפיהן העונשים המוטלים על ידי בתי המשפט אינם נותנים מענה הולם די הצורך לחומרת העבירה. על פי ההנחיות מתחם הענישה ההולם נמצא בין 1.5-4 שנות מאסר.</w:t>
      </w:r>
    </w:p>
    <w:p w14:paraId="1C8AEB86" w14:textId="77777777" w:rsidR="006828A4" w:rsidRDefault="006828A4" w:rsidP="006828A4">
      <w:pPr>
        <w:spacing w:line="360" w:lineRule="auto"/>
        <w:ind w:left="720" w:hanging="720"/>
        <w:jc w:val="both"/>
        <w:rPr>
          <w:rtl/>
        </w:rPr>
      </w:pPr>
    </w:p>
    <w:p w14:paraId="187A3A44" w14:textId="77777777" w:rsidR="006828A4" w:rsidRDefault="006828A4" w:rsidP="006828A4">
      <w:pPr>
        <w:spacing w:line="360" w:lineRule="auto"/>
        <w:ind w:left="720"/>
        <w:jc w:val="both"/>
        <w:rPr>
          <w:rtl/>
        </w:rPr>
      </w:pPr>
      <w:r>
        <w:rPr>
          <w:rFonts w:hint="cs"/>
          <w:rtl/>
        </w:rPr>
        <w:t xml:space="preserve">המדינה אזכרה פסיקה בנוגע לחומרת עבירות הנשק ובין היתר ע"פ 910/85 </w:t>
      </w:r>
      <w:r w:rsidRPr="00032880">
        <w:rPr>
          <w:rFonts w:hint="cs"/>
          <w:b/>
          <w:bCs/>
          <w:rtl/>
        </w:rPr>
        <w:t>איברהים קונדוס נ' מדינת ישראל</w:t>
      </w:r>
      <w:r>
        <w:rPr>
          <w:rFonts w:hint="cs"/>
          <w:b/>
          <w:bCs/>
          <w:rtl/>
        </w:rPr>
        <w:t xml:space="preserve"> </w:t>
      </w:r>
      <w:r>
        <w:rPr>
          <w:rFonts w:hint="cs"/>
          <w:rtl/>
        </w:rPr>
        <w:t xml:space="preserve">וחזרה והזכירה את עמדת הפסיקה שרואה בחומרה את זמינות כמות הנשק החם הרבה והפוטנציאל שיש בכך להסלמה באלימות העבריינית ואלימות אחרת. </w:t>
      </w:r>
    </w:p>
    <w:p w14:paraId="2419FA3A" w14:textId="77777777" w:rsidR="006828A4" w:rsidRDefault="006828A4" w:rsidP="006828A4">
      <w:pPr>
        <w:spacing w:line="360" w:lineRule="auto"/>
        <w:ind w:left="720"/>
        <w:jc w:val="both"/>
        <w:rPr>
          <w:rtl/>
        </w:rPr>
      </w:pPr>
    </w:p>
    <w:p w14:paraId="13A14D67" w14:textId="77777777" w:rsidR="006828A4" w:rsidRDefault="006828A4" w:rsidP="006828A4">
      <w:pPr>
        <w:spacing w:line="360" w:lineRule="auto"/>
        <w:ind w:left="720"/>
        <w:jc w:val="both"/>
        <w:rPr>
          <w:rtl/>
        </w:rPr>
      </w:pPr>
      <w:r>
        <w:rPr>
          <w:rFonts w:hint="cs"/>
          <w:rtl/>
        </w:rPr>
        <w:t>נטען שהערך החברתי המוגן שנפגע היה שלום הציבור והגנה על חיי אדם. באשר לנסיבות הקשורות לביצוע העבירה נטען שברור שאדם שמחזיק נשק ללא רישיון עושה זאת למטרות לא כשרות, במיוחד כשהוא אינו מציע הסבר משכנע להחזקה. נטען משום מה שהנאשם החזיק מספר נשקים שונים עם מחסניות ולא נתן הסבר להחזקתם.</w:t>
      </w:r>
    </w:p>
    <w:p w14:paraId="2E232317" w14:textId="77777777" w:rsidR="006828A4" w:rsidRDefault="006828A4" w:rsidP="006828A4">
      <w:pPr>
        <w:spacing w:line="360" w:lineRule="auto"/>
        <w:ind w:left="720"/>
        <w:jc w:val="both"/>
        <w:rPr>
          <w:rtl/>
        </w:rPr>
      </w:pPr>
    </w:p>
    <w:p w14:paraId="1505E573" w14:textId="77777777" w:rsidR="006828A4" w:rsidRPr="00C87DFB" w:rsidRDefault="006828A4" w:rsidP="006828A4">
      <w:pPr>
        <w:spacing w:line="360" w:lineRule="auto"/>
        <w:ind w:left="720"/>
        <w:jc w:val="both"/>
        <w:rPr>
          <w:u w:val="single"/>
          <w:rtl/>
        </w:rPr>
      </w:pPr>
      <w:r w:rsidRPr="00C87DFB">
        <w:rPr>
          <w:rFonts w:hint="cs"/>
          <w:u w:val="single"/>
          <w:rtl/>
        </w:rPr>
        <w:t>באשר למדיניות הענישה הנהוגה אוזכרו פסקי דין רבים ובניהם:</w:t>
      </w:r>
    </w:p>
    <w:p w14:paraId="1E403A2E" w14:textId="77777777" w:rsidR="006828A4" w:rsidRDefault="006828A4" w:rsidP="006828A4">
      <w:pPr>
        <w:spacing w:line="360" w:lineRule="auto"/>
        <w:ind w:left="720"/>
        <w:jc w:val="both"/>
        <w:rPr>
          <w:rtl/>
        </w:rPr>
      </w:pPr>
    </w:p>
    <w:p w14:paraId="2104C28A" w14:textId="77777777" w:rsidR="006828A4" w:rsidRPr="00C87DFB" w:rsidRDefault="008714CA" w:rsidP="006828A4">
      <w:pPr>
        <w:spacing w:line="360" w:lineRule="auto"/>
        <w:ind w:left="720"/>
        <w:jc w:val="both"/>
        <w:rPr>
          <w:rtl/>
        </w:rPr>
      </w:pPr>
      <w:hyperlink r:id="rId15" w:history="1">
        <w:r w:rsidRPr="008714CA">
          <w:rPr>
            <w:color w:val="0000FF"/>
            <w:u w:val="single"/>
            <w:rtl/>
          </w:rPr>
          <w:t xml:space="preserve">בת"פ 8041/07 </w:t>
        </w:r>
      </w:hyperlink>
      <w:r w:rsidR="006828A4">
        <w:rPr>
          <w:rFonts w:hint="cs"/>
          <w:rtl/>
        </w:rPr>
        <w:t xml:space="preserve"> </w:t>
      </w:r>
      <w:r w:rsidR="006828A4" w:rsidRPr="00032880">
        <w:rPr>
          <w:rFonts w:hint="cs"/>
          <w:b/>
          <w:bCs/>
          <w:rtl/>
        </w:rPr>
        <w:t>מדינת ישראל נ'</w:t>
      </w:r>
      <w:r w:rsidR="006828A4">
        <w:rPr>
          <w:rFonts w:hint="cs"/>
          <w:rtl/>
        </w:rPr>
        <w:t xml:space="preserve"> </w:t>
      </w:r>
      <w:r w:rsidR="006828A4" w:rsidRPr="00C87DFB">
        <w:rPr>
          <w:rFonts w:hint="cs"/>
          <w:b/>
          <w:bCs/>
          <w:rtl/>
        </w:rPr>
        <w:t>יצחק מירילאשווילי</w:t>
      </w:r>
      <w:r w:rsidR="006828A4">
        <w:rPr>
          <w:rFonts w:hint="cs"/>
          <w:b/>
          <w:bCs/>
          <w:rtl/>
        </w:rPr>
        <w:t xml:space="preserve"> </w:t>
      </w:r>
      <w:r w:rsidR="006828A4">
        <w:rPr>
          <w:rFonts w:hint="cs"/>
          <w:rtl/>
        </w:rPr>
        <w:t xml:space="preserve">הורשע נאשם בהחזקת אקדח עם שתי מחסניות ו-21 כדורים כאשר לחובתו עבר פלילי מכביד. הוא נידון ל-24 חודשי מאסר בפועל. </w:t>
      </w:r>
    </w:p>
    <w:p w14:paraId="4EA7FB14" w14:textId="77777777" w:rsidR="006828A4" w:rsidRPr="00B05847" w:rsidRDefault="006828A4" w:rsidP="006828A4">
      <w:pPr>
        <w:rPr>
          <w:rtl/>
        </w:rPr>
      </w:pPr>
    </w:p>
    <w:p w14:paraId="1D580B07" w14:textId="77777777" w:rsidR="006828A4" w:rsidRDefault="006828A4" w:rsidP="006828A4">
      <w:pPr>
        <w:spacing w:line="360" w:lineRule="auto"/>
        <w:ind w:left="720"/>
        <w:jc w:val="both"/>
        <w:rPr>
          <w:rtl/>
        </w:rPr>
      </w:pPr>
      <w:r>
        <w:rPr>
          <w:rFonts w:hint="cs"/>
          <w:rtl/>
        </w:rPr>
        <w:t>ב</w:t>
      </w:r>
      <w:hyperlink r:id="rId16" w:history="1">
        <w:r w:rsidR="00FE5FDD" w:rsidRPr="00FE5FDD">
          <w:rPr>
            <w:color w:val="0000FF"/>
            <w:u w:val="single"/>
            <w:rtl/>
          </w:rPr>
          <w:t>ע"פ 9373/10</w:t>
        </w:r>
      </w:hyperlink>
      <w:r>
        <w:rPr>
          <w:rFonts w:hint="cs"/>
          <w:rtl/>
        </w:rPr>
        <w:t xml:space="preserve"> </w:t>
      </w:r>
      <w:r>
        <w:rPr>
          <w:rFonts w:hint="cs"/>
          <w:b/>
          <w:bCs/>
          <w:rtl/>
        </w:rPr>
        <w:t xml:space="preserve">חאמד וותאד נ' מדינת ישראל </w:t>
      </w:r>
      <w:r>
        <w:rPr>
          <w:rFonts w:hint="cs"/>
          <w:rtl/>
        </w:rPr>
        <w:t>(14.09.2011) הורשע נאשם בעבירות של החזקת נשק ונשיאת נשק, כאשר לחובתו שלוש הרשעות קודמות שלא בעבירות נשק. נגזרו עליו 50 חודשי מאסר בפועל שהופחתו בערעור ל-30 חודשי מאסר בפועל.</w:t>
      </w:r>
    </w:p>
    <w:p w14:paraId="55ABE070" w14:textId="77777777" w:rsidR="006828A4" w:rsidRDefault="006828A4" w:rsidP="006828A4">
      <w:pPr>
        <w:spacing w:line="360" w:lineRule="auto"/>
        <w:ind w:left="720"/>
        <w:jc w:val="both"/>
        <w:rPr>
          <w:rtl/>
        </w:rPr>
      </w:pPr>
    </w:p>
    <w:p w14:paraId="3DCDFACF" w14:textId="77777777" w:rsidR="006828A4" w:rsidRDefault="00FE5FDD" w:rsidP="006828A4">
      <w:pPr>
        <w:spacing w:line="360" w:lineRule="auto"/>
        <w:ind w:left="720"/>
        <w:jc w:val="both"/>
        <w:rPr>
          <w:rtl/>
        </w:rPr>
      </w:pPr>
      <w:hyperlink r:id="rId17" w:history="1">
        <w:r w:rsidRPr="00FE5FDD">
          <w:rPr>
            <w:color w:val="0000FF"/>
            <w:u w:val="single"/>
            <w:rtl/>
          </w:rPr>
          <w:t>ע"פ 761/07</w:t>
        </w:r>
      </w:hyperlink>
      <w:r w:rsidR="006828A4">
        <w:rPr>
          <w:rFonts w:hint="cs"/>
          <w:rtl/>
        </w:rPr>
        <w:t xml:space="preserve"> </w:t>
      </w:r>
      <w:r w:rsidR="006828A4">
        <w:rPr>
          <w:rFonts w:hint="cs"/>
          <w:b/>
          <w:bCs/>
          <w:rtl/>
        </w:rPr>
        <w:t xml:space="preserve">מדינת ישראל נ' מיכאל אדרי </w:t>
      </w:r>
      <w:r w:rsidR="006828A4">
        <w:rPr>
          <w:rFonts w:hint="cs"/>
          <w:rtl/>
        </w:rPr>
        <w:t xml:space="preserve">שם הורשע נאשם בעבירות של החזקת נשק והפרעה לשוטר במילוי תפקידו כאשר לחובתו הרשעות קודמות. נגזרו עליו 12 חודשי מאסר בפועל, ובערעור הועלה העונש לשנתיים מאסר בפועל. </w:t>
      </w:r>
    </w:p>
    <w:p w14:paraId="221BB40A" w14:textId="77777777" w:rsidR="006828A4" w:rsidRDefault="006828A4" w:rsidP="006828A4">
      <w:pPr>
        <w:spacing w:line="360" w:lineRule="auto"/>
        <w:ind w:left="720"/>
        <w:jc w:val="both"/>
        <w:rPr>
          <w:rtl/>
        </w:rPr>
      </w:pPr>
    </w:p>
    <w:p w14:paraId="1BD69922" w14:textId="77777777" w:rsidR="006828A4" w:rsidRDefault="006828A4" w:rsidP="006828A4">
      <w:pPr>
        <w:spacing w:line="360" w:lineRule="auto"/>
        <w:ind w:left="720"/>
        <w:jc w:val="both"/>
        <w:rPr>
          <w:rtl/>
        </w:rPr>
      </w:pPr>
      <w:r>
        <w:rPr>
          <w:rFonts w:hint="cs"/>
          <w:rtl/>
        </w:rPr>
        <w:t>אוזכרו עוד מספר מקרים שביחס אליהם יש לציין כי רובם חמורים יותר מבחינת סוג הנשק או הכמות, או ביחס לכך שהנאשמים היו בעלי עבר פלילי קודם.</w:t>
      </w:r>
    </w:p>
    <w:p w14:paraId="12BD7B5B" w14:textId="77777777" w:rsidR="006828A4" w:rsidRDefault="006828A4" w:rsidP="006828A4">
      <w:pPr>
        <w:spacing w:line="360" w:lineRule="auto"/>
        <w:ind w:left="720"/>
        <w:jc w:val="both"/>
        <w:rPr>
          <w:rtl/>
        </w:rPr>
      </w:pPr>
    </w:p>
    <w:p w14:paraId="0A3208E9" w14:textId="77777777" w:rsidR="006828A4" w:rsidRDefault="006828A4" w:rsidP="006828A4">
      <w:pPr>
        <w:spacing w:line="360" w:lineRule="auto"/>
        <w:ind w:left="720"/>
        <w:jc w:val="both"/>
        <w:rPr>
          <w:rtl/>
        </w:rPr>
      </w:pPr>
      <w:r>
        <w:rPr>
          <w:rFonts w:hint="cs"/>
          <w:rtl/>
        </w:rPr>
        <w:lastRenderedPageBreak/>
        <w:t xml:space="preserve">באשר לעבירה של הפרעה לשוטר אוזכר ע"פ 1639-12-08 </w:t>
      </w:r>
      <w:r>
        <w:rPr>
          <w:rFonts w:hint="cs"/>
          <w:b/>
          <w:bCs/>
          <w:rtl/>
        </w:rPr>
        <w:t xml:space="preserve">ביאדסה נ' מדינת ישראל </w:t>
      </w:r>
      <w:r>
        <w:rPr>
          <w:rFonts w:hint="cs"/>
          <w:rtl/>
        </w:rPr>
        <w:t xml:space="preserve">שם הורשע נאשם בעבירות של הפרעה לשוטר במילוי תפקידו כאשר הנאשם הודה דרך הסדר טיעון ונידון לחודשיים מאסר בפועל. </w:t>
      </w:r>
    </w:p>
    <w:p w14:paraId="3C8C849F" w14:textId="77777777" w:rsidR="006828A4" w:rsidRDefault="006828A4" w:rsidP="006828A4">
      <w:pPr>
        <w:spacing w:line="360" w:lineRule="auto"/>
        <w:ind w:left="720"/>
        <w:jc w:val="both"/>
        <w:rPr>
          <w:rtl/>
        </w:rPr>
      </w:pPr>
    </w:p>
    <w:p w14:paraId="75C8A784" w14:textId="77777777" w:rsidR="006828A4" w:rsidRDefault="006828A4" w:rsidP="006828A4">
      <w:pPr>
        <w:spacing w:line="360" w:lineRule="auto"/>
        <w:ind w:left="720"/>
        <w:jc w:val="both"/>
        <w:rPr>
          <w:rtl/>
        </w:rPr>
      </w:pPr>
      <w:r>
        <w:rPr>
          <w:rFonts w:hint="cs"/>
          <w:rtl/>
        </w:rPr>
        <w:t>ב</w:t>
      </w:r>
      <w:hyperlink r:id="rId18" w:history="1">
        <w:r w:rsidR="00FE5FDD" w:rsidRPr="00FE5FDD">
          <w:rPr>
            <w:color w:val="0000FF"/>
            <w:u w:val="single"/>
            <w:rtl/>
          </w:rPr>
          <w:t>רע"פ 8172/10</w:t>
        </w:r>
      </w:hyperlink>
      <w:r>
        <w:rPr>
          <w:rFonts w:hint="cs"/>
          <w:rtl/>
        </w:rPr>
        <w:t xml:space="preserve"> נדחה ערעורו של נאשם שהורשע בהפרעה לשוטר ותקיפת שוטר כאשר האלימות הייתה ברף הנמוך ובבית המשפט המחוזי הוחמר עונשו מ-6 חודשי עבודות שירות ל-12 חודשי מאסר בפועל.</w:t>
      </w:r>
    </w:p>
    <w:p w14:paraId="2DCF7867" w14:textId="77777777" w:rsidR="006828A4" w:rsidRDefault="006828A4" w:rsidP="006828A4">
      <w:pPr>
        <w:spacing w:line="360" w:lineRule="auto"/>
        <w:jc w:val="both"/>
        <w:rPr>
          <w:rtl/>
        </w:rPr>
      </w:pPr>
    </w:p>
    <w:p w14:paraId="0B4ACE3B" w14:textId="77777777" w:rsidR="006828A4" w:rsidRDefault="006828A4" w:rsidP="006828A4">
      <w:pPr>
        <w:spacing w:line="360" w:lineRule="auto"/>
        <w:ind w:left="720"/>
        <w:jc w:val="both"/>
        <w:rPr>
          <w:rtl/>
        </w:rPr>
      </w:pPr>
      <w:r>
        <w:rPr>
          <w:rFonts w:hint="cs"/>
          <w:rtl/>
        </w:rPr>
        <w:t xml:space="preserve">בסופו של דבר טענה המדינה למתחם ענישה שבין 1.5-4 שנות מאסר בנוגע לנאשם 1 בצירוף מאסר על תנאי, חילוט הנשק והטלת קנס ובעניינו של הנאשם 2 ל-4-10 חודשי מאסר בצירוף מאסר על תנאי וקנס. </w:t>
      </w:r>
    </w:p>
    <w:p w14:paraId="4FD6537F" w14:textId="77777777" w:rsidR="006828A4" w:rsidRDefault="006828A4" w:rsidP="006828A4">
      <w:pPr>
        <w:spacing w:line="360" w:lineRule="auto"/>
        <w:ind w:left="720"/>
        <w:jc w:val="both"/>
        <w:rPr>
          <w:rtl/>
        </w:rPr>
      </w:pPr>
    </w:p>
    <w:p w14:paraId="6C4E1377" w14:textId="77777777" w:rsidR="006828A4" w:rsidRPr="00C87DFB" w:rsidRDefault="006828A4" w:rsidP="006828A4">
      <w:pPr>
        <w:spacing w:line="360" w:lineRule="auto"/>
        <w:jc w:val="both"/>
        <w:rPr>
          <w:b/>
          <w:bCs/>
          <w:u w:val="single"/>
          <w:rtl/>
        </w:rPr>
      </w:pPr>
      <w:r w:rsidRPr="00C87DFB">
        <w:rPr>
          <w:rFonts w:hint="cs"/>
          <w:b/>
          <w:bCs/>
          <w:u w:val="single"/>
          <w:rtl/>
        </w:rPr>
        <w:t>טיעוני הסנגור לעונש</w:t>
      </w:r>
    </w:p>
    <w:p w14:paraId="0A4D9E64" w14:textId="77777777" w:rsidR="006828A4" w:rsidRDefault="006828A4" w:rsidP="006828A4">
      <w:pPr>
        <w:spacing w:line="360" w:lineRule="auto"/>
        <w:jc w:val="both"/>
        <w:rPr>
          <w:rtl/>
        </w:rPr>
      </w:pPr>
    </w:p>
    <w:p w14:paraId="5EC21401" w14:textId="77777777" w:rsidR="006828A4" w:rsidRDefault="006828A4" w:rsidP="006828A4">
      <w:pPr>
        <w:spacing w:line="360" w:lineRule="auto"/>
        <w:ind w:left="720" w:hanging="720"/>
        <w:jc w:val="both"/>
        <w:rPr>
          <w:rtl/>
        </w:rPr>
      </w:pPr>
      <w:r>
        <w:rPr>
          <w:rFonts w:hint="cs"/>
          <w:rtl/>
        </w:rPr>
        <w:t>5.</w:t>
      </w:r>
      <w:r>
        <w:rPr>
          <w:rFonts w:hint="cs"/>
          <w:rtl/>
        </w:rPr>
        <w:tab/>
        <w:t>הסנגור טען שיש לאמץ את המלצת שירות המבחן ולהטיל מאסר שירוצה בעבודות שירות. הוזכר שהנאשם 1 שהה במעצר בין 29.9.18-29.10.18- כחודש ימים, ומאז נמצא במעצר באיזוק אלקטרוני.</w:t>
      </w:r>
    </w:p>
    <w:p w14:paraId="5686549C" w14:textId="77777777" w:rsidR="006828A4" w:rsidRDefault="006828A4" w:rsidP="006828A4">
      <w:pPr>
        <w:spacing w:line="360" w:lineRule="auto"/>
        <w:ind w:left="720" w:hanging="720"/>
        <w:jc w:val="both"/>
        <w:rPr>
          <w:rtl/>
        </w:rPr>
      </w:pPr>
    </w:p>
    <w:p w14:paraId="7A68D43D" w14:textId="77777777" w:rsidR="006828A4" w:rsidRDefault="006828A4" w:rsidP="006828A4">
      <w:pPr>
        <w:spacing w:line="360" w:lineRule="auto"/>
        <w:ind w:left="720"/>
        <w:jc w:val="both"/>
        <w:rPr>
          <w:rtl/>
        </w:rPr>
      </w:pPr>
      <w:r>
        <w:rPr>
          <w:rFonts w:hint="cs"/>
          <w:rtl/>
        </w:rPr>
        <w:t>הוזכר שמדובר בנאשם בן 20 ללא עבר פלילי שעבד טרם מעצרו.</w:t>
      </w:r>
    </w:p>
    <w:p w14:paraId="22A313C2" w14:textId="77777777" w:rsidR="006828A4" w:rsidRDefault="006828A4" w:rsidP="006828A4">
      <w:pPr>
        <w:spacing w:line="360" w:lineRule="auto"/>
        <w:ind w:left="720"/>
        <w:jc w:val="both"/>
        <w:rPr>
          <w:rtl/>
        </w:rPr>
      </w:pPr>
    </w:p>
    <w:p w14:paraId="6539CD05" w14:textId="77777777" w:rsidR="006828A4" w:rsidRPr="000610D4" w:rsidRDefault="006828A4" w:rsidP="006828A4">
      <w:pPr>
        <w:spacing w:line="360" w:lineRule="auto"/>
        <w:ind w:left="720"/>
        <w:jc w:val="both"/>
        <w:rPr>
          <w:u w:val="single"/>
          <w:rtl/>
        </w:rPr>
      </w:pPr>
      <w:r w:rsidRPr="000610D4">
        <w:rPr>
          <w:rFonts w:hint="cs"/>
          <w:u w:val="single"/>
          <w:rtl/>
        </w:rPr>
        <w:t xml:space="preserve">הסנגור </w:t>
      </w:r>
      <w:r>
        <w:rPr>
          <w:rFonts w:hint="cs"/>
          <w:u w:val="single"/>
          <w:rtl/>
        </w:rPr>
        <w:t>אזכר את הפסיקה הבאה</w:t>
      </w:r>
      <w:r w:rsidRPr="000610D4">
        <w:rPr>
          <w:rFonts w:hint="cs"/>
          <w:u w:val="single"/>
          <w:rtl/>
        </w:rPr>
        <w:t>:</w:t>
      </w:r>
    </w:p>
    <w:p w14:paraId="757B26F5" w14:textId="77777777" w:rsidR="006828A4" w:rsidRDefault="006828A4" w:rsidP="006828A4">
      <w:pPr>
        <w:spacing w:line="360" w:lineRule="auto"/>
        <w:ind w:left="720"/>
        <w:jc w:val="both"/>
        <w:rPr>
          <w:rtl/>
        </w:rPr>
      </w:pPr>
    </w:p>
    <w:p w14:paraId="109285A9" w14:textId="77777777" w:rsidR="006828A4" w:rsidRDefault="006828A4" w:rsidP="006828A4">
      <w:pPr>
        <w:spacing w:line="360" w:lineRule="auto"/>
        <w:ind w:left="720"/>
        <w:jc w:val="both"/>
      </w:pPr>
      <w:r>
        <w:rPr>
          <w:rFonts w:hint="cs"/>
          <w:rtl/>
        </w:rPr>
        <w:t>ב</w:t>
      </w:r>
      <w:hyperlink r:id="rId19" w:history="1">
        <w:r w:rsidR="00FE5FDD" w:rsidRPr="00FE5FDD">
          <w:rPr>
            <w:color w:val="0000FF"/>
            <w:u w:val="single"/>
            <w:rtl/>
          </w:rPr>
          <w:t>ת"פ 66310-07-17</w:t>
        </w:r>
      </w:hyperlink>
      <w:r>
        <w:rPr>
          <w:rFonts w:hint="cs"/>
          <w:rtl/>
        </w:rPr>
        <w:t xml:space="preserve"> </w:t>
      </w:r>
      <w:r>
        <w:rPr>
          <w:rFonts w:hint="cs"/>
          <w:b/>
          <w:bCs/>
          <w:rtl/>
        </w:rPr>
        <w:t>מדינת ישראל נ' אגבאריה</w:t>
      </w:r>
      <w:r>
        <w:rPr>
          <w:rFonts w:hint="cs"/>
          <w:rtl/>
        </w:rPr>
        <w:t xml:space="preserve"> (6.1.2019) שם נאשם הורשע על פי הודאתו בעבירה של נשיאת והובלת נשק שנשא מסוג קארל גוסטב. בית המשפט הטיל 6 חודשי עבודות שירות.</w:t>
      </w:r>
    </w:p>
    <w:p w14:paraId="601E5339" w14:textId="77777777" w:rsidR="006828A4" w:rsidRPr="000610D4" w:rsidRDefault="006828A4" w:rsidP="006828A4">
      <w:pPr>
        <w:spacing w:line="360" w:lineRule="auto"/>
        <w:jc w:val="both"/>
        <w:rPr>
          <w:rtl/>
        </w:rPr>
      </w:pPr>
    </w:p>
    <w:p w14:paraId="066B9FB5" w14:textId="77777777" w:rsidR="006828A4" w:rsidRDefault="00FE5FDD" w:rsidP="006828A4">
      <w:pPr>
        <w:spacing w:line="360" w:lineRule="auto"/>
        <w:ind w:left="720"/>
        <w:jc w:val="both"/>
        <w:rPr>
          <w:rtl/>
        </w:rPr>
      </w:pPr>
      <w:hyperlink r:id="rId20" w:history="1">
        <w:r w:rsidRPr="00FE5FDD">
          <w:rPr>
            <w:color w:val="0000FF"/>
            <w:u w:val="single"/>
            <w:rtl/>
          </w:rPr>
          <w:t>ת"פ 4176-06-17</w:t>
        </w:r>
      </w:hyperlink>
      <w:r w:rsidR="006828A4">
        <w:rPr>
          <w:rFonts w:hint="cs"/>
          <w:rtl/>
        </w:rPr>
        <w:t xml:space="preserve"> </w:t>
      </w:r>
      <w:r w:rsidR="006828A4">
        <w:rPr>
          <w:rFonts w:hint="cs"/>
          <w:b/>
          <w:bCs/>
          <w:rtl/>
        </w:rPr>
        <w:t>מדינת ישראל נ' גב'ארין</w:t>
      </w:r>
      <w:r w:rsidR="006828A4">
        <w:rPr>
          <w:rFonts w:hint="cs"/>
          <w:rtl/>
        </w:rPr>
        <w:t xml:space="preserve"> (17.7.2018) שם הורשעו הנאשמים על פי הודאתם בנשיאת נשק ותחמושת וביצוע ירי. בית המשפט השית מאסר בעבודות שירות בהתאם להמלצת שירות המבחן. </w:t>
      </w:r>
    </w:p>
    <w:p w14:paraId="69DA88BE" w14:textId="77777777" w:rsidR="006828A4" w:rsidRDefault="006828A4" w:rsidP="006828A4">
      <w:pPr>
        <w:spacing w:line="360" w:lineRule="auto"/>
        <w:jc w:val="both"/>
        <w:rPr>
          <w:rtl/>
        </w:rPr>
      </w:pPr>
    </w:p>
    <w:p w14:paraId="7FBCBE61" w14:textId="77777777" w:rsidR="006828A4" w:rsidRDefault="00FE5FDD" w:rsidP="006828A4">
      <w:pPr>
        <w:spacing w:line="360" w:lineRule="auto"/>
        <w:ind w:left="720"/>
        <w:jc w:val="both"/>
        <w:rPr>
          <w:rtl/>
        </w:rPr>
      </w:pPr>
      <w:hyperlink r:id="rId21" w:history="1">
        <w:r w:rsidRPr="00FE5FDD">
          <w:rPr>
            <w:color w:val="0000FF"/>
            <w:u w:val="single"/>
            <w:rtl/>
          </w:rPr>
          <w:t>ת"פ 613-04-17</w:t>
        </w:r>
      </w:hyperlink>
      <w:r w:rsidR="006828A4">
        <w:rPr>
          <w:rFonts w:hint="cs"/>
          <w:rtl/>
        </w:rPr>
        <w:t xml:space="preserve"> </w:t>
      </w:r>
      <w:r w:rsidR="006828A4">
        <w:rPr>
          <w:rFonts w:hint="cs"/>
          <w:b/>
          <w:bCs/>
          <w:rtl/>
        </w:rPr>
        <w:t>מדינת ישראל נ' מחמוד אגבאריה</w:t>
      </w:r>
      <w:r w:rsidR="006828A4">
        <w:rPr>
          <w:rFonts w:hint="cs"/>
          <w:rtl/>
        </w:rPr>
        <w:t xml:space="preserve"> (17.1.2018) שם הורשע נאשם יליד 94' על פי הודאתו בנשיאה והובלת נשק ותחמושת. בית המשפט השית עליו עבודות שירות.</w:t>
      </w:r>
    </w:p>
    <w:p w14:paraId="06E09BE2" w14:textId="77777777" w:rsidR="006828A4" w:rsidRDefault="006828A4" w:rsidP="006828A4">
      <w:pPr>
        <w:spacing w:line="360" w:lineRule="auto"/>
        <w:jc w:val="both"/>
        <w:rPr>
          <w:rtl/>
        </w:rPr>
      </w:pPr>
    </w:p>
    <w:p w14:paraId="71C8DE54" w14:textId="77777777" w:rsidR="006828A4" w:rsidRDefault="00FE5FDD" w:rsidP="006828A4">
      <w:pPr>
        <w:spacing w:line="360" w:lineRule="auto"/>
        <w:ind w:left="720"/>
        <w:jc w:val="both"/>
        <w:rPr>
          <w:rtl/>
        </w:rPr>
      </w:pPr>
      <w:hyperlink r:id="rId22" w:history="1">
        <w:r w:rsidRPr="00FE5FDD">
          <w:rPr>
            <w:color w:val="0000FF"/>
            <w:u w:val="single"/>
            <w:rtl/>
          </w:rPr>
          <w:t>ת"פ 54432-02-17</w:t>
        </w:r>
      </w:hyperlink>
      <w:r w:rsidR="006828A4">
        <w:rPr>
          <w:rFonts w:hint="cs"/>
          <w:rtl/>
        </w:rPr>
        <w:t xml:space="preserve"> </w:t>
      </w:r>
      <w:r w:rsidR="006828A4">
        <w:rPr>
          <w:rFonts w:hint="cs"/>
          <w:b/>
          <w:bCs/>
          <w:rtl/>
        </w:rPr>
        <w:t>מדינת ישראל נ' אמיר עיסא</w:t>
      </w:r>
      <w:r w:rsidR="006828A4">
        <w:rPr>
          <w:rFonts w:hint="cs"/>
          <w:rtl/>
        </w:rPr>
        <w:t xml:space="preserve"> (23.11.2017) שם הורשע הנאשם יליד 96' על פי הודאתו בעבירות של החזקה ונשיאת נשק. בית המשפט הטיל עליו 6 חודשי מאסרשירוצו בעבודות שירות. </w:t>
      </w:r>
    </w:p>
    <w:p w14:paraId="42062351" w14:textId="77777777" w:rsidR="006828A4" w:rsidRDefault="006828A4" w:rsidP="006828A4">
      <w:pPr>
        <w:spacing w:line="360" w:lineRule="auto"/>
        <w:jc w:val="both"/>
        <w:rPr>
          <w:rtl/>
        </w:rPr>
      </w:pPr>
    </w:p>
    <w:p w14:paraId="0085BC5C" w14:textId="77777777" w:rsidR="006828A4" w:rsidRDefault="006828A4" w:rsidP="006828A4">
      <w:pPr>
        <w:spacing w:line="360" w:lineRule="auto"/>
        <w:jc w:val="both"/>
        <w:rPr>
          <w:b/>
          <w:bCs/>
          <w:u w:val="single"/>
          <w:rtl/>
        </w:rPr>
      </w:pPr>
      <w:r>
        <w:rPr>
          <w:rFonts w:hint="cs"/>
          <w:b/>
          <w:bCs/>
          <w:u w:val="single"/>
          <w:rtl/>
        </w:rPr>
        <w:t>תסקיר</w:t>
      </w:r>
      <w:r w:rsidRPr="004246E4">
        <w:rPr>
          <w:rFonts w:hint="cs"/>
          <w:b/>
          <w:bCs/>
          <w:u w:val="single"/>
          <w:rtl/>
        </w:rPr>
        <w:t xml:space="preserve"> שירות המבחן</w:t>
      </w:r>
    </w:p>
    <w:p w14:paraId="2597D869" w14:textId="77777777" w:rsidR="006828A4" w:rsidRDefault="006828A4" w:rsidP="006828A4">
      <w:pPr>
        <w:spacing w:line="360" w:lineRule="auto"/>
        <w:jc w:val="both"/>
        <w:rPr>
          <w:b/>
          <w:bCs/>
          <w:u w:val="single"/>
          <w:rtl/>
        </w:rPr>
      </w:pPr>
    </w:p>
    <w:p w14:paraId="4D55F675" w14:textId="77777777" w:rsidR="006828A4" w:rsidRDefault="006828A4" w:rsidP="006828A4">
      <w:pPr>
        <w:spacing w:line="360" w:lineRule="auto"/>
        <w:ind w:left="720" w:hanging="720"/>
        <w:jc w:val="both"/>
        <w:rPr>
          <w:rtl/>
        </w:rPr>
      </w:pPr>
      <w:r>
        <w:rPr>
          <w:rFonts w:hint="cs"/>
          <w:rtl/>
        </w:rPr>
        <w:t>6.</w:t>
      </w:r>
      <w:r>
        <w:rPr>
          <w:rFonts w:hint="cs"/>
          <w:rtl/>
        </w:rPr>
        <w:tab/>
        <w:t xml:space="preserve">בתסקיר המבחן צוין שהנאשם 1 רווק בן 20, שקודם למעצרו עבד בניקיון במעגן מיכאל וזיכרון יעקב (במוסדות חינוך כפי שהתברר בדיון). משפחת מוצאו מרובת ילדים ונורמטיבית. הוא סיים 10 שנות לימוד ללא תעודת בגרות, ואין לו עבר פלילי קודם מכל סוג. </w:t>
      </w:r>
    </w:p>
    <w:p w14:paraId="75DCC253" w14:textId="77777777" w:rsidR="006828A4" w:rsidRDefault="006828A4" w:rsidP="006828A4">
      <w:pPr>
        <w:spacing w:line="360" w:lineRule="auto"/>
        <w:ind w:left="720" w:hanging="720"/>
        <w:jc w:val="both"/>
        <w:rPr>
          <w:rtl/>
        </w:rPr>
      </w:pPr>
    </w:p>
    <w:p w14:paraId="3117EE2D" w14:textId="77777777" w:rsidR="006828A4" w:rsidRDefault="006828A4" w:rsidP="006828A4">
      <w:pPr>
        <w:spacing w:line="360" w:lineRule="auto"/>
        <w:ind w:left="720" w:hanging="720"/>
        <w:jc w:val="both"/>
        <w:rPr>
          <w:rtl/>
        </w:rPr>
      </w:pPr>
      <w:r>
        <w:rPr>
          <w:rtl/>
        </w:rPr>
        <w:tab/>
      </w:r>
      <w:r>
        <w:rPr>
          <w:rFonts w:hint="cs"/>
          <w:rtl/>
        </w:rPr>
        <w:t>על פי המתואר, מעצרו גרם לו למצוקה רגשית וקושי, והיה נראה שהוא מצליח להתחבר למשמעות הכללית של חומרת העבירות ושהוא החזיק את האקדח כסממן לסטטוס ומעמד. הוא הודה שרכש את האקדח אבל התקשה להעמיק את הבירור בנוגע לסיבות ההחזקה. יחד עם זאת הביע תחושות של צער וחרטה נוכח מעשיו בעיקר בעקבות תגובותיהם של בני משפחתו ובגין העובדה שהוא נקלע להליך משפטי לראשונה בחייו.</w:t>
      </w:r>
    </w:p>
    <w:p w14:paraId="7E191048" w14:textId="77777777" w:rsidR="006828A4" w:rsidRDefault="006828A4" w:rsidP="006828A4">
      <w:pPr>
        <w:spacing w:line="360" w:lineRule="auto"/>
        <w:ind w:left="720" w:hanging="720"/>
        <w:jc w:val="both"/>
        <w:rPr>
          <w:rtl/>
        </w:rPr>
      </w:pPr>
    </w:p>
    <w:p w14:paraId="2292957E" w14:textId="77777777" w:rsidR="006828A4" w:rsidRDefault="006828A4" w:rsidP="006828A4">
      <w:pPr>
        <w:spacing w:line="360" w:lineRule="auto"/>
        <w:ind w:left="720" w:hanging="720"/>
        <w:jc w:val="both"/>
        <w:rPr>
          <w:rtl/>
        </w:rPr>
      </w:pPr>
      <w:r>
        <w:rPr>
          <w:rtl/>
        </w:rPr>
        <w:tab/>
      </w:r>
      <w:r>
        <w:rPr>
          <w:rFonts w:hint="cs"/>
          <w:rtl/>
        </w:rPr>
        <w:t xml:space="preserve">הייתה התרשמות שאין לו דפוסים עבריינים מושרשים ושהוא נמצא בשלבים הראשונים של ביסוס חייו. היה רצון לצרף אותו לקבוצה טיפולית לעברייני נשק, אך בשל קשייו לערוך התבוננות פנימית מעמיקה ולשתף במצבו הוא נמצא לא מתאים כעת ולכן לא הובאה המלצה טיפולית. </w:t>
      </w:r>
    </w:p>
    <w:p w14:paraId="6C7DB5A6" w14:textId="77777777" w:rsidR="006828A4" w:rsidRDefault="006828A4" w:rsidP="006828A4">
      <w:pPr>
        <w:spacing w:line="360" w:lineRule="auto"/>
        <w:ind w:left="720" w:hanging="720"/>
        <w:jc w:val="both"/>
        <w:rPr>
          <w:rtl/>
        </w:rPr>
      </w:pPr>
    </w:p>
    <w:p w14:paraId="2DAE87F5" w14:textId="77777777" w:rsidR="006828A4" w:rsidRDefault="006828A4" w:rsidP="006828A4">
      <w:pPr>
        <w:spacing w:line="360" w:lineRule="auto"/>
        <w:ind w:left="720"/>
        <w:jc w:val="both"/>
        <w:rPr>
          <w:rtl/>
        </w:rPr>
      </w:pPr>
      <w:r>
        <w:rPr>
          <w:rFonts w:hint="cs"/>
          <w:rtl/>
        </w:rPr>
        <w:t>עם זאת לאור גילו הצעיר ומאחר ומדובר בהליך משפטי ראשון ומכיוון שחווית המעצר והתקופה הממושכת בה שהה בתנאים מגבילים היוו גורם הרתעה, הומלץ שלא למצות את הדין עמו ולהימנע מעונש מאסר בפועל ולהסתפק במאסר שירוצה בעבודות שירות, לצד ענישה צופה פני עתיד.</w:t>
      </w:r>
    </w:p>
    <w:p w14:paraId="1BA29627" w14:textId="77777777" w:rsidR="006828A4" w:rsidRDefault="006828A4" w:rsidP="006828A4">
      <w:pPr>
        <w:spacing w:line="360" w:lineRule="auto"/>
        <w:jc w:val="both"/>
        <w:rPr>
          <w:rtl/>
        </w:rPr>
      </w:pPr>
    </w:p>
    <w:p w14:paraId="476708F8" w14:textId="77777777" w:rsidR="006828A4" w:rsidRDefault="006828A4" w:rsidP="006828A4">
      <w:pPr>
        <w:spacing w:line="360" w:lineRule="auto"/>
        <w:jc w:val="both"/>
        <w:rPr>
          <w:b/>
          <w:bCs/>
          <w:u w:val="single"/>
          <w:rtl/>
        </w:rPr>
      </w:pPr>
      <w:r w:rsidRPr="000D4555">
        <w:rPr>
          <w:rFonts w:hint="cs"/>
          <w:b/>
          <w:bCs/>
          <w:u w:val="single"/>
          <w:rtl/>
        </w:rPr>
        <w:t>דיון והכרעה</w:t>
      </w:r>
    </w:p>
    <w:p w14:paraId="56CFF1C7" w14:textId="77777777" w:rsidR="006828A4" w:rsidRDefault="006828A4" w:rsidP="006828A4">
      <w:pPr>
        <w:spacing w:line="360" w:lineRule="auto"/>
        <w:jc w:val="both"/>
        <w:rPr>
          <w:b/>
          <w:bCs/>
          <w:u w:val="single"/>
          <w:rtl/>
        </w:rPr>
      </w:pPr>
    </w:p>
    <w:p w14:paraId="027B376A" w14:textId="77777777" w:rsidR="006828A4" w:rsidRDefault="006828A4" w:rsidP="006828A4">
      <w:pPr>
        <w:spacing w:line="360" w:lineRule="auto"/>
        <w:ind w:left="720" w:hanging="720"/>
        <w:jc w:val="both"/>
        <w:rPr>
          <w:rtl/>
        </w:rPr>
      </w:pPr>
      <w:r>
        <w:rPr>
          <w:rFonts w:hint="cs"/>
          <w:rtl/>
        </w:rPr>
        <w:t>7.</w:t>
      </w:r>
      <w:r>
        <w:rPr>
          <w:rFonts w:hint="cs"/>
          <w:rtl/>
        </w:rPr>
        <w:tab/>
        <w:t xml:space="preserve">הערכים המוגנים שנפגעו בעבירת הנשק היו שמירה על שלום הציבור והסדר הציבורי. אין צורך להכביר מילים בחומרתן של עבירות הנשק אשר טומנות פוטנציאל הרסני ליחיד ולחברה. מידת הפגיעה בערכים הייתה ברמה בינונית- נמוכה, כאשר לא נעשה כל שימוש באקדח ועל פי הידוע הוא לא הוחזק על מנת שיעשה בו שימוש. </w:t>
      </w:r>
    </w:p>
    <w:p w14:paraId="4C0981FF" w14:textId="77777777" w:rsidR="006828A4" w:rsidRDefault="006828A4" w:rsidP="006828A4">
      <w:pPr>
        <w:spacing w:line="360" w:lineRule="auto"/>
        <w:ind w:left="720" w:hanging="720"/>
        <w:jc w:val="both"/>
        <w:rPr>
          <w:rtl/>
        </w:rPr>
      </w:pPr>
    </w:p>
    <w:p w14:paraId="23CCFF17" w14:textId="77777777" w:rsidR="006828A4" w:rsidRDefault="006828A4" w:rsidP="006828A4">
      <w:pPr>
        <w:spacing w:line="360" w:lineRule="auto"/>
        <w:ind w:left="720" w:hanging="720"/>
        <w:jc w:val="both"/>
        <w:rPr>
          <w:rtl/>
        </w:rPr>
      </w:pPr>
      <w:r>
        <w:rPr>
          <w:rtl/>
        </w:rPr>
        <w:tab/>
      </w:r>
      <w:r>
        <w:rPr>
          <w:rFonts w:hint="cs"/>
          <w:rtl/>
        </w:rPr>
        <w:t xml:space="preserve">במקרה זה הנאשם 1 היה צריך לדעת את הפסול במעשיו ולהימנע מהם. הוא נמצא אחראי בלעדי להחזקה. לא נמצא שיש רכיב של תכנון בביצוע העבירה מעבר לרכישת האקדח עם המחסנית והתחמושת. פוטנציאל הנזק צוין לעיל.  </w:t>
      </w:r>
    </w:p>
    <w:p w14:paraId="0A62CB9B" w14:textId="77777777" w:rsidR="006828A4" w:rsidRDefault="006828A4" w:rsidP="006828A4">
      <w:pPr>
        <w:spacing w:line="360" w:lineRule="auto"/>
        <w:ind w:left="720" w:hanging="720"/>
        <w:jc w:val="both"/>
        <w:rPr>
          <w:rtl/>
        </w:rPr>
      </w:pPr>
    </w:p>
    <w:p w14:paraId="0B29C045" w14:textId="77777777" w:rsidR="006828A4" w:rsidRDefault="006828A4" w:rsidP="006828A4">
      <w:pPr>
        <w:spacing w:line="360" w:lineRule="auto"/>
        <w:ind w:left="720" w:hanging="720"/>
        <w:jc w:val="both"/>
        <w:rPr>
          <w:rtl/>
        </w:rPr>
      </w:pPr>
      <w:r>
        <w:rPr>
          <w:rtl/>
        </w:rPr>
        <w:tab/>
      </w:r>
      <w:r>
        <w:rPr>
          <w:rFonts w:hint="cs"/>
          <w:rtl/>
        </w:rPr>
        <w:t xml:space="preserve">מדיניות הענישה בפסיקה צוינה לעיל על ידי שני הצדדים, כאשר במקרה זה המקרה קרוב יותר למקרים שהובאו ע"י הסנגור. מכל האמור הנני קובע מתחם עונש שנע בין 6-30 חודשי מאסר בפועל. </w:t>
      </w:r>
    </w:p>
    <w:p w14:paraId="5BC1CB11" w14:textId="77777777" w:rsidR="006828A4" w:rsidRDefault="006828A4" w:rsidP="006828A4">
      <w:pPr>
        <w:spacing w:line="360" w:lineRule="auto"/>
        <w:ind w:left="720" w:hanging="720"/>
        <w:jc w:val="both"/>
        <w:rPr>
          <w:rtl/>
        </w:rPr>
      </w:pPr>
    </w:p>
    <w:p w14:paraId="34982744" w14:textId="77777777" w:rsidR="006828A4" w:rsidRDefault="006828A4" w:rsidP="006828A4">
      <w:pPr>
        <w:spacing w:line="360" w:lineRule="auto"/>
        <w:ind w:left="720" w:hanging="720"/>
        <w:jc w:val="both"/>
        <w:rPr>
          <w:rtl/>
        </w:rPr>
      </w:pPr>
      <w:r>
        <w:rPr>
          <w:rtl/>
        </w:rPr>
        <w:tab/>
      </w:r>
      <w:r>
        <w:rPr>
          <w:rFonts w:hint="cs"/>
          <w:rtl/>
        </w:rPr>
        <w:t xml:space="preserve">בעניינו של הנאשם 1 יש לציין את חייו הנורמטיביים עד להסתבכות בעבירה וההערכה שהוא נמצא עדיין בשלבי גיבוש אישיותו. לאחר שעיינתי בתסקיר אני מסכים עם עמדת שירות המבחן שעל אף אי התאמתו של הנאשם לתהליך שיקומי פורמלי, לא יהיה זה נכון להטיל עליו מאסר בפועל מאחורי סורג ובריח ומוטב להסתפק בענישה מתונה יותר כאשר נראה כי הורתע על ידי תקופת המעצר ותגובות סביבתו. יוזכר שהנאשם לא הביע התנגדות להשתתף בהליך טיפולי, אך מפאת אישיותו וחוסר בגרותו נמצא לא מתאים בשלב זה. אין בכך לדעתי כדי להצביע על מסוכנות מוגברת. </w:t>
      </w:r>
    </w:p>
    <w:p w14:paraId="4C27183F" w14:textId="77777777" w:rsidR="006828A4" w:rsidRDefault="006828A4" w:rsidP="006828A4">
      <w:pPr>
        <w:spacing w:line="360" w:lineRule="auto"/>
        <w:ind w:left="720" w:hanging="720"/>
        <w:jc w:val="both"/>
        <w:rPr>
          <w:rtl/>
        </w:rPr>
      </w:pPr>
    </w:p>
    <w:p w14:paraId="12D9F9BD" w14:textId="77777777" w:rsidR="006828A4" w:rsidRDefault="006828A4" w:rsidP="006828A4">
      <w:pPr>
        <w:spacing w:line="360" w:lineRule="auto"/>
        <w:ind w:left="720" w:hanging="720"/>
        <w:jc w:val="both"/>
        <w:rPr>
          <w:rtl/>
        </w:rPr>
      </w:pPr>
      <w:r>
        <w:rPr>
          <w:rtl/>
        </w:rPr>
        <w:tab/>
      </w:r>
      <w:r>
        <w:rPr>
          <w:rFonts w:hint="cs"/>
          <w:rtl/>
        </w:rPr>
        <w:t xml:space="preserve">הערכים המוגנים שנפגעו בעבירה שבוצעה ע"י הנאשם 2 היו שמירה על שלטון החוק וכיבוד החוק ואוכפיו. הפגיעה הייתה ברמה בינונית- נמוכה כאשר לא הופעלה אלימות ממושכת או קיצונית על ידו. </w:t>
      </w:r>
    </w:p>
    <w:p w14:paraId="4F4E7AC3" w14:textId="77777777" w:rsidR="006828A4" w:rsidRDefault="006828A4" w:rsidP="006828A4">
      <w:pPr>
        <w:spacing w:line="360" w:lineRule="auto"/>
        <w:ind w:left="720" w:hanging="720"/>
        <w:jc w:val="both"/>
        <w:rPr>
          <w:rtl/>
        </w:rPr>
      </w:pPr>
    </w:p>
    <w:p w14:paraId="10C86009" w14:textId="77777777" w:rsidR="006828A4" w:rsidRDefault="006828A4" w:rsidP="006828A4">
      <w:pPr>
        <w:spacing w:line="360" w:lineRule="auto"/>
        <w:ind w:left="720" w:hanging="720"/>
        <w:jc w:val="both"/>
        <w:rPr>
          <w:rtl/>
        </w:rPr>
      </w:pPr>
      <w:r>
        <w:rPr>
          <w:rtl/>
        </w:rPr>
        <w:tab/>
      </w:r>
      <w:r>
        <w:rPr>
          <w:rFonts w:hint="cs"/>
          <w:rtl/>
        </w:rPr>
        <w:t xml:space="preserve">לא נראה שהתקיים תכנון מוקדם, ויחד עם זאת הנאשם 2 נושא באחריות בלעדית למעשיו. בעניינו מתחם הענישה ההולם נמצא בין 3 חודשי מאסר על תנאי ועד ל-9 חודשי מאסר בפועל. </w:t>
      </w:r>
    </w:p>
    <w:p w14:paraId="721900E6" w14:textId="77777777" w:rsidR="006828A4" w:rsidRDefault="006828A4" w:rsidP="006828A4">
      <w:pPr>
        <w:spacing w:line="360" w:lineRule="auto"/>
        <w:ind w:left="720" w:hanging="720"/>
        <w:jc w:val="both"/>
        <w:rPr>
          <w:rtl/>
        </w:rPr>
      </w:pPr>
    </w:p>
    <w:p w14:paraId="44446A45" w14:textId="77777777" w:rsidR="006828A4" w:rsidRDefault="006828A4" w:rsidP="006828A4">
      <w:pPr>
        <w:spacing w:line="360" w:lineRule="auto"/>
        <w:ind w:left="720" w:hanging="720"/>
        <w:jc w:val="both"/>
        <w:rPr>
          <w:rtl/>
        </w:rPr>
      </w:pPr>
      <w:r>
        <w:rPr>
          <w:rtl/>
        </w:rPr>
        <w:tab/>
      </w:r>
      <w:r>
        <w:rPr>
          <w:rFonts w:hint="cs"/>
          <w:rtl/>
        </w:rPr>
        <w:t>גם הנאשם 2 חסר עבר פלילי.</w:t>
      </w:r>
      <w:r>
        <w:rPr>
          <w:rtl/>
        </w:rPr>
        <w:tab/>
      </w:r>
    </w:p>
    <w:p w14:paraId="0FADB681" w14:textId="77777777" w:rsidR="006828A4" w:rsidRDefault="006828A4" w:rsidP="006828A4">
      <w:pPr>
        <w:spacing w:line="360" w:lineRule="auto"/>
        <w:ind w:left="720" w:hanging="720"/>
        <w:jc w:val="both"/>
        <w:rPr>
          <w:rtl/>
        </w:rPr>
      </w:pPr>
      <w:r>
        <w:rPr>
          <w:rtl/>
        </w:rPr>
        <w:tab/>
      </w:r>
    </w:p>
    <w:p w14:paraId="163F39C0" w14:textId="77777777" w:rsidR="006828A4" w:rsidRDefault="006828A4" w:rsidP="006828A4">
      <w:pPr>
        <w:spacing w:line="360" w:lineRule="auto"/>
        <w:ind w:left="720"/>
        <w:jc w:val="both"/>
        <w:rPr>
          <w:rtl/>
        </w:rPr>
      </w:pPr>
      <w:r>
        <w:rPr>
          <w:rFonts w:hint="cs"/>
          <w:rtl/>
        </w:rPr>
        <w:t xml:space="preserve">הודאתם המוקדמת של שני הנאשמים חסכה זמן למערכת המשפט ויש להחשיב זאת לטובתם. כמו כן כל אחד מהם הביע חרטה וצער על מעשיו. </w:t>
      </w:r>
    </w:p>
    <w:p w14:paraId="129727C9" w14:textId="77777777" w:rsidR="006828A4" w:rsidRDefault="006828A4" w:rsidP="006828A4">
      <w:pPr>
        <w:spacing w:line="360" w:lineRule="auto"/>
        <w:ind w:left="720" w:hanging="720"/>
        <w:jc w:val="both"/>
        <w:rPr>
          <w:rtl/>
        </w:rPr>
      </w:pPr>
    </w:p>
    <w:p w14:paraId="4BDE03DD" w14:textId="77777777" w:rsidR="006828A4" w:rsidRDefault="006828A4" w:rsidP="006828A4">
      <w:pPr>
        <w:spacing w:line="360" w:lineRule="auto"/>
        <w:ind w:left="720" w:hanging="720"/>
        <w:jc w:val="both"/>
        <w:rPr>
          <w:rtl/>
        </w:rPr>
      </w:pPr>
    </w:p>
    <w:p w14:paraId="1F4717D1" w14:textId="77777777" w:rsidR="006828A4" w:rsidRDefault="006828A4" w:rsidP="006828A4">
      <w:pPr>
        <w:spacing w:line="360" w:lineRule="auto"/>
        <w:ind w:left="720" w:hanging="720"/>
        <w:jc w:val="both"/>
        <w:rPr>
          <w:rtl/>
        </w:rPr>
      </w:pPr>
    </w:p>
    <w:p w14:paraId="0569814D" w14:textId="77777777" w:rsidR="006828A4" w:rsidRDefault="006828A4" w:rsidP="006828A4">
      <w:pPr>
        <w:spacing w:line="360" w:lineRule="auto"/>
        <w:ind w:left="720" w:hanging="720"/>
        <w:jc w:val="both"/>
        <w:rPr>
          <w:rtl/>
        </w:rPr>
      </w:pPr>
    </w:p>
    <w:p w14:paraId="3B920851" w14:textId="77777777" w:rsidR="006828A4" w:rsidRDefault="006828A4" w:rsidP="006828A4">
      <w:pPr>
        <w:spacing w:line="360" w:lineRule="auto"/>
        <w:ind w:left="720" w:hanging="720"/>
        <w:jc w:val="both"/>
        <w:rPr>
          <w:rtl/>
        </w:rPr>
      </w:pPr>
    </w:p>
    <w:p w14:paraId="6C55DEBE" w14:textId="77777777" w:rsidR="006828A4" w:rsidRDefault="006828A4" w:rsidP="006828A4">
      <w:pPr>
        <w:spacing w:line="360" w:lineRule="auto"/>
        <w:ind w:left="720" w:hanging="720"/>
        <w:jc w:val="both"/>
        <w:rPr>
          <w:rtl/>
        </w:rPr>
      </w:pPr>
    </w:p>
    <w:p w14:paraId="354F1EA1" w14:textId="77777777" w:rsidR="006828A4" w:rsidRPr="00ED007C" w:rsidRDefault="006828A4" w:rsidP="006828A4">
      <w:pPr>
        <w:spacing w:line="360" w:lineRule="auto"/>
        <w:ind w:left="720"/>
        <w:jc w:val="both"/>
        <w:rPr>
          <w:b/>
          <w:bCs/>
          <w:u w:val="single"/>
          <w:rtl/>
        </w:rPr>
      </w:pPr>
      <w:r w:rsidRPr="00ED007C">
        <w:rPr>
          <w:rFonts w:hint="cs"/>
          <w:b/>
          <w:bCs/>
          <w:u w:val="single"/>
          <w:rtl/>
        </w:rPr>
        <w:t>מכל האמור הגעתי למסקנה שיש להשית על הנאשמים את העונשים כדלקמן:</w:t>
      </w:r>
    </w:p>
    <w:p w14:paraId="3756C6DA" w14:textId="77777777" w:rsidR="006828A4" w:rsidRDefault="006828A4" w:rsidP="006828A4">
      <w:pPr>
        <w:spacing w:line="360" w:lineRule="auto"/>
        <w:ind w:left="720" w:hanging="720"/>
        <w:jc w:val="both"/>
        <w:rPr>
          <w:rtl/>
        </w:rPr>
      </w:pPr>
    </w:p>
    <w:p w14:paraId="17177429" w14:textId="77777777" w:rsidR="006828A4" w:rsidRDefault="006828A4" w:rsidP="006828A4">
      <w:pPr>
        <w:spacing w:line="360" w:lineRule="auto"/>
        <w:ind w:left="720"/>
        <w:jc w:val="both"/>
        <w:rPr>
          <w:b/>
          <w:bCs/>
          <w:u w:val="single"/>
          <w:rtl/>
        </w:rPr>
      </w:pPr>
      <w:r w:rsidRPr="00ED007C">
        <w:rPr>
          <w:rFonts w:hint="cs"/>
          <w:b/>
          <w:bCs/>
          <w:u w:val="single"/>
          <w:rtl/>
        </w:rPr>
        <w:t xml:space="preserve">על הנאשם </w:t>
      </w:r>
      <w:r>
        <w:rPr>
          <w:rFonts w:hint="cs"/>
          <w:b/>
          <w:bCs/>
          <w:u w:val="single"/>
          <w:rtl/>
        </w:rPr>
        <w:t>1:</w:t>
      </w:r>
    </w:p>
    <w:p w14:paraId="79D01000" w14:textId="77777777" w:rsidR="006828A4" w:rsidRPr="00ED007C" w:rsidRDefault="006828A4" w:rsidP="006828A4">
      <w:pPr>
        <w:spacing w:line="360" w:lineRule="auto"/>
        <w:ind w:left="720"/>
        <w:jc w:val="both"/>
        <w:rPr>
          <w:b/>
          <w:bCs/>
          <w:u w:val="single"/>
          <w:rtl/>
        </w:rPr>
      </w:pPr>
    </w:p>
    <w:p w14:paraId="3E02B84D" w14:textId="77777777" w:rsidR="006828A4" w:rsidRDefault="006828A4" w:rsidP="006828A4">
      <w:pPr>
        <w:spacing w:line="360" w:lineRule="auto"/>
        <w:ind w:left="1440" w:hanging="720"/>
        <w:jc w:val="both"/>
        <w:rPr>
          <w:rtl/>
        </w:rPr>
      </w:pPr>
      <w:r w:rsidRPr="00ED007C">
        <w:rPr>
          <w:rFonts w:hint="cs"/>
          <w:b/>
          <w:bCs/>
          <w:u w:val="single"/>
          <w:rtl/>
        </w:rPr>
        <w:t>א.</w:t>
      </w:r>
      <w:r>
        <w:rPr>
          <w:rFonts w:hint="cs"/>
          <w:rtl/>
        </w:rPr>
        <w:t xml:space="preserve"> </w:t>
      </w:r>
      <w:r>
        <w:rPr>
          <w:rtl/>
        </w:rPr>
        <w:tab/>
      </w:r>
      <w:r>
        <w:rPr>
          <w:rFonts w:hint="cs"/>
          <w:rtl/>
        </w:rPr>
        <w:t xml:space="preserve">6 חודשי מאסר בפועל לריצוי בעבודות שירות, בהתאם להמלצת שירות המבחן מיום 15.4.19. </w:t>
      </w:r>
    </w:p>
    <w:p w14:paraId="096535D2" w14:textId="77777777" w:rsidR="006828A4" w:rsidRDefault="006828A4" w:rsidP="006828A4">
      <w:pPr>
        <w:spacing w:line="360" w:lineRule="auto"/>
        <w:ind w:left="1440" w:hanging="720"/>
        <w:jc w:val="both"/>
        <w:rPr>
          <w:rtl/>
        </w:rPr>
      </w:pPr>
    </w:p>
    <w:p w14:paraId="0ACE7695" w14:textId="77777777" w:rsidR="006828A4" w:rsidRDefault="006828A4" w:rsidP="006828A4">
      <w:pPr>
        <w:spacing w:line="360" w:lineRule="auto"/>
        <w:ind w:left="1440" w:hanging="720"/>
        <w:jc w:val="both"/>
        <w:rPr>
          <w:rtl/>
        </w:rPr>
      </w:pPr>
      <w:r w:rsidRPr="00ED007C">
        <w:rPr>
          <w:rFonts w:hint="cs"/>
          <w:b/>
          <w:bCs/>
          <w:u w:val="single"/>
          <w:rtl/>
        </w:rPr>
        <w:t>ב.</w:t>
      </w:r>
      <w:r>
        <w:rPr>
          <w:rFonts w:hint="cs"/>
          <w:rtl/>
        </w:rPr>
        <w:tab/>
        <w:t>מאסר על תנאי לתקופה של 6 חודשים למשך 3 שנים כאשר התנאי יופעל במידה והנאשם יעבור עבירות נשק או אלימות מסוג פשע.</w:t>
      </w:r>
    </w:p>
    <w:p w14:paraId="2DA7FBEF" w14:textId="77777777" w:rsidR="006828A4" w:rsidRDefault="006828A4" w:rsidP="006828A4">
      <w:pPr>
        <w:spacing w:line="360" w:lineRule="auto"/>
        <w:ind w:left="1440"/>
        <w:jc w:val="both"/>
        <w:rPr>
          <w:rtl/>
        </w:rPr>
      </w:pPr>
    </w:p>
    <w:p w14:paraId="2078D672" w14:textId="77777777" w:rsidR="006828A4" w:rsidRDefault="006828A4" w:rsidP="006828A4">
      <w:pPr>
        <w:spacing w:line="360" w:lineRule="auto"/>
        <w:ind w:left="720"/>
        <w:jc w:val="both"/>
        <w:rPr>
          <w:rtl/>
        </w:rPr>
      </w:pPr>
      <w:r w:rsidRPr="00ED007C">
        <w:rPr>
          <w:rFonts w:hint="cs"/>
          <w:b/>
          <w:bCs/>
          <w:u w:val="single"/>
          <w:rtl/>
        </w:rPr>
        <w:t>ג.</w:t>
      </w:r>
      <w:r>
        <w:rPr>
          <w:rtl/>
        </w:rPr>
        <w:tab/>
      </w:r>
      <w:r>
        <w:rPr>
          <w:rFonts w:hint="cs"/>
          <w:rtl/>
        </w:rPr>
        <w:t>קנס בסך 2500 ₪ לתשלום עד ליום 30.6.19.</w:t>
      </w:r>
    </w:p>
    <w:p w14:paraId="56C785FD" w14:textId="77777777" w:rsidR="006828A4" w:rsidRDefault="006828A4" w:rsidP="006828A4">
      <w:pPr>
        <w:spacing w:line="360" w:lineRule="auto"/>
        <w:ind w:left="720" w:hanging="720"/>
        <w:jc w:val="both"/>
        <w:rPr>
          <w:rtl/>
        </w:rPr>
      </w:pPr>
    </w:p>
    <w:p w14:paraId="3F6C2C0D" w14:textId="77777777" w:rsidR="006828A4" w:rsidRPr="00ED007C" w:rsidRDefault="006828A4" w:rsidP="006828A4">
      <w:pPr>
        <w:spacing w:line="360" w:lineRule="auto"/>
        <w:ind w:left="720"/>
        <w:jc w:val="both"/>
        <w:rPr>
          <w:b/>
          <w:bCs/>
          <w:u w:val="single"/>
          <w:rtl/>
        </w:rPr>
      </w:pPr>
      <w:r w:rsidRPr="00ED007C">
        <w:rPr>
          <w:rFonts w:hint="cs"/>
          <w:b/>
          <w:bCs/>
          <w:u w:val="single"/>
          <w:rtl/>
        </w:rPr>
        <w:t xml:space="preserve">על </w:t>
      </w:r>
      <w:r>
        <w:rPr>
          <w:rFonts w:hint="cs"/>
          <w:b/>
          <w:bCs/>
          <w:u w:val="single"/>
          <w:rtl/>
        </w:rPr>
        <w:t>הנאשם 2:</w:t>
      </w:r>
    </w:p>
    <w:p w14:paraId="33E2D334" w14:textId="77777777" w:rsidR="006828A4" w:rsidRDefault="006828A4" w:rsidP="006828A4">
      <w:pPr>
        <w:spacing w:line="360" w:lineRule="auto"/>
        <w:ind w:left="720"/>
        <w:jc w:val="both"/>
        <w:rPr>
          <w:rtl/>
        </w:rPr>
      </w:pPr>
    </w:p>
    <w:p w14:paraId="1FCD3B9F" w14:textId="77777777" w:rsidR="006828A4" w:rsidRDefault="006828A4" w:rsidP="006828A4">
      <w:pPr>
        <w:spacing w:line="360" w:lineRule="auto"/>
        <w:ind w:left="1440" w:hanging="720"/>
        <w:jc w:val="both"/>
        <w:rPr>
          <w:rtl/>
        </w:rPr>
      </w:pPr>
      <w:r w:rsidRPr="00ED007C">
        <w:rPr>
          <w:rFonts w:hint="cs"/>
          <w:b/>
          <w:bCs/>
          <w:u w:val="single"/>
          <w:rtl/>
        </w:rPr>
        <w:t>א.</w:t>
      </w:r>
      <w:r>
        <w:rPr>
          <w:rFonts w:hint="cs"/>
          <w:rtl/>
        </w:rPr>
        <w:tab/>
        <w:t xml:space="preserve">מאסר על תנאי לתקופה של 5 חודשים למשך 3 שנים, כאשר התנאי יופעל במידה והנאשם יעבור עבירה בניגוד לסימן ג' סעיפים </w:t>
      </w:r>
      <w:hyperlink r:id="rId23" w:history="1">
        <w:r w:rsidR="002B5130" w:rsidRPr="002B5130">
          <w:rPr>
            <w:color w:val="0000FF"/>
            <w:u w:val="single"/>
            <w:rtl/>
          </w:rPr>
          <w:t>273-א275</w:t>
        </w:r>
      </w:hyperlink>
      <w:r>
        <w:rPr>
          <w:rFonts w:hint="cs"/>
          <w:rtl/>
        </w:rPr>
        <w:t xml:space="preserve"> ל</w:t>
      </w:r>
      <w:hyperlink r:id="rId24" w:history="1">
        <w:r w:rsidR="00FE5FDD" w:rsidRPr="00FE5FDD">
          <w:rPr>
            <w:color w:val="0000FF"/>
            <w:u w:val="single"/>
            <w:rtl/>
          </w:rPr>
          <w:t>חוק העונשין</w:t>
        </w:r>
      </w:hyperlink>
      <w:r>
        <w:rPr>
          <w:rFonts w:hint="cs"/>
          <w:rtl/>
        </w:rPr>
        <w:t xml:space="preserve">. </w:t>
      </w:r>
    </w:p>
    <w:p w14:paraId="1F75126A" w14:textId="77777777" w:rsidR="006828A4" w:rsidRDefault="006828A4" w:rsidP="006828A4">
      <w:pPr>
        <w:spacing w:line="360" w:lineRule="auto"/>
        <w:ind w:left="720"/>
        <w:jc w:val="both"/>
        <w:rPr>
          <w:rtl/>
        </w:rPr>
      </w:pPr>
    </w:p>
    <w:p w14:paraId="69502334" w14:textId="77777777" w:rsidR="006828A4" w:rsidRDefault="006828A4" w:rsidP="006828A4">
      <w:pPr>
        <w:spacing w:line="360" w:lineRule="auto"/>
        <w:ind w:left="720"/>
        <w:jc w:val="both"/>
        <w:rPr>
          <w:rtl/>
        </w:rPr>
      </w:pPr>
      <w:r w:rsidRPr="00ED007C">
        <w:rPr>
          <w:rFonts w:hint="cs"/>
          <w:b/>
          <w:bCs/>
          <w:u w:val="single"/>
          <w:rtl/>
        </w:rPr>
        <w:t>ב.</w:t>
      </w:r>
      <w:r>
        <w:rPr>
          <w:rFonts w:hint="cs"/>
          <w:rtl/>
        </w:rPr>
        <w:tab/>
        <w:t xml:space="preserve">קנס בסך 1000 ₪ לתשלום עד ליום 30.6.19. </w:t>
      </w:r>
    </w:p>
    <w:p w14:paraId="426372A8" w14:textId="77777777" w:rsidR="006828A4" w:rsidRPr="000D4555" w:rsidRDefault="006828A4" w:rsidP="006828A4">
      <w:pPr>
        <w:spacing w:line="360" w:lineRule="auto"/>
        <w:ind w:left="720" w:hanging="720"/>
        <w:jc w:val="both"/>
        <w:rPr>
          <w:rtl/>
        </w:rPr>
      </w:pPr>
      <w:r>
        <w:rPr>
          <w:rtl/>
        </w:rPr>
        <w:tab/>
      </w:r>
    </w:p>
    <w:p w14:paraId="7C327F07" w14:textId="77777777" w:rsidR="006828A4" w:rsidRPr="00433BCC" w:rsidRDefault="006828A4" w:rsidP="006828A4">
      <w:pPr>
        <w:spacing w:line="360" w:lineRule="auto"/>
        <w:ind w:left="720" w:hanging="720"/>
        <w:jc w:val="both"/>
        <w:rPr>
          <w:b/>
          <w:bCs/>
          <w:u w:val="single"/>
          <w:rtl/>
        </w:rPr>
      </w:pPr>
      <w:r w:rsidRPr="00433BCC">
        <w:rPr>
          <w:rFonts w:hint="cs"/>
          <w:b/>
          <w:bCs/>
          <w:u w:val="single"/>
          <w:rtl/>
        </w:rPr>
        <w:t>הנני מורה על חילוט הנשק ואביזריו.</w:t>
      </w:r>
    </w:p>
    <w:p w14:paraId="3840343E" w14:textId="77777777" w:rsidR="006828A4" w:rsidRPr="00433BCC" w:rsidRDefault="006828A4" w:rsidP="006828A4">
      <w:pPr>
        <w:spacing w:line="360" w:lineRule="auto"/>
        <w:ind w:left="720" w:hanging="720"/>
        <w:jc w:val="both"/>
        <w:rPr>
          <w:b/>
          <w:bCs/>
          <w:u w:val="single"/>
          <w:rtl/>
        </w:rPr>
      </w:pPr>
      <w:r w:rsidRPr="00433BCC">
        <w:rPr>
          <w:rFonts w:hint="cs"/>
          <w:b/>
          <w:bCs/>
          <w:u w:val="single"/>
          <w:rtl/>
        </w:rPr>
        <w:t>זכות ערעור בתוך 45 ימים.</w:t>
      </w:r>
    </w:p>
    <w:p w14:paraId="1220FC61" w14:textId="77777777" w:rsidR="006828A4" w:rsidRPr="00B05847" w:rsidRDefault="006828A4" w:rsidP="006828A4">
      <w:pPr>
        <w:spacing w:line="360" w:lineRule="auto"/>
        <w:ind w:left="720" w:hanging="720"/>
        <w:jc w:val="both"/>
        <w:rPr>
          <w:rtl/>
        </w:rPr>
      </w:pPr>
      <w:r>
        <w:rPr>
          <w:rtl/>
        </w:rPr>
        <w:tab/>
      </w:r>
    </w:p>
    <w:p w14:paraId="167EBE27" w14:textId="77777777" w:rsidR="006828A4" w:rsidRPr="00FE5FDD" w:rsidRDefault="00FE5FDD" w:rsidP="006828A4">
      <w:pPr>
        <w:rPr>
          <w:color w:val="FFFFFF"/>
          <w:sz w:val="2"/>
          <w:szCs w:val="2"/>
          <w:rtl/>
        </w:rPr>
      </w:pPr>
      <w:r w:rsidRPr="00FE5FDD">
        <w:rPr>
          <w:color w:val="FFFFFF"/>
          <w:sz w:val="2"/>
          <w:szCs w:val="2"/>
          <w:rtl/>
        </w:rPr>
        <w:t>5129371</w:t>
      </w:r>
    </w:p>
    <w:p w14:paraId="17519864" w14:textId="77777777" w:rsidR="006828A4" w:rsidRDefault="00FE5FDD" w:rsidP="006828A4">
      <w:pPr>
        <w:rPr>
          <w:rFonts w:cs="FrankRuehl"/>
          <w:sz w:val="28"/>
          <w:szCs w:val="28"/>
          <w:rtl/>
        </w:rPr>
      </w:pPr>
      <w:r w:rsidRPr="00FE5FDD">
        <w:rPr>
          <w:rFonts w:ascii="Arial" w:hAnsi="Arial"/>
          <w:color w:val="FFFFFF"/>
          <w:sz w:val="2"/>
          <w:szCs w:val="2"/>
          <w:rtl/>
        </w:rPr>
        <w:t>54678313</w:t>
      </w:r>
      <w:r>
        <w:rPr>
          <w:rFonts w:ascii="Arial" w:hAnsi="Arial"/>
          <w:rtl/>
        </w:rPr>
        <w:t xml:space="preserve">ניתן היום,  י"ג ניסן תשע"ט, 18 אפריל 2019, בהעדר הצדדים. </w:t>
      </w:r>
    </w:p>
    <w:p w14:paraId="304FECFA" w14:textId="77777777" w:rsidR="006828A4" w:rsidRDefault="006828A4" w:rsidP="006828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542F297" w14:textId="77777777" w:rsidR="006828A4" w:rsidRDefault="006828A4" w:rsidP="006828A4">
      <w:pPr>
        <w:jc w:val="center"/>
        <w:rPr>
          <w:rFonts w:ascii="Arial" w:hAnsi="Arial" w:cs="FrankRuehl"/>
          <w:sz w:val="28"/>
          <w:szCs w:val="28"/>
          <w:rtl/>
        </w:rPr>
      </w:pPr>
    </w:p>
    <w:p w14:paraId="74612E12" w14:textId="77777777" w:rsidR="006828A4" w:rsidRDefault="006828A4" w:rsidP="006828A4">
      <w:pPr>
        <w:rPr>
          <w:rFonts w:cs="FrankRuehl"/>
          <w:sz w:val="28"/>
          <w:szCs w:val="28"/>
          <w:rtl/>
        </w:rPr>
      </w:pPr>
    </w:p>
    <w:p w14:paraId="4F31509D" w14:textId="77777777" w:rsidR="006828A4" w:rsidRPr="005313E7" w:rsidRDefault="005313E7" w:rsidP="006828A4">
      <w:pPr>
        <w:pStyle w:val="a3"/>
        <w:jc w:val="center"/>
        <w:rPr>
          <w:color w:val="FFFFFF"/>
          <w:sz w:val="2"/>
          <w:szCs w:val="2"/>
          <w:rtl/>
        </w:rPr>
      </w:pPr>
      <w:r w:rsidRPr="005313E7">
        <w:rPr>
          <w:color w:val="FFFFFF"/>
          <w:sz w:val="2"/>
          <w:szCs w:val="2"/>
          <w:rtl/>
        </w:rPr>
        <w:t>5129371</w:t>
      </w:r>
    </w:p>
    <w:p w14:paraId="31EE7C6A" w14:textId="77777777" w:rsidR="00FE5FDD" w:rsidRDefault="00FE5FDD" w:rsidP="00FE5FDD">
      <w:r w:rsidRPr="00FE5FDD">
        <w:rPr>
          <w:color w:val="000000"/>
          <w:rtl/>
        </w:rPr>
        <w:t>נוסח מסמך זה כפוף לשינויי ניסוח ועריכה</w:t>
      </w:r>
    </w:p>
    <w:p w14:paraId="2527BF22" w14:textId="77777777" w:rsidR="00FE5FDD" w:rsidRDefault="00FE5FDD" w:rsidP="00FE5FDD">
      <w:pPr>
        <w:rPr>
          <w:rtl/>
        </w:rPr>
      </w:pPr>
    </w:p>
    <w:p w14:paraId="00DC3FEA" w14:textId="77777777" w:rsidR="00FE5FDD" w:rsidRDefault="00FE5FDD" w:rsidP="00FE5FDD">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C8CAF34" w14:textId="77777777" w:rsidR="005313E7" w:rsidRPr="005313E7" w:rsidRDefault="005313E7" w:rsidP="005313E7">
      <w:pPr>
        <w:keepNext/>
        <w:rPr>
          <w:rFonts w:ascii="David" w:hAnsi="David"/>
          <w:color w:val="000000"/>
          <w:sz w:val="22"/>
          <w:szCs w:val="22"/>
          <w:rtl/>
        </w:rPr>
      </w:pPr>
    </w:p>
    <w:p w14:paraId="5C2A2466" w14:textId="77777777" w:rsidR="005313E7" w:rsidRPr="005313E7" w:rsidRDefault="005313E7" w:rsidP="005313E7">
      <w:pPr>
        <w:keepNext/>
        <w:rPr>
          <w:rFonts w:ascii="David" w:hAnsi="David"/>
          <w:color w:val="000000"/>
          <w:sz w:val="22"/>
          <w:szCs w:val="22"/>
          <w:rtl/>
        </w:rPr>
      </w:pPr>
      <w:r w:rsidRPr="005313E7">
        <w:rPr>
          <w:rFonts w:ascii="David" w:hAnsi="David"/>
          <w:color w:val="000000"/>
          <w:sz w:val="22"/>
          <w:szCs w:val="22"/>
          <w:rtl/>
        </w:rPr>
        <w:t>דניאל פיש 54678313-/</w:t>
      </w:r>
    </w:p>
    <w:p w14:paraId="57C33F79" w14:textId="77777777" w:rsidR="00FE5FDD" w:rsidRPr="00FE5FDD" w:rsidRDefault="005313E7" w:rsidP="005313E7">
      <w:pPr>
        <w:rPr>
          <w:color w:val="0000FF"/>
          <w:u w:val="single"/>
        </w:rPr>
      </w:pPr>
      <w:r w:rsidRPr="005313E7">
        <w:rPr>
          <w:color w:val="000000"/>
          <w:u w:val="single"/>
          <w:rtl/>
        </w:rPr>
        <w:t>נוסח מסמך זה כפוף לשינויי ניסוח ועריכה</w:t>
      </w:r>
    </w:p>
    <w:sectPr w:rsidR="00FE5FDD" w:rsidRPr="00FE5FDD" w:rsidSect="005313E7">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950B" w14:textId="77777777" w:rsidR="0018001C" w:rsidRDefault="0018001C" w:rsidP="00156A0E">
      <w:r>
        <w:separator/>
      </w:r>
    </w:p>
  </w:endnote>
  <w:endnote w:type="continuationSeparator" w:id="0">
    <w:p w14:paraId="6F29B6BD" w14:textId="77777777" w:rsidR="0018001C" w:rsidRDefault="0018001C" w:rsidP="0015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46B9" w14:textId="77777777" w:rsidR="005313E7" w:rsidRDefault="005313E7" w:rsidP="005313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3C1641" w14:textId="77777777" w:rsidR="00991A81" w:rsidRPr="005313E7" w:rsidRDefault="005313E7" w:rsidP="005313E7">
    <w:pPr>
      <w:pStyle w:val="a5"/>
      <w:pBdr>
        <w:top w:val="single" w:sz="4" w:space="1" w:color="auto"/>
        <w:between w:val="single" w:sz="4" w:space="0" w:color="auto"/>
      </w:pBdr>
      <w:spacing w:after="60"/>
      <w:jc w:val="center"/>
      <w:rPr>
        <w:rFonts w:ascii="FrankRuehl" w:hAnsi="FrankRuehl" w:cs="FrankRuehl"/>
        <w:color w:val="000000"/>
      </w:rPr>
    </w:pPr>
    <w:r w:rsidRPr="005313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0A18" w14:textId="77777777" w:rsidR="005313E7" w:rsidRDefault="005313E7" w:rsidP="005313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5DF0">
      <w:rPr>
        <w:rFonts w:ascii="FrankRuehl" w:hAnsi="FrankRuehl" w:cs="FrankRuehl"/>
        <w:noProof/>
        <w:rtl/>
      </w:rPr>
      <w:t>1</w:t>
    </w:r>
    <w:r>
      <w:rPr>
        <w:rFonts w:ascii="FrankRuehl" w:hAnsi="FrankRuehl" w:cs="FrankRuehl"/>
        <w:rtl/>
      </w:rPr>
      <w:fldChar w:fldCharType="end"/>
    </w:r>
  </w:p>
  <w:p w14:paraId="73F81DFF" w14:textId="77777777" w:rsidR="00991A81" w:rsidRPr="005313E7" w:rsidRDefault="005313E7" w:rsidP="005313E7">
    <w:pPr>
      <w:pStyle w:val="a5"/>
      <w:pBdr>
        <w:top w:val="single" w:sz="4" w:space="1" w:color="auto"/>
        <w:between w:val="single" w:sz="4" w:space="0" w:color="auto"/>
      </w:pBdr>
      <w:spacing w:after="60"/>
      <w:jc w:val="center"/>
      <w:rPr>
        <w:rFonts w:ascii="FrankRuehl" w:hAnsi="FrankRuehl" w:cs="FrankRuehl"/>
        <w:color w:val="000000"/>
      </w:rPr>
    </w:pPr>
    <w:r w:rsidRPr="005313E7">
      <w:rPr>
        <w:rFonts w:ascii="FrankRuehl" w:hAnsi="FrankRuehl" w:cs="FrankRuehl"/>
        <w:color w:val="000000"/>
      </w:rPr>
      <w:pict w14:anchorId="7426D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A439" w14:textId="77777777" w:rsidR="0018001C" w:rsidRDefault="0018001C" w:rsidP="00156A0E">
      <w:r>
        <w:separator/>
      </w:r>
    </w:p>
  </w:footnote>
  <w:footnote w:type="continuationSeparator" w:id="0">
    <w:p w14:paraId="4E374E2C" w14:textId="77777777" w:rsidR="0018001C" w:rsidRDefault="0018001C" w:rsidP="00156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43B9" w14:textId="77777777" w:rsidR="00FE5FDD" w:rsidRPr="005313E7" w:rsidRDefault="005313E7" w:rsidP="005313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8310-10-18</w:t>
    </w:r>
    <w:r>
      <w:rPr>
        <w:rFonts w:ascii="David" w:hAnsi="David"/>
        <w:color w:val="000000"/>
        <w:sz w:val="22"/>
        <w:szCs w:val="22"/>
        <w:rtl/>
      </w:rPr>
      <w:tab/>
      <w:t xml:space="preserve"> מדינת ישראל נ' מחמוד נגנאגיה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09FE" w14:textId="77777777" w:rsidR="00FE5FDD" w:rsidRPr="005313E7" w:rsidRDefault="005313E7" w:rsidP="005313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8310-10-18</w:t>
    </w:r>
    <w:r>
      <w:rPr>
        <w:rFonts w:ascii="David" w:hAnsi="David"/>
        <w:color w:val="000000"/>
        <w:sz w:val="22"/>
        <w:szCs w:val="22"/>
        <w:rtl/>
      </w:rPr>
      <w:tab/>
      <w:t xml:space="preserve"> מדינת ישראל נ' מחמוד נגנאגיה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28A4"/>
    <w:rsid w:val="00156A0E"/>
    <w:rsid w:val="0018001C"/>
    <w:rsid w:val="00285DF0"/>
    <w:rsid w:val="002B5130"/>
    <w:rsid w:val="00381020"/>
    <w:rsid w:val="00486C2B"/>
    <w:rsid w:val="005313E7"/>
    <w:rsid w:val="00534955"/>
    <w:rsid w:val="006828A4"/>
    <w:rsid w:val="007C2EA9"/>
    <w:rsid w:val="008714CA"/>
    <w:rsid w:val="00934DDF"/>
    <w:rsid w:val="00991A81"/>
    <w:rsid w:val="00A64E76"/>
    <w:rsid w:val="00FE5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5B65D1"/>
  <w15:chartTrackingRefBased/>
  <w15:docId w15:val="{C5E3AEFC-A777-4C8B-B1F0-36EDBABB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28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28A4"/>
    <w:pPr>
      <w:tabs>
        <w:tab w:val="center" w:pos="4153"/>
        <w:tab w:val="right" w:pos="8306"/>
      </w:tabs>
    </w:pPr>
  </w:style>
  <w:style w:type="character" w:customStyle="1" w:styleId="a4">
    <w:name w:val="כותרת עליונה תו"/>
    <w:link w:val="a3"/>
    <w:rsid w:val="006828A4"/>
    <w:rPr>
      <w:rFonts w:ascii="Times New Roman" w:eastAsia="Times New Roman" w:hAnsi="Times New Roman" w:cs="David"/>
      <w:sz w:val="24"/>
      <w:szCs w:val="24"/>
    </w:rPr>
  </w:style>
  <w:style w:type="paragraph" w:styleId="a5">
    <w:name w:val="footer"/>
    <w:basedOn w:val="a"/>
    <w:link w:val="a6"/>
    <w:rsid w:val="006828A4"/>
    <w:pPr>
      <w:tabs>
        <w:tab w:val="center" w:pos="4153"/>
        <w:tab w:val="right" w:pos="8306"/>
      </w:tabs>
    </w:pPr>
  </w:style>
  <w:style w:type="character" w:customStyle="1" w:styleId="a6">
    <w:name w:val="כותרת תחתונה תו"/>
    <w:link w:val="a5"/>
    <w:rsid w:val="006828A4"/>
    <w:rPr>
      <w:rFonts w:ascii="Times New Roman" w:eastAsia="Times New Roman" w:hAnsi="Times New Roman" w:cs="David"/>
      <w:sz w:val="24"/>
      <w:szCs w:val="24"/>
    </w:rPr>
  </w:style>
  <w:style w:type="table" w:styleId="a7">
    <w:name w:val="Table Grid"/>
    <w:basedOn w:val="a1"/>
    <w:rsid w:val="006828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28A4"/>
  </w:style>
  <w:style w:type="character" w:customStyle="1" w:styleId="TimesNewRomanTimesNewRoman">
    <w:name w:val="סגנון (לטיני) Times New Roman (עברית ושפות אחרות) Times New Roman..."/>
    <w:rsid w:val="006828A4"/>
    <w:rPr>
      <w:rFonts w:ascii="Times New Roman" w:hAnsi="Times New Roman" w:cs="David" w:hint="default"/>
      <w:b/>
      <w:bCs/>
      <w:sz w:val="26"/>
      <w:szCs w:val="26"/>
    </w:rPr>
  </w:style>
  <w:style w:type="table" w:customStyle="1" w:styleId="1">
    <w:name w:val="רשת טבלה1"/>
    <w:basedOn w:val="a1"/>
    <w:next w:val="a7"/>
    <w:rsid w:val="006828A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E5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3"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95941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2506778"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724364"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6151556" TargetMode="External"/><Relationship Id="rId20" Type="http://schemas.openxmlformats.org/officeDocument/2006/relationships/hyperlink" Target="http://www.nevo.co.il/case/22701795"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a275"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652628" TargetMode="External"/><Relationship Id="rId23" Type="http://schemas.openxmlformats.org/officeDocument/2006/relationships/hyperlink" Target="http://www.nevo.co.il/law/70301/273;274;275;a275" TargetMode="External"/><Relationship Id="rId28"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case/22869398"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74"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22272975"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8844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6160387</vt:i4>
      </vt:variant>
      <vt:variant>
        <vt:i4>51</vt:i4>
      </vt:variant>
      <vt:variant>
        <vt:i4>0</vt:i4>
      </vt:variant>
      <vt:variant>
        <vt:i4>5</vt:i4>
      </vt:variant>
      <vt:variant>
        <vt:lpwstr>http://www.nevo.co.il/law/70301/273;274;275;a275</vt:lpwstr>
      </vt:variant>
      <vt:variant>
        <vt:lpwstr/>
      </vt:variant>
      <vt:variant>
        <vt:i4>3473528</vt:i4>
      </vt:variant>
      <vt:variant>
        <vt:i4>48</vt:i4>
      </vt:variant>
      <vt:variant>
        <vt:i4>0</vt:i4>
      </vt:variant>
      <vt:variant>
        <vt:i4>5</vt:i4>
      </vt:variant>
      <vt:variant>
        <vt:lpwstr>http://www.nevo.co.il/case/22272975</vt:lpwstr>
      </vt:variant>
      <vt:variant>
        <vt:lpwstr/>
      </vt:variant>
      <vt:variant>
        <vt:i4>3539057</vt:i4>
      </vt:variant>
      <vt:variant>
        <vt:i4>45</vt:i4>
      </vt:variant>
      <vt:variant>
        <vt:i4>0</vt:i4>
      </vt:variant>
      <vt:variant>
        <vt:i4>5</vt:i4>
      </vt:variant>
      <vt:variant>
        <vt:lpwstr>http://www.nevo.co.il/case/22506778</vt:lpwstr>
      </vt:variant>
      <vt:variant>
        <vt:lpwstr/>
      </vt:variant>
      <vt:variant>
        <vt:i4>3997809</vt:i4>
      </vt:variant>
      <vt:variant>
        <vt:i4>42</vt:i4>
      </vt:variant>
      <vt:variant>
        <vt:i4>0</vt:i4>
      </vt:variant>
      <vt:variant>
        <vt:i4>5</vt:i4>
      </vt:variant>
      <vt:variant>
        <vt:lpwstr>http://www.nevo.co.il/case/22701795</vt:lpwstr>
      </vt:variant>
      <vt:variant>
        <vt:lpwstr/>
      </vt:variant>
      <vt:variant>
        <vt:i4>3801203</vt:i4>
      </vt:variant>
      <vt:variant>
        <vt:i4>39</vt:i4>
      </vt:variant>
      <vt:variant>
        <vt:i4>0</vt:i4>
      </vt:variant>
      <vt:variant>
        <vt:i4>5</vt:i4>
      </vt:variant>
      <vt:variant>
        <vt:lpwstr>http://www.nevo.co.il/case/22869398</vt:lpwstr>
      </vt:variant>
      <vt:variant>
        <vt:lpwstr/>
      </vt:variant>
      <vt:variant>
        <vt:i4>3473525</vt:i4>
      </vt:variant>
      <vt:variant>
        <vt:i4>36</vt:i4>
      </vt:variant>
      <vt:variant>
        <vt:i4>0</vt:i4>
      </vt:variant>
      <vt:variant>
        <vt:i4>5</vt:i4>
      </vt:variant>
      <vt:variant>
        <vt:lpwstr>http://www.nevo.co.il/case/5959411</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3145841</vt:i4>
      </vt:variant>
      <vt:variant>
        <vt:i4>30</vt:i4>
      </vt:variant>
      <vt:variant>
        <vt:i4>0</vt:i4>
      </vt:variant>
      <vt:variant>
        <vt:i4>5</vt:i4>
      </vt:variant>
      <vt:variant>
        <vt:lpwstr>http://www.nevo.co.il/case/6151556</vt:lpwstr>
      </vt:variant>
      <vt:variant>
        <vt:lpwstr/>
      </vt:variant>
      <vt:variant>
        <vt:i4>393287</vt:i4>
      </vt:variant>
      <vt:variant>
        <vt:i4>27</vt:i4>
      </vt:variant>
      <vt:variant>
        <vt:i4>0</vt:i4>
      </vt:variant>
      <vt:variant>
        <vt:i4>5</vt:i4>
      </vt:variant>
      <vt:variant>
        <vt:lpwstr>http://www.nevo.co.il/case/652628</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5373955</vt:i4>
      </vt:variant>
      <vt:variant>
        <vt:i4>15</vt:i4>
      </vt:variant>
      <vt:variant>
        <vt:i4>0</vt:i4>
      </vt:variant>
      <vt:variant>
        <vt:i4>5</vt:i4>
      </vt:variant>
      <vt:variant>
        <vt:lpwstr>http://www.nevo.co.il/law/70301/a275</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6422631</vt:i4>
      </vt:variant>
      <vt:variant>
        <vt:i4>9</vt:i4>
      </vt:variant>
      <vt:variant>
        <vt:i4>0</vt:i4>
      </vt:variant>
      <vt:variant>
        <vt:i4>5</vt:i4>
      </vt:variant>
      <vt:variant>
        <vt:lpwstr>http://www.nevo.co.il/law/70301/274</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2023-12-07T12:13:00Z</dcterms:created>
  <dcterms:modified xsi:type="dcterms:W3CDTF">2023-12-07T12:13:00Z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8310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מחמוד נגנאגיה ;חוסין נגנאגיה </vt:lpwstr>
  </property>
  <property fmtid="{D5CDD505-2E9C-101B-9397-08002B2CF9AE}" pid="10" name="LAWYER">
    <vt:lpwstr>נג'וא סלימאן;עדאל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20190418</vt:lpwstr>
  </property>
  <property fmtid="{D5CDD505-2E9C-101B-9397-08002B2CF9AE}" pid="14" name="TYPE_N_DATE">
    <vt:lpwstr>39020190418</vt:lpwstr>
  </property>
  <property fmtid="{D5CDD505-2E9C-101B-9397-08002B2CF9AE}" pid="15" name="WORDNUMPAGES">
    <vt:lpwstr>6</vt:lpwstr>
  </property>
  <property fmtid="{D5CDD505-2E9C-101B-9397-08002B2CF9AE}" pid="16" name="TYPE_ABS_DATE">
    <vt:lpwstr>390020190418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652628;6151556;5724364;5959411;22869398;22701795;22506778;22272975</vt:lpwstr>
  </property>
  <property fmtid="{D5CDD505-2E9C-101B-9397-08002B2CF9AE}" pid="36" name="LAWLISTTMP1">
    <vt:lpwstr>70301/144.b;275:2;273;274;a275</vt:lpwstr>
  </property>
</Properties>
</file>