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/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2422/14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2" w:name="LastJudge"/>
            <w:bookmarkStart w:id="3" w:name="LastJudge"/>
            <w:bookmarkEnd w:id="3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17.2.2014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24215-06-13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0"/>
        <w:gridCol w:w="3217"/>
        <w:gridCol w:w="40"/>
        <w:gridCol w:w="2261"/>
        <w:gridCol w:w="2977"/>
      </w:tblGrid>
      <w:tr>
        <w:trPr/>
        <w:tc>
          <w:tcPr>
            <w:tcW w:w="3257" w:type="dxa"/>
            <w:gridSpan w:val="2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5" w:name="xDate"/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bookmarkEnd w:id="5"/>
            <w:r>
              <w:rPr>
                <w:rFonts w:cs="Times New Roman"/>
                <w:rtl w:val="true"/>
              </w:rPr>
              <w:t xml:space="preserve">      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15.12.2014</w:t>
            </w:r>
            <w:r>
              <w:rPr>
                <w:rtl w:val="true"/>
              </w:rPr>
              <w:t>)</w:t>
            </w:r>
          </w:p>
        </w:tc>
      </w:tr>
      <w:tr>
        <w:trPr/>
        <w:tc>
          <w:tcPr>
            <w:tcW w:w="40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  <w:rtl w:val="true"/>
              </w:rPr>
            </w:r>
          </w:p>
        </w:tc>
        <w:tc>
          <w:tcPr>
            <w:tcW w:w="3257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gridSpan w:val="2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דראושה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89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5"/>
        <w:gridCol w:w="5234"/>
      </w:tblGrid>
      <w:tr>
        <w:trPr/>
        <w:tc>
          <w:tcPr>
            <w:tcW w:w="325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6" w:name="FirstLawyer"/>
            <w:bookmarkEnd w:id="6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שוייצר</w:t>
            </w:r>
          </w:p>
        </w:tc>
      </w:tr>
    </w:tbl>
    <w:p>
      <w:pPr>
        <w:pStyle w:val="DocumentHead"/>
        <w:ind w:end="0"/>
        <w:jc w:val="center"/>
        <w:rPr>
          <w:bCs w:val="false"/>
          <w:u w:val="none"/>
        </w:rPr>
      </w:pPr>
      <w:r>
        <w:rPr>
          <w:bCs w:val="false"/>
          <w:u w:val="none"/>
          <w:rtl w:val="true"/>
        </w:rPr>
      </w:r>
      <w:bookmarkStart w:id="7" w:name="LawTable"/>
      <w:bookmarkStart w:id="8" w:name="secretary"/>
      <w:bookmarkStart w:id="9" w:name="BeginProtocol"/>
      <w:bookmarkStart w:id="10" w:name="LawTable"/>
      <w:bookmarkStart w:id="11" w:name="secretary"/>
      <w:bookmarkStart w:id="12" w:name="BeginProtocol"/>
      <w:bookmarkEnd w:id="10"/>
      <w:bookmarkEnd w:id="11"/>
      <w:bookmarkEnd w:id="12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3" w:name="ABSTRACT_START"/>
      <w:bookmarkEnd w:id="13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להחמיר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בענישתם של נאשמים שהורשעו בעבירות נשק בכלל ובעבירות סחר בנשק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לעניין זה אין נפקא מינה לכך שהקונה הינו סוכן משטרתי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המעורבים אינם מודעים לכך ומסוכנותם נותרת בעינה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מגמת ההחמרה בענישה של עברייני הנשק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להמשיך ולבצע בדיקה פרטנית של כל מקרה לגופו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וכאשר נדרש על פי הנסיבות אף להקל בעונשם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 לא נמצא מקום להתערב בעונש שנגזר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ערעור – 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נשק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אחדות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מחוזי במסגרתו הוטל על המערער עונש של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ועשרה חודשי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הרשעתו במסגרת הסדר טיעון בעבירה של סחר בנשק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Cs w:val="26"/>
          <w:rtl w:val="true"/>
        </w:rPr>
        <w:t>ובראן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כידוע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אינה מתערבת בחומרת העונש שנקבעה על ידי הערכאה הדיונית 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לאחר תיקון </w:t>
      </w:r>
      <w:r>
        <w:rPr>
          <w:rFonts w:cs="Times New Roman" w:ascii="Times New Roman" w:hAnsi="Times New Roman"/>
          <w:spacing w:val="0"/>
          <w:szCs w:val="26"/>
        </w:rPr>
        <w:t>113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המקרה דנא אינו נמנה על אותם 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 לא אחת על חומרתן המיוחדת של עבירות בנשק ועל הסכנות הצפויות מעבירות כאלה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גורמות לפעילות עבריינית אחרת ומאיימות על שלום הציבור כולו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אימץ עמדה עקרונית לפיה יש להחמיר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בענישתם של נאשמים שהורשעו בעבירות נשק בכלל ובעבירות סחר בנשק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לעניין זה אין נפקא מינה לכך שהקונה הינו סוכן משטרתי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כבענייננו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המעורבים אינם מודעים לכך ומסוכנותם נותרת בעינה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left" w:pos="800" w:leader="none"/>
          <w:tab w:val="left" w:pos="907" w:leader="none"/>
        </w:tabs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לטענת המערער בדבר הפער במתחמי הענישה בינו לבין נאשם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הרי שישנה הבחנה בין רף הענישה הנוהג לבין מתחם העונש ההולם במקרה הקונקרטי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המקרה דנא מדגים כי יש ונסיבות ביצוע אותה עבירה מייצרות רף חומרה שונה באופן המצדיק עמידה על צביון אינדיבידואלי בענישה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הוא זה שסיפק את הרובה ואף קיבל תמורה גבוהה יותר עבורו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בעוד שהנאשם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שימש אך כמתווך בעסקה ותמורתו הייתה נמוכה משמעותית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לקחת בחשבון את העובדה שבהסדר הטיעון של הנאשם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נכלל רכיב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בעוד שבהסדר הטיעון של המערער לא נעשה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אף מגמת ההחמרה בענישה של עברייני הנשק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להמשיך ולבצע בדיקה פרטנית של כל מקרה לגופו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וכאשר נדרש על פי הנסיבות אף להקל בעונשם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 נלקחו נסיבותיו האישיות של המערער בחשבון עת 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את המתחם ההולם עבורו וכן את עונשו ולא נמצא כי חל שינוי משמעותי בנסיבותיו המצדיק 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14" w:name="ABSTRACT_END"/>
      <w:bookmarkStart w:id="15" w:name="ABSTRACT_END"/>
      <w:bookmarkEnd w:id="15"/>
    </w:p>
    <w:p>
      <w:pPr>
        <w:pStyle w:val="BODYVERDICT"/>
        <w:ind w:end="0"/>
        <w:jc w:val="center"/>
        <w:rPr/>
      </w:pPr>
      <w:bookmarkStart w:id="16" w:name="PsakDin"/>
      <w:bookmarkStart w:id="17" w:name="LawTable_End"/>
      <w:bookmarkEnd w:id="16"/>
      <w:bookmarkEnd w:id="17"/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</w:p>
    <w:p>
      <w:pPr>
        <w:pStyle w:val="BODYVERDICT"/>
        <w:ind w:end="0"/>
        <w:jc w:val="center"/>
        <w:rPr/>
      </w:pPr>
      <w:r>
        <w:rPr>
          <w:rtl w:val="true"/>
        </w:rPr>
      </w:r>
      <w:bookmarkStart w:id="18" w:name="PsakDin"/>
      <w:bookmarkStart w:id="19" w:name="PsakDin"/>
      <w:bookmarkEnd w:id="19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20" w:name="Writer_Name"/>
      <w:bookmarkEnd w:id="20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21" w:name="Start_Write"/>
      <w:bookmarkStart w:id="22" w:name="Start_Write"/>
      <w:bookmarkEnd w:id="22"/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 xml:space="preserve">לפנינו ערעור 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נועם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24215-06-13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17.2.2014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הוטל על המערער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מיום מעצרו </w:t>
      </w:r>
      <w:r>
        <w:rPr>
          <w:rtl w:val="true"/>
        </w:rPr>
        <w:t>(</w:t>
      </w:r>
      <w:r>
        <w:rPr/>
        <w:t>3.6.2013</w:t>
      </w:r>
      <w:r>
        <w:rPr>
          <w:rtl w:val="true"/>
        </w:rPr>
        <w:t xml:space="preserve">) </w:t>
      </w:r>
      <w:r>
        <w:rPr>
          <w:rtl w:val="true"/>
        </w:rPr>
        <w:t>וכן עשרה חודשי מאסר על תנאי</w:t>
      </w:r>
      <w:r>
        <w:rPr>
          <w:rtl w:val="true"/>
        </w:rPr>
        <w:t xml:space="preserve">, </w:t>
      </w:r>
      <w:r>
        <w:rPr>
          <w:rtl w:val="true"/>
        </w:rPr>
        <w:t>שלא יעבור בתוך שלוש שנים מיום שחרורו מהמאסר עבירת נשק מסוג פשע</w:t>
      </w:r>
      <w:r>
        <w:rPr>
          <w:rtl w:val="true"/>
        </w:rPr>
        <w:t xml:space="preserve">. </w:t>
      </w:r>
    </w:p>
    <w:p>
      <w:pPr>
        <w:pStyle w:val="Ruller41"/>
        <w:spacing w:lineRule="auto" w:line="240"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 xml:space="preserve">המערער הורשע על יסוד הודאתו במסגרת הסדר טיעון בעובדות כתב אישום מתוקן בעבירה של סחר בנשק לפי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). </w:t>
      </w:r>
      <w:r>
        <w:rPr>
          <w:rtl w:val="true"/>
        </w:rPr>
        <w:t>על פי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לפני חודש מרץ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מהדי</w:t>
      </w:r>
      <w:r>
        <w:rPr>
          <w:rtl w:val="true"/>
        </w:rPr>
        <w:t xml:space="preserve">, </w:t>
      </w:r>
      <w:r>
        <w:rPr>
          <w:rtl w:val="true"/>
        </w:rPr>
        <w:t>אשר הינו סוכן משטרתי</w:t>
      </w:r>
      <w:r>
        <w:rPr>
          <w:rtl w:val="true"/>
        </w:rPr>
        <w:t xml:space="preserve">, </w:t>
      </w:r>
      <w:r>
        <w:rPr>
          <w:rtl w:val="true"/>
        </w:rPr>
        <w:t>מסר למאג</w:t>
      </w:r>
      <w:r>
        <w:rPr>
          <w:rtl w:val="true"/>
        </w:rPr>
        <w:t>'</w:t>
      </w:r>
      <w:r>
        <w:rPr>
          <w:rtl w:val="true"/>
        </w:rPr>
        <w:t xml:space="preserve">ד אבו חלף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כי הוא מעוניין לרכוש נשק</w:t>
      </w:r>
      <w:r>
        <w:rPr>
          <w:rtl w:val="true"/>
        </w:rPr>
        <w:t xml:space="preserve">.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 xml:space="preserve">ד סיפר זאת לפואד דוידאר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אשר קשר עם המערער להשיג ממנו את הנשק ולמכור אותו למהדי בתמורה לתשלום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17.3.2013</w:t>
      </w:r>
      <w:r>
        <w:rPr>
          <w:rtl w:val="true"/>
        </w:rPr>
        <w:t xml:space="preserve">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בישר למהדי כי יוכל למכור לו את הנשק באמצעות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28.4.2013</w:t>
      </w:r>
      <w:r>
        <w:rPr>
          <w:rtl w:val="true"/>
        </w:rPr>
        <w:t xml:space="preserve"> </w:t>
      </w:r>
      <w:r>
        <w:rPr>
          <w:rtl w:val="true"/>
        </w:rPr>
        <w:t>נפגשו מהדי</w:t>
      </w:r>
      <w:r>
        <w:rPr>
          <w:rtl w:val="true"/>
        </w:rPr>
        <w:t xml:space="preserve">,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 xml:space="preserve">ד והנאשם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לסכם את פרטי העסקה</w:t>
      </w:r>
      <w:r>
        <w:rPr>
          <w:rtl w:val="true"/>
        </w:rPr>
        <w:t xml:space="preserve">, </w:t>
      </w:r>
      <w:r>
        <w:rPr>
          <w:rtl w:val="true"/>
        </w:rPr>
        <w:t>ובהמשך שוחחו השלושה מספר פעמים לתאם את מיקומה ומועדה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2.5.2013</w:t>
      </w:r>
      <w:r>
        <w:rPr>
          <w:rtl w:val="true"/>
        </w:rPr>
        <w:t xml:space="preserve"> </w:t>
      </w:r>
      <w:r>
        <w:rPr>
          <w:rtl w:val="true"/>
        </w:rPr>
        <w:t>נפגשו מהדי</w:t>
      </w:r>
      <w:r>
        <w:rPr>
          <w:rtl w:val="true"/>
        </w:rPr>
        <w:t xml:space="preserve">,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והמערער</w:t>
      </w:r>
      <w:r>
        <w:rPr>
          <w:rtl w:val="true"/>
        </w:rPr>
        <w:t xml:space="preserve">. </w:t>
      </w:r>
      <w:r>
        <w:rPr>
          <w:rtl w:val="true"/>
        </w:rPr>
        <w:t>במעמד זה המערער העביר למהדי את הנשק</w:t>
      </w:r>
      <w:r>
        <w:rPr>
          <w:rtl w:val="true"/>
        </w:rPr>
        <w:t xml:space="preserve">, </w:t>
      </w:r>
      <w:r>
        <w:rPr>
          <w:rtl w:val="true"/>
        </w:rPr>
        <w:t xml:space="preserve">ומהדי שילם לו </w:t>
      </w:r>
      <w:r>
        <w:rPr/>
        <w:t>9,000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ולמאג</w:t>
      </w:r>
      <w:r>
        <w:rPr>
          <w:rtl w:val="true"/>
        </w:rPr>
        <w:t>'</w:t>
      </w:r>
      <w:r>
        <w:rPr>
          <w:rtl w:val="true"/>
        </w:rPr>
        <w:t xml:space="preserve">ד ולנאשם </w:t>
      </w:r>
      <w:r>
        <w:rPr/>
        <w:t>1</w:t>
      </w:r>
      <w:r>
        <w:rPr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 לכל אחד על חלקם בתיווך העסקה</w:t>
      </w:r>
      <w:r>
        <w:rPr>
          <w:rtl w:val="true"/>
        </w:rPr>
        <w:t xml:space="preserve">. </w:t>
      </w:r>
    </w:p>
    <w:p>
      <w:pPr>
        <w:pStyle w:val="Ruller41"/>
        <w:spacing w:lineRule="auto" w:line="240"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 xml:space="preserve">ביום </w:t>
      </w:r>
      <w:r>
        <w:rPr/>
        <w:t>17.2.2014</w:t>
      </w:r>
      <w:r>
        <w:rPr>
          <w:rtl w:val="true"/>
        </w:rPr>
        <w:t xml:space="preserve"> </w:t>
      </w:r>
      <w:r>
        <w:rPr>
          <w:rtl w:val="true"/>
        </w:rPr>
        <w:t>גזר בית המשפט המחוזי את דינו של המערער</w:t>
      </w:r>
      <w:r>
        <w:rPr>
          <w:rtl w:val="true"/>
        </w:rPr>
        <w:t xml:space="preserve">. </w:t>
      </w:r>
      <w:r>
        <w:rPr>
          <w:rtl w:val="true"/>
        </w:rPr>
        <w:t>בגזר הדין עמד בית המשפט על חומרתן של עבירות הנשק והסיכון הנשקף מהן לביטחון הציבור</w:t>
      </w:r>
      <w:r>
        <w:rPr>
          <w:rtl w:val="true"/>
        </w:rPr>
        <w:t xml:space="preserve">. </w:t>
      </w:r>
      <w:r>
        <w:rPr>
          <w:rtl w:val="true"/>
        </w:rPr>
        <w:t>כן 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כי הפסיקה מורה כי במקרים של עבריינים המצטיידים בנשק חם יש ליתן משקל נכבד לאינטרס הציבורי ולשיקולי הרתעה על פני נסיבותיו האישיות של הנאשם במסגרת שיקולי הענישה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>בקביעת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התחשב בית המשפט המחוזי בערכים החברתיים שנפגעו מביצוע העבירה – שמירת החיים ושלמות הגוף וההגנה על שלום הציבור וביטחונו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המחוזי התייחס לסיכון הרב הנשקף מעבירות נשק</w:t>
      </w:r>
      <w:r>
        <w:rPr>
          <w:rtl w:val="true"/>
        </w:rPr>
        <w:t xml:space="preserve">, </w:t>
      </w:r>
      <w:r>
        <w:rPr>
          <w:rtl w:val="true"/>
        </w:rPr>
        <w:t>ובפרט עבירות של סחר בנשק</w:t>
      </w:r>
      <w:r>
        <w:rPr>
          <w:rtl w:val="true"/>
        </w:rPr>
        <w:t xml:space="preserve">. </w:t>
      </w:r>
      <w:r>
        <w:rPr>
          <w:rtl w:val="true"/>
        </w:rPr>
        <w:t xml:space="preserve">עוד התחשב בית המשפט בנסיבות הקשורות בביצוע העבירה ואלו הן מהות הנשק – רובה מסוג </w:t>
      </w:r>
      <w:r>
        <w:rPr>
          <w:rtl w:val="true"/>
        </w:rPr>
        <w:t>"</w:t>
      </w:r>
      <w:r>
        <w:rPr>
          <w:rtl w:val="true"/>
        </w:rPr>
        <w:t>קרל גוסטב</w:t>
      </w:r>
      <w:r>
        <w:rPr>
          <w:rtl w:val="true"/>
        </w:rPr>
        <w:t xml:space="preserve">", </w:t>
      </w:r>
      <w:r>
        <w:rPr>
          <w:rtl w:val="true"/>
        </w:rPr>
        <w:t>והתכנון המוקדם שכלל שיחות</w:t>
      </w:r>
      <w:r>
        <w:rPr>
          <w:rtl w:val="true"/>
        </w:rPr>
        <w:t xml:space="preserve">, </w:t>
      </w:r>
      <w:r>
        <w:rPr>
          <w:rtl w:val="true"/>
        </w:rPr>
        <w:t>מפגשים ומשא ומתן לקראת השתכללות העסקה</w:t>
      </w:r>
      <w:r>
        <w:rPr>
          <w:rtl w:val="true"/>
        </w:rPr>
        <w:t xml:space="preserve">. </w:t>
      </w:r>
      <w:r>
        <w:rPr>
          <w:rtl w:val="true"/>
        </w:rPr>
        <w:t xml:space="preserve">נקבע כי בקביעת המתחם יש להתייחס לחלק השונה שהיה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ולמערער בעסקה</w:t>
      </w:r>
      <w:r>
        <w:rPr>
          <w:rtl w:val="true"/>
        </w:rPr>
        <w:t xml:space="preserve">; </w:t>
      </w:r>
      <w:r>
        <w:rPr>
          <w:rtl w:val="true"/>
        </w:rPr>
        <w:t>המערער הביא את הרובה וקיבל את מלוא התמורה עבורו ועל כן מתחמו גבוה יותר</w:t>
      </w:r>
      <w:r>
        <w:rPr>
          <w:rtl w:val="true"/>
        </w:rPr>
        <w:t xml:space="preserve">, </w:t>
      </w:r>
      <w:r>
        <w:rPr>
          <w:rtl w:val="true"/>
        </w:rPr>
        <w:t xml:space="preserve">בעוד 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שימש אך כמתווך</w:t>
      </w:r>
      <w:r>
        <w:rPr>
          <w:rtl w:val="true"/>
        </w:rPr>
        <w:t xml:space="preserve">, </w:t>
      </w:r>
      <w:r>
        <w:rPr>
          <w:rtl w:val="true"/>
        </w:rPr>
        <w:t>על אף חלקו הפעיל בעסקה</w:t>
      </w:r>
      <w:r>
        <w:rPr>
          <w:rtl w:val="true"/>
        </w:rPr>
        <w:t xml:space="preserve">. </w:t>
      </w:r>
      <w:r>
        <w:rPr>
          <w:rtl w:val="true"/>
        </w:rPr>
        <w:t>על כן נקבע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הענישה ההולם בעניינו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נע בין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כפי שהוסכם על פי הסדר הטיעון</w:t>
      </w:r>
      <w:r>
        <w:rPr>
          <w:rtl w:val="true"/>
        </w:rPr>
        <w:t xml:space="preserve">, </w:t>
      </w:r>
      <w:r>
        <w:rPr>
          <w:rtl w:val="true"/>
        </w:rPr>
        <w:t xml:space="preserve">ומתחמו של המערער נע בין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בעוד שעונשו לא הוסדר בהסדר הטיעון</w:t>
      </w:r>
      <w:r>
        <w:rPr>
          <w:rtl w:val="true"/>
        </w:rPr>
        <w:t xml:space="preserve">. </w:t>
      </w:r>
      <w:r>
        <w:rPr>
          <w:rtl w:val="true"/>
        </w:rPr>
        <w:t>בית המשפט המחוזי ציין כי בקביעת העונש המתאים הוא התחשב בהודאתו של המערער</w:t>
      </w:r>
      <w:r>
        <w:rPr>
          <w:rtl w:val="true"/>
        </w:rPr>
        <w:t xml:space="preserve">; </w:t>
      </w:r>
      <w:r>
        <w:rPr>
          <w:rtl w:val="true"/>
        </w:rPr>
        <w:t>בחרטה שהביע על מעשיו</w:t>
      </w:r>
      <w:r>
        <w:rPr>
          <w:rtl w:val="true"/>
        </w:rPr>
        <w:t xml:space="preserve">; </w:t>
      </w:r>
      <w:r>
        <w:rPr>
          <w:rtl w:val="true"/>
        </w:rPr>
        <w:t>בנסיבותיו האישיות כפי שצוינו בתסקיר שירות המבחן</w:t>
      </w:r>
      <w:r>
        <w:rPr>
          <w:rtl w:val="true"/>
        </w:rPr>
        <w:t xml:space="preserve">; </w:t>
      </w:r>
      <w:r>
        <w:rPr>
          <w:rtl w:val="true"/>
        </w:rPr>
        <w:t>וכן בעובדה שהוא היה נתון במעצר משך שמונה חודשים</w:t>
      </w:r>
      <w:r>
        <w:rPr>
          <w:rtl w:val="true"/>
        </w:rPr>
        <w:t xml:space="preserve">. </w:t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גזר על המערער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 ועשרה חודשי מאסר על תנאי</w:t>
      </w:r>
      <w:r>
        <w:rPr>
          <w:rtl w:val="true"/>
        </w:rPr>
        <w:t xml:space="preserve">. </w:t>
      </w:r>
    </w:p>
    <w:p>
      <w:pPr>
        <w:pStyle w:val="Ruller41"/>
        <w:spacing w:lineRule="auto" w:line="240"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 xml:space="preserve">המערער טוען כי שגה בית המשפט המחוזי כאשר גזר עליו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עונש אשר אינו הולם את נסיבות המקרה והינו עונש חמור יתר על המידה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לא היה מקום לקבוע מתחמים שונים בעניינו ובעניין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על אף שבהסדר הטיעון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נכלל היבט העונש</w:t>
      </w:r>
      <w:r>
        <w:rPr>
          <w:rtl w:val="true"/>
        </w:rPr>
        <w:t xml:space="preserve">. </w:t>
      </w:r>
      <w:r>
        <w:rPr>
          <w:rtl w:val="true"/>
        </w:rPr>
        <w:t>כן טוען המערער</w:t>
      </w:r>
      <w:r>
        <w:rPr>
          <w:rtl w:val="true"/>
        </w:rPr>
        <w:t xml:space="preserve">, </w:t>
      </w:r>
      <w:r>
        <w:rPr>
          <w:rtl w:val="true"/>
        </w:rPr>
        <w:t>כי ניתן היה לקבוע מתחם אחד לשניהם ובתוכו לקבוע עונשים שונים לכל אחד</w:t>
      </w:r>
      <w:r>
        <w:rPr>
          <w:rtl w:val="true"/>
        </w:rPr>
        <w:t xml:space="preserve">. </w:t>
      </w:r>
      <w:r>
        <w:rPr>
          <w:rtl w:val="true"/>
        </w:rPr>
        <w:t>עוד טוען המערער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משלא נתן משקל לעובדה שמאג</w:t>
      </w:r>
      <w:r>
        <w:rPr>
          <w:rtl w:val="true"/>
        </w:rPr>
        <w:t>'</w:t>
      </w:r>
      <w:r>
        <w:rPr>
          <w:rtl w:val="true"/>
        </w:rPr>
        <w:t>ד לא נעצר ולא הוגש נגדו כתב אישום על אף שהיה לו חלק פעיל בעסקה</w:t>
      </w:r>
      <w:r>
        <w:rPr>
          <w:rtl w:val="true"/>
        </w:rPr>
        <w:t xml:space="preserve">.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מדובר במחדל של המשיבה שלא הביאה אותו כלל לחקירה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>כן טוען המערער</w:t>
      </w:r>
      <w:r>
        <w:rPr>
          <w:rtl w:val="true"/>
        </w:rPr>
        <w:t xml:space="preserve">, </w:t>
      </w:r>
      <w:r>
        <w:rPr>
          <w:rtl w:val="true"/>
        </w:rPr>
        <w:t>כי שגה בית המשפט המחוזי משלא נתן משקל כלשהו או נתן משקל מועט להודאתו ולנסיבותיו האישיות</w:t>
      </w:r>
      <w:r>
        <w:rPr>
          <w:rtl w:val="true"/>
        </w:rPr>
        <w:t xml:space="preserve">: </w:t>
      </w:r>
      <w:r>
        <w:rPr>
          <w:rtl w:val="true"/>
        </w:rPr>
        <w:t>היותו צעיר</w:t>
      </w:r>
      <w:r>
        <w:rPr>
          <w:rtl w:val="true"/>
        </w:rPr>
        <w:t xml:space="preserve">; </w:t>
      </w:r>
      <w:r>
        <w:rPr>
          <w:rtl w:val="true"/>
        </w:rPr>
        <w:t>ללא עבר פלילי</w:t>
      </w:r>
      <w:r>
        <w:rPr>
          <w:rtl w:val="true"/>
        </w:rPr>
        <w:t xml:space="preserve">; </w:t>
      </w:r>
      <w:r>
        <w:rPr>
          <w:rtl w:val="true"/>
        </w:rPr>
        <w:t>ומצבו הרפואי של אביו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יש לתת משקל לכך שהעסקה נעשתה עם סוכן משטרתי ועל כן הסיכון הנשקף ממנה פחות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 xml:space="preserve">בדיון לפנינו מיום </w:t>
      </w:r>
      <w:r>
        <w:rPr/>
        <w:t>15.12.2014</w:t>
      </w:r>
      <w:r>
        <w:rPr>
          <w:rtl w:val="true"/>
        </w:rPr>
        <w:t xml:space="preserve">, </w:t>
      </w:r>
      <w:r>
        <w:rPr>
          <w:rtl w:val="true"/>
        </w:rPr>
        <w:t>חזר בא כוח המערער על טענותיו בדגש על שתיים</w:t>
      </w:r>
      <w:r>
        <w:rPr>
          <w:rtl w:val="true"/>
        </w:rPr>
        <w:t xml:space="preserve">: </w:t>
      </w:r>
      <w:r>
        <w:rPr>
          <w:rtl w:val="true"/>
        </w:rPr>
        <w:t xml:space="preserve">האחת – הפער הלא סביר בין עונשו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 עונשו של המערער בשים לב לכך שמאג</w:t>
      </w:r>
      <w:r>
        <w:rPr>
          <w:rtl w:val="true"/>
        </w:rPr>
        <w:t>'</w:t>
      </w:r>
      <w:r>
        <w:rPr>
          <w:rtl w:val="true"/>
        </w:rPr>
        <w:t>ד אף כלל לא הובא לדין</w:t>
      </w:r>
      <w:r>
        <w:rPr>
          <w:rtl w:val="true"/>
        </w:rPr>
        <w:t xml:space="preserve">; </w:t>
      </w:r>
      <w:r>
        <w:rPr>
          <w:rtl w:val="true"/>
        </w:rPr>
        <w:t>השנייה – התעלמות מנסיבות חייו של המערער כפי שבאו לידי ביטוי בתסקיר שירות המבחן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>בא כוח המשיבה טען כי באשר לפער בין השניים הרי שחלקו הגדול של המערער עולה באופן ברור</w:t>
      </w:r>
      <w:r>
        <w:rPr>
          <w:rtl w:val="true"/>
        </w:rPr>
        <w:t xml:space="preserve">, </w:t>
      </w:r>
      <w:r>
        <w:rPr>
          <w:rtl w:val="true"/>
        </w:rPr>
        <w:t>ולו רק בשל הסכום השונה שהשניים הרוויחו מהעסקה</w:t>
      </w:r>
      <w:r>
        <w:rPr>
          <w:rtl w:val="true"/>
        </w:rPr>
        <w:t xml:space="preserve">. </w:t>
      </w:r>
      <w:r>
        <w:rPr>
          <w:rtl w:val="true"/>
        </w:rPr>
        <w:t>כן טען</w:t>
      </w:r>
      <w:r>
        <w:rPr>
          <w:rtl w:val="true"/>
        </w:rPr>
        <w:t xml:space="preserve">, </w:t>
      </w:r>
      <w:r>
        <w:rPr>
          <w:rtl w:val="true"/>
        </w:rPr>
        <w:t>כי בעניין מאג</w:t>
      </w:r>
      <w:r>
        <w:rPr>
          <w:rtl w:val="true"/>
        </w:rPr>
        <w:t>'</w:t>
      </w:r>
      <w:r>
        <w:rPr>
          <w:rtl w:val="true"/>
        </w:rPr>
        <w:t>ד לא ניתן היה למצואו</w:t>
      </w:r>
      <w:r>
        <w:rPr>
          <w:rtl w:val="true"/>
        </w:rPr>
        <w:t xml:space="preserve">, </w:t>
      </w:r>
      <w:r>
        <w:rPr>
          <w:rtl w:val="true"/>
        </w:rPr>
        <w:t>על אף הניסיונות של היחידה החוקרת</w:t>
      </w:r>
      <w:r>
        <w:rPr>
          <w:rtl w:val="true"/>
        </w:rPr>
        <w:t xml:space="preserve">, </w:t>
      </w:r>
      <w:r>
        <w:rPr>
          <w:rtl w:val="true"/>
        </w:rPr>
        <w:t>בשל היותו תושב השטחים</w:t>
      </w:r>
      <w:r>
        <w:rPr>
          <w:rtl w:val="true"/>
        </w:rPr>
        <w:t xml:space="preserve">. </w:t>
      </w:r>
      <w:r>
        <w:rPr>
          <w:rtl w:val="true"/>
        </w:rPr>
        <w:t>בא כוח המשיבה עמד על כך כי מתחם העונש הנקבע בעניין המערער הינו הולם</w:t>
      </w:r>
      <w:r>
        <w:rPr>
          <w:rtl w:val="true"/>
        </w:rPr>
        <w:t xml:space="preserve">.  </w:t>
      </w:r>
    </w:p>
    <w:p>
      <w:pPr>
        <w:pStyle w:val="Ruller41"/>
        <w:spacing w:lineRule="auto" w:line="240"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הלכה ידועה היא כי ערכאת הערעור אינה מתערבת בחומרת העונש שנקבעה על ידי הערכאה הדיונית אלא במקרים חריגים</w:t>
      </w:r>
      <w:r>
        <w:rPr>
          <w:rtl w:val="true"/>
        </w:rPr>
        <w:t xml:space="preserve">, </w:t>
      </w:r>
      <w:r>
        <w:rPr>
          <w:rtl w:val="true"/>
        </w:rPr>
        <w:t xml:space="preserve">גם לאחר תיקון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 xml:space="preserve">לחוק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3091/08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טרייגר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ascii="Century" w:hAnsi="Century" w:cs="Century"/>
          <w:b/>
          <w:b/>
          <w:sz w:val="20"/>
          <w:sz w:val="2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29.1.2009</w:t>
      </w:r>
      <w:r>
        <w:rPr>
          <w:rFonts w:cs="Century" w:ascii="Century" w:hAnsi="Century"/>
          <w:rtl w:val="true"/>
        </w:rPr>
        <w:t xml:space="preserve">); 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5931/11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עבדולייב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ascii="Century" w:hAnsi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22.10.2013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5717/14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גדבאן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2.12.2014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1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3931/13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באום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נ</w:t>
      </w:r>
      <w:r>
        <w:rPr>
          <w:rFonts w:cs="Miriam" w:ascii="Century" w:hAnsi="Century"/>
          <w:b/>
          <w:sz w:val="18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18"/>
          <w:sz w:val="18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18"/>
          <w:sz w:val="18"/>
          <w:szCs w:val="24"/>
          <w:rtl w:val="true"/>
        </w:rPr>
        <w:t>ישראל</w:t>
      </w:r>
      <w:r>
        <w:rPr>
          <w:rFonts w:ascii="Century" w:hAnsi="Century" w:cs="Century"/>
          <w:sz w:val="18"/>
          <w:sz w:val="1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10.6.2014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tl w:val="true"/>
        </w:rPr>
        <w:t>המקרה הנוכחי אינו נמנה על אותם המקרים המצדיקים התערבות</w:t>
      </w:r>
      <w:r>
        <w:rPr>
          <w:rtl w:val="true"/>
        </w:rPr>
        <w:t xml:space="preserve">, </w:t>
      </w:r>
      <w:r>
        <w:rPr>
          <w:rtl w:val="true"/>
        </w:rPr>
        <w:t>כפי שיובהר להלן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>המעשה בו הורשע המערער הוא חמור</w:t>
      </w:r>
      <w:r>
        <w:rPr>
          <w:rtl w:val="true"/>
        </w:rPr>
        <w:t xml:space="preserve">, </w:t>
      </w:r>
      <w:r>
        <w:rPr>
          <w:rtl w:val="true"/>
        </w:rPr>
        <w:t>ובית משפט זה עמד לא אחת על חומרתן המיוחדת של עבירות בנשק ועל הסכנות הצפויות מעבירות כאלה</w:t>
      </w:r>
      <w:r>
        <w:rPr>
          <w:rtl w:val="true"/>
        </w:rPr>
        <w:t xml:space="preserve">, </w:t>
      </w:r>
      <w:r>
        <w:rPr>
          <w:rtl w:val="true"/>
        </w:rPr>
        <w:t xml:space="preserve">אשר גורמות לפעילות עבריינית אחרת ומאיימות על שלום הציבור כולו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5833/07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18.11.2007</w:t>
      </w:r>
      <w:r>
        <w:rPr>
          <w:rtl w:val="true"/>
        </w:rPr>
        <w:t xml:space="preserve">);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עספור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8.2.2012</w:t>
      </w:r>
      <w:r>
        <w:rPr>
          <w:rtl w:val="true"/>
        </w:rPr>
        <w:t xml:space="preserve">)).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בית משפט זה אימץ עמדה עקרונית לפיה יש להחמיר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בענישתם של נאשמים שהורשעו בעבירות נשק בכלל ובעבירות סחר בנשק בפרט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אגבריה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23.3.2011</w:t>
      </w:r>
      <w:r>
        <w:rPr>
          <w:rtl w:val="true"/>
        </w:rPr>
        <w:t xml:space="preserve">);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319/11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יאסין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)). </w:t>
      </w:r>
      <w:r>
        <w:rPr>
          <w:rtl w:val="true"/>
        </w:rPr>
        <w:t xml:space="preserve">במספר הזדמנויות בתי המשפט מצאו כי יש להחמיר בעונשיהם של עברייני נשק בשל הסכנה הנשקפת מהם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4526/04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זעתרי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8.11.2004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5380/06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סלאמה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3.12.2007</w:t>
      </w:r>
      <w:r>
        <w:rPr>
          <w:rtl w:val="true"/>
        </w:rPr>
        <w:t xml:space="preserve">)). </w:t>
      </w:r>
      <w:r>
        <w:rPr>
          <w:rtl w:val="true"/>
        </w:rPr>
        <w:t>לעניין זה ראוי לציין כי אין נפקא מינה לכך שהקונה הינו סוכן משטרתי</w:t>
      </w:r>
      <w:r>
        <w:rPr>
          <w:rtl w:val="true"/>
        </w:rPr>
        <w:t xml:space="preserve">, </w:t>
      </w:r>
      <w:r>
        <w:rPr>
          <w:rtl w:val="true"/>
        </w:rPr>
        <w:t>שכן המעורבים אינם מודעים לכך ומסוכנותם נותרת בעינה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 xml:space="preserve">אשר לטענת המערער בדבר הפער במתחמי הענישה בינו לבין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הרי שישנה הבחנה בין רף הענישה הנוהג לבין מתחם העונש ההולם במקרה הקונקרטי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חסן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לפסק הדין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)). </w:t>
      </w:r>
      <w:r>
        <w:rPr>
          <w:rtl w:val="true"/>
        </w:rPr>
        <w:t>המקרה שלפנינו מדגים כיצד נסיבות ביצוע אותה עבירה מייצרות רף חומרה שונה באופן המצדיק עמידה על צביון אינדיבידואלי בענישה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עקרון מנחה בדין הפלילי הוא 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ובענייננו מתעוררת חשיבות לעקרון זה היות שמדובר בשניים אשר הורשעו תחת פעילותו של סוכן משטרתי סמוי אחד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ההשוואה בין העונשים הנגזרים על כל אחד מהמעורבים הינה קשה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גזירת העונש נעשית תוך שקלול נתונים רבים המשתנים מאדם לאדם</w:t>
      </w:r>
      <w:r>
        <w:rPr>
          <w:rtl w:val="true"/>
        </w:rPr>
        <w:t xml:space="preserve">. </w:t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איני רואה מקום להשוות בין המערער לבין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המערער הוא אשר סיפק את הרובה ואף קיבל תמורה גבוהה יותר עבורו</w:t>
      </w:r>
      <w:r>
        <w:rPr>
          <w:rtl w:val="true"/>
        </w:rPr>
        <w:t xml:space="preserve">, </w:t>
      </w:r>
      <w:r>
        <w:rPr>
          <w:rtl w:val="true"/>
        </w:rPr>
        <w:t xml:space="preserve">בעוד שהנאשם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שימש אך כמתווך בעסקה ותמורתו הייתה נמוכה משמעותית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עלינו לקחת בחשבון את העובדה שבהסדר הטיעון של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נכלל רכיב העונש</w:t>
      </w:r>
      <w:r>
        <w:rPr>
          <w:rtl w:val="true"/>
        </w:rPr>
        <w:t xml:space="preserve">, </w:t>
      </w:r>
      <w:r>
        <w:rPr>
          <w:rtl w:val="true"/>
        </w:rPr>
        <w:t>בעוד שבהסדר הטיעון של המערער לא נעשה כן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>אשר לטענה כי האדם השלישי אשר היה מעורב בעסקה</w:t>
      </w:r>
      <w:r>
        <w:rPr>
          <w:rtl w:val="true"/>
        </w:rPr>
        <w:t xml:space="preserve">, </w:t>
      </w:r>
      <w:r>
        <w:rPr>
          <w:rtl w:val="true"/>
        </w:rPr>
        <w:t>מאג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לא הובא לחקירה ולא הוגש נגדו כתב אישום</w:t>
      </w:r>
      <w:r>
        <w:rPr>
          <w:rtl w:val="true"/>
        </w:rPr>
        <w:t xml:space="preserve">, </w:t>
      </w:r>
      <w:r>
        <w:rPr>
          <w:rtl w:val="true"/>
        </w:rPr>
        <w:t>הרי שלא עלה בידי גורמי החקירה לאתרו בשל היותו תושב אזור יהודה והשומרון</w:t>
      </w:r>
      <w:r>
        <w:rPr>
          <w:rtl w:val="true"/>
        </w:rPr>
        <w:t xml:space="preserve">, </w:t>
      </w:r>
      <w:r>
        <w:rPr>
          <w:rtl w:val="true"/>
        </w:rPr>
        <w:t>ומכל מקום אין בעובדה זו כדי להשפיע על חומרת עבירתו של המערער וכך גם על עונשו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על אף מגמת ההחמרה בענישה של עברייני הנשק</w:t>
      </w:r>
      <w:r>
        <w:rPr>
          <w:rtl w:val="true"/>
        </w:rPr>
        <w:t xml:space="preserve">, </w:t>
      </w:r>
      <w:r>
        <w:rPr>
          <w:rtl w:val="true"/>
        </w:rPr>
        <w:t>יש להמשיך ולבצע בדיקה פרטנית של כל מקרה לגופו</w:t>
      </w:r>
      <w:r>
        <w:rPr>
          <w:rtl w:val="true"/>
        </w:rPr>
        <w:t xml:space="preserve">, </w:t>
      </w:r>
      <w:r>
        <w:rPr>
          <w:rtl w:val="true"/>
        </w:rPr>
        <w:t xml:space="preserve">וכאשר נדרש על פי הנסיבות אף להקל בעונשם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4862/11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9.1.2012</w:t>
      </w:r>
      <w:r>
        <w:rPr>
          <w:rtl w:val="true"/>
        </w:rPr>
        <w:t xml:space="preserve">)).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איני מקבל את הטענה כי נסיבותיו האישיות של המערער לא נלקחו בחשבון עת קבע בית המשפט המחוזי את המתחם ההולם עבורו וכן את עונשו</w:t>
      </w:r>
      <w:r>
        <w:rPr>
          <w:rtl w:val="true"/>
        </w:rPr>
        <w:t xml:space="preserve">. </w:t>
      </w:r>
      <w:r>
        <w:rPr>
          <w:rtl w:val="true"/>
        </w:rPr>
        <w:t>בית המשפט המחוזי ציין במפורש בפסק דינו כי לקח בחשבון את הודאת המערער</w:t>
      </w:r>
      <w:r>
        <w:rPr>
          <w:rtl w:val="true"/>
        </w:rPr>
        <w:t xml:space="preserve">; </w:t>
      </w:r>
      <w:r>
        <w:rPr>
          <w:rtl w:val="true"/>
        </w:rPr>
        <w:t>את החרטה שהביע</w:t>
      </w:r>
      <w:r>
        <w:rPr>
          <w:rtl w:val="true"/>
        </w:rPr>
        <w:t xml:space="preserve">; </w:t>
      </w:r>
      <w:r>
        <w:rPr>
          <w:rtl w:val="true"/>
        </w:rPr>
        <w:t>את נסיבותיו האישיות כפי שעלו מתסקיר</w:t>
      </w:r>
      <w:r>
        <w:rPr>
          <w:rtl w:val="true"/>
        </w:rPr>
        <w:t xml:space="preserve"> </w:t>
      </w:r>
      <w:r>
        <w:rPr>
          <w:rtl w:val="true"/>
        </w:rPr>
        <w:t>שרות המבחן</w:t>
      </w:r>
      <w:r>
        <w:rPr>
          <w:rtl w:val="true"/>
        </w:rPr>
        <w:t xml:space="preserve">; </w:t>
      </w:r>
      <w:r>
        <w:rPr>
          <w:rtl w:val="true"/>
        </w:rPr>
        <w:t>ואף את שהייתו במעצר משך שמונה חודשים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מעיון בתסקיר עדכני בעניינו של המערער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2.11.2014</w:t>
      </w:r>
      <w:r>
        <w:rPr>
          <w:rtl w:val="true"/>
        </w:rPr>
        <w:t xml:space="preserve">), </w:t>
      </w:r>
      <w:r>
        <w:rPr>
          <w:rtl w:val="true"/>
        </w:rPr>
        <w:t>לא מצאתי כי חל שינוי משמעותי בנסיבותיו המצדיק הקלה בעונשו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לא מצאתי להתערב בשיקול דעתה של הערכאה הדיונית בקביעת מתחם שונה עבור השניים וכן בגזירת העונש הקונקרטי על המערער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1"/>
        </w:numPr>
        <w:spacing w:before="0" w:after="240"/>
        <w:ind w:end="0"/>
        <w:jc w:val="both"/>
        <w:rPr/>
      </w:pPr>
      <w:r>
        <w:rPr>
          <w:rtl w:val="true"/>
        </w:rPr>
        <w:t>סוף דבר</w:t>
      </w:r>
      <w:r>
        <w:rPr>
          <w:rtl w:val="true"/>
        </w:rPr>
        <w:t xml:space="preserve">, </w:t>
      </w:r>
      <w:r>
        <w:rPr>
          <w:rtl w:val="true"/>
        </w:rPr>
        <w:t>הערעור נדחה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21.12.2014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bookmarkStart w:id="23" w:name="FileName"/>
      <w:r>
        <w:rPr>
          <w:sz w:val="16"/>
        </w:rPr>
        <w:t>14024220</w:t>
      </w:r>
      <w:r>
        <w:rPr>
          <w:sz w:val="16"/>
          <w:rtl w:val="true"/>
        </w:rPr>
        <w:t>_</w:t>
      </w:r>
      <w:r>
        <w:rPr>
          <w:sz w:val="16"/>
        </w:rPr>
        <w:t>H03.doc</w:t>
      </w:r>
      <w:r>
        <w:rPr>
          <w:sz w:val="16"/>
          <w:rtl w:val="true"/>
        </w:rPr>
        <w:t xml:space="preserve">   </w:t>
      </w:r>
      <w:bookmarkEnd w:id="23"/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ס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>'</w:t>
      </w:r>
      <w:r>
        <w:rPr>
          <w:rFonts w:ascii="David" w:hAnsi="David"/>
          <w:color w:val="000000"/>
          <w:szCs w:val="22"/>
          <w:rtl w:val="true"/>
        </w:rPr>
        <w:t xml:space="preserve">ובראן </w:t>
      </w:r>
      <w:r>
        <w:rPr>
          <w:rFonts w:cs="David" w:ascii="David" w:hAnsi="David"/>
          <w:color w:val="000000"/>
          <w:szCs w:val="22"/>
        </w:rPr>
        <w:t>54678313-2422/14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2422/14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עלי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782725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case/7827259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5875466" TargetMode="External"/><Relationship Id="rId9" Type="http://schemas.openxmlformats.org/officeDocument/2006/relationships/hyperlink" Target="http://www.nevo.co.il/case/6040836" TargetMode="External"/><Relationship Id="rId10" Type="http://schemas.openxmlformats.org/officeDocument/2006/relationships/hyperlink" Target="http://www.nevo.co.il/case/17948201" TargetMode="External"/><Relationship Id="rId11" Type="http://schemas.openxmlformats.org/officeDocument/2006/relationships/hyperlink" Target="http://www.nevo.co.il/case/7653052" TargetMode="External"/><Relationship Id="rId12" Type="http://schemas.openxmlformats.org/officeDocument/2006/relationships/hyperlink" Target="http://www.nevo.co.il/case/6034921" TargetMode="External"/><Relationship Id="rId13" Type="http://schemas.openxmlformats.org/officeDocument/2006/relationships/hyperlink" Target="http://www.nevo.co.il/case/5703734" TargetMode="External"/><Relationship Id="rId14" Type="http://schemas.openxmlformats.org/officeDocument/2006/relationships/hyperlink" Target="http://www.nevo.co.il/case/6054579" TargetMode="External"/><Relationship Id="rId15" Type="http://schemas.openxmlformats.org/officeDocument/2006/relationships/hyperlink" Target="http://www.nevo.co.il/case/5699080" TargetMode="External"/><Relationship Id="rId16" Type="http://schemas.openxmlformats.org/officeDocument/2006/relationships/hyperlink" Target="http://www.nevo.co.il/case/5962283" TargetMode="External"/><Relationship Id="rId17" Type="http://schemas.openxmlformats.org/officeDocument/2006/relationships/hyperlink" Target="http://www.nevo.co.il/case/6008999" TargetMode="External"/><Relationship Id="rId18" Type="http://schemas.openxmlformats.org/officeDocument/2006/relationships/hyperlink" Target="http://www.nevo.co.il/case/6473037" TargetMode="External"/><Relationship Id="rId19" Type="http://schemas.openxmlformats.org/officeDocument/2006/relationships/hyperlink" Target="http://www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14024220.H03.doc</Template>
  <TotalTime>11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2014-12-22T14:11:00Z</dcterms:created>
  <dc:creator> </dc:creator>
  <dc:description/>
  <cp:keywords/>
  <dc:language>en-IL</dc:language>
  <cp:lastModifiedBy>orly</cp:lastModifiedBy>
  <cp:lastPrinted>2014-12-18T13:14:00Z</cp:lastPrinted>
  <dcterms:modified xsi:type="dcterms:W3CDTF">2014-12-22T14:24:00Z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עלי ח'דר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ProcID=133&amp;PartA=3091&amp;PartC=08</vt:lpwstr>
  </property>
  <property fmtid="{D5CDD505-2E9C-101B-9397-08002B2CF9AE}" pid="9" name="CASENOTES2">
    <vt:lpwstr>ProcID=133;209&amp;PartA=4862&amp;PartC=11</vt:lpwstr>
  </property>
  <property fmtid="{D5CDD505-2E9C-101B-9397-08002B2CF9AE}" pid="10" name="CASESLISTTMP1">
    <vt:lpwstr>7827259:2;6040836;17948201;7653052;6034921;5703734;6054579;5699080;5962283;6008999;6473037</vt:lpwstr>
  </property>
  <property fmtid="{D5CDD505-2E9C-101B-9397-08002B2CF9AE}" pid="11" name="CITY">
    <vt:lpwstr/>
  </property>
  <property fmtid="{D5CDD505-2E9C-101B-9397-08002B2CF9AE}" pid="12" name="DATE">
    <vt:lpwstr>20141221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ס' ג'ובראן;ד' ברק ארז;מ' מזוז</vt:lpwstr>
  </property>
  <property fmtid="{D5CDD505-2E9C-101B-9397-08002B2CF9AE}" pid="16" name="LAWLISTTMP1">
    <vt:lpwstr>70301/144.b2</vt:lpwstr>
  </property>
  <property fmtid="{D5CDD505-2E9C-101B-9397-08002B2CF9AE}" pid="17" name="LAWYER">
    <vt:lpwstr>חייים שוייצר;וסים דראושה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</vt:lpwstr>
  </property>
  <property fmtid="{D5CDD505-2E9C-101B-9397-08002B2CF9AE}" pid="39" name="NOSE21">
    <vt:lpwstr>ערעור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15235;1446;1446</vt:lpwstr>
  </property>
  <property fmtid="{D5CDD505-2E9C-101B-9397-08002B2CF9AE}" pid="50" name="NOSE31">
    <vt:lpwstr>התערבות במידת העונש</vt:lpwstr>
  </property>
  <property fmtid="{D5CDD505-2E9C-101B-9397-08002B2CF9AE}" pid="51" name="NOSE310">
    <vt:lpwstr/>
  </property>
  <property fmtid="{D5CDD505-2E9C-101B-9397-08002B2CF9AE}" pid="52" name="NOSE32">
    <vt:lpwstr>מדיניות ענישה: עבירות נשק</vt:lpwstr>
  </property>
  <property fmtid="{D5CDD505-2E9C-101B-9397-08002B2CF9AE}" pid="53" name="NOSE33">
    <vt:lpwstr>מדיניות ענישה: אחדות הענישה</vt:lpwstr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15236;13800;13222</vt:lpwstr>
  </property>
  <property fmtid="{D5CDD505-2E9C-101B-9397-08002B2CF9AE}" pid="61" name="PADIDATE">
    <vt:lpwstr>20141223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2422</vt:lpwstr>
  </property>
  <property fmtid="{D5CDD505-2E9C-101B-9397-08002B2CF9AE}" pid="67" name="PROCYEAR">
    <vt:lpwstr>14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410120141221</vt:lpwstr>
  </property>
  <property fmtid="{D5CDD505-2E9C-101B-9397-08002B2CF9AE}" pid="71" name="TYPE_N_DATE">
    <vt:lpwstr>41020141221</vt:lpwstr>
  </property>
  <property fmtid="{D5CDD505-2E9C-101B-9397-08002B2CF9AE}" pid="72" name="VOLUME">
    <vt:lpwstr/>
  </property>
  <property fmtid="{D5CDD505-2E9C-101B-9397-08002B2CF9AE}" pid="73" name="WORDNUMPAGES">
    <vt:lpwstr>6</vt:lpwstr>
  </property>
</Properties>
</file>