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70"/>
        <w:gridCol w:w="2615"/>
        <w:gridCol w:w="5231"/>
        <w:gridCol w:w="1"/>
        <w:gridCol w:w="5"/>
      </w:tblGrid>
      <w:tr>
        <w:trPr/>
        <w:tc>
          <w:tcPr>
            <w:tcW w:w="670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8517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8731/12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287" w:hRule="atLeast"/>
        </w:trPr>
        <w:tc>
          <w:tcPr>
            <w:tcW w:w="328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2" w:name="LastJudge"/>
      <w:bookmarkStart w:id="3" w:name="LastJudge"/>
      <w:bookmarkEnd w:id="3"/>
    </w:p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לוגסי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23.10.2012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13333-12-11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bookmarkEnd w:id="5"/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8.4.2013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18" w:name="ABSTRACT_START"/>
      <w:bookmarkEnd w:id="18"/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bookmarkStart w:id="19" w:name="ABSTRACT_END"/>
      <w:bookmarkEnd w:id="19"/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24.5.2012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13333-12-11</w:t>
        </w:r>
      </w:hyperlink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פיש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27.11.2011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/>
        <w:t>992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המסוכנים</w:t>
      </w:r>
      <w:r>
        <w:rPr>
          <w:rtl w:val="true"/>
        </w:rPr>
        <w:t xml:space="preserve">));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));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92.8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eastAsia="Arial TUR;Arial" w:cs="Arial TUR;Arial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ריבועי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);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),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וכמותם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left" w:pos="-483" w:leader="none"/>
          <w:tab w:val="left" w:pos="800" w:leader="none"/>
        </w:tabs>
        <w:ind w:start="-58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לדבריו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הוא ניצל את תקופת הזמן שבה שהה במעצר בית עד כה לצורך שיקום וטיפול אינטנסיביים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לטענתו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בית המשפט קמא טעה שעה שלא ייחס משקל מספיק למצבו הנפשי המעורער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ונתן משקל מכריע לאינטרס הציבורי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בעניין זה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הפנה בא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כוחו של המערער לתקדימים שבהם ניתנה עדיפות לשיקולי שיקום על פני שיקולי גמול והרתעה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tabs>
          <w:tab w:val="left" w:pos="-483" w:leader="none"/>
          <w:tab w:val="left" w:pos="800" w:leader="none"/>
        </w:tabs>
        <w:ind w:start="-58"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tabs>
          <w:tab w:val="left" w:pos="-483" w:leader="none"/>
          <w:tab w:val="left" w:pos="800" w:leader="none"/>
        </w:tabs>
        <w:ind w:start="-58" w:end="0"/>
        <w:jc w:val="both"/>
        <w:rPr/>
      </w:pPr>
      <w:r>
        <w:rPr>
          <w:rFonts w:cs="Times New Roman" w:ascii="Times New Roman" w:hAnsi="Times New Roman"/>
          <w:sz w:val="28"/>
        </w:rPr>
        <w:t>7</w:t>
      </w:r>
      <w:r>
        <w:rPr>
          <w:rFonts w:cs="Times New Roman" w:ascii="Times New Roman" w:hAnsi="Times New Roman"/>
          <w:sz w:val="28"/>
          <w:rtl w:val="true"/>
        </w:rPr>
        <w:t xml:space="preserve">. 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אמת הדבר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כפי שטען גם המערער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שיקולי הענישה השונים הם גורמים שמשקלם נקבע באופן דינמי בהתחשב במכלול נסיבותיו של כל מקרה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ובהן חומרת העבירה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נסיבות ביצועה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נסיבותיו האישיות של העבריין ועוד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rtl w:val="true"/>
        </w:rPr>
        <w:t>ראו למשל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5619/01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כאמלה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28.11.2002</w:t>
      </w:r>
      <w:r>
        <w:rPr>
          <w:rFonts w:cs="Times New Roman" w:ascii="Times New Roman" w:hAnsi="Times New Roman"/>
          <w:sz w:val="28"/>
          <w:rtl w:val="true"/>
        </w:rPr>
        <w:t xml:space="preserve">)). </w:t>
      </w:r>
      <w:r>
        <w:rPr>
          <w:rFonts w:ascii="Times New Roman" w:hAnsi="Times New Roman" w:cs="Times New Roman"/>
          <w:sz w:val="28"/>
          <w:sz w:val="28"/>
          <w:rtl w:val="true"/>
        </w:rPr>
        <w:t>אולם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אין לומר שבית המשפט קמא לא נתן משקל לנסיבותיו האישיות של המערער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ובכלל זה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כפי שציינו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בכך שבחר להטיל את עונש המאסר על תנאי שהופעל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בחופף לעונש המאסר שהשית עליו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לאמיתו של דבר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ללא התחשבות זו עונשו היה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קרוב לוודאי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חמור יותר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בשים לב לגישה העקבית של הפסיקה בכל הנוגע לענישה בעבירות סמים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לא כל שכן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כאשר מובא בחשבון היקף הסמים שבהם החזיק המערער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למקרים דומים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ראו למשל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rtl w:val="true"/>
        </w:rPr>
        <w:t>ע</w:t>
      </w: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 </w:t>
      </w:r>
      <w:r>
        <w:rPr>
          <w:rFonts w:cs="Times New Roman" w:ascii="Times New Roman" w:hAnsi="Times New Roman"/>
          <w:sz w:val="28"/>
        </w:rPr>
        <w:t>8215</w:t>
      </w:r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4.2.2009</w:t>
      </w:r>
      <w:r>
        <w:rPr>
          <w:rFonts w:cs="Times New Roman" w:ascii="Times New Roman" w:hAnsi="Times New Roman"/>
          <w:sz w:val="28"/>
          <w:rtl w:val="true"/>
        </w:rPr>
        <w:t xml:space="preserve">);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10498/05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אלמקייס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22.5.2006</w:t>
      </w:r>
      <w:r>
        <w:rPr>
          <w:rFonts w:cs="Times New Roman" w:ascii="Times New Roman" w:hAnsi="Times New Roman"/>
          <w:sz w:val="28"/>
          <w:rtl w:val="true"/>
        </w:rPr>
        <w:t>).</w:t>
      </w:r>
    </w:p>
    <w:p>
      <w:pPr>
        <w:pStyle w:val="Ruller41"/>
        <w:tabs>
          <w:tab w:val="left" w:pos="-483" w:leader="none"/>
          <w:tab w:val="left" w:pos="800" w:leader="none"/>
        </w:tabs>
        <w:ind w:start="-58"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left" w:pos="-483" w:leader="none"/>
          <w:tab w:val="left" w:pos="800" w:leader="none"/>
        </w:tabs>
        <w:ind w:start="-58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Fonts w:ascii="Times New Roman" w:hAnsi="Times New Roman" w:cs="Times New Roman"/>
          <w:sz w:val="28"/>
          <w:sz w:val="28"/>
          <w:rtl w:val="true"/>
        </w:rPr>
        <w:t>סיכומם של דברים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rtl w:val="true"/>
        </w:rPr>
        <w:t>הערעור נדחה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וגזר דינו של בית המשפט קמא נשאר על כנו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12.5.2013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למען הסר ספק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כל הביטחונות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הערבויות והמגבלות שהושתו על המערער על ידי 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קמא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יעמדו בעינם עד למועד תחילת ריצוי עונשו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54678313-8731/12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11.4.2013</w:t>
      </w:r>
      <w:r>
        <w:rPr>
          <w:rtl w:val="true"/>
        </w:rPr>
        <w:t xml:space="preserve">).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0" w:name="FileName"/>
      <w:r>
        <w:rPr>
          <w:sz w:val="16"/>
        </w:rPr>
        <w:t>12087310</w:t>
      </w:r>
      <w:r>
        <w:rPr>
          <w:sz w:val="16"/>
          <w:rtl w:val="true"/>
        </w:rPr>
        <w:t>_</w:t>
      </w:r>
      <w:r>
        <w:rPr>
          <w:sz w:val="16"/>
        </w:rPr>
        <w:t>A02.doc</w:t>
      </w:r>
      <w:r>
        <w:rPr>
          <w:sz w:val="16"/>
          <w:rtl w:val="true"/>
        </w:rPr>
        <w:t xml:space="preserve">   </w:t>
      </w:r>
      <w:bookmarkEnd w:id="20"/>
      <w:r>
        <w:rPr>
          <w:sz w:val="16"/>
          <w:sz w:val="16"/>
          <w:rtl w:val="true"/>
        </w:rPr>
        <w:t>אמ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8731/12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דניאל דניאלי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לוגסי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24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9538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case/2599538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7.a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case/6024402" TargetMode="External"/><Relationship Id="rId22" Type="http://schemas.openxmlformats.org/officeDocument/2006/relationships/hyperlink" Target="http://www.nevo.co.il/case/6170968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12087310.A02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2015-08-17T14:06:00Z</dcterms:created>
  <dc:creator> </dc:creator>
  <dc:description/>
  <cp:keywords/>
  <dc:language>en-IL</dc:language>
  <cp:lastModifiedBy>hofit</cp:lastModifiedBy>
  <cp:lastPrinted>2013-04-11T08:57:00Z</cp:lastPrinted>
  <dcterms:modified xsi:type="dcterms:W3CDTF">2015-08-17T14:06:00Z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דניאל דניאלי (לוגסי)</vt:lpwstr>
  </property>
  <property fmtid="{D5CDD505-2E9C-101B-9397-08002B2CF9AE}" pid="3" name="APPELLEE">
    <vt:lpwstr>מדינת ישראל</vt:lpwstr>
  </property>
  <property fmtid="{D5CDD505-2E9C-101B-9397-08002B2CF9AE}" pid="4" name="CASESLISTTMP1">
    <vt:lpwstr>2599538:2;6024402;6170968</vt:lpwstr>
  </property>
  <property fmtid="{D5CDD505-2E9C-101B-9397-08002B2CF9AE}" pid="5" name="DATE">
    <vt:lpwstr>20130411</vt:lpwstr>
  </property>
  <property fmtid="{D5CDD505-2E9C-101B-9397-08002B2CF9AE}" pid="6" name="ISABSTRACT">
    <vt:lpwstr>Y</vt:lpwstr>
  </property>
  <property fmtid="{D5CDD505-2E9C-101B-9397-08002B2CF9AE}" pid="7" name="JUDGE">
    <vt:lpwstr>י' דנציגר;נ' הנדל;ד' ברק ארז</vt:lpwstr>
  </property>
  <property fmtid="{D5CDD505-2E9C-101B-9397-08002B2CF9AE}" pid="8" name="LAWLISTTMP1">
    <vt:lpwstr>4216/007.a:3;007.c:3</vt:lpwstr>
  </property>
  <property fmtid="{D5CDD505-2E9C-101B-9397-08002B2CF9AE}" pid="9" name="LAWLISTTMP2">
    <vt:lpwstr>70301/244;275</vt:lpwstr>
  </property>
  <property fmtid="{D5CDD505-2E9C-101B-9397-08002B2CF9AE}" pid="10" name="LAWYER">
    <vt:lpwstr>הילה גורני;שלומי שרון</vt:lpwstr>
  </property>
  <property fmtid="{D5CDD505-2E9C-101B-9397-08002B2CF9AE}" pid="11" name="LINKK1">
    <vt:lpwstr>http://www.nevo.co.il/Psika_word/elyon/12087310-e01.doc;להחלטה בעליון (06-12-2012)#עפ 8731/12 דניאל לוגסי נ' מדינת ישראל#שופטים: י' עמית#עו''ד: שלומי שרון</vt:lpwstr>
  </property>
  <property fmtid="{D5CDD505-2E9C-101B-9397-08002B2CF9AE}" pid="12" name="LINKK2">
    <vt:lpwstr>http://www.nevo.co.il/Psika_word/mechozi/ME-11-12-13333-163.doc;להחלטה במחוזי (23-10-2012)#תפ 13333-12-11 מדינת ישראל נ' דניאל דניאלי#שופטים: דניאל פיש#עו''ד: שלומי שרון</vt:lpwstr>
  </property>
  <property fmtid="{D5CDD505-2E9C-101B-9397-08002B2CF9AE}" pid="13" name="LINKK3">
    <vt:lpwstr>http://www.nevo.co.il/Psika_word/mechozi/ME-11-12-13333-223.doc;להחלטה במחוזי (15-10-2012)#תפ 13333-12-11 מדינת ישראל נ' דניאל דניאלי#שופטים: דניאל פיש#עו''ד: שלומי שרון</vt:lpwstr>
  </property>
  <property fmtid="{D5CDD505-2E9C-101B-9397-08002B2CF9AE}" pid="14" name="LINKK4">
    <vt:lpwstr>http://www.nevo.co.il/Psika_word/mechozi/ME-11-12-13333-226.doc;להחלטה במחוזי (17-10-2012)#תפ 13333-12-11 מדינת ישראל נ' דניאל דניאלי#שופטים: דניאל פיש#עו''ד: שלומי שרון</vt:lpwstr>
  </property>
  <property fmtid="{D5CDD505-2E9C-101B-9397-08002B2CF9AE}" pid="15" name="LINKK5">
    <vt:lpwstr>http://www.nevo.co.il/Psika_word/mechozi/ME-11-12-13333-289.doc;להחלטה במחוזי (08-12-2011)#תפ 13333-12-11 מדינת ישראל נ' דניאל דניאלי#שופטים: אילן שיף#עו''ד: שלומי שרון</vt:lpwstr>
  </property>
  <property fmtid="{D5CDD505-2E9C-101B-9397-08002B2CF9AE}" pid="16" name="LINKK6">
    <vt:lpwstr>http://www.nevo.co.il/Psika_word/mechozi/ME-11-12-13333-639.doc;להחלטה במחוזי (03-05-2012)#תפ 13333-12-11 מדינת ישראל נ' דניאל דניאלי#שופטים: דניאל פיש#עו''ד: שלומי שרון</vt:lpwstr>
  </property>
  <property fmtid="{D5CDD505-2E9C-101B-9397-08002B2CF9AE}" pid="17" name="LINKK7">
    <vt:lpwstr>http://www.nevo.co.il/Psika_word/mechozi/ME-11-12-13333-671.doc;להחלטה במחוזי (15-10-2012)#תפ 13333-12-11 מדינת ישראל נ' דניאל דניאלי#שופטים: דניאל פיש#עו''ד: שלומי שרון</vt:lpwstr>
  </property>
  <property fmtid="{D5CDD505-2E9C-101B-9397-08002B2CF9AE}" pid="18" name="PROCESS">
    <vt:lpwstr>עפ</vt:lpwstr>
  </property>
  <property fmtid="{D5CDD505-2E9C-101B-9397-08002B2CF9AE}" pid="19" name="PROCNUM">
    <vt:lpwstr>8731</vt:lpwstr>
  </property>
  <property fmtid="{D5CDD505-2E9C-101B-9397-08002B2CF9AE}" pid="20" name="PROCYEAR">
    <vt:lpwstr>12</vt:lpwstr>
  </property>
  <property fmtid="{D5CDD505-2E9C-101B-9397-08002B2CF9AE}" pid="21" name="PSAKDIN">
    <vt:lpwstr>פסק-דין</vt:lpwstr>
  </property>
  <property fmtid="{D5CDD505-2E9C-101B-9397-08002B2CF9AE}" pid="22" name="TYPE">
    <vt:lpwstr>1</vt:lpwstr>
  </property>
  <property fmtid="{D5CDD505-2E9C-101B-9397-08002B2CF9AE}" pid="23" name="TYPE_ABS_DATE">
    <vt:lpwstr>410020130411</vt:lpwstr>
  </property>
  <property fmtid="{D5CDD505-2E9C-101B-9397-08002B2CF9AE}" pid="24" name="TYPE_N_DATE">
    <vt:lpwstr>41020130411</vt:lpwstr>
  </property>
  <property fmtid="{D5CDD505-2E9C-101B-9397-08002B2CF9AE}" pid="25" name="WORDNUMPAGES">
    <vt:lpwstr>4</vt:lpwstr>
  </property>
</Properties>
</file>