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tbl>
      <w:tblPr>
        <w:bidiVisual w:val="true"/>
        <w:tblW w:w="7857" w:type="dxa"/>
        <w:jc w:val="end"/>
        <w:tblInd w:w="0" w:type="dxa"/>
        <w:tblLayout w:type="fixed"/>
        <w:tblCellMar>
          <w:top w:w="0" w:type="dxa"/>
          <w:start w:w="108" w:type="dxa"/>
          <w:bottom w:w="0" w:type="dxa"/>
          <w:end w:w="108" w:type="dxa"/>
        </w:tblCellMar>
      </w:tblPr>
      <w:tblGrid>
        <w:gridCol w:w="7857"/>
      </w:tblGrid>
      <w:tr>
        <w:trPr/>
        <w:tc>
          <w:tcPr>
            <w:tcW w:w="7857" w:type="dxa"/>
            <w:tcBorders/>
          </w:tcPr>
          <w:p>
            <w:pPr>
              <w:pStyle w:val="FileNumber1"/>
              <w:ind w:end="0"/>
              <w:jc w:val="center"/>
              <w:rPr>
                <w:sz w:val="28"/>
              </w:rPr>
            </w:pPr>
            <w:r>
              <w:rPr>
                <w:sz w:val="22"/>
                <w:sz w:val="22"/>
                <w:szCs w:val="30"/>
                <w:rtl w:val="true"/>
              </w:rPr>
              <w:t>בבית</w:t>
            </w:r>
            <w:r>
              <w:rPr>
                <w:rFonts w:cs="Times New Roman"/>
                <w:sz w:val="22"/>
                <w:sz w:val="22"/>
                <w:szCs w:val="30"/>
                <w:rtl w:val="true"/>
              </w:rPr>
              <w:t xml:space="preserve"> </w:t>
            </w:r>
            <w:r>
              <w:rPr>
                <w:sz w:val="22"/>
                <w:sz w:val="22"/>
                <w:szCs w:val="30"/>
                <w:rtl w:val="true"/>
              </w:rPr>
              <w:t>המשפט</w:t>
            </w:r>
            <w:r>
              <w:rPr>
                <w:rFonts w:cs="Times New Roman"/>
                <w:sz w:val="22"/>
                <w:sz w:val="22"/>
                <w:szCs w:val="30"/>
                <w:rtl w:val="true"/>
              </w:rPr>
              <w:t xml:space="preserve"> </w:t>
            </w:r>
            <w:r>
              <w:rPr>
                <w:sz w:val="22"/>
                <w:sz w:val="22"/>
                <w:szCs w:val="30"/>
                <w:rtl w:val="true"/>
              </w:rPr>
              <w:t>העליון</w:t>
            </w:r>
            <w:r>
              <w:rPr>
                <w:rFonts w:cs="Times New Roman"/>
                <w:sz w:val="22"/>
                <w:sz w:val="22"/>
                <w:szCs w:val="30"/>
                <w:rtl w:val="true"/>
              </w:rPr>
              <w:t xml:space="preserve"> </w:t>
            </w:r>
            <w:r>
              <w:rPr>
                <w:sz w:val="22"/>
                <w:sz w:val="22"/>
                <w:szCs w:val="30"/>
                <w:rtl w:val="true"/>
              </w:rPr>
              <w:t>בשבתו</w:t>
            </w:r>
            <w:r>
              <w:rPr>
                <w:rFonts w:cs="Times New Roman"/>
                <w:sz w:val="22"/>
                <w:sz w:val="22"/>
                <w:szCs w:val="30"/>
                <w:rtl w:val="true"/>
              </w:rPr>
              <w:t xml:space="preserve"> </w:t>
            </w:r>
            <w:r>
              <w:rPr>
                <w:sz w:val="22"/>
                <w:sz w:val="22"/>
                <w:szCs w:val="30"/>
                <w:rtl w:val="true"/>
              </w:rPr>
              <w:t>כבית</w:t>
            </w:r>
            <w:r>
              <w:rPr>
                <w:rFonts w:cs="Times New Roman"/>
                <w:sz w:val="22"/>
                <w:sz w:val="22"/>
                <w:szCs w:val="30"/>
                <w:rtl w:val="true"/>
              </w:rPr>
              <w:t xml:space="preserve"> </w:t>
            </w:r>
            <w:r>
              <w:rPr>
                <w:sz w:val="22"/>
                <w:sz w:val="22"/>
                <w:szCs w:val="30"/>
                <w:rtl w:val="true"/>
              </w:rPr>
              <w:t>משפט</w:t>
            </w:r>
            <w:r>
              <w:rPr>
                <w:rFonts w:cs="Times New Roman"/>
                <w:sz w:val="22"/>
                <w:sz w:val="22"/>
                <w:szCs w:val="30"/>
                <w:rtl w:val="true"/>
              </w:rPr>
              <w:t xml:space="preserve"> </w:t>
            </w:r>
            <w:r>
              <w:rPr>
                <w:sz w:val="22"/>
                <w:sz w:val="22"/>
                <w:szCs w:val="30"/>
                <w:rtl w:val="true"/>
              </w:rPr>
              <w:t>לערעורים</w:t>
            </w:r>
            <w:r>
              <w:rPr>
                <w:rFonts w:cs="Times New Roman"/>
                <w:sz w:val="22"/>
                <w:sz w:val="22"/>
                <w:szCs w:val="30"/>
                <w:rtl w:val="true"/>
              </w:rPr>
              <w:t xml:space="preserve"> </w:t>
            </w:r>
            <w:r>
              <w:rPr>
                <w:sz w:val="22"/>
                <w:sz w:val="22"/>
                <w:szCs w:val="30"/>
                <w:rtl w:val="true"/>
              </w:rPr>
              <w:t>פליליים</w:t>
            </w:r>
          </w:p>
        </w:tc>
      </w:tr>
    </w:tbl>
    <w:p>
      <w:pPr>
        <w:pStyle w:val="Normal"/>
        <w:ind w:end="0"/>
        <w:jc w:val="end"/>
        <w:rPr>
          <w:rFonts w:cs="Miriam"/>
          <w:b/>
          <w:bCs/>
        </w:rPr>
      </w:pPr>
      <w:r>
        <w:rPr>
          <w:rFonts w:cs="Miriam"/>
          <w:b/>
          <w:bCs/>
          <w:rtl w:val="true"/>
        </w:rPr>
      </w:r>
    </w:p>
    <w:tbl>
      <w:tblPr>
        <w:bidiVisual w:val="true"/>
        <w:tblW w:w="8495" w:type="dxa"/>
        <w:jc w:val="start"/>
        <w:tblInd w:w="0" w:type="dxa"/>
        <w:tblLayout w:type="fixed"/>
        <w:tblCellMar>
          <w:top w:w="0" w:type="dxa"/>
          <w:start w:w="108" w:type="dxa"/>
          <w:bottom w:w="0" w:type="dxa"/>
          <w:end w:w="108" w:type="dxa"/>
        </w:tblCellMar>
      </w:tblPr>
      <w:tblGrid>
        <w:gridCol w:w="8495"/>
      </w:tblGrid>
      <w:tr>
        <w:trPr>
          <w:trHeight w:val="342" w:hRule="atLeast"/>
        </w:trPr>
        <w:tc>
          <w:tcPr>
            <w:tcW w:w="8495" w:type="dxa"/>
            <w:tcBorders/>
          </w:tcPr>
          <w:p>
            <w:pPr>
              <w:pStyle w:val="FileNumber"/>
              <w:ind w:end="0"/>
              <w:jc w:val="end"/>
              <w:rPr/>
            </w:pPr>
            <w:bookmarkStart w:id="0" w:name="casename_body"/>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1768/14</w:t>
            </w:r>
            <w:r>
              <w:rPr>
                <w:sz w:val="28"/>
                <w:szCs w:val="28"/>
                <w:rtl w:val="true"/>
              </w:rPr>
              <w:t xml:space="preserve"> </w:t>
            </w:r>
            <w:bookmarkEnd w:id="0"/>
          </w:p>
        </w:tc>
      </w:tr>
    </w:tbl>
    <w:p>
      <w:pPr>
        <w:pStyle w:val="Normal"/>
        <w:spacing w:lineRule="auto" w:line="480"/>
        <w:ind w:end="0"/>
        <w:jc w:val="end"/>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rHeight w:val="287" w:hRule="atLeast"/>
        </w:trPr>
        <w:tc>
          <w:tcPr>
            <w:tcW w:w="3284" w:type="dxa"/>
            <w:tcBorders/>
          </w:tcPr>
          <w:p>
            <w:pPr>
              <w:pStyle w:val="BodyRuller1"/>
              <w:ind w:end="0"/>
              <w:jc w:val="start"/>
              <w:rPr>
                <w:rFonts w:cs="Miriam"/>
                <w:b/>
                <w:bCs/>
              </w:rPr>
            </w:pPr>
            <w:r>
              <w:rPr>
                <w:rtl w:val="true"/>
              </w:rPr>
              <w:t>לפני</w:t>
            </w:r>
            <w:r>
              <w:rPr>
                <w:rtl w:val="true"/>
              </w:rPr>
              <w:t>:</w:t>
              <w:tab/>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ס</w:t>
            </w:r>
            <w:r>
              <w:rPr>
                <w:rtl w:val="true"/>
              </w:rPr>
              <w:t xml:space="preserve">' </w:t>
            </w:r>
            <w:r>
              <w:rPr>
                <w:rtl w:val="true"/>
              </w:rPr>
              <w:t>ג</w:t>
            </w:r>
            <w:r>
              <w:rPr>
                <w:rtl w:val="true"/>
              </w:rPr>
              <w:t>'</w:t>
            </w:r>
            <w:r>
              <w:rPr>
                <w:rtl w:val="true"/>
              </w:rPr>
              <w:t>ובראן</w:t>
            </w:r>
          </w:p>
        </w:tc>
      </w:tr>
      <w:tr>
        <w:trPr>
          <w:trHeight w:val="287" w:hRule="atLeast"/>
        </w:trPr>
        <w:tc>
          <w:tcPr>
            <w:tcW w:w="3284" w:type="dxa"/>
            <w:tcBorders/>
          </w:tcPr>
          <w:p>
            <w:pPr>
              <w:pStyle w:val="BodyRuller1"/>
              <w:snapToGrid w:val="false"/>
              <w:ind w:end="0"/>
              <w:jc w:val="start"/>
              <w:rPr>
                <w:rFonts w:cs="Times New Roman"/>
                <w:szCs w:val="20"/>
              </w:rPr>
            </w:pPr>
            <w:r>
              <w:rPr>
                <w:rFonts w:cs="Times New Roman"/>
                <w:szCs w:val="20"/>
                <w:rtl w:val="true"/>
              </w:rPr>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נ</w:t>
            </w:r>
            <w:r>
              <w:rPr>
                <w:rtl w:val="true"/>
              </w:rPr>
              <w:t xml:space="preserve">' </w:t>
            </w:r>
            <w:r>
              <w:rPr>
                <w:rtl w:val="true"/>
              </w:rPr>
              <w:t>הנדל</w:t>
            </w:r>
          </w:p>
        </w:tc>
      </w:tr>
      <w:tr>
        <w:trPr>
          <w:trHeight w:val="287" w:hRule="atLeast"/>
        </w:trPr>
        <w:tc>
          <w:tcPr>
            <w:tcW w:w="3284" w:type="dxa"/>
            <w:tcBorders/>
          </w:tcPr>
          <w:p>
            <w:pPr>
              <w:pStyle w:val="BodyRuller1"/>
              <w:snapToGrid w:val="false"/>
              <w:ind w:end="0"/>
              <w:jc w:val="start"/>
              <w:rPr>
                <w:rFonts w:cs="Times New Roman"/>
                <w:szCs w:val="20"/>
              </w:rPr>
            </w:pPr>
            <w:r>
              <w:rPr>
                <w:rFonts w:cs="Times New Roman"/>
                <w:szCs w:val="20"/>
                <w:rtl w:val="true"/>
              </w:rPr>
            </w:r>
            <w:bookmarkStart w:id="1" w:name="LastJudge"/>
            <w:bookmarkStart w:id="2" w:name="LastJudge"/>
            <w:bookmarkEnd w:id="2"/>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א</w:t>
            </w:r>
            <w:r>
              <w:rPr>
                <w:rtl w:val="true"/>
              </w:rPr>
              <w:t xml:space="preserve">' </w:t>
            </w:r>
            <w:r>
              <w:rPr>
                <w:rtl w:val="true"/>
              </w:rPr>
              <w:t>שהם</w:t>
            </w:r>
          </w:p>
        </w:tc>
      </w:tr>
    </w:tbl>
    <w:p>
      <w:pPr>
        <w:pStyle w:val="Ruller31"/>
        <w:ind w:end="0"/>
        <w:jc w:val="start"/>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bookmarkStart w:id="3" w:name="FirstAppellant"/>
            <w:bookmarkEnd w:id="3"/>
            <w:r>
              <w:rPr>
                <w:rtl w:val="true"/>
              </w:rPr>
              <w:t>המערער</w:t>
            </w:r>
            <w:r>
              <w:rPr>
                <w:rtl w:val="true"/>
              </w:rPr>
              <w:t>:</w:t>
            </w:r>
          </w:p>
        </w:tc>
        <w:tc>
          <w:tcPr>
            <w:tcW w:w="5238" w:type="dxa"/>
            <w:tcBorders/>
          </w:tcPr>
          <w:p>
            <w:pPr>
              <w:pStyle w:val="BodyRuller1"/>
              <w:ind w:end="0"/>
              <w:jc w:val="start"/>
              <w:rPr/>
            </w:pPr>
            <w:r>
              <w:rPr>
                <w:rtl w:val="true"/>
              </w:rPr>
              <w:t>בהא</w:t>
            </w:r>
            <w:r>
              <w:rPr>
                <w:rFonts w:cs="Times New Roman"/>
                <w:rtl w:val="true"/>
              </w:rPr>
              <w:t xml:space="preserve"> </w:t>
            </w:r>
            <w:r>
              <w:rPr>
                <w:rtl w:val="true"/>
              </w:rPr>
              <w:t>גנאיים</w:t>
            </w:r>
          </w:p>
        </w:tc>
      </w:tr>
    </w:tbl>
    <w:p>
      <w:pPr>
        <w:pStyle w:val="Ruller31"/>
        <w:ind w:end="0"/>
        <w:jc w:val="start"/>
        <w:rPr/>
      </w:pPr>
      <w:r>
        <w:rPr>
          <w:rtl w:val="true"/>
        </w:rPr>
        <w:tab/>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נ</w:t>
            </w:r>
            <w:r>
              <w:rPr>
                <w:rFonts w:cs="Times New Roman"/>
                <w:rtl w:val="true"/>
              </w:rPr>
              <w:t xml:space="preserve"> </w:t>
            </w:r>
            <w:r>
              <w:rPr>
                <w:rFonts w:cs="Times New Roman"/>
                <w:rtl w:val="true"/>
              </w:rPr>
              <w:t xml:space="preserve"> </w:t>
            </w:r>
            <w:r>
              <w:rPr>
                <w:rtl w:val="true"/>
              </w:rPr>
              <w:t>ג</w:t>
            </w:r>
            <w:r>
              <w:rPr>
                <w:rFonts w:cs="Times New Roman"/>
                <w:rtl w:val="true"/>
              </w:rPr>
              <w:t xml:space="preserve"> </w:t>
            </w:r>
            <w:r>
              <w:rPr>
                <w:rFonts w:cs="Times New Roman"/>
                <w:rtl w:val="true"/>
              </w:rPr>
              <w:t xml:space="preserve"> </w:t>
            </w:r>
            <w:r>
              <w:rPr>
                <w:rtl w:val="true"/>
              </w:rPr>
              <w:t>ד</w:t>
            </w:r>
          </w:p>
        </w:tc>
      </w:tr>
    </w:tbl>
    <w:p>
      <w:pPr>
        <w:pStyle w:val="Ruller31"/>
        <w:ind w:end="0"/>
        <w:jc w:val="start"/>
        <w:rPr/>
      </w:pPr>
      <w:r>
        <w:rPr>
          <w:rtl w:val="true"/>
        </w:rPr>
        <w:tab/>
        <w:tab/>
        <w:tab/>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המשיבה</w:t>
            </w:r>
            <w:r>
              <w:rPr>
                <w:rtl w:val="true"/>
              </w:rPr>
              <w:t>:</w:t>
            </w:r>
          </w:p>
        </w:tc>
        <w:tc>
          <w:tcPr>
            <w:tcW w:w="5238"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tab/>
      </w:r>
    </w:p>
    <w:tbl>
      <w:tblPr>
        <w:bidiVisual w:val="true"/>
        <w:tblW w:w="5238" w:type="dxa"/>
        <w:jc w:val="start"/>
        <w:tblInd w:w="0" w:type="dxa"/>
        <w:tblLayout w:type="fixed"/>
        <w:tblCellMar>
          <w:top w:w="0" w:type="dxa"/>
          <w:start w:w="108" w:type="dxa"/>
          <w:bottom w:w="0" w:type="dxa"/>
          <w:end w:w="108" w:type="dxa"/>
        </w:tblCellMar>
      </w:tblPr>
      <w:tblGrid>
        <w:gridCol w:w="5238"/>
      </w:tblGrid>
      <w:tr>
        <w:trPr/>
        <w:tc>
          <w:tcPr>
            <w:tcW w:w="5238"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גזר</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בחיפה</w:t>
            </w:r>
            <w:r>
              <w:rPr>
                <w:rFonts w:cs="Times New Roman"/>
                <w:sz w:val="24"/>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23.2.2014</w:t>
            </w:r>
            <w:r>
              <w:rPr>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פ</w:t>
              </w:r>
              <w:r>
                <w:rPr>
                  <w:rStyle w:val="Hyperlink"/>
                  <w:rFonts w:cs="Times New Roman"/>
                  <w:color w:val="0000FF"/>
                  <w:sz w:val="24"/>
                  <w:sz w:val="24"/>
                  <w:szCs w:val="24"/>
                  <w:u w:val="single"/>
                  <w:rtl w:val="true"/>
                </w:rPr>
                <w:t xml:space="preserve"> </w:t>
              </w:r>
              <w:r>
                <w:rPr>
                  <w:rStyle w:val="Hyperlink"/>
                  <w:color w:val="0000FF"/>
                  <w:sz w:val="24"/>
                  <w:szCs w:val="24"/>
                  <w:u w:val="single"/>
                </w:rPr>
                <w:t>40240-09-12</w:t>
              </w:r>
            </w:hyperlink>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r>
              <w:rPr>
                <w:sz w:val="24"/>
                <w:sz w:val="24"/>
                <w:szCs w:val="24"/>
                <w:rtl w:val="true"/>
              </w:rPr>
              <w:t>שניתן</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כבוד</w:t>
            </w:r>
            <w:r>
              <w:rPr>
                <w:rFonts w:cs="Times New Roman"/>
                <w:sz w:val="24"/>
                <w:sz w:val="24"/>
                <w:szCs w:val="24"/>
                <w:rtl w:val="true"/>
              </w:rPr>
              <w:t xml:space="preserve"> </w:t>
            </w:r>
            <w:r>
              <w:rPr>
                <w:sz w:val="24"/>
                <w:sz w:val="24"/>
                <w:szCs w:val="24"/>
                <w:rtl w:val="true"/>
              </w:rPr>
              <w:t>השופט</w:t>
            </w:r>
            <w:r>
              <w:rPr>
                <w:rFonts w:cs="Times New Roman"/>
                <w:sz w:val="24"/>
                <w:sz w:val="24"/>
                <w:szCs w:val="24"/>
                <w:rtl w:val="true"/>
              </w:rPr>
              <w:t xml:space="preserve"> </w:t>
            </w:r>
            <w:r>
              <w:rPr>
                <w:sz w:val="24"/>
                <w:sz w:val="24"/>
                <w:szCs w:val="24"/>
                <w:rtl w:val="true"/>
              </w:rPr>
              <w:t>א</w:t>
            </w:r>
            <w:r>
              <w:rPr>
                <w:sz w:val="24"/>
                <w:szCs w:val="24"/>
                <w:rtl w:val="true"/>
              </w:rPr>
              <w:t xml:space="preserve">' </w:t>
            </w:r>
            <w:r>
              <w:rPr>
                <w:sz w:val="24"/>
                <w:sz w:val="24"/>
                <w:szCs w:val="24"/>
                <w:rtl w:val="true"/>
              </w:rPr>
              <w:t>אליקים</w:t>
            </w:r>
          </w:p>
        </w:tc>
      </w:tr>
    </w:tbl>
    <w:p>
      <w:pPr>
        <w:pStyle w:val="Ruller31"/>
        <w:ind w:end="0"/>
        <w:jc w:val="start"/>
        <w:rPr/>
      </w:pPr>
      <w:r>
        <w:rPr>
          <w:rtl w:val="true"/>
        </w:rPr>
        <w:tab/>
      </w:r>
    </w:p>
    <w:tbl>
      <w:tblPr>
        <w:bidiVisual w:val="true"/>
        <w:tblW w:w="8535" w:type="dxa"/>
        <w:jc w:val="start"/>
        <w:tblInd w:w="-40" w:type="dxa"/>
        <w:tblLayout w:type="fixed"/>
        <w:tblCellMar>
          <w:top w:w="0" w:type="dxa"/>
          <w:start w:w="108" w:type="dxa"/>
          <w:bottom w:w="0" w:type="dxa"/>
          <w:end w:w="108" w:type="dxa"/>
        </w:tblCellMar>
      </w:tblPr>
      <w:tblGrid>
        <w:gridCol w:w="3257"/>
        <w:gridCol w:w="2301"/>
        <w:gridCol w:w="2977"/>
      </w:tblGrid>
      <w:tr>
        <w:trPr/>
        <w:tc>
          <w:tcPr>
            <w:tcW w:w="3257"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301" w:type="dxa"/>
            <w:tcBorders/>
          </w:tcPr>
          <w:p>
            <w:pPr>
              <w:pStyle w:val="BodyRuller1"/>
              <w:ind w:end="0"/>
              <w:jc w:val="start"/>
              <w:rPr>
                <w:sz w:val="24"/>
                <w:szCs w:val="24"/>
              </w:rPr>
            </w:pPr>
            <w:bookmarkStart w:id="4" w:name="xDate"/>
            <w:r>
              <w:rPr>
                <w:sz w:val="24"/>
                <w:sz w:val="24"/>
                <w:szCs w:val="24"/>
                <w:rtl w:val="true"/>
              </w:rPr>
              <w:t>ג</w:t>
            </w:r>
            <w:r>
              <w:rPr>
                <w:sz w:val="24"/>
                <w:szCs w:val="24"/>
                <w:rtl w:val="true"/>
              </w:rPr>
              <w:t xml:space="preserve">' </w:t>
            </w:r>
            <w:r>
              <w:rPr>
                <w:sz w:val="24"/>
                <w:sz w:val="24"/>
                <w:szCs w:val="24"/>
                <w:rtl w:val="true"/>
              </w:rPr>
              <w:t>בתמ</w:t>
            </w:r>
            <w:bookmarkEnd w:id="4"/>
            <w:r>
              <w:rPr>
                <w:sz w:val="24"/>
                <w:sz w:val="24"/>
                <w:szCs w:val="24"/>
                <w:rtl w:val="true"/>
              </w:rPr>
              <w:t>וז</w:t>
            </w:r>
            <w:r>
              <w:rPr>
                <w:rFonts w:cs="Times New Roman"/>
                <w:sz w:val="24"/>
                <w:sz w:val="24"/>
                <w:szCs w:val="24"/>
                <w:rtl w:val="true"/>
              </w:rPr>
              <w:t xml:space="preserve"> </w:t>
            </w:r>
            <w:r>
              <w:rPr>
                <w:sz w:val="24"/>
                <w:sz w:val="24"/>
                <w:szCs w:val="24"/>
                <w:rtl w:val="true"/>
              </w:rPr>
              <w:t>התשע</w:t>
            </w:r>
            <w:r>
              <w:rPr>
                <w:sz w:val="24"/>
                <w:szCs w:val="24"/>
                <w:rtl w:val="true"/>
              </w:rPr>
              <w:t>"</w:t>
            </w:r>
            <w:r>
              <w:rPr>
                <w:sz w:val="24"/>
                <w:sz w:val="24"/>
                <w:szCs w:val="24"/>
                <w:rtl w:val="true"/>
              </w:rPr>
              <w:t>ד</w:t>
            </w:r>
          </w:p>
        </w:tc>
        <w:tc>
          <w:tcPr>
            <w:tcW w:w="2977" w:type="dxa"/>
            <w:tcBorders/>
          </w:tcPr>
          <w:p>
            <w:pPr>
              <w:pStyle w:val="BodyRuller1"/>
              <w:ind w:end="0"/>
              <w:jc w:val="start"/>
              <w:rPr>
                <w:sz w:val="24"/>
                <w:szCs w:val="24"/>
              </w:rPr>
            </w:pPr>
            <w:r>
              <w:rPr>
                <w:rtl w:val="true"/>
              </w:rPr>
              <w:t>(</w:t>
            </w:r>
            <w:r>
              <w:rPr/>
              <w:t>1.7.2014</w:t>
            </w:r>
            <w:r>
              <w:rPr>
                <w:rtl w:val="true"/>
              </w:rPr>
              <w:t>)</w:t>
            </w:r>
          </w:p>
        </w:tc>
      </w:tr>
    </w:tbl>
    <w:p>
      <w:pPr>
        <w:pStyle w:val="Ruller31"/>
        <w:spacing w:lineRule="auto" w:line="240"/>
        <w:ind w:end="0"/>
        <w:jc w:val="start"/>
        <w:rPr/>
      </w:pPr>
      <w:r>
        <w:rPr>
          <w:rtl w:val="true"/>
        </w:rPr>
      </w:r>
    </w:p>
    <w:tbl>
      <w:tblPr>
        <w:bidiVisual w:val="true"/>
        <w:tblW w:w="8495" w:type="dxa"/>
        <w:jc w:val="start"/>
        <w:tblInd w:w="0"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שלומי</w:t>
            </w:r>
            <w:r>
              <w:rPr>
                <w:rFonts w:cs="Times New Roman"/>
                <w:rtl w:val="true"/>
              </w:rPr>
              <w:t xml:space="preserve"> </w:t>
            </w:r>
            <w:r>
              <w:rPr>
                <w:rtl w:val="true"/>
              </w:rPr>
              <w:t>בלומנפלד</w:t>
            </w:r>
          </w:p>
        </w:tc>
      </w:tr>
    </w:tbl>
    <w:p>
      <w:pPr>
        <w:pStyle w:val="Ruller31"/>
        <w:spacing w:lineRule="auto" w:line="240"/>
        <w:ind w:end="0"/>
        <w:jc w:val="start"/>
        <w:rPr/>
      </w:pPr>
      <w:r>
        <w:rPr>
          <w:rtl w:val="true"/>
        </w:rPr>
      </w:r>
    </w:p>
    <w:tbl>
      <w:tblPr>
        <w:bidiVisual w:val="true"/>
        <w:tblW w:w="8495" w:type="dxa"/>
        <w:jc w:val="start"/>
        <w:tblInd w:w="0"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bookmarkStart w:id="5" w:name="FirstLawyer"/>
            <w:bookmarkEnd w:id="5"/>
            <w:r>
              <w:rPr>
                <w:rtl w:val="true"/>
              </w:rPr>
              <w:t>בשם</w:t>
            </w:r>
            <w:r>
              <w:rPr>
                <w:rFonts w:cs="Times New Roman"/>
                <w:rtl w:val="true"/>
              </w:rPr>
              <w:t xml:space="preserve"> </w:t>
            </w:r>
            <w:r>
              <w:rPr>
                <w:rtl w:val="true"/>
              </w:rPr>
              <w:t>המשיבה</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קרן</w:t>
            </w:r>
            <w:r>
              <w:rPr>
                <w:rFonts w:cs="Times New Roman"/>
                <w:rtl w:val="true"/>
              </w:rPr>
              <w:t xml:space="preserve"> </w:t>
            </w:r>
            <w:r>
              <w:rPr>
                <w:rtl w:val="true"/>
              </w:rPr>
              <w:t>רוט</w:t>
            </w:r>
          </w:p>
        </w:tc>
      </w:tr>
    </w:tbl>
    <w:p>
      <w:pPr>
        <w:pStyle w:val="BODYVERDICT"/>
        <w:ind w:end="0"/>
        <w:jc w:val="start"/>
        <w:rPr/>
      </w:pPr>
      <w:r>
        <w:rPr>
          <w:rtl w:val="true"/>
        </w:rPr>
      </w:r>
      <w:bookmarkStart w:id="6" w:name="LawTable"/>
      <w:bookmarkStart w:id="7" w:name="secretary"/>
      <w:bookmarkStart w:id="8" w:name="BeginProtocol"/>
      <w:bookmarkStart w:id="9" w:name="LawTable"/>
      <w:bookmarkStart w:id="10" w:name="secretary"/>
      <w:bookmarkStart w:id="11" w:name="BeginProtocol"/>
      <w:bookmarkEnd w:id="9"/>
      <w:bookmarkEnd w:id="10"/>
      <w:bookmarkEnd w:id="11"/>
    </w:p>
    <w:p>
      <w:pPr>
        <w:pStyle w:val="DocumentHead"/>
        <w:spacing w:lineRule="exact" w:line="240" w:before="0" w:after="120"/>
        <w:ind w:hanging="283" w:start="283" w:end="0"/>
        <w:jc w:val="both"/>
        <w:rPr>
          <w:rFonts w:ascii="FrankRuehl" w:hAnsi="FrankRuehl" w:cs="FrankRuehl"/>
          <w:bCs w:val="false"/>
          <w:spacing w:val="0"/>
          <w:sz w:val="24"/>
          <w:szCs w:val="24"/>
          <w:u w:val="none"/>
        </w:rPr>
      </w:pPr>
      <w:r>
        <w:rPr>
          <w:rFonts w:cs="FrankRuehl" w:ascii="FrankRuehl" w:hAnsi="FrankRuehl"/>
          <w:bCs w:val="false"/>
          <w:spacing w:val="0"/>
          <w:sz w:val="24"/>
          <w:szCs w:val="24"/>
          <w:u w:val="none"/>
          <w:rtl w:val="true"/>
        </w:rPr>
      </w:r>
    </w:p>
    <w:p>
      <w:pPr>
        <w:pStyle w:val="DocumentHead"/>
        <w:spacing w:lineRule="exact" w:line="240" w:before="0" w:after="120"/>
        <w:ind w:hanging="283" w:start="283" w:end="0"/>
        <w:jc w:val="both"/>
        <w:rPr>
          <w:rFonts w:ascii="FrankRuehl" w:hAnsi="FrankRuehl" w:cs="FrankRuehl"/>
          <w:bCs w:val="false"/>
          <w:spacing w:val="0"/>
          <w:sz w:val="24"/>
          <w:szCs w:val="24"/>
          <w:u w:val="none"/>
        </w:rPr>
      </w:pPr>
      <w:r>
        <w:rPr>
          <w:rFonts w:ascii="FrankRuehl" w:hAnsi="FrankRuehl" w:cs="FrankRuehl"/>
          <w:bCs w:val="false"/>
          <w:spacing w:val="0"/>
          <w:sz w:val="24"/>
          <w:sz w:val="24"/>
          <w:szCs w:val="24"/>
          <w:u w:val="none"/>
          <w:rtl w:val="true"/>
        </w:rPr>
        <w:t>חקיקה שאוזכרה</w:t>
      </w:r>
      <w:r>
        <w:rPr>
          <w:rFonts w:cs="FrankRuehl" w:ascii="FrankRuehl" w:hAnsi="FrankRuehl"/>
          <w:bCs w:val="false"/>
          <w:spacing w:val="0"/>
          <w:sz w:val="24"/>
          <w:szCs w:val="24"/>
          <w:u w:val="none"/>
          <w:rtl w:val="true"/>
        </w:rPr>
        <w:t xml:space="preserve">: </w:t>
      </w:r>
    </w:p>
    <w:p>
      <w:pPr>
        <w:pStyle w:val="DocumentHead"/>
        <w:spacing w:lineRule="exact" w:line="240" w:before="0" w:after="120"/>
        <w:ind w:hanging="283" w:start="283" w:end="0"/>
        <w:jc w:val="both"/>
        <w:rPr>
          <w:rFonts w:ascii="FrankRuehl" w:hAnsi="FrankRuehl" w:cs="FrankRuehl"/>
          <w:bCs w:val="false"/>
          <w:spacing w:val="0"/>
          <w:sz w:val="24"/>
          <w:szCs w:val="24"/>
          <w:u w:val="none"/>
        </w:rPr>
      </w:pPr>
      <w:hyperlink r:id="rId3">
        <w:r>
          <w:rPr>
            <w:rStyle w:val="Hyperlink"/>
            <w:rFonts w:ascii="FrankRuehl" w:hAnsi="FrankRuehl" w:cs="FrankRuehl"/>
            <w:bCs w:val="false"/>
            <w:color w:val="0000FF"/>
            <w:spacing w:val="0"/>
            <w:sz w:val="24"/>
            <w:sz w:val="24"/>
            <w:szCs w:val="24"/>
            <w:rtl w:val="true"/>
          </w:rPr>
          <w:t>חוק העונשין</w:t>
        </w:r>
        <w:r>
          <w:rPr>
            <w:rStyle w:val="Hyperlink"/>
            <w:rFonts w:cs="FrankRuehl" w:ascii="FrankRuehl" w:hAnsi="FrankRuehl"/>
            <w:bCs w:val="false"/>
            <w:color w:val="0000FF"/>
            <w:spacing w:val="0"/>
            <w:sz w:val="24"/>
            <w:szCs w:val="24"/>
            <w:rtl w:val="true"/>
          </w:rPr>
          <w:t xml:space="preserve">, </w:t>
        </w:r>
        <w:r>
          <w:rPr>
            <w:rStyle w:val="Hyperlink"/>
            <w:rFonts w:ascii="FrankRuehl" w:hAnsi="FrankRuehl" w:cs="FrankRuehl"/>
            <w:bCs w:val="false"/>
            <w:color w:val="0000FF"/>
            <w:spacing w:val="0"/>
            <w:sz w:val="24"/>
            <w:sz w:val="24"/>
            <w:szCs w:val="24"/>
            <w:rtl w:val="true"/>
          </w:rPr>
          <w:t>תשל</w:t>
        </w:r>
        <w:r>
          <w:rPr>
            <w:rStyle w:val="Hyperlink"/>
            <w:rFonts w:cs="FrankRuehl" w:ascii="FrankRuehl" w:hAnsi="FrankRuehl"/>
            <w:bCs w:val="false"/>
            <w:color w:val="0000FF"/>
            <w:spacing w:val="0"/>
            <w:sz w:val="24"/>
            <w:szCs w:val="24"/>
            <w:rtl w:val="true"/>
          </w:rPr>
          <w:t>"</w:t>
        </w:r>
        <w:r>
          <w:rPr>
            <w:rStyle w:val="Hyperlink"/>
            <w:rFonts w:ascii="FrankRuehl" w:hAnsi="FrankRuehl" w:cs="FrankRuehl"/>
            <w:bCs w:val="false"/>
            <w:color w:val="0000FF"/>
            <w:spacing w:val="0"/>
            <w:sz w:val="24"/>
            <w:sz w:val="24"/>
            <w:szCs w:val="24"/>
            <w:rtl w:val="true"/>
          </w:rPr>
          <w:t>ז</w:t>
        </w:r>
        <w:r>
          <w:rPr>
            <w:rStyle w:val="Hyperlink"/>
            <w:rFonts w:cs="FrankRuehl" w:ascii="FrankRuehl" w:hAnsi="FrankRuehl"/>
            <w:bCs w:val="false"/>
            <w:color w:val="0000FF"/>
            <w:spacing w:val="0"/>
            <w:sz w:val="24"/>
            <w:szCs w:val="24"/>
            <w:rtl w:val="true"/>
          </w:rPr>
          <w:t>-</w:t>
        </w:r>
        <w:r>
          <w:rPr>
            <w:rStyle w:val="Hyperlink"/>
            <w:rFonts w:cs="FrankRuehl" w:ascii="FrankRuehl" w:hAnsi="FrankRuehl"/>
            <w:bCs w:val="false"/>
            <w:color w:val="0000FF"/>
            <w:spacing w:val="0"/>
            <w:sz w:val="24"/>
            <w:szCs w:val="24"/>
          </w:rPr>
          <w:t>1977</w:t>
        </w:r>
      </w:hyperlink>
      <w:r>
        <w:rPr>
          <w:rFonts w:cs="FrankRuehl" w:ascii="FrankRuehl" w:hAnsi="FrankRuehl"/>
          <w:bCs w:val="false"/>
          <w:spacing w:val="0"/>
          <w:sz w:val="24"/>
          <w:szCs w:val="24"/>
          <w:u w:val="none"/>
          <w:rtl w:val="true"/>
        </w:rPr>
        <w:t xml:space="preserve">: </w:t>
      </w:r>
      <w:r>
        <w:rPr>
          <w:rFonts w:ascii="FrankRuehl" w:hAnsi="FrankRuehl" w:cs="FrankRuehl"/>
          <w:bCs w:val="false"/>
          <w:spacing w:val="0"/>
          <w:sz w:val="24"/>
          <w:sz w:val="24"/>
          <w:szCs w:val="24"/>
          <w:u w:val="none"/>
          <w:rtl w:val="true"/>
        </w:rPr>
        <w:t>סע</w:t>
      </w:r>
      <w:r>
        <w:rPr>
          <w:rFonts w:cs="FrankRuehl" w:ascii="FrankRuehl" w:hAnsi="FrankRuehl"/>
          <w:bCs w:val="false"/>
          <w:spacing w:val="0"/>
          <w:sz w:val="24"/>
          <w:szCs w:val="24"/>
          <w:u w:val="none"/>
          <w:rtl w:val="true"/>
        </w:rPr>
        <w:t xml:space="preserve">'  </w:t>
      </w:r>
      <w:hyperlink r:id="rId4">
        <w:r>
          <w:rPr>
            <w:rStyle w:val="Hyperlink"/>
            <w:rFonts w:cs="FrankRuehl" w:ascii="FrankRuehl" w:hAnsi="FrankRuehl"/>
            <w:bCs w:val="false"/>
            <w:color w:val="0000FF"/>
            <w:spacing w:val="0"/>
            <w:sz w:val="24"/>
            <w:szCs w:val="24"/>
          </w:rPr>
          <w:t>29</w:t>
        </w:r>
      </w:hyperlink>
      <w:r>
        <w:rPr>
          <w:rFonts w:cs="FrankRuehl" w:ascii="FrankRuehl" w:hAnsi="FrankRuehl"/>
          <w:bCs w:val="false"/>
          <w:spacing w:val="0"/>
          <w:sz w:val="24"/>
          <w:szCs w:val="24"/>
          <w:u w:val="none"/>
          <w:rtl w:val="true"/>
        </w:rPr>
        <w:t xml:space="preserve">, </w:t>
      </w:r>
      <w:hyperlink r:id="rId5">
        <w:r>
          <w:rPr>
            <w:rStyle w:val="Hyperlink"/>
            <w:rFonts w:cs="FrankRuehl" w:ascii="FrankRuehl" w:hAnsi="FrankRuehl"/>
            <w:bCs w:val="false"/>
            <w:color w:val="0000FF"/>
            <w:spacing w:val="0"/>
            <w:sz w:val="24"/>
            <w:szCs w:val="24"/>
          </w:rPr>
          <w:t>40</w:t>
        </w:r>
        <w:r>
          <w:rPr>
            <w:rStyle w:val="Hyperlink"/>
            <w:rFonts w:ascii="FrankRuehl" w:hAnsi="FrankRuehl" w:cs="FrankRuehl"/>
            <w:bCs w:val="false"/>
            <w:color w:val="0000FF"/>
            <w:spacing w:val="0"/>
            <w:sz w:val="24"/>
            <w:sz w:val="24"/>
            <w:szCs w:val="24"/>
            <w:rtl w:val="true"/>
          </w:rPr>
          <w:t>ז</w:t>
        </w:r>
      </w:hyperlink>
      <w:r>
        <w:rPr>
          <w:rFonts w:cs="FrankRuehl" w:ascii="FrankRuehl" w:hAnsi="FrankRuehl"/>
          <w:bCs w:val="false"/>
          <w:spacing w:val="0"/>
          <w:sz w:val="24"/>
          <w:szCs w:val="24"/>
          <w:u w:val="none"/>
          <w:rtl w:val="true"/>
        </w:rPr>
        <w:t xml:space="preserve">, </w:t>
      </w:r>
      <w:hyperlink r:id="rId6">
        <w:r>
          <w:rPr>
            <w:rStyle w:val="Hyperlink"/>
            <w:rFonts w:cs="FrankRuehl" w:ascii="FrankRuehl" w:hAnsi="FrankRuehl"/>
            <w:bCs w:val="false"/>
            <w:color w:val="0000FF"/>
            <w:spacing w:val="0"/>
            <w:sz w:val="24"/>
            <w:szCs w:val="24"/>
          </w:rPr>
          <w:t>144</w:t>
        </w:r>
        <w:r>
          <w:rPr>
            <w:rStyle w:val="Hyperlink"/>
            <w:rFonts w:cs="FrankRuehl" w:ascii="FrankRuehl" w:hAnsi="FrankRuehl"/>
            <w:bCs w:val="false"/>
            <w:color w:val="0000FF"/>
            <w:spacing w:val="0"/>
            <w:sz w:val="24"/>
            <w:szCs w:val="24"/>
            <w:rtl w:val="true"/>
          </w:rPr>
          <w:t>(</w:t>
        </w:r>
        <w:r>
          <w:rPr>
            <w:rStyle w:val="Hyperlink"/>
            <w:rFonts w:ascii="FrankRuehl" w:hAnsi="FrankRuehl" w:cs="FrankRuehl"/>
            <w:bCs w:val="false"/>
            <w:color w:val="0000FF"/>
            <w:spacing w:val="0"/>
            <w:sz w:val="24"/>
            <w:sz w:val="24"/>
            <w:szCs w:val="24"/>
            <w:rtl w:val="true"/>
          </w:rPr>
          <w:t>א</w:t>
        </w:r>
        <w:r>
          <w:rPr>
            <w:rStyle w:val="Hyperlink"/>
            <w:rFonts w:cs="FrankRuehl" w:ascii="FrankRuehl" w:hAnsi="FrankRuehl"/>
            <w:bCs w:val="false"/>
            <w:color w:val="0000FF"/>
            <w:spacing w:val="0"/>
            <w:sz w:val="24"/>
            <w:szCs w:val="24"/>
            <w:rtl w:val="true"/>
          </w:rPr>
          <w:t>)</w:t>
        </w:r>
      </w:hyperlink>
      <w:r>
        <w:rPr>
          <w:rFonts w:cs="FrankRuehl" w:ascii="FrankRuehl" w:hAnsi="FrankRuehl"/>
          <w:bCs w:val="false"/>
          <w:spacing w:val="0"/>
          <w:sz w:val="24"/>
          <w:szCs w:val="24"/>
          <w:u w:val="none"/>
          <w:rtl w:val="true"/>
        </w:rPr>
        <w:t xml:space="preserve">, </w:t>
      </w:r>
      <w:hyperlink r:id="rId7">
        <w:r>
          <w:rPr>
            <w:rStyle w:val="Hyperlink"/>
            <w:rFonts w:cs="FrankRuehl" w:ascii="FrankRuehl" w:hAnsi="FrankRuehl"/>
            <w:bCs w:val="false"/>
            <w:color w:val="0000FF"/>
            <w:spacing w:val="0"/>
            <w:sz w:val="24"/>
            <w:szCs w:val="24"/>
          </w:rPr>
          <w:t>144</w:t>
        </w:r>
        <w:r>
          <w:rPr>
            <w:rStyle w:val="Hyperlink"/>
            <w:rFonts w:cs="FrankRuehl" w:ascii="FrankRuehl" w:hAnsi="FrankRuehl"/>
            <w:bCs w:val="false"/>
            <w:color w:val="0000FF"/>
            <w:spacing w:val="0"/>
            <w:sz w:val="24"/>
            <w:szCs w:val="24"/>
            <w:rtl w:val="true"/>
          </w:rPr>
          <w:t>(</w:t>
        </w:r>
        <w:r>
          <w:rPr>
            <w:rStyle w:val="Hyperlink"/>
            <w:rFonts w:ascii="FrankRuehl" w:hAnsi="FrankRuehl" w:cs="FrankRuehl"/>
            <w:bCs w:val="false"/>
            <w:color w:val="0000FF"/>
            <w:spacing w:val="0"/>
            <w:sz w:val="24"/>
            <w:sz w:val="24"/>
            <w:szCs w:val="24"/>
            <w:rtl w:val="true"/>
          </w:rPr>
          <w:t>ב</w:t>
        </w:r>
        <w:r>
          <w:rPr>
            <w:rStyle w:val="Hyperlink"/>
            <w:rFonts w:cs="FrankRuehl" w:ascii="FrankRuehl" w:hAnsi="FrankRuehl"/>
            <w:bCs w:val="false"/>
            <w:color w:val="0000FF"/>
            <w:spacing w:val="0"/>
            <w:sz w:val="24"/>
            <w:szCs w:val="24"/>
            <w:rtl w:val="true"/>
          </w:rPr>
          <w:t>)</w:t>
        </w:r>
      </w:hyperlink>
      <w:r>
        <w:rPr>
          <w:rFonts w:cs="FrankRuehl" w:ascii="FrankRuehl" w:hAnsi="FrankRuehl"/>
          <w:bCs w:val="false"/>
          <w:spacing w:val="0"/>
          <w:sz w:val="24"/>
          <w:szCs w:val="24"/>
          <w:u w:val="none"/>
          <w:rtl w:val="true"/>
        </w:rPr>
        <w:t xml:space="preserve">, </w:t>
      </w:r>
      <w:hyperlink r:id="rId8">
        <w:r>
          <w:rPr>
            <w:rStyle w:val="Hyperlink"/>
            <w:rFonts w:cs="FrankRuehl" w:ascii="FrankRuehl" w:hAnsi="FrankRuehl"/>
            <w:bCs w:val="false"/>
            <w:color w:val="0000FF"/>
            <w:spacing w:val="0"/>
            <w:sz w:val="24"/>
            <w:szCs w:val="24"/>
          </w:rPr>
          <w:t>144</w:t>
        </w:r>
        <w:r>
          <w:rPr>
            <w:rStyle w:val="Hyperlink"/>
            <w:rFonts w:cs="FrankRuehl" w:ascii="FrankRuehl" w:hAnsi="FrankRuehl"/>
            <w:bCs w:val="false"/>
            <w:color w:val="0000FF"/>
            <w:spacing w:val="0"/>
            <w:sz w:val="24"/>
            <w:szCs w:val="24"/>
            <w:rtl w:val="true"/>
          </w:rPr>
          <w:t>(</w:t>
        </w:r>
        <w:r>
          <w:rPr>
            <w:rStyle w:val="Hyperlink"/>
            <w:rFonts w:ascii="FrankRuehl" w:hAnsi="FrankRuehl" w:cs="FrankRuehl"/>
            <w:bCs w:val="false"/>
            <w:color w:val="0000FF"/>
            <w:spacing w:val="0"/>
            <w:sz w:val="24"/>
            <w:sz w:val="24"/>
            <w:szCs w:val="24"/>
            <w:rtl w:val="true"/>
          </w:rPr>
          <w:t>ב</w:t>
        </w:r>
        <w:r>
          <w:rPr>
            <w:rStyle w:val="Hyperlink"/>
            <w:rFonts w:cs="FrankRuehl" w:ascii="FrankRuehl" w:hAnsi="FrankRuehl"/>
            <w:bCs w:val="false"/>
            <w:color w:val="0000FF"/>
            <w:spacing w:val="0"/>
            <w:sz w:val="24"/>
            <w:szCs w:val="24"/>
          </w:rPr>
          <w:t>2</w:t>
        </w:r>
        <w:r>
          <w:rPr>
            <w:rStyle w:val="Hyperlink"/>
            <w:rFonts w:cs="FrankRuehl" w:ascii="FrankRuehl" w:hAnsi="FrankRuehl"/>
            <w:bCs w:val="false"/>
            <w:color w:val="0000FF"/>
            <w:spacing w:val="0"/>
            <w:sz w:val="24"/>
            <w:szCs w:val="24"/>
            <w:rtl w:val="true"/>
          </w:rPr>
          <w:t>)</w:t>
        </w:r>
      </w:hyperlink>
      <w:r>
        <w:rPr>
          <w:rFonts w:cs="FrankRuehl" w:ascii="FrankRuehl" w:hAnsi="FrankRuehl"/>
          <w:bCs w:val="false"/>
          <w:spacing w:val="0"/>
          <w:sz w:val="24"/>
          <w:szCs w:val="24"/>
          <w:u w:val="none"/>
          <w:rtl w:val="true"/>
        </w:rPr>
        <w:t xml:space="preserve">, </w:t>
      </w:r>
      <w:hyperlink r:id="rId9">
        <w:r>
          <w:rPr>
            <w:rStyle w:val="Hyperlink"/>
            <w:rFonts w:cs="FrankRuehl" w:ascii="FrankRuehl" w:hAnsi="FrankRuehl"/>
            <w:bCs w:val="false"/>
            <w:color w:val="0000FF"/>
            <w:spacing w:val="0"/>
            <w:sz w:val="24"/>
            <w:szCs w:val="24"/>
          </w:rPr>
          <w:t>144</w:t>
        </w:r>
        <w:r>
          <w:rPr>
            <w:rStyle w:val="Hyperlink"/>
            <w:rFonts w:cs="FrankRuehl" w:ascii="FrankRuehl" w:hAnsi="FrankRuehl"/>
            <w:bCs w:val="false"/>
            <w:color w:val="0000FF"/>
            <w:spacing w:val="0"/>
            <w:sz w:val="24"/>
            <w:szCs w:val="24"/>
            <w:rtl w:val="true"/>
          </w:rPr>
          <w:t>(</w:t>
        </w:r>
        <w:r>
          <w:rPr>
            <w:rStyle w:val="Hyperlink"/>
            <w:rFonts w:ascii="FrankRuehl" w:hAnsi="FrankRuehl" w:cs="FrankRuehl"/>
            <w:bCs w:val="false"/>
            <w:color w:val="0000FF"/>
            <w:spacing w:val="0"/>
            <w:sz w:val="24"/>
            <w:sz w:val="24"/>
            <w:szCs w:val="24"/>
            <w:rtl w:val="true"/>
          </w:rPr>
          <w:t>ג</w:t>
        </w:r>
        <w:r>
          <w:rPr>
            <w:rStyle w:val="Hyperlink"/>
            <w:rFonts w:cs="FrankRuehl" w:ascii="FrankRuehl" w:hAnsi="FrankRuehl"/>
            <w:bCs w:val="false"/>
            <w:color w:val="0000FF"/>
            <w:spacing w:val="0"/>
            <w:sz w:val="24"/>
            <w:szCs w:val="24"/>
            <w:rtl w:val="true"/>
          </w:rPr>
          <w:t>)</w:t>
        </w:r>
      </w:hyperlink>
    </w:p>
    <w:p>
      <w:pPr>
        <w:pStyle w:val="DocumentHead"/>
        <w:spacing w:lineRule="exact" w:line="240" w:before="0" w:after="120"/>
        <w:ind w:hanging="283" w:start="283" w:end="0"/>
        <w:jc w:val="both"/>
        <w:rPr>
          <w:rFonts w:ascii="FrankRuehl" w:hAnsi="FrankRuehl" w:cs="FrankRuehl"/>
          <w:bCs w:val="false"/>
          <w:spacing w:val="0"/>
          <w:sz w:val="24"/>
          <w:szCs w:val="24"/>
          <w:u w:val="none"/>
        </w:rPr>
      </w:pPr>
      <w:r>
        <w:rPr>
          <w:rFonts w:cs="FrankRuehl" w:ascii="FrankRuehl" w:hAnsi="FrankRuehl"/>
          <w:bCs w:val="false"/>
          <w:spacing w:val="0"/>
          <w:sz w:val="24"/>
          <w:szCs w:val="24"/>
          <w:u w:val="none"/>
          <w:rtl w:val="true"/>
        </w:rPr>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bookmarkStart w:id="12" w:name="ABSTRACT_START"/>
      <w:bookmarkStart w:id="13" w:name="LawTable_End"/>
      <w:bookmarkEnd w:id="12"/>
      <w:bookmarkEnd w:id="13"/>
      <w:r>
        <w:rPr>
          <w:rFonts w:ascii="Times New Roman" w:hAnsi="Times New Roman" w:cs="Times New Roman"/>
          <w:spacing w:val="0"/>
          <w:szCs w:val="26"/>
          <w:rtl w:val="true"/>
        </w:rPr>
        <w:t>מיני</w:t>
      </w:r>
      <w:r>
        <w:rPr>
          <w:rFonts w:cs="Times New Roman" w:ascii="Times New Roman" w:hAnsi="Times New Roman"/>
          <w:spacing w:val="0"/>
          <w:szCs w:val="26"/>
          <w:rtl w:val="true"/>
        </w:rPr>
        <w:t>-</w:t>
      </w:r>
      <w:r>
        <w:rPr>
          <w:rFonts w:ascii="Times New Roman" w:hAnsi="Times New Roman" w:cs="Times New Roman"/>
          <w:spacing w:val="0"/>
          <w:szCs w:val="26"/>
          <w:rtl w:val="true"/>
        </w:rPr>
        <w:t>רציו</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tl w:val="true"/>
        </w:rPr>
        <w:t xml:space="preserve">* </w:t>
      </w:r>
      <w:r>
        <w:rPr>
          <w:rFonts w:ascii="Times New Roman" w:hAnsi="Times New Roman" w:cs="Times New Roman"/>
          <w:spacing w:val="0"/>
          <w:szCs w:val="26"/>
          <w:rtl w:val="true"/>
        </w:rPr>
        <w:t>נדחה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ערעור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חומרת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העונש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שהושת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המערער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בגין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הרשעתו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בעבירות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החזקה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הובלה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נשיאה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וסחר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בנשק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נפסק</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הלכה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היא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להחמיר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בעבירות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שיקולים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השיקום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בנסיבות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נסוגים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מפני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שיקולי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הגמול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וההרתעה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חרף</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גילו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הצעיר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המערער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העונש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אינו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חורג</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ממדיניות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הענישה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הנהוגה</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עבירות נשק</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שיקולים לחומרה</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שיקום</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התערבות ערכאת הערעור</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המערער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הורשע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בבימ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המחוזי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במסגרת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הסדר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טיעון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בעובדות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כתב</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אישום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מתוקן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בעבירות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החזקת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נשק</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נשיאתו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הובלתו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וסחר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המערער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הושת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עונש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cs="Times New Roman" w:ascii="Times New Roman" w:hAnsi="Times New Roman"/>
          <w:spacing w:val="0"/>
          <w:szCs w:val="26"/>
        </w:rPr>
        <w:t>36</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חודשי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מאסר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בפועל</w:t>
      </w:r>
      <w:r>
        <w:rPr>
          <w:rFonts w:ascii="Times New Roman" w:hAnsi="Times New Roman" w:cs="Times New Roman"/>
          <w:spacing w:val="0"/>
          <w:szCs w:val="26"/>
          <w:rtl w:val="true"/>
        </w:rPr>
        <w:t xml:space="preserve"> </w:t>
      </w:r>
      <w:r>
        <w:rPr>
          <w:rFonts w:cs="Times New Roman" w:ascii="Times New Roman" w:hAnsi="Times New Roman"/>
          <w:spacing w:val="0"/>
          <w:szCs w:val="26"/>
          <w:rtl w:val="true"/>
        </w:rPr>
        <w:t>(</w:t>
      </w:r>
      <w:r>
        <w:rPr>
          <w:rFonts w:ascii="Times New Roman" w:hAnsi="Times New Roman" w:cs="Times New Roman"/>
          <w:spacing w:val="0"/>
          <w:szCs w:val="26"/>
          <w:rtl w:val="true"/>
        </w:rPr>
        <w:t>בניכוי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ימי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מעצרו</w:t>
      </w:r>
      <w:r>
        <w:rPr>
          <w:rFonts w:cs="Times New Roman" w:ascii="Times New Roman" w:hAnsi="Times New Roman"/>
          <w:spacing w:val="0"/>
          <w:szCs w:val="26"/>
          <w:rtl w:val="true"/>
        </w:rPr>
        <w:t xml:space="preserve">), </w:t>
      </w:r>
      <w:r>
        <w:rPr>
          <w:rFonts w:cs="Times New Roman" w:ascii="Times New Roman" w:hAnsi="Times New Roman"/>
          <w:spacing w:val="0"/>
          <w:szCs w:val="26"/>
        </w:rPr>
        <w:t>12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חודשי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מאסר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תנאי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וקנס</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בסך</w:t>
      </w:r>
      <w:r>
        <w:rPr>
          <w:rFonts w:ascii="Times New Roman" w:hAnsi="Times New Roman" w:cs="Times New Roman"/>
          <w:spacing w:val="0"/>
          <w:szCs w:val="26"/>
          <w:rtl w:val="true"/>
        </w:rPr>
        <w:t xml:space="preserve"> </w:t>
      </w:r>
      <w:r>
        <w:rPr>
          <w:rFonts w:cs="Times New Roman" w:ascii="Times New Roman" w:hAnsi="Times New Roman"/>
          <w:spacing w:val="0"/>
          <w:szCs w:val="26"/>
        </w:rPr>
        <w:t>15,000</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w:t>
      </w:r>
      <w:r>
        <w:rPr>
          <w:rFonts w:cs="Times New Roman" w:ascii="Times New Roman" w:hAnsi="Times New Roman"/>
          <w:spacing w:val="0"/>
          <w:szCs w:val="26"/>
          <w:rtl w:val="true"/>
        </w:rPr>
        <w:t>"</w:t>
      </w:r>
      <w:r>
        <w:rPr>
          <w:rFonts w:ascii="Times New Roman" w:hAnsi="Times New Roman" w:cs="Times New Roman"/>
          <w:spacing w:val="0"/>
          <w:szCs w:val="26"/>
          <w:rtl w:val="true"/>
        </w:rPr>
        <w:t>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הערעור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נסב</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חומרת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העונש</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בית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המשפט</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העליון</w:t>
      </w:r>
      <w:r>
        <w:rPr>
          <w:rFonts w:ascii="Times New Roman" w:hAnsi="Times New Roman" w:cs="Times New Roman"/>
          <w:spacing w:val="0"/>
          <w:szCs w:val="26"/>
          <w:rtl w:val="true"/>
        </w:rPr>
        <w:t xml:space="preserve"> </w:t>
      </w:r>
      <w:r>
        <w:rPr>
          <w:rFonts w:cs="Times New Roman" w:ascii="Times New Roman" w:hAnsi="Times New Roman"/>
          <w:spacing w:val="0"/>
          <w:szCs w:val="26"/>
          <w:rtl w:val="true"/>
        </w:rPr>
        <w:t>(</w:t>
      </w:r>
      <w:r>
        <w:rPr>
          <w:rFonts w:ascii="Times New Roman" w:hAnsi="Times New Roman" w:cs="Times New Roman"/>
          <w:spacing w:val="0"/>
          <w:szCs w:val="26"/>
          <w:rtl w:val="true"/>
        </w:rPr>
        <w:t>מפי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השופט</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ג</w:t>
      </w:r>
      <w:r>
        <w:rPr>
          <w:rFonts w:cs="Times New Roman" w:ascii="Times New Roman" w:hAnsi="Times New Roman"/>
          <w:spacing w:val="0"/>
          <w:szCs w:val="26"/>
          <w:rtl w:val="true"/>
        </w:rPr>
        <w:t>'</w:t>
      </w:r>
      <w:r>
        <w:rPr>
          <w:rFonts w:ascii="Times New Roman" w:hAnsi="Times New Roman" w:cs="Times New Roman"/>
          <w:spacing w:val="0"/>
          <w:szCs w:val="26"/>
          <w:rtl w:val="true"/>
        </w:rPr>
        <w:t>ובראן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ובהסכמת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השופטים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הנדל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ושהם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דחה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הערעור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ופסק</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התנהלות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המערער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במעשים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שבגינם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הורשע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אינה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מעידה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מעידה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חד</w:t>
      </w:r>
      <w:r>
        <w:rPr>
          <w:rFonts w:cs="Times New Roman" w:ascii="Times New Roman" w:hAnsi="Times New Roman"/>
          <w:spacing w:val="0"/>
          <w:szCs w:val="26"/>
          <w:rtl w:val="true"/>
        </w:rPr>
        <w:t>-</w:t>
      </w:r>
      <w:r>
        <w:rPr>
          <w:rFonts w:ascii="Times New Roman" w:hAnsi="Times New Roman" w:cs="Times New Roman"/>
          <w:spacing w:val="0"/>
          <w:szCs w:val="26"/>
          <w:rtl w:val="true"/>
        </w:rPr>
        <w:t>פעמית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מעורבות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מצומצמת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מדובר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בעבירות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שפוטנציאל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הפגיעה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הגלום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בהן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הוא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רב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הלכה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היא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להחמיר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בעבירות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שכן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סחר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בלתי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חוקי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בנשק</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סולל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הדרך</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לפעילות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אלימה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ובלתי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חוקית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והדבר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חמור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שבעתיים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במציאות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הישראלית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קיים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חשש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תמידי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נשק</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המוחזק</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באופן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בלתי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חוקי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יתגלגל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רק</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לידים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עברייניות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לידי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אלה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המבקשים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להוציא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הפועל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פעילות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חבלנית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עוינת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שיקולי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השיקום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בנסיבות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המקרה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נסוגים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במידה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מסוימת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מפני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שיקולי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הגמול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וההרתעה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וזאת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חרף</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גילו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הצעיר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כבר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נפסק</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מקרים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בהם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חרף</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העובדה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שמדובר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w:t>
      </w:r>
      <w:r>
        <w:rPr>
          <w:rFonts w:cs="Times New Roman" w:ascii="Times New Roman" w:hAnsi="Times New Roman"/>
          <w:spacing w:val="0"/>
          <w:szCs w:val="26"/>
          <w:rtl w:val="true"/>
        </w:rPr>
        <w:t>'</w:t>
      </w:r>
      <w:r>
        <w:rPr>
          <w:rFonts w:ascii="Times New Roman" w:hAnsi="Times New Roman" w:cs="Times New Roman"/>
          <w:spacing w:val="0"/>
          <w:szCs w:val="26"/>
          <w:rtl w:val="true"/>
        </w:rPr>
        <w:t>בגיר</w:t>
      </w:r>
      <w:r>
        <w:rPr>
          <w:rFonts w:cs="Times New Roman" w:ascii="Times New Roman" w:hAnsi="Times New Roman"/>
          <w:spacing w:val="0"/>
          <w:szCs w:val="26"/>
          <w:rtl w:val="true"/>
        </w:rPr>
        <w:t>-</w:t>
      </w:r>
      <w:r>
        <w:rPr>
          <w:rFonts w:ascii="Times New Roman" w:hAnsi="Times New Roman" w:cs="Times New Roman"/>
          <w:spacing w:val="0"/>
          <w:szCs w:val="26"/>
          <w:rtl w:val="true"/>
        </w:rPr>
        <w:t>צעיר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אף</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בקטין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טעמים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משמעותיים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המחייבים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לבכר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שיקולי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ההרתעה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והגמול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שיקולי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השיקום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מקרה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בקהלם</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קמא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מיצה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הדין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אינו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חורג</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ממדיניות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הענישה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הנהוגה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בהתאם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לעניין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נפעא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נקבעה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מדיניות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ההחמרה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בענישה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עבירות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סחר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בנשק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בנסיבות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המקרה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חרף</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הפוטנציאל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השיקומי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הברור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להפחית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מעונשו</w:t>
      </w:r>
      <w:r>
        <w:rPr>
          <w:rFonts w:cs="Times New Roman" w:ascii="Times New Roman" w:hAnsi="Times New Roman"/>
          <w:spacing w:val="0"/>
          <w:szCs w:val="26"/>
          <w:rtl w:val="true"/>
        </w:rPr>
        <w:t>.</w:t>
      </w:r>
    </w:p>
    <w:p>
      <w:pPr>
        <w:pStyle w:val="DocumentHead"/>
        <w:ind w:end="0"/>
        <w:jc w:val="center"/>
        <w:rPr>
          <w:rFonts w:ascii="Times New Roman" w:hAnsi="Times New Roman" w:cs="Times New Roman"/>
          <w:bCs w:val="false"/>
          <w:spacing w:val="0"/>
          <w:szCs w:val="26"/>
          <w:u w:val="none"/>
        </w:rPr>
      </w:pPr>
      <w:r>
        <w:rPr>
          <w:rFonts w:cs="Times New Roman"/>
          <w:bCs w:val="false"/>
          <w:spacing w:val="0"/>
          <w:szCs w:val="26"/>
          <w:u w:val="none"/>
          <w:rtl w:val="true"/>
        </w:rPr>
      </w:r>
      <w:bookmarkStart w:id="14" w:name="ABSTRACT_END"/>
      <w:bookmarkStart w:id="15" w:name="ABSTRACT_END"/>
      <w:bookmarkEnd w:id="15"/>
    </w:p>
    <w:p>
      <w:pPr>
        <w:pStyle w:val="BODYVERDICT"/>
        <w:ind w:end="0"/>
        <w:jc w:val="center"/>
        <w:rPr/>
      </w:pPr>
      <w:bookmarkStart w:id="16" w:name="PsakDin"/>
      <w:bookmarkEnd w:id="16"/>
      <w:r>
        <w:rPr>
          <w:rtl w:val="true"/>
        </w:rPr>
        <w:t>פסק</w:t>
      </w:r>
      <w:r>
        <w:rPr>
          <w:rtl w:val="true"/>
        </w:rPr>
        <w:t>-</w:t>
      </w:r>
      <w:r>
        <w:rPr>
          <w:rtl w:val="true"/>
        </w:rPr>
        <w:t>דין</w:t>
      </w:r>
    </w:p>
    <w:p>
      <w:pPr>
        <w:pStyle w:val="BODYVERDICT"/>
        <w:ind w:end="0"/>
        <w:jc w:val="start"/>
        <w:rPr/>
      </w:pPr>
      <w:r>
        <w:rPr>
          <w:rtl w:val="true"/>
        </w:rPr>
      </w:r>
      <w:bookmarkStart w:id="17" w:name="PsakDin"/>
      <w:bookmarkStart w:id="18" w:name="PsakDin"/>
      <w:bookmarkEnd w:id="18"/>
    </w:p>
    <w:p>
      <w:pPr>
        <w:pStyle w:val="BODYVERDICT"/>
        <w:ind w:end="0"/>
        <w:jc w:val="start"/>
        <w:rPr>
          <w:rFonts w:cs="Miriam"/>
          <w:sz w:val="24"/>
          <w:szCs w:val="24"/>
          <w:u w:val="single"/>
        </w:rPr>
      </w:pPr>
      <w:bookmarkStart w:id="19" w:name="Writer_Name"/>
      <w:bookmarkEnd w:id="19"/>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ס</w:t>
      </w:r>
      <w:r>
        <w:rPr>
          <w:rFonts w:cs="Miriam"/>
          <w:sz w:val="24"/>
          <w:szCs w:val="24"/>
          <w:u w:val="single"/>
          <w:rtl w:val="true"/>
        </w:rPr>
        <w:t xml:space="preserve">' </w:t>
      </w:r>
      <w:r>
        <w:rPr>
          <w:rFonts w:cs="Miriam"/>
          <w:sz w:val="24"/>
          <w:sz w:val="24"/>
          <w:szCs w:val="24"/>
          <w:u w:val="single"/>
          <w:rtl w:val="true"/>
        </w:rPr>
        <w:t>ג</w:t>
      </w:r>
      <w:r>
        <w:rPr>
          <w:rFonts w:cs="Miriam"/>
          <w:sz w:val="24"/>
          <w:szCs w:val="24"/>
          <w:u w:val="single"/>
          <w:rtl w:val="true"/>
        </w:rPr>
        <w:t>'</w:t>
      </w:r>
      <w:r>
        <w:rPr>
          <w:rFonts w:cs="Miriam"/>
          <w:sz w:val="24"/>
          <w:sz w:val="24"/>
          <w:szCs w:val="24"/>
          <w:u w:val="single"/>
          <w:rtl w:val="true"/>
        </w:rPr>
        <w:t>ובראן</w:t>
      </w:r>
      <w:r>
        <w:rPr>
          <w:rFonts w:cs="Miriam"/>
          <w:sz w:val="24"/>
          <w:szCs w:val="24"/>
          <w:rtl w:val="true"/>
        </w:rPr>
        <w:t>:</w:t>
      </w:r>
    </w:p>
    <w:p>
      <w:pPr>
        <w:pStyle w:val="Ruller41"/>
        <w:ind w:end="0"/>
        <w:jc w:val="both"/>
        <w:rPr>
          <w:rFonts w:cs="Miriam"/>
          <w:sz w:val="24"/>
          <w:szCs w:val="24"/>
          <w:u w:val="single"/>
        </w:rPr>
      </w:pPr>
      <w:r>
        <w:rPr>
          <w:rFonts w:cs="Miriam"/>
          <w:sz w:val="24"/>
          <w:szCs w:val="24"/>
          <w:u w:val="single"/>
          <w:rtl w:val="true"/>
        </w:rPr>
      </w:r>
      <w:bookmarkStart w:id="20" w:name="Start_Write"/>
      <w:bookmarkStart w:id="21" w:name="Start_Write"/>
      <w:bookmarkEnd w:id="21"/>
    </w:p>
    <w:p>
      <w:pPr>
        <w:pStyle w:val="Ruller42"/>
        <w:numPr>
          <w:ilvl w:val="0"/>
          <w:numId w:val="2"/>
        </w:numPr>
        <w:spacing w:before="0" w:after="240"/>
        <w:ind w:end="0"/>
        <w:jc w:val="both"/>
        <w:rPr/>
      </w:pPr>
      <w:r>
        <w:rPr>
          <w:rtl w:val="true"/>
        </w:rPr>
        <w:t>ערעור על חומרת העונש שהושת על המערער בבית המשפט המחוזי בחיפה ב</w:t>
      </w:r>
      <w:r>
        <w:rPr>
          <w:rtl w:val="true"/>
        </w:rPr>
        <w:t>-</w:t>
      </w:r>
      <w:hyperlink r:id="rId10">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40240-09-12</w:t>
        </w:r>
      </w:hyperlink>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מיום </w:t>
      </w:r>
      <w:r>
        <w:rPr/>
        <w:t>23.2.2014</w:t>
      </w:r>
      <w:r>
        <w:rPr>
          <w:rtl w:val="true"/>
        </w:rPr>
        <w:t xml:space="preserve">, </w:t>
      </w:r>
      <w:r>
        <w:rPr>
          <w:rtl w:val="true"/>
        </w:rPr>
        <w:t xml:space="preserve">במסגרתו הושת על המערער עונש של </w:t>
      </w:r>
      <w:r>
        <w:rPr/>
        <w:t>36</w:t>
      </w:r>
      <w:r>
        <w:rPr>
          <w:rtl w:val="true"/>
        </w:rPr>
        <w:t xml:space="preserve"> </w:t>
      </w:r>
      <w:r>
        <w:rPr>
          <w:rtl w:val="true"/>
        </w:rPr>
        <w:t xml:space="preserve">חודשי מאסר בפועל </w:t>
      </w:r>
      <w:r>
        <w:rPr>
          <w:rtl w:val="true"/>
        </w:rPr>
        <w:t>(</w:t>
      </w:r>
      <w:r>
        <w:rPr>
          <w:rtl w:val="true"/>
        </w:rPr>
        <w:t>בניכוי ימי מעצרו</w:t>
      </w:r>
      <w:r>
        <w:rPr>
          <w:rtl w:val="true"/>
        </w:rPr>
        <w:t xml:space="preserve">), </w:t>
      </w:r>
      <w:r>
        <w:rPr/>
        <w:t>12</w:t>
      </w:r>
      <w:r>
        <w:rPr>
          <w:rtl w:val="true"/>
        </w:rPr>
        <w:t xml:space="preserve"> </w:t>
      </w:r>
      <w:r>
        <w:rPr>
          <w:rtl w:val="true"/>
        </w:rPr>
        <w:t>חודשי מאסר על תנאי</w:t>
      </w:r>
      <w:r>
        <w:rPr>
          <w:rtl w:val="true"/>
        </w:rPr>
        <w:t xml:space="preserve">, </w:t>
      </w:r>
      <w:r>
        <w:rPr>
          <w:rtl w:val="true"/>
        </w:rPr>
        <w:t xml:space="preserve">וקנס בסך </w:t>
      </w:r>
      <w:r>
        <w:rPr/>
        <w:t>15,000</w:t>
      </w:r>
      <w:r>
        <w:rPr>
          <w:rtl w:val="true"/>
        </w:rPr>
        <w:t xml:space="preserve"> </w:t>
      </w:r>
      <w:r>
        <w:rPr>
          <w:rtl w:val="true"/>
        </w:rPr>
        <w:t>ש</w:t>
      </w:r>
      <w:r>
        <w:rPr>
          <w:rtl w:val="true"/>
        </w:rPr>
        <w:t>"</w:t>
      </w:r>
      <w:r>
        <w:rPr>
          <w:rtl w:val="true"/>
        </w:rPr>
        <w:t>ח</w:t>
      </w:r>
      <w:r>
        <w:rPr>
          <w:rtl w:val="true"/>
        </w:rPr>
        <w:t>.</w:t>
      </w:r>
    </w:p>
    <w:p>
      <w:pPr>
        <w:pStyle w:val="Ruller42"/>
        <w:numPr>
          <w:ilvl w:val="0"/>
          <w:numId w:val="0"/>
        </w:numPr>
        <w:spacing w:lineRule="auto" w:line="240" w:before="0" w:after="240"/>
        <w:ind w:hanging="0" w:start="0" w:end="0"/>
        <w:jc w:val="both"/>
        <w:rPr>
          <w:rFonts w:ascii="Century" w:hAnsi="Century" w:cs="Miriam"/>
          <w:b/>
          <w:spacing w:val="0"/>
          <w:sz w:val="22"/>
          <w:szCs w:val="24"/>
        </w:rPr>
      </w:pPr>
      <w:r>
        <w:rPr>
          <w:rFonts w:ascii="Century" w:hAnsi="Century" w:cs="Miriam"/>
          <w:b/>
          <w:b/>
          <w:spacing w:val="0"/>
          <w:sz w:val="22"/>
          <w:sz w:val="22"/>
          <w:szCs w:val="24"/>
          <w:rtl w:val="true"/>
        </w:rPr>
        <w:t>רקע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והליכים</w:t>
      </w:r>
    </w:p>
    <w:p>
      <w:pPr>
        <w:pStyle w:val="Ruller42"/>
        <w:numPr>
          <w:ilvl w:val="0"/>
          <w:numId w:val="2"/>
        </w:numPr>
        <w:spacing w:before="0" w:after="240"/>
        <w:ind w:end="0"/>
        <w:jc w:val="both"/>
        <w:rPr/>
      </w:pPr>
      <w:r>
        <w:rPr>
          <w:rtl w:val="true"/>
        </w:rPr>
        <w:t xml:space="preserve">המערער הורשע במסגרת הסדר טיעון בעובדות כתב אישום מתוקן </w:t>
      </w:r>
      <w:r>
        <w:rPr>
          <w:rtl w:val="true"/>
        </w:rPr>
        <w:t>(</w:t>
      </w:r>
      <w:r>
        <w:rPr>
          <w:rtl w:val="true"/>
        </w:rPr>
        <w:t xml:space="preserve">להלן </w:t>
      </w:r>
      <w:r>
        <w:rPr>
          <w:rFonts w:ascii="Century" w:hAnsi="Century" w:cs="Miriam"/>
          <w:b/>
          <w:b/>
          <w:spacing w:val="0"/>
          <w:sz w:val="22"/>
          <w:sz w:val="22"/>
          <w:szCs w:val="24"/>
          <w:rtl w:val="true"/>
        </w:rPr>
        <w:t>כתב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האישום</w:t>
      </w:r>
      <w:r>
        <w:rPr>
          <w:rtl w:val="true"/>
        </w:rPr>
        <w:t xml:space="preserve">) </w:t>
      </w:r>
      <w:r>
        <w:rPr>
          <w:rtl w:val="true"/>
        </w:rPr>
        <w:t>בעבירות נשק ותחמושת בשני אישומים</w:t>
      </w:r>
      <w:r>
        <w:rPr>
          <w:rtl w:val="true"/>
        </w:rPr>
        <w:t xml:space="preserve">. </w:t>
      </w:r>
      <w:r>
        <w:rPr>
          <w:rtl w:val="true"/>
        </w:rPr>
        <w:t xml:space="preserve">בפרשה מעורבים נאשם נוסף </w:t>
      </w:r>
      <w:r>
        <w:rPr>
          <w:rtl w:val="true"/>
        </w:rPr>
        <w:t>(</w:t>
      </w:r>
      <w:r>
        <w:rPr>
          <w:rtl w:val="true"/>
        </w:rPr>
        <w:t xml:space="preserve">להלן </w:t>
      </w:r>
      <w:r>
        <w:rPr>
          <w:rFonts w:ascii="Century" w:hAnsi="Century" w:cs="Miriam"/>
          <w:b/>
          <w:b/>
          <w:spacing w:val="0"/>
          <w:sz w:val="22"/>
          <w:sz w:val="22"/>
          <w:szCs w:val="24"/>
          <w:rtl w:val="true"/>
        </w:rPr>
        <w:t>נאשם</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w:t>
      </w:r>
      <w:r>
        <w:rPr>
          <w:rtl w:val="true"/>
        </w:rPr>
        <w:t xml:space="preserve">) </w:t>
      </w:r>
      <w:r>
        <w:rPr>
          <w:rtl w:val="true"/>
        </w:rPr>
        <w:t xml:space="preserve">ושוטר סמוי מטעם משטרת ישראל </w:t>
      </w:r>
      <w:r>
        <w:rPr>
          <w:rtl w:val="true"/>
        </w:rPr>
        <w:t>(</w:t>
      </w:r>
      <w:r>
        <w:rPr>
          <w:rtl w:val="true"/>
        </w:rPr>
        <w:t xml:space="preserve">להלן </w:t>
      </w:r>
      <w:r>
        <w:rPr>
          <w:rFonts w:ascii="Century" w:hAnsi="Century" w:cs="Miriam"/>
          <w:b/>
          <w:b/>
          <w:spacing w:val="0"/>
          <w:sz w:val="22"/>
          <w:sz w:val="22"/>
          <w:szCs w:val="24"/>
          <w:rtl w:val="true"/>
        </w:rPr>
        <w:t>הסמוי</w:t>
      </w:r>
      <w:r>
        <w:rPr>
          <w:rtl w:val="true"/>
        </w:rPr>
        <w:t xml:space="preserve">) </w:t>
      </w:r>
      <w:r>
        <w:rPr>
          <w:rtl w:val="true"/>
        </w:rPr>
        <w:t xml:space="preserve">אשר רכש מן המערער ומנאשם </w:t>
      </w:r>
      <w:r>
        <w:rPr/>
        <w:t>2</w:t>
      </w:r>
      <w:r>
        <w:rPr>
          <w:rtl w:val="true"/>
        </w:rPr>
        <w:t xml:space="preserve"> </w:t>
      </w:r>
      <w:r>
        <w:rPr>
          <w:rtl w:val="true"/>
        </w:rPr>
        <w:t>את הנשק והתחמושת</w:t>
      </w:r>
      <w:r>
        <w:rPr>
          <w:rtl w:val="true"/>
        </w:rPr>
        <w:t xml:space="preserve">, </w:t>
      </w:r>
      <w:r>
        <w:rPr>
          <w:rtl w:val="true"/>
        </w:rPr>
        <w:t>כפי שיפורט להלן</w:t>
      </w:r>
      <w:r>
        <w:rPr>
          <w:rtl w:val="true"/>
        </w:rPr>
        <w:t xml:space="preserve">. </w:t>
      </w:r>
      <w:r>
        <w:rPr>
          <w:rtl w:val="true"/>
        </w:rPr>
        <w:t>על</w:t>
      </w:r>
      <w:r>
        <w:rPr>
          <w:rtl w:val="true"/>
        </w:rPr>
        <w:t>-</w:t>
      </w:r>
      <w:r>
        <w:rPr>
          <w:rtl w:val="true"/>
        </w:rPr>
        <w:t>פי האישום הראשון</w:t>
      </w:r>
      <w:r>
        <w:rPr>
          <w:rtl w:val="true"/>
        </w:rPr>
        <w:t xml:space="preserve">, </w:t>
      </w:r>
      <w:r>
        <w:rPr>
          <w:rtl w:val="true"/>
        </w:rPr>
        <w:t xml:space="preserve">ביום </w:t>
      </w:r>
      <w:r>
        <w:rPr/>
        <w:t>1.4.2012</w:t>
      </w:r>
      <w:r>
        <w:rPr>
          <w:rtl w:val="true"/>
        </w:rPr>
        <w:t xml:space="preserve"> </w:t>
      </w:r>
      <w:r>
        <w:rPr>
          <w:rtl w:val="true"/>
        </w:rPr>
        <w:t>נפגשו המערער והסמוי בבקה אל</w:t>
      </w:r>
      <w:r>
        <w:rPr>
          <w:rtl w:val="true"/>
        </w:rPr>
        <w:t>-</w:t>
      </w:r>
      <w:r>
        <w:rPr>
          <w:rtl w:val="true"/>
        </w:rPr>
        <w:t>גרביה ושוחחו על כלי נשק</w:t>
      </w:r>
      <w:r>
        <w:rPr>
          <w:rtl w:val="true"/>
        </w:rPr>
        <w:t xml:space="preserve">. </w:t>
      </w:r>
      <w:r>
        <w:rPr>
          <w:rtl w:val="true"/>
        </w:rPr>
        <w:t xml:space="preserve">המערער הציע למכור לשוטר שתי מחסניות של נשק מסוג </w:t>
      </w:r>
      <w:r>
        <w:rPr/>
        <w:t>16</w:t>
      </w:r>
      <w:r>
        <w:rPr>
          <w:rtl w:val="true"/>
        </w:rPr>
        <w:t>-</w:t>
      </w:r>
      <w:r>
        <w:rPr/>
        <w:t>M</w:t>
      </w:r>
      <w:r>
        <w:rPr>
          <w:rtl w:val="true"/>
        </w:rPr>
        <w:t xml:space="preserve"> </w:t>
      </w:r>
      <w:r>
        <w:rPr>
          <w:rtl w:val="true"/>
        </w:rPr>
        <w:t xml:space="preserve">עם </w:t>
      </w:r>
      <w:r>
        <w:rPr/>
        <w:t>62</w:t>
      </w:r>
      <w:r>
        <w:rPr>
          <w:rtl w:val="true"/>
        </w:rPr>
        <w:t xml:space="preserve"> </w:t>
      </w:r>
      <w:r>
        <w:rPr>
          <w:rtl w:val="true"/>
        </w:rPr>
        <w:t>כדורים</w:t>
      </w:r>
      <w:r>
        <w:rPr>
          <w:rtl w:val="true"/>
        </w:rPr>
        <w:t xml:space="preserve">. </w:t>
      </w:r>
      <w:r>
        <w:rPr>
          <w:rtl w:val="true"/>
        </w:rPr>
        <w:t xml:space="preserve">כעבור מספר ימים סיכמו על תמורה של </w:t>
      </w:r>
      <w:r>
        <w:rPr/>
        <w:t>600</w:t>
      </w:r>
      <w:r>
        <w:rPr>
          <w:rtl w:val="true"/>
        </w:rPr>
        <w:t xml:space="preserve"> </w:t>
      </w:r>
      <w:r>
        <w:rPr>
          <w:rtl w:val="true"/>
        </w:rPr>
        <w:t>ש</w:t>
      </w:r>
      <w:r>
        <w:rPr>
          <w:rtl w:val="true"/>
        </w:rPr>
        <w:t>"</w:t>
      </w:r>
      <w:r>
        <w:rPr>
          <w:rtl w:val="true"/>
        </w:rPr>
        <w:t>ח לעסקה זו</w:t>
      </w:r>
      <w:r>
        <w:rPr>
          <w:rtl w:val="true"/>
        </w:rPr>
        <w:t xml:space="preserve">, </w:t>
      </w:r>
      <w:r>
        <w:rPr>
          <w:rtl w:val="true"/>
        </w:rPr>
        <w:t xml:space="preserve">וביום </w:t>
      </w:r>
      <w:r>
        <w:rPr/>
        <w:t>8.4.2012</w:t>
      </w:r>
      <w:r>
        <w:rPr>
          <w:rtl w:val="true"/>
        </w:rPr>
        <w:t xml:space="preserve"> </w:t>
      </w:r>
      <w:r>
        <w:rPr>
          <w:rtl w:val="true"/>
        </w:rPr>
        <w:t>נפגשו בבקה אל</w:t>
      </w:r>
      <w:r>
        <w:rPr>
          <w:rtl w:val="true"/>
        </w:rPr>
        <w:t>-</w:t>
      </w:r>
      <w:r>
        <w:rPr>
          <w:rtl w:val="true"/>
        </w:rPr>
        <w:t>גרביה</w:t>
      </w:r>
      <w:r>
        <w:rPr>
          <w:rtl w:val="true"/>
        </w:rPr>
        <w:t xml:space="preserve">. </w:t>
      </w:r>
      <w:r>
        <w:rPr>
          <w:rtl w:val="true"/>
        </w:rPr>
        <w:t xml:space="preserve">למפגש הגיע המערער עם נאשם </w:t>
      </w:r>
      <w:r>
        <w:rPr/>
        <w:t>2</w:t>
      </w:r>
      <w:r>
        <w:rPr>
          <w:rtl w:val="true"/>
        </w:rPr>
        <w:t xml:space="preserve">. </w:t>
      </w:r>
      <w:r>
        <w:rPr>
          <w:rtl w:val="true"/>
        </w:rPr>
        <w:t xml:space="preserve">המערער העביר לשוטר שתי מחסניות עם </w:t>
      </w:r>
      <w:r>
        <w:rPr/>
        <w:t>57</w:t>
      </w:r>
      <w:r>
        <w:rPr>
          <w:rtl w:val="true"/>
        </w:rPr>
        <w:t xml:space="preserve"> </w:t>
      </w:r>
      <w:r>
        <w:rPr>
          <w:rtl w:val="true"/>
        </w:rPr>
        <w:t>כדורים</w:t>
      </w:r>
      <w:r>
        <w:rPr>
          <w:rtl w:val="true"/>
        </w:rPr>
        <w:t xml:space="preserve">. </w:t>
      </w:r>
      <w:r>
        <w:rPr>
          <w:rtl w:val="true"/>
        </w:rPr>
        <w:t xml:space="preserve">בתמורה השוטר שילם לנאשם </w:t>
      </w:r>
      <w:r>
        <w:rPr/>
        <w:t>2</w:t>
      </w:r>
      <w:r>
        <w:rPr>
          <w:rtl w:val="true"/>
        </w:rPr>
        <w:t xml:space="preserve"> </w:t>
      </w:r>
      <w:r>
        <w:rPr>
          <w:rtl w:val="true"/>
        </w:rPr>
        <w:t xml:space="preserve">סכום של </w:t>
      </w:r>
      <w:r>
        <w:rPr/>
        <w:t>600</w:t>
      </w:r>
      <w:r>
        <w:rPr>
          <w:rtl w:val="true"/>
        </w:rPr>
        <w:t xml:space="preserve"> </w:t>
      </w:r>
      <w:r>
        <w:rPr>
          <w:rtl w:val="true"/>
        </w:rPr>
        <w:t>ש</w:t>
      </w:r>
      <w:r>
        <w:rPr>
          <w:rtl w:val="true"/>
        </w:rPr>
        <w:t>"</w:t>
      </w:r>
      <w:r>
        <w:rPr>
          <w:rtl w:val="true"/>
        </w:rPr>
        <w:t>ח</w:t>
      </w:r>
      <w:r>
        <w:rPr>
          <w:rtl w:val="true"/>
        </w:rPr>
        <w:t xml:space="preserve">. </w:t>
      </w:r>
      <w:r>
        <w:rPr>
          <w:rtl w:val="true"/>
        </w:rPr>
        <w:t>בגין מעשים אלה הורשע המערער בעבירות של החזקת נשק שלא כדין</w:t>
      </w:r>
      <w:r>
        <w:rPr>
          <w:rtl w:val="true"/>
        </w:rPr>
        <w:t xml:space="preserve">, </w:t>
      </w:r>
      <w:r>
        <w:rPr>
          <w:rtl w:val="true"/>
        </w:rPr>
        <w:t xml:space="preserve">נשיאתו והובלתו </w:t>
      </w:r>
      <w:r>
        <w:rPr>
          <w:rtl w:val="true"/>
        </w:rPr>
        <w:t>(</w:t>
      </w:r>
      <w:r>
        <w:rPr>
          <w:rtl w:val="true"/>
        </w:rPr>
        <w:t xml:space="preserve">עבירות לפי </w:t>
      </w:r>
      <w:hyperlink r:id="rId11">
        <w:r>
          <w:rPr>
            <w:rStyle w:val="Hyperlink"/>
            <w:color w:val="0000FF"/>
            <w:u w:val="single"/>
            <w:rtl w:val="true"/>
          </w:rPr>
          <w:t>סעיפים</w:t>
        </w:r>
        <w:r>
          <w:rPr>
            <w:rStyle w:val="Hyperlink"/>
            <w:color w:val="0000FF"/>
            <w:u w:val="single"/>
            <w:rtl w:val="true"/>
          </w:rPr>
          <w:t xml:space="preserve"> </w:t>
        </w:r>
        <w:r>
          <w:rPr>
            <w:rStyle w:val="Hyperlink"/>
            <w:color w:val="0000FF"/>
            <w:u w:val="single"/>
          </w:rPr>
          <w:t>144</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w:t>
      </w:r>
      <w:r>
        <w:rPr>
          <w:rtl w:val="true"/>
        </w:rPr>
        <w:t>סיפא</w:t>
      </w:r>
      <w:r>
        <w:rPr>
          <w:rtl w:val="true"/>
        </w:rPr>
        <w:t>)</w:t>
      </w:r>
      <w:r>
        <w:rPr>
          <w:rtl w:val="true"/>
        </w:rPr>
        <w:t xml:space="preserve">, </w:t>
      </w:r>
      <w:hyperlink r:id="rId12">
        <w:r>
          <w:rPr>
            <w:rStyle w:val="Hyperlink"/>
            <w:color w:val="0000FF"/>
            <w:u w:val="single"/>
          </w:rPr>
          <w:t>144</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w:t>
      </w:r>
      <w:r>
        <w:rPr>
          <w:rtl w:val="true"/>
        </w:rPr>
        <w:t>סיפא</w:t>
      </w:r>
      <w:r>
        <w:rPr>
          <w:rtl w:val="true"/>
        </w:rPr>
        <w:t xml:space="preserve">) </w:t>
      </w:r>
      <w:r>
        <w:rPr>
          <w:rtl w:val="true"/>
        </w:rPr>
        <w:t>ו</w:t>
      </w:r>
      <w:r>
        <w:rPr>
          <w:rtl w:val="true"/>
        </w:rPr>
        <w:t>-</w:t>
      </w:r>
      <w:hyperlink r:id="rId13">
        <w:r>
          <w:rPr>
            <w:rStyle w:val="Hyperlink"/>
            <w:color w:val="0000FF"/>
            <w:u w:val="single"/>
          </w:rPr>
          <w:t>144</w:t>
        </w:r>
        <w:r>
          <w:rPr>
            <w:rStyle w:val="Hyperlink"/>
            <w:color w:val="0000FF"/>
            <w:u w:val="single"/>
            <w:rtl w:val="true"/>
          </w:rPr>
          <w:t>(</w:t>
        </w:r>
        <w:r>
          <w:rPr>
            <w:rStyle w:val="Hyperlink"/>
            <w:color w:val="0000FF"/>
            <w:u w:val="single"/>
            <w:rtl w:val="true"/>
          </w:rPr>
          <w:t>ג</w:t>
        </w:r>
        <w:r>
          <w:rPr>
            <w:rStyle w:val="Hyperlink"/>
            <w:color w:val="0000FF"/>
            <w:u w:val="single"/>
            <w:rtl w:val="true"/>
          </w:rPr>
          <w:t>)</w:t>
        </w:r>
      </w:hyperlink>
      <w:r>
        <w:rPr>
          <w:rtl w:val="true"/>
        </w:rPr>
        <w:t xml:space="preserve">, </w:t>
      </w:r>
      <w:r>
        <w:rPr>
          <w:rtl w:val="true"/>
        </w:rPr>
        <w:t xml:space="preserve">בצירוף </w:t>
      </w:r>
      <w:hyperlink r:id="rId14">
        <w:r>
          <w:rPr>
            <w:rStyle w:val="Hyperlink"/>
            <w:color w:val="0000FF"/>
            <w:u w:val="single"/>
            <w:rtl w:val="true"/>
          </w:rPr>
          <w:t>סעיף</w:t>
        </w:r>
        <w:r>
          <w:rPr>
            <w:rStyle w:val="Hyperlink"/>
            <w:color w:val="0000FF"/>
            <w:u w:val="single"/>
            <w:rtl w:val="true"/>
          </w:rPr>
          <w:t xml:space="preserve"> </w:t>
        </w:r>
        <w:r>
          <w:rPr>
            <w:rStyle w:val="Hyperlink"/>
            <w:color w:val="0000FF"/>
            <w:u w:val="single"/>
          </w:rPr>
          <w:t>29</w:t>
        </w:r>
      </w:hyperlink>
      <w:r>
        <w:rPr>
          <w:rtl w:val="true"/>
        </w:rPr>
        <w:t xml:space="preserve"> </w:t>
      </w:r>
      <w:r>
        <w:rPr>
          <w:rtl w:val="true"/>
        </w:rPr>
        <w:t>ל</w:t>
      </w:r>
      <w:hyperlink r:id="rId1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 xml:space="preserve">כן הורשע הוא בעבירה של סחר בנשק </w:t>
      </w:r>
      <w:r>
        <w:rPr>
          <w:rtl w:val="true"/>
        </w:rPr>
        <w:t>(</w:t>
      </w:r>
      <w:r>
        <w:rPr>
          <w:rtl w:val="true"/>
        </w:rPr>
        <w:t xml:space="preserve">לפי </w:t>
      </w:r>
      <w:hyperlink r:id="rId16">
        <w:r>
          <w:rPr>
            <w:rStyle w:val="Hyperlink"/>
            <w:color w:val="0000FF"/>
            <w:u w:val="single"/>
            <w:rtl w:val="true"/>
          </w:rPr>
          <w:t>סעיפים</w:t>
        </w:r>
        <w:r>
          <w:rPr>
            <w:rStyle w:val="Hyperlink"/>
            <w:color w:val="0000FF"/>
            <w:u w:val="single"/>
            <w:rtl w:val="true"/>
          </w:rPr>
          <w:t xml:space="preserve"> </w:t>
        </w:r>
        <w:r>
          <w:rPr>
            <w:rStyle w:val="Hyperlink"/>
            <w:color w:val="0000FF"/>
            <w:u w:val="single"/>
          </w:rPr>
          <w:t>144</w:t>
        </w:r>
        <w:r>
          <w:rPr>
            <w:rStyle w:val="Hyperlink"/>
            <w:color w:val="0000FF"/>
            <w:u w:val="single"/>
            <w:rtl w:val="true"/>
          </w:rPr>
          <w:t>(</w:t>
        </w:r>
        <w:r>
          <w:rPr>
            <w:rStyle w:val="Hyperlink"/>
            <w:color w:val="0000FF"/>
            <w:u w:val="single"/>
            <w:rtl w:val="true"/>
          </w:rPr>
          <w:t>ב</w:t>
        </w:r>
        <w:r>
          <w:rPr>
            <w:rStyle w:val="Hyperlink"/>
            <w:color w:val="0000FF"/>
            <w:u w:val="single"/>
          </w:rPr>
          <w:t>2</w:t>
        </w:r>
        <w:r>
          <w:rPr>
            <w:rStyle w:val="Hyperlink"/>
            <w:color w:val="0000FF"/>
            <w:u w:val="single"/>
            <w:rtl w:val="true"/>
          </w:rPr>
          <w:t>)</w:t>
        </w:r>
      </w:hyperlink>
      <w:r>
        <w:rPr>
          <w:rtl w:val="true"/>
        </w:rPr>
        <w:t xml:space="preserve">, </w:t>
      </w:r>
      <w:hyperlink r:id="rId17">
        <w:r>
          <w:rPr>
            <w:rStyle w:val="Hyperlink"/>
            <w:color w:val="0000FF"/>
            <w:u w:val="single"/>
            <w:rtl w:val="true"/>
          </w:rPr>
          <w:t>(</w:t>
        </w:r>
        <w:r>
          <w:rPr>
            <w:rStyle w:val="Hyperlink"/>
            <w:color w:val="0000FF"/>
            <w:u w:val="single"/>
            <w:rtl w:val="true"/>
          </w:rPr>
          <w:t>ג</w:t>
        </w:r>
        <w:r>
          <w:rPr>
            <w:rStyle w:val="Hyperlink"/>
            <w:color w:val="0000FF"/>
            <w:u w:val="single"/>
            <w:rtl w:val="true"/>
          </w:rPr>
          <w:t>)</w:t>
        </w:r>
      </w:hyperlink>
      <w:r>
        <w:rPr>
          <w:rtl w:val="true"/>
        </w:rPr>
        <w:t xml:space="preserve"> </w:t>
      </w:r>
      <w:r>
        <w:rPr>
          <w:rtl w:val="true"/>
        </w:rPr>
        <w:t>ו</w:t>
      </w:r>
      <w:r>
        <w:rPr>
          <w:rtl w:val="true"/>
        </w:rPr>
        <w:t>-</w:t>
      </w:r>
      <w:hyperlink r:id="rId18">
        <w:r>
          <w:rPr>
            <w:rStyle w:val="Hyperlink"/>
            <w:color w:val="0000FF"/>
            <w:u w:val="single"/>
          </w:rPr>
          <w:t>29</w:t>
        </w:r>
      </w:hyperlink>
      <w:r>
        <w:rPr>
          <w:rtl w:val="true"/>
        </w:rPr>
        <w:t xml:space="preserve"> </w:t>
      </w:r>
      <w:r>
        <w:rPr>
          <w:rtl w:val="true"/>
        </w:rPr>
        <w:t>ל</w:t>
      </w:r>
      <w:hyperlink r:id="rId1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w:t>
      </w:r>
    </w:p>
    <w:p>
      <w:pPr>
        <w:pStyle w:val="Ruller42"/>
        <w:numPr>
          <w:ilvl w:val="0"/>
          <w:numId w:val="2"/>
        </w:numPr>
        <w:spacing w:before="0" w:after="240"/>
        <w:ind w:end="0"/>
        <w:jc w:val="both"/>
        <w:rPr/>
      </w:pPr>
      <w:r>
        <w:rPr>
          <w:rtl w:val="true"/>
        </w:rPr>
        <w:tab/>
      </w:r>
      <w:r>
        <w:rPr>
          <w:rtl w:val="true"/>
        </w:rPr>
        <w:t>על</w:t>
      </w:r>
      <w:r>
        <w:rPr>
          <w:rtl w:val="true"/>
        </w:rPr>
        <w:t>-</w:t>
      </w:r>
      <w:r>
        <w:rPr>
          <w:rtl w:val="true"/>
        </w:rPr>
        <w:t>פי האישום השני</w:t>
      </w:r>
      <w:r>
        <w:rPr>
          <w:rtl w:val="true"/>
        </w:rPr>
        <w:t xml:space="preserve">, </w:t>
      </w:r>
      <w:r>
        <w:rPr>
          <w:rtl w:val="true"/>
        </w:rPr>
        <w:t xml:space="preserve">ביום </w:t>
      </w:r>
      <w:r>
        <w:rPr/>
        <w:t>8.6.2012</w:t>
      </w:r>
      <w:r>
        <w:rPr>
          <w:rtl w:val="true"/>
        </w:rPr>
        <w:t xml:space="preserve"> </w:t>
      </w:r>
      <w:r>
        <w:rPr>
          <w:rtl w:val="true"/>
        </w:rPr>
        <w:t>התקיימה שיחה בין המערער לבין הסמוי</w:t>
      </w:r>
      <w:r>
        <w:rPr>
          <w:rtl w:val="true"/>
        </w:rPr>
        <w:t xml:space="preserve">, </w:t>
      </w:r>
      <w:r>
        <w:rPr>
          <w:rtl w:val="true"/>
        </w:rPr>
        <w:t xml:space="preserve">אשר במהלכה הודיע המערער כי נאשם </w:t>
      </w:r>
      <w:r>
        <w:rPr/>
        <w:t>2</w:t>
      </w:r>
      <w:r>
        <w:rPr>
          <w:rtl w:val="true"/>
        </w:rPr>
        <w:t xml:space="preserve"> </w:t>
      </w:r>
      <w:r>
        <w:rPr>
          <w:rtl w:val="true"/>
        </w:rPr>
        <w:t xml:space="preserve">מעוניין למכור אקדח ברטה ותחמושת תמורת </w:t>
      </w:r>
      <w:r>
        <w:rPr/>
        <w:t>8,500</w:t>
      </w:r>
      <w:r>
        <w:rPr>
          <w:rtl w:val="true"/>
        </w:rPr>
        <w:t xml:space="preserve"> </w:t>
      </w:r>
      <w:r>
        <w:rPr>
          <w:rtl w:val="true"/>
        </w:rPr>
        <w:t>ש</w:t>
      </w:r>
      <w:r>
        <w:rPr>
          <w:rtl w:val="true"/>
        </w:rPr>
        <w:t>"</w:t>
      </w:r>
      <w:r>
        <w:rPr>
          <w:rtl w:val="true"/>
        </w:rPr>
        <w:t>ח</w:t>
      </w:r>
      <w:r>
        <w:rPr>
          <w:rtl w:val="true"/>
        </w:rPr>
        <w:t xml:space="preserve">. </w:t>
      </w:r>
      <w:r>
        <w:rPr>
          <w:rtl w:val="true"/>
        </w:rPr>
        <w:t>למחרת שוחחו השניים שוב והסמוי הודיע כי טרם מצא קונה</w:t>
      </w:r>
      <w:r>
        <w:rPr>
          <w:rtl w:val="true"/>
        </w:rPr>
        <w:t xml:space="preserve">. </w:t>
      </w:r>
      <w:r>
        <w:rPr>
          <w:rtl w:val="true"/>
        </w:rPr>
        <w:t>בשיחה נוספת בהמשך היום הודיע הסמוי כי מצא קונה</w:t>
      </w:r>
      <w:r>
        <w:rPr>
          <w:rtl w:val="true"/>
        </w:rPr>
        <w:t xml:space="preserve">. </w:t>
      </w:r>
      <w:r>
        <w:rPr>
          <w:rtl w:val="true"/>
        </w:rPr>
        <w:t>למחרת המערער יצר קשר עם הסמוי והם סיכמו להיפגש לשם ביצוע העסקה</w:t>
      </w:r>
      <w:r>
        <w:rPr>
          <w:rtl w:val="true"/>
        </w:rPr>
        <w:t xml:space="preserve">. </w:t>
      </w:r>
      <w:r>
        <w:rPr>
          <w:rtl w:val="true"/>
        </w:rPr>
        <w:t xml:space="preserve">בשיחה אמר הסמוי למערער כי ברצונו לשלם רק </w:t>
      </w:r>
      <w:r>
        <w:rPr/>
        <w:t>8,000</w:t>
      </w:r>
      <w:r>
        <w:rPr>
          <w:rtl w:val="true"/>
        </w:rPr>
        <w:t xml:space="preserve"> </w:t>
      </w:r>
      <w:r>
        <w:rPr>
          <w:rtl w:val="true"/>
        </w:rPr>
        <w:t>ש</w:t>
      </w:r>
      <w:r>
        <w:rPr>
          <w:rtl w:val="true"/>
        </w:rPr>
        <w:t>"</w:t>
      </w:r>
      <w:r>
        <w:rPr>
          <w:rtl w:val="true"/>
        </w:rPr>
        <w:t>ח</w:t>
      </w:r>
      <w:r>
        <w:rPr>
          <w:rtl w:val="true"/>
        </w:rPr>
        <w:t xml:space="preserve">, </w:t>
      </w:r>
      <w:r>
        <w:rPr>
          <w:rtl w:val="true"/>
        </w:rPr>
        <w:t xml:space="preserve">ובתגובה ציין המערער כי אינו מרוויח מן העסקה וכי תפקידו הוא רק לקשר בינו לבין נאשם </w:t>
      </w:r>
      <w:r>
        <w:rPr/>
        <w:t>2</w:t>
      </w:r>
      <w:r>
        <w:rPr>
          <w:rtl w:val="true"/>
        </w:rPr>
        <w:t xml:space="preserve">. </w:t>
      </w:r>
      <w:r>
        <w:rPr>
          <w:rtl w:val="true"/>
        </w:rPr>
        <w:t>כאשר הגיע הסמוי למקום המפגש בבקה אל</w:t>
      </w:r>
      <w:r>
        <w:rPr>
          <w:rtl w:val="true"/>
        </w:rPr>
        <w:t>-</w:t>
      </w:r>
      <w:r>
        <w:rPr>
          <w:rtl w:val="true"/>
        </w:rPr>
        <w:t>גרביה</w:t>
      </w:r>
      <w:r>
        <w:rPr>
          <w:rtl w:val="true"/>
        </w:rPr>
        <w:t xml:space="preserve">, </w:t>
      </w:r>
      <w:r>
        <w:rPr>
          <w:rtl w:val="true"/>
        </w:rPr>
        <w:t xml:space="preserve">אמר לו המערער בשיחה טלפונית כי נאשם </w:t>
      </w:r>
      <w:r>
        <w:rPr/>
        <w:t>2</w:t>
      </w:r>
      <w:r>
        <w:rPr>
          <w:rtl w:val="true"/>
        </w:rPr>
        <w:t xml:space="preserve"> </w:t>
      </w:r>
      <w:r>
        <w:rPr>
          <w:rtl w:val="true"/>
        </w:rPr>
        <w:t>לא יגיע</w:t>
      </w:r>
      <w:r>
        <w:rPr>
          <w:rtl w:val="true"/>
        </w:rPr>
        <w:t xml:space="preserve">. </w:t>
      </w:r>
      <w:r>
        <w:rPr>
          <w:rtl w:val="true"/>
        </w:rPr>
        <w:t xml:space="preserve">כעבור </w:t>
      </w:r>
      <w:r>
        <w:rPr/>
        <w:t>10</w:t>
      </w:r>
      <w:r>
        <w:rPr>
          <w:rtl w:val="true"/>
        </w:rPr>
        <w:t xml:space="preserve"> </w:t>
      </w:r>
      <w:r>
        <w:rPr>
          <w:rtl w:val="true"/>
        </w:rPr>
        <w:t>דקות הגיע המערער עצמו למקום המפגש</w:t>
      </w:r>
      <w:r>
        <w:rPr>
          <w:rtl w:val="true"/>
        </w:rPr>
        <w:t xml:space="preserve">. </w:t>
      </w:r>
      <w:r>
        <w:rPr>
          <w:rtl w:val="true"/>
        </w:rPr>
        <w:t>הוא נכנס לרכבו של הסמוי ומסר לו אקדח ברטה</w:t>
      </w:r>
      <w:r>
        <w:rPr>
          <w:rtl w:val="true"/>
        </w:rPr>
        <w:t xml:space="preserve">, </w:t>
      </w:r>
      <w:r>
        <w:rPr>
          <w:rtl w:val="true"/>
        </w:rPr>
        <w:t>מחסנית ריקה</w:t>
      </w:r>
      <w:r>
        <w:rPr>
          <w:rtl w:val="true"/>
        </w:rPr>
        <w:t xml:space="preserve">, </w:t>
      </w:r>
      <w:r>
        <w:rPr>
          <w:rtl w:val="true"/>
        </w:rPr>
        <w:t>ושמונה כדורים</w:t>
      </w:r>
      <w:r>
        <w:rPr>
          <w:rtl w:val="true"/>
        </w:rPr>
        <w:t xml:space="preserve">, </w:t>
      </w:r>
      <w:r>
        <w:rPr>
          <w:rtl w:val="true"/>
        </w:rPr>
        <w:t xml:space="preserve">אשר תמורתם קיבל מן הסמוי </w:t>
      </w:r>
      <w:r>
        <w:rPr/>
        <w:t>8,500</w:t>
      </w:r>
      <w:r>
        <w:rPr>
          <w:rtl w:val="true"/>
        </w:rPr>
        <w:t xml:space="preserve"> </w:t>
      </w:r>
      <w:r>
        <w:rPr>
          <w:rtl w:val="true"/>
        </w:rPr>
        <w:t>ש</w:t>
      </w:r>
      <w:r>
        <w:rPr>
          <w:rtl w:val="true"/>
        </w:rPr>
        <w:t>"</w:t>
      </w:r>
      <w:r>
        <w:rPr>
          <w:rtl w:val="true"/>
        </w:rPr>
        <w:t>ח</w:t>
      </w:r>
      <w:r>
        <w:rPr>
          <w:rtl w:val="true"/>
        </w:rPr>
        <w:t>.</w:t>
      </w:r>
    </w:p>
    <w:p>
      <w:pPr>
        <w:pStyle w:val="Ruller42"/>
        <w:numPr>
          <w:ilvl w:val="0"/>
          <w:numId w:val="2"/>
        </w:numPr>
        <w:spacing w:before="0" w:after="240"/>
        <w:ind w:end="0"/>
        <w:jc w:val="both"/>
        <w:rPr>
          <w:rFonts w:ascii="Century" w:hAnsi="Century" w:cs="Miriam"/>
          <w:b/>
          <w:spacing w:val="0"/>
          <w:sz w:val="22"/>
          <w:szCs w:val="24"/>
        </w:rPr>
      </w:pPr>
      <w:r>
        <w:rPr>
          <w:rtl w:val="true"/>
        </w:rPr>
        <w:t>יצוין כי בכתב האישום הופיע אישום נוסף ובו עסקה למכירת נשק שנעשתה על</w:t>
      </w:r>
      <w:r>
        <w:rPr>
          <w:rtl w:val="true"/>
        </w:rPr>
        <w:t>-</w:t>
      </w:r>
      <w:r>
        <w:rPr>
          <w:rtl w:val="true"/>
        </w:rPr>
        <w:t xml:space="preserve">ידי נאשם </w:t>
      </w:r>
      <w:r>
        <w:rPr/>
        <w:t>2</w:t>
      </w:r>
      <w:r>
        <w:rPr>
          <w:rtl w:val="true"/>
        </w:rPr>
        <w:t xml:space="preserve"> </w:t>
      </w:r>
      <w:r>
        <w:rPr>
          <w:rtl w:val="true"/>
        </w:rPr>
        <w:t>אך לא כללה את המערער</w:t>
      </w:r>
      <w:r>
        <w:rPr>
          <w:rtl w:val="true"/>
        </w:rPr>
        <w:t xml:space="preserve">. </w:t>
      </w:r>
      <w:r>
        <w:rPr>
          <w:rtl w:val="true"/>
        </w:rPr>
        <w:t>עוד יצוין</w:t>
      </w:r>
      <w:r>
        <w:rPr>
          <w:rtl w:val="true"/>
        </w:rPr>
        <w:t xml:space="preserve">, </w:t>
      </w:r>
      <w:r>
        <w:rPr>
          <w:rtl w:val="true"/>
        </w:rPr>
        <w:t>כי הסדר הטיעון לא כלל הסכמה לעניין העונש</w:t>
      </w:r>
      <w:r>
        <w:rPr>
          <w:rtl w:val="true"/>
        </w:rPr>
        <w:t xml:space="preserve">. </w:t>
      </w:r>
      <w:r>
        <w:rPr>
          <w:rtl w:val="true"/>
        </w:rPr>
        <w:t>עם זאת הוסכם כי המשיבה תצהיר שהמערער לא נכלל בתכנית היעדים של הסמוי</w:t>
      </w:r>
      <w:r>
        <w:rPr>
          <w:rtl w:val="true"/>
        </w:rPr>
        <w:t xml:space="preserve">; </w:t>
      </w:r>
      <w:r>
        <w:rPr>
          <w:rtl w:val="true"/>
        </w:rPr>
        <w:t>לא היו מידעים מודיעיניים לגביו</w:t>
      </w:r>
      <w:r>
        <w:rPr>
          <w:rtl w:val="true"/>
        </w:rPr>
        <w:t xml:space="preserve">; </w:t>
      </w:r>
      <w:r>
        <w:rPr>
          <w:rtl w:val="true"/>
        </w:rPr>
        <w:t>והפניה הראשונית למערער נעשתה על</w:t>
      </w:r>
      <w:r>
        <w:rPr>
          <w:rtl w:val="true"/>
        </w:rPr>
        <w:t>-</w:t>
      </w:r>
      <w:r>
        <w:rPr>
          <w:rtl w:val="true"/>
        </w:rPr>
        <w:t>ידי הסמוי</w:t>
      </w:r>
      <w:r>
        <w:rPr>
          <w:rtl w:val="true"/>
        </w:rPr>
        <w:t xml:space="preserve">. </w:t>
      </w:r>
      <w:r>
        <w:rPr>
          <w:rtl w:val="true"/>
        </w:rPr>
        <w:t>במסגרת זו המערער והסמוי נפגשו בבית קפה והסמוי החל לשוחח עמו ובמהלך הדברים אמר למערער ש</w:t>
      </w:r>
      <w:r>
        <w:rPr>
          <w:rtl w:val="true"/>
        </w:rPr>
        <w:t>"</w:t>
      </w:r>
      <w:r>
        <w:rPr>
          <w:rtl w:val="true"/>
        </w:rPr>
        <w:t xml:space="preserve">אם יזדמן לו </w:t>
      </w:r>
      <w:r>
        <w:rPr>
          <w:rtl w:val="true"/>
        </w:rPr>
        <w:t>[</w:t>
      </w:r>
      <w:r>
        <w:rPr>
          <w:rtl w:val="true"/>
        </w:rPr>
        <w:t>למערער</w:t>
      </w:r>
      <w:r>
        <w:rPr>
          <w:rtl w:val="true"/>
        </w:rPr>
        <w:t xml:space="preserve">] </w:t>
      </w:r>
      <w:r>
        <w:rPr>
          <w:rtl w:val="true"/>
        </w:rPr>
        <w:t>נשקים שיפנה אליו</w:t>
      </w:r>
      <w:r>
        <w:rPr>
          <w:rtl w:val="true"/>
        </w:rPr>
        <w:t xml:space="preserve">". </w:t>
      </w:r>
      <w:r>
        <w:rPr>
          <w:rtl w:val="true"/>
        </w:rPr>
        <w:t>עוד הוסכם כי בית המשפט יתבקש להורות על עריכת תסקיר שירות המבחן</w:t>
      </w:r>
      <w:r>
        <w:rPr>
          <w:rtl w:val="true"/>
        </w:rPr>
        <w:t xml:space="preserve">, </w:t>
      </w:r>
      <w:r>
        <w:rPr>
          <w:rtl w:val="true"/>
        </w:rPr>
        <w:t>וכי הטיעון לעונש יהיה חופשי</w:t>
      </w:r>
      <w:r>
        <w:rPr>
          <w:rtl w:val="true"/>
        </w:rPr>
        <w:t xml:space="preserve">. </w:t>
      </w:r>
      <w:r>
        <w:rPr>
          <w:rtl w:val="true"/>
        </w:rPr>
        <w:t>המשיבה הבהירה כי תעתור למאסר בפועל</w:t>
      </w:r>
      <w:r>
        <w:rPr>
          <w:rtl w:val="true"/>
        </w:rPr>
        <w:t xml:space="preserve">, </w:t>
      </w:r>
      <w:r>
        <w:rPr>
          <w:rtl w:val="true"/>
        </w:rPr>
        <w:t>למאסר על תנאי ולקנס</w:t>
      </w:r>
      <w:r>
        <w:rPr>
          <w:rtl w:val="true"/>
        </w:rPr>
        <w:t>.</w:t>
        <w:br/>
        <w:br/>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המחוזי</w:t>
      </w:r>
    </w:p>
    <w:p>
      <w:pPr>
        <w:pStyle w:val="Ruller42"/>
        <w:numPr>
          <w:ilvl w:val="0"/>
          <w:numId w:val="2"/>
        </w:numPr>
        <w:spacing w:before="0" w:after="240"/>
        <w:ind w:end="0"/>
        <w:jc w:val="both"/>
        <w:rPr/>
      </w:pPr>
      <w:r>
        <w:rPr>
          <w:rtl w:val="true"/>
        </w:rPr>
        <w:t>בהתאם להסכמות הצדדים הורה בית המשפט המחוזי על עריכת תסקיר בעניינו של המערער</w:t>
      </w:r>
      <w:r>
        <w:rPr>
          <w:rtl w:val="true"/>
        </w:rPr>
        <w:t xml:space="preserve">. </w:t>
      </w:r>
      <w:r>
        <w:rPr>
          <w:rtl w:val="true"/>
        </w:rPr>
        <w:t>בתסקיר</w:t>
      </w:r>
      <w:r>
        <w:rPr>
          <w:rtl w:val="true"/>
        </w:rPr>
        <w:t xml:space="preserve">, </w:t>
      </w:r>
      <w:r>
        <w:rPr>
          <w:rtl w:val="true"/>
        </w:rPr>
        <w:t>שירות המבחן המליץ שלא לגזור על המערער עונש של מאסר בפועל</w:t>
      </w:r>
      <w:r>
        <w:rPr>
          <w:rtl w:val="true"/>
        </w:rPr>
        <w:t xml:space="preserve">, </w:t>
      </w:r>
      <w:r>
        <w:rPr>
          <w:rtl w:val="true"/>
        </w:rPr>
        <w:t>מחשש לרגרסיה במצבו ולחשיפה לסביבה עבריינית</w:t>
      </w:r>
      <w:r>
        <w:rPr>
          <w:rtl w:val="true"/>
        </w:rPr>
        <w:t xml:space="preserve">. </w:t>
      </w:r>
      <w:r>
        <w:rPr>
          <w:rtl w:val="true"/>
        </w:rPr>
        <w:t>כן המליץ שירות המבחן על מתן צו מבחן למשך שנה וחצי ולשלב את המערער בטיפול</w:t>
      </w:r>
      <w:r>
        <w:rPr>
          <w:rtl w:val="true"/>
        </w:rPr>
        <w:t xml:space="preserve">, </w:t>
      </w:r>
      <w:r>
        <w:rPr>
          <w:rtl w:val="true"/>
        </w:rPr>
        <w:t>בצד מאסר שירוצה בעבודות שירות ו</w:t>
      </w:r>
      <w:r>
        <w:rPr>
          <w:rtl w:val="true"/>
        </w:rPr>
        <w:t>"</w:t>
      </w:r>
      <w:r>
        <w:rPr>
          <w:rtl w:val="true"/>
        </w:rPr>
        <w:t>ענישה מותנית</w:t>
      </w:r>
      <w:r>
        <w:rPr>
          <w:rtl w:val="true"/>
        </w:rPr>
        <w:t xml:space="preserve">". </w:t>
      </w:r>
      <w:r>
        <w:rPr>
          <w:rtl w:val="true"/>
        </w:rPr>
        <w:t>פרט לתסקיר</w:t>
      </w:r>
      <w:r>
        <w:rPr>
          <w:rtl w:val="true"/>
        </w:rPr>
        <w:t xml:space="preserve">, </w:t>
      </w:r>
      <w:r>
        <w:rPr>
          <w:rtl w:val="true"/>
        </w:rPr>
        <w:t>הוגשה לבית המשפט חוות דעת פסיכיאטרית</w:t>
      </w:r>
      <w:r>
        <w:rPr>
          <w:rtl w:val="true"/>
        </w:rPr>
        <w:t xml:space="preserve">, </w:t>
      </w:r>
      <w:r>
        <w:rPr>
          <w:rtl w:val="true"/>
        </w:rPr>
        <w:t>בה צוין כי למערער דפוסי חשיבה והתנהגות לא בשלים</w:t>
      </w:r>
      <w:r>
        <w:rPr>
          <w:rtl w:val="true"/>
        </w:rPr>
        <w:t xml:space="preserve">. </w:t>
      </w:r>
      <w:r>
        <w:rPr>
          <w:rtl w:val="true"/>
        </w:rPr>
        <w:t>כן צוינו מספר מסקנות באשר לכנותה של חרטתו ולטיב מניעיו לביצוע העבירה</w:t>
      </w:r>
      <w:r>
        <w:rPr>
          <w:rtl w:val="true"/>
        </w:rPr>
        <w:t>.</w:t>
      </w:r>
    </w:p>
    <w:p>
      <w:pPr>
        <w:pStyle w:val="Ruller42"/>
        <w:numPr>
          <w:ilvl w:val="0"/>
          <w:numId w:val="2"/>
        </w:numPr>
        <w:spacing w:before="0" w:after="240"/>
        <w:ind w:end="0"/>
        <w:jc w:val="both"/>
        <w:rPr/>
      </w:pPr>
      <w:r>
        <w:rPr>
          <w:rtl w:val="true"/>
        </w:rPr>
        <w:t>בית המשפט המחוזי קבע מתחמי ענישה שונים לשני האישומים</w:t>
      </w:r>
      <w:r>
        <w:rPr>
          <w:rtl w:val="true"/>
        </w:rPr>
        <w:t xml:space="preserve">. </w:t>
      </w:r>
      <w:r>
        <w:rPr>
          <w:rtl w:val="true"/>
        </w:rPr>
        <w:t xml:space="preserve">לאישום הראשון נקבע מתחם בטווח של </w:t>
      </w:r>
      <w:r>
        <w:rPr/>
        <w:t>3</w:t>
      </w:r>
      <w:r>
        <w:rPr>
          <w:rtl w:val="true"/>
        </w:rPr>
        <w:t xml:space="preserve"> </w:t>
      </w:r>
      <w:r>
        <w:rPr>
          <w:rtl w:val="true"/>
        </w:rPr>
        <w:t xml:space="preserve">עד </w:t>
      </w:r>
      <w:r>
        <w:rPr/>
        <w:t>7</w:t>
      </w:r>
      <w:r>
        <w:rPr>
          <w:rtl w:val="true"/>
        </w:rPr>
        <w:t xml:space="preserve"> </w:t>
      </w:r>
      <w:r>
        <w:rPr>
          <w:rtl w:val="true"/>
        </w:rPr>
        <w:t>שנות מאסר בצד קנס</w:t>
      </w:r>
      <w:r>
        <w:rPr>
          <w:rtl w:val="true"/>
        </w:rPr>
        <w:t xml:space="preserve">. </w:t>
      </w:r>
      <w:r>
        <w:rPr>
          <w:rtl w:val="true"/>
        </w:rPr>
        <w:t>בית המשפט הדגיש כי חלקו של המערער באישום זה היה העיקרי מבין שני הנאשמים</w:t>
      </w:r>
      <w:r>
        <w:rPr>
          <w:rtl w:val="true"/>
        </w:rPr>
        <w:t xml:space="preserve">. </w:t>
      </w:r>
      <w:r>
        <w:rPr>
          <w:rtl w:val="true"/>
        </w:rPr>
        <w:t xml:space="preserve">לאישום השני נקבע מתחם בטווח של </w:t>
      </w:r>
      <w:r>
        <w:rPr/>
        <w:t>4</w:t>
      </w:r>
      <w:r>
        <w:rPr>
          <w:rtl w:val="true"/>
        </w:rPr>
        <w:t xml:space="preserve"> </w:t>
      </w:r>
      <w:r>
        <w:rPr>
          <w:rtl w:val="true"/>
        </w:rPr>
        <w:t xml:space="preserve">עד </w:t>
      </w:r>
      <w:r>
        <w:rPr/>
        <w:t>7</w:t>
      </w:r>
      <w:r>
        <w:rPr>
          <w:rtl w:val="true"/>
        </w:rPr>
        <w:t xml:space="preserve"> </w:t>
      </w:r>
      <w:r>
        <w:rPr>
          <w:rtl w:val="true"/>
        </w:rPr>
        <w:t>שנים</w:t>
      </w:r>
      <w:r>
        <w:rPr>
          <w:rtl w:val="true"/>
        </w:rPr>
        <w:t xml:space="preserve">. </w:t>
      </w:r>
      <w:r>
        <w:rPr>
          <w:rtl w:val="true"/>
        </w:rPr>
        <w:t xml:space="preserve">גם כאן נקבע כי חלקו של המערער היה גדול מחלקו של נאשם </w:t>
      </w:r>
      <w:r>
        <w:rPr/>
        <w:t>2</w:t>
      </w:r>
      <w:r>
        <w:rPr>
          <w:rtl w:val="true"/>
        </w:rPr>
        <w:t xml:space="preserve">. </w:t>
      </w:r>
      <w:r>
        <w:rPr>
          <w:rtl w:val="true"/>
        </w:rPr>
        <w:t>בית המשפט מצא לגזור עונש כולל בגין שני האישומים</w:t>
      </w:r>
      <w:r>
        <w:rPr>
          <w:rtl w:val="true"/>
        </w:rPr>
        <w:t xml:space="preserve">. </w:t>
      </w:r>
      <w:r>
        <w:rPr>
          <w:rtl w:val="true"/>
        </w:rPr>
        <w:t>במסגרת השיקולים לעונש</w:t>
      </w:r>
      <w:r>
        <w:rPr>
          <w:rtl w:val="true"/>
        </w:rPr>
        <w:t xml:space="preserve">, </w:t>
      </w:r>
      <w:r>
        <w:rPr>
          <w:rtl w:val="true"/>
        </w:rPr>
        <w:t>לא קיבל בית המשפט את המלצת שירות המבחן להימנע מהטלת עונש של מאסר בפועל</w:t>
      </w:r>
      <w:r>
        <w:rPr>
          <w:rtl w:val="true"/>
        </w:rPr>
        <w:t xml:space="preserve">, </w:t>
      </w:r>
      <w:r>
        <w:rPr>
          <w:rtl w:val="true"/>
        </w:rPr>
        <w:t>וזאת בין היתר בהתאם לעקרון אחידות הענישה</w:t>
      </w:r>
      <w:r>
        <w:rPr>
          <w:rtl w:val="true"/>
        </w:rPr>
        <w:t xml:space="preserve">, </w:t>
      </w:r>
      <w:r>
        <w:rPr>
          <w:rtl w:val="true"/>
        </w:rPr>
        <w:t xml:space="preserve">הואיל ועל נאשם </w:t>
      </w:r>
      <w:r>
        <w:rPr/>
        <w:t>2</w:t>
      </w:r>
      <w:r>
        <w:rPr>
          <w:rtl w:val="true"/>
        </w:rPr>
        <w:t xml:space="preserve"> </w:t>
      </w:r>
      <w:r>
        <w:rPr>
          <w:rtl w:val="true"/>
        </w:rPr>
        <w:t xml:space="preserve">נגזרו </w:t>
      </w:r>
      <w:r>
        <w:rPr/>
        <w:t>45</w:t>
      </w:r>
      <w:r>
        <w:rPr>
          <w:rtl w:val="true"/>
        </w:rPr>
        <w:t xml:space="preserve"> </w:t>
      </w:r>
      <w:r>
        <w:rPr>
          <w:rtl w:val="true"/>
        </w:rPr>
        <w:t>חודשי מאסר בפועל</w:t>
      </w:r>
      <w:r>
        <w:rPr>
          <w:rtl w:val="true"/>
        </w:rPr>
        <w:t xml:space="preserve">. </w:t>
      </w:r>
      <w:r>
        <w:rPr>
          <w:rtl w:val="true"/>
        </w:rPr>
        <w:t>בית המשפט הבחין אמנם בין מעשיהם של השניים</w:t>
      </w:r>
      <w:r>
        <w:rPr>
          <w:rtl w:val="true"/>
        </w:rPr>
        <w:t xml:space="preserve">, </w:t>
      </w:r>
      <w:r>
        <w:rPr>
          <w:rtl w:val="true"/>
        </w:rPr>
        <w:t>עברם ונסיבותיהם</w:t>
      </w:r>
      <w:r>
        <w:rPr>
          <w:rtl w:val="true"/>
        </w:rPr>
        <w:t xml:space="preserve">, </w:t>
      </w:r>
      <w:r>
        <w:rPr>
          <w:rtl w:val="true"/>
        </w:rPr>
        <w:t xml:space="preserve">אך סבר כי הבדלים אלה – אף שהם פועלים לטובת המערער – אינם מצדיקים להשית עליו עונש קל של </w:t>
      </w:r>
      <w:r>
        <w:rPr/>
        <w:t>6</w:t>
      </w:r>
      <w:r>
        <w:rPr>
          <w:rtl w:val="true"/>
        </w:rPr>
        <w:t xml:space="preserve"> </w:t>
      </w:r>
      <w:r>
        <w:rPr>
          <w:rtl w:val="true"/>
        </w:rPr>
        <w:t>חודשי מאסר על דרך של עבודות שירות</w:t>
      </w:r>
      <w:r>
        <w:rPr>
          <w:rtl w:val="true"/>
        </w:rPr>
        <w:t xml:space="preserve">. </w:t>
      </w:r>
      <w:r>
        <w:rPr>
          <w:rtl w:val="true"/>
        </w:rPr>
        <w:t xml:space="preserve">בית המשפט דחה טענה בדבר </w:t>
      </w:r>
      <w:r>
        <w:rPr>
          <w:rtl w:val="true"/>
        </w:rPr>
        <w:t>"</w:t>
      </w:r>
      <w:r>
        <w:rPr>
          <w:rtl w:val="true"/>
        </w:rPr>
        <w:t>סוכן מדיח</w:t>
      </w:r>
      <w:r>
        <w:rPr>
          <w:rtl w:val="true"/>
        </w:rPr>
        <w:t xml:space="preserve">" </w:t>
      </w:r>
      <w:r>
        <w:rPr>
          <w:rtl w:val="true"/>
        </w:rPr>
        <w:t>וקבע כי לא היה במעשי הסוכן משום פיתוי או הדחה</w:t>
      </w:r>
      <w:r>
        <w:rPr>
          <w:rtl w:val="true"/>
        </w:rPr>
        <w:t xml:space="preserve">. </w:t>
      </w:r>
      <w:r>
        <w:rPr>
          <w:rtl w:val="true"/>
        </w:rPr>
        <w:t>לחומרה</w:t>
      </w:r>
      <w:r>
        <w:rPr>
          <w:rtl w:val="true"/>
        </w:rPr>
        <w:t xml:space="preserve">, </w:t>
      </w:r>
      <w:r>
        <w:rPr>
          <w:rtl w:val="true"/>
        </w:rPr>
        <w:t>ציין בית המשפט כי לא מדובר במעידה חד</w:t>
      </w:r>
      <w:r>
        <w:rPr>
          <w:rtl w:val="true"/>
        </w:rPr>
        <w:t>-</w:t>
      </w:r>
      <w:r>
        <w:rPr>
          <w:rtl w:val="true"/>
        </w:rPr>
        <w:t>פעמית אלא על קשר מתמשך עם הסוכן שכלל מספר עבירות</w:t>
      </w:r>
      <w:r>
        <w:rPr>
          <w:rtl w:val="true"/>
        </w:rPr>
        <w:t xml:space="preserve">; </w:t>
      </w:r>
      <w:r>
        <w:rPr>
          <w:rtl w:val="true"/>
        </w:rPr>
        <w:t>לקולה</w:t>
      </w:r>
      <w:r>
        <w:rPr>
          <w:rtl w:val="true"/>
        </w:rPr>
        <w:t xml:space="preserve">, </w:t>
      </w:r>
      <w:r>
        <w:rPr>
          <w:rtl w:val="true"/>
        </w:rPr>
        <w:t>ציין בית המשפט את הודאתו המהירה של המערער</w:t>
      </w:r>
      <w:r>
        <w:rPr>
          <w:rtl w:val="true"/>
        </w:rPr>
        <w:t xml:space="preserve">, </w:t>
      </w:r>
      <w:r>
        <w:rPr>
          <w:rtl w:val="true"/>
        </w:rPr>
        <w:t>לקיחת אחריות על מעשיו</w:t>
      </w:r>
      <w:r>
        <w:rPr>
          <w:rtl w:val="true"/>
        </w:rPr>
        <w:t xml:space="preserve">, </w:t>
      </w:r>
      <w:r>
        <w:rPr>
          <w:rtl w:val="true"/>
        </w:rPr>
        <w:t>היעדר עבר פלילי</w:t>
      </w:r>
      <w:r>
        <w:rPr>
          <w:rtl w:val="true"/>
        </w:rPr>
        <w:t xml:space="preserve">, </w:t>
      </w:r>
      <w:r>
        <w:rPr>
          <w:rtl w:val="true"/>
        </w:rPr>
        <w:t>גיל צעיר</w:t>
      </w:r>
      <w:r>
        <w:rPr>
          <w:rtl w:val="true"/>
        </w:rPr>
        <w:t xml:space="preserve">, </w:t>
      </w:r>
      <w:r>
        <w:rPr>
          <w:rtl w:val="true"/>
        </w:rPr>
        <w:t>ודפוסים אישיותיים כפי שתואר</w:t>
      </w:r>
      <w:r>
        <w:rPr>
          <w:rtl w:val="true"/>
        </w:rPr>
        <w:t xml:space="preserve">. </w:t>
      </w:r>
      <w:r>
        <w:rPr>
          <w:rtl w:val="true"/>
        </w:rPr>
        <w:t>באיזון בין השיקולים מצא בית המשפט לגזור את העונש ברף התחתון של מתחם העונש ההולם</w:t>
      </w:r>
      <w:r>
        <w:rPr>
          <w:rtl w:val="true"/>
        </w:rPr>
        <w:t xml:space="preserve">. </w:t>
      </w:r>
      <w:r>
        <w:rPr>
          <w:rtl w:val="true"/>
        </w:rPr>
        <w:t>בהתאם</w:t>
      </w:r>
      <w:r>
        <w:rPr>
          <w:rtl w:val="true"/>
        </w:rPr>
        <w:t xml:space="preserve">, </w:t>
      </w:r>
      <w:r>
        <w:rPr>
          <w:rtl w:val="true"/>
        </w:rPr>
        <w:t>ומבלי למצות את הדין כדברי בית המשפט</w:t>
      </w:r>
      <w:r>
        <w:rPr>
          <w:rtl w:val="true"/>
        </w:rPr>
        <w:t xml:space="preserve">, </w:t>
      </w:r>
      <w:r>
        <w:rPr>
          <w:rtl w:val="true"/>
        </w:rPr>
        <w:t xml:space="preserve">נגזרו על המערער </w:t>
      </w:r>
      <w:r>
        <w:rPr/>
        <w:t>36</w:t>
      </w:r>
      <w:r>
        <w:rPr>
          <w:rtl w:val="true"/>
        </w:rPr>
        <w:t xml:space="preserve"> </w:t>
      </w:r>
      <w:r>
        <w:rPr>
          <w:rtl w:val="true"/>
        </w:rPr>
        <w:t xml:space="preserve">חודשי מאסר בפועל </w:t>
      </w:r>
      <w:r>
        <w:rPr>
          <w:rtl w:val="true"/>
        </w:rPr>
        <w:t>(</w:t>
      </w:r>
      <w:r>
        <w:rPr>
          <w:rtl w:val="true"/>
        </w:rPr>
        <w:t>בניכוי ימי מעצרו</w:t>
      </w:r>
      <w:r>
        <w:rPr>
          <w:rtl w:val="true"/>
        </w:rPr>
        <w:t xml:space="preserve">), </w:t>
      </w:r>
      <w:r>
        <w:rPr/>
        <w:t>12</w:t>
      </w:r>
      <w:r>
        <w:rPr>
          <w:rtl w:val="true"/>
        </w:rPr>
        <w:t xml:space="preserve"> </w:t>
      </w:r>
      <w:r>
        <w:rPr>
          <w:rtl w:val="true"/>
        </w:rPr>
        <w:t>חודשי מאסר על תנאי</w:t>
      </w:r>
      <w:r>
        <w:rPr>
          <w:rtl w:val="true"/>
        </w:rPr>
        <w:t xml:space="preserve">, </w:t>
      </w:r>
      <w:r>
        <w:rPr>
          <w:rtl w:val="true"/>
        </w:rPr>
        <w:t xml:space="preserve">וקנס בסך </w:t>
      </w:r>
      <w:r>
        <w:rPr/>
        <w:t>15,000</w:t>
      </w:r>
      <w:r>
        <w:rPr>
          <w:rtl w:val="true"/>
        </w:rPr>
        <w:t xml:space="preserve"> </w:t>
      </w:r>
      <w:r>
        <w:rPr>
          <w:rtl w:val="true"/>
        </w:rPr>
        <w:t>ש</w:t>
      </w:r>
      <w:r>
        <w:rPr>
          <w:rtl w:val="true"/>
        </w:rPr>
        <w:t>"</w:t>
      </w:r>
      <w:r>
        <w:rPr>
          <w:rtl w:val="true"/>
        </w:rPr>
        <w:t>ח</w:t>
      </w:r>
      <w:r>
        <w:rPr>
          <w:rtl w:val="true"/>
        </w:rPr>
        <w:t>.</w:t>
      </w:r>
    </w:p>
    <w:p>
      <w:pPr>
        <w:pStyle w:val="Ruller42"/>
        <w:numPr>
          <w:ilvl w:val="0"/>
          <w:numId w:val="0"/>
        </w:numPr>
        <w:spacing w:before="0" w:after="240"/>
        <w:ind w:hanging="0" w:start="0" w:end="0"/>
        <w:jc w:val="both"/>
        <w:rPr>
          <w:rFonts w:ascii="Century" w:hAnsi="Century" w:cs="Miriam"/>
          <w:b/>
          <w:spacing w:val="0"/>
          <w:sz w:val="22"/>
          <w:szCs w:val="24"/>
        </w:rPr>
      </w:pPr>
      <w:r>
        <w:rPr>
          <w:rFonts w:ascii="Century" w:hAnsi="Century" w:cs="Miriam"/>
          <w:b/>
          <w:b/>
          <w:spacing w:val="0"/>
          <w:sz w:val="22"/>
          <w:sz w:val="22"/>
          <w:szCs w:val="24"/>
          <w:rtl w:val="true"/>
        </w:rPr>
        <w:t>טעות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הצדדים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ותסקיר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משלים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מטעם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שירות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המבחן</w:t>
      </w:r>
    </w:p>
    <w:p>
      <w:pPr>
        <w:pStyle w:val="Ruller42"/>
        <w:numPr>
          <w:ilvl w:val="0"/>
          <w:numId w:val="2"/>
        </w:numPr>
        <w:spacing w:before="0" w:after="240"/>
        <w:ind w:end="0"/>
        <w:jc w:val="both"/>
        <w:rPr>
          <w:sz w:val="22"/>
        </w:rPr>
      </w:pPr>
      <w:r>
        <w:rPr>
          <w:rFonts w:ascii="Century" w:hAnsi="Century" w:cs="Century"/>
          <w:sz w:val="22"/>
          <w:sz w:val="22"/>
          <w:rtl w:val="true"/>
        </w:rPr>
        <w:t xml:space="preserve">בהודעת הערעור </w:t>
      </w:r>
      <w:r>
        <w:rPr>
          <w:sz w:val="22"/>
          <w:sz w:val="22"/>
          <w:rtl w:val="true"/>
        </w:rPr>
        <w:t>נטען כי שגה בית המשפט המחוזי בכך שדחה את חוות הדעת הפסיכיאטרית רק מן הטעם שנפלו בה שגיאות בהצגת עובדות מעשי העבירות</w:t>
      </w:r>
      <w:r>
        <w:rPr>
          <w:sz w:val="22"/>
          <w:rtl w:val="true"/>
        </w:rPr>
        <w:t xml:space="preserve">. </w:t>
      </w:r>
      <w:r>
        <w:rPr>
          <w:sz w:val="22"/>
          <w:sz w:val="22"/>
          <w:rtl w:val="true"/>
        </w:rPr>
        <w:t>נטען כי מסקנות חוות הדעת אינן מבוססות על עובדות האישומים אלא על אופיו של המערער – מסקנות שהן בתחום מומחיותה של הפסיכיאטרית</w:t>
      </w:r>
      <w:r>
        <w:rPr>
          <w:sz w:val="22"/>
          <w:rtl w:val="true"/>
        </w:rPr>
        <w:t xml:space="preserve">. </w:t>
      </w:r>
      <w:r>
        <w:rPr>
          <w:sz w:val="22"/>
          <w:sz w:val="22"/>
          <w:rtl w:val="true"/>
        </w:rPr>
        <w:t>עוד נטען</w:t>
      </w:r>
      <w:r>
        <w:rPr>
          <w:sz w:val="22"/>
          <w:rtl w:val="true"/>
        </w:rPr>
        <w:t xml:space="preserve">, </w:t>
      </w:r>
      <w:r>
        <w:rPr>
          <w:sz w:val="22"/>
          <w:sz w:val="22"/>
          <w:rtl w:val="true"/>
        </w:rPr>
        <w:t>כי היה על בית המשפט המחוזי לקבל את עמדת שירות המבחן</w:t>
      </w:r>
      <w:r>
        <w:rPr>
          <w:sz w:val="22"/>
          <w:rtl w:val="true"/>
        </w:rPr>
        <w:t xml:space="preserve">, </w:t>
      </w:r>
      <w:r>
        <w:rPr>
          <w:sz w:val="22"/>
          <w:sz w:val="22"/>
          <w:rtl w:val="true"/>
        </w:rPr>
        <w:t>וזאת בין היתר</w:t>
      </w:r>
      <w:r>
        <w:rPr>
          <w:sz w:val="22"/>
          <w:rtl w:val="true"/>
        </w:rPr>
        <w:t xml:space="preserve">, </w:t>
      </w:r>
      <w:r>
        <w:rPr>
          <w:sz w:val="22"/>
          <w:sz w:val="22"/>
          <w:rtl w:val="true"/>
        </w:rPr>
        <w:t>בשל גילו הצעיר של המערער</w:t>
      </w:r>
      <w:r>
        <w:rPr>
          <w:sz w:val="22"/>
          <w:rtl w:val="true"/>
        </w:rPr>
        <w:t xml:space="preserve">. </w:t>
      </w:r>
      <w:r>
        <w:rPr>
          <w:sz w:val="22"/>
          <w:sz w:val="22"/>
          <w:rtl w:val="true"/>
        </w:rPr>
        <w:t>כן נטען</w:t>
      </w:r>
      <w:r>
        <w:rPr>
          <w:sz w:val="22"/>
          <w:rtl w:val="true"/>
        </w:rPr>
        <w:t xml:space="preserve">, </w:t>
      </w:r>
      <w:r>
        <w:rPr>
          <w:sz w:val="22"/>
          <w:sz w:val="22"/>
          <w:rtl w:val="true"/>
        </w:rPr>
        <w:t xml:space="preserve">כי שגה בית המשפט בכך שקבע כי יש </w:t>
      </w:r>
      <w:r>
        <w:rPr>
          <w:sz w:val="22"/>
          <w:rtl w:val="true"/>
        </w:rPr>
        <w:t>"</w:t>
      </w:r>
      <w:r>
        <w:rPr>
          <w:sz w:val="22"/>
          <w:sz w:val="22"/>
          <w:rtl w:val="true"/>
        </w:rPr>
        <w:t>סיכוי של ממש</w:t>
      </w:r>
      <w:r>
        <w:rPr>
          <w:sz w:val="22"/>
          <w:rtl w:val="true"/>
        </w:rPr>
        <w:t xml:space="preserve">" </w:t>
      </w:r>
      <w:r>
        <w:rPr>
          <w:sz w:val="22"/>
          <w:sz w:val="22"/>
          <w:rtl w:val="true"/>
        </w:rPr>
        <w:t xml:space="preserve">שעונשו של המערער יביא להרתעת הרבים – כנדרש </w:t>
      </w:r>
      <w:hyperlink r:id="rId20">
        <w:r>
          <w:rPr>
            <w:rStyle w:val="Hyperlink"/>
            <w:color w:val="0000FF"/>
            <w:sz w:val="22"/>
            <w:sz w:val="22"/>
            <w:u w:val="single"/>
            <w:rtl w:val="true"/>
          </w:rPr>
          <w:t>בסעיף</w:t>
        </w:r>
        <w:r>
          <w:rPr>
            <w:rStyle w:val="Hyperlink"/>
            <w:color w:val="0000FF"/>
            <w:sz w:val="22"/>
            <w:sz w:val="22"/>
            <w:u w:val="single"/>
            <w:rtl w:val="true"/>
          </w:rPr>
          <w:t xml:space="preserve"> </w:t>
        </w:r>
        <w:r>
          <w:rPr>
            <w:rStyle w:val="Hyperlink"/>
            <w:color w:val="0000FF"/>
            <w:sz w:val="22"/>
            <w:u w:val="single"/>
          </w:rPr>
          <w:t>40</w:t>
        </w:r>
        <w:r>
          <w:rPr>
            <w:rStyle w:val="Hyperlink"/>
            <w:color w:val="0000FF"/>
            <w:sz w:val="22"/>
            <w:sz w:val="22"/>
            <w:u w:val="single"/>
            <w:rtl w:val="true"/>
          </w:rPr>
          <w:t>ז</w:t>
        </w:r>
      </w:hyperlink>
      <w:r>
        <w:rPr>
          <w:sz w:val="22"/>
          <w:sz w:val="22"/>
          <w:rtl w:val="true"/>
        </w:rPr>
        <w:t xml:space="preserve"> ל</w:t>
      </w:r>
      <w:hyperlink r:id="rId21">
        <w:r>
          <w:rPr>
            <w:rStyle w:val="Hyperlink"/>
            <w:color w:val="0000FF"/>
            <w:sz w:val="22"/>
            <w:sz w:val="22"/>
            <w:u w:val="single"/>
            <w:rtl w:val="true"/>
          </w:rPr>
          <w:t>חוק</w:t>
        </w:r>
        <w:r>
          <w:rPr>
            <w:rStyle w:val="Hyperlink"/>
            <w:color w:val="0000FF"/>
            <w:sz w:val="22"/>
            <w:sz w:val="22"/>
            <w:u w:val="single"/>
            <w:rtl w:val="true"/>
          </w:rPr>
          <w:t xml:space="preserve"> </w:t>
        </w:r>
        <w:r>
          <w:rPr>
            <w:rStyle w:val="Hyperlink"/>
            <w:color w:val="0000FF"/>
            <w:sz w:val="22"/>
            <w:sz w:val="22"/>
            <w:u w:val="single"/>
            <w:rtl w:val="true"/>
          </w:rPr>
          <w:t>העונשין</w:t>
        </w:r>
      </w:hyperlink>
      <w:r>
        <w:rPr>
          <w:sz w:val="22"/>
          <w:rtl w:val="true"/>
        </w:rPr>
        <w:t>.</w:t>
      </w:r>
    </w:p>
    <w:p>
      <w:pPr>
        <w:pStyle w:val="Ruller42"/>
        <w:numPr>
          <w:ilvl w:val="0"/>
          <w:numId w:val="2"/>
        </w:numPr>
        <w:spacing w:before="0" w:after="240"/>
        <w:ind w:end="0"/>
        <w:jc w:val="both"/>
        <w:rPr>
          <w:sz w:val="22"/>
        </w:rPr>
      </w:pPr>
      <w:r>
        <w:rPr>
          <w:sz w:val="22"/>
          <w:sz w:val="22"/>
          <w:rtl w:val="true"/>
        </w:rPr>
        <w:t>עוד נטען</w:t>
      </w:r>
      <w:r>
        <w:rPr>
          <w:sz w:val="22"/>
          <w:rtl w:val="true"/>
        </w:rPr>
        <w:t xml:space="preserve">, </w:t>
      </w:r>
      <w:r>
        <w:rPr>
          <w:sz w:val="22"/>
          <w:sz w:val="22"/>
          <w:rtl w:val="true"/>
        </w:rPr>
        <w:t>כי לא ניתן משקל מספק לשיקולים לקולה ובכללם הודאתו של המערער וחרטתו</w:t>
      </w:r>
      <w:r>
        <w:rPr>
          <w:sz w:val="22"/>
          <w:rtl w:val="true"/>
        </w:rPr>
        <w:t xml:space="preserve">, </w:t>
      </w:r>
      <w:r>
        <w:rPr>
          <w:sz w:val="22"/>
          <w:sz w:val="22"/>
          <w:rtl w:val="true"/>
        </w:rPr>
        <w:t>וכי שגה בית המשפט בכך שלא נתן משקל לעובדה שהפניה הראשונה נעשתה על</w:t>
      </w:r>
      <w:r>
        <w:rPr>
          <w:sz w:val="22"/>
          <w:rtl w:val="true"/>
        </w:rPr>
        <w:t>-</w:t>
      </w:r>
      <w:r>
        <w:rPr>
          <w:sz w:val="22"/>
          <w:sz w:val="22"/>
          <w:rtl w:val="true"/>
        </w:rPr>
        <w:t>ידי הסוכן אליו וליתר ההסכמות שהיו בין הצדדים</w:t>
      </w:r>
      <w:r>
        <w:rPr>
          <w:sz w:val="22"/>
          <w:rtl w:val="true"/>
        </w:rPr>
        <w:t xml:space="preserve">. </w:t>
      </w:r>
      <w:r>
        <w:rPr>
          <w:sz w:val="22"/>
          <w:sz w:val="22"/>
          <w:rtl w:val="true"/>
        </w:rPr>
        <w:t xml:space="preserve">לבסוף נטען כי בין המערער לבין נאשם </w:t>
      </w:r>
      <w:r>
        <w:rPr>
          <w:sz w:val="22"/>
        </w:rPr>
        <w:t>2</w:t>
      </w:r>
      <w:r>
        <w:rPr>
          <w:sz w:val="22"/>
          <w:rtl w:val="true"/>
        </w:rPr>
        <w:t xml:space="preserve"> </w:t>
      </w:r>
      <w:r>
        <w:rPr>
          <w:sz w:val="22"/>
          <w:sz w:val="22"/>
          <w:rtl w:val="true"/>
        </w:rPr>
        <w:t>ישנם הבדלים משמעותיים אשר מצדיקים הקלה בעונשו ובכללם הבדלי גיל</w:t>
      </w:r>
      <w:r>
        <w:rPr>
          <w:sz w:val="22"/>
          <w:rtl w:val="true"/>
        </w:rPr>
        <w:t xml:space="preserve">, </w:t>
      </w:r>
      <w:r>
        <w:rPr>
          <w:sz w:val="22"/>
          <w:sz w:val="22"/>
          <w:rtl w:val="true"/>
        </w:rPr>
        <w:t>עבר פלילי</w:t>
      </w:r>
      <w:r>
        <w:rPr>
          <w:sz w:val="22"/>
          <w:rtl w:val="true"/>
        </w:rPr>
        <w:t xml:space="preserve">, </w:t>
      </w:r>
      <w:r>
        <w:rPr>
          <w:sz w:val="22"/>
          <w:sz w:val="22"/>
          <w:rtl w:val="true"/>
        </w:rPr>
        <w:t>המלצות שירות המבחן והתנהלות מול השוטר הסמוי</w:t>
      </w:r>
      <w:r>
        <w:rPr>
          <w:sz w:val="22"/>
          <w:rtl w:val="true"/>
        </w:rPr>
        <w:t>.</w:t>
      </w:r>
    </w:p>
    <w:p>
      <w:pPr>
        <w:pStyle w:val="Ruller42"/>
        <w:numPr>
          <w:ilvl w:val="0"/>
          <w:numId w:val="2"/>
        </w:numPr>
        <w:spacing w:before="0" w:after="240"/>
        <w:ind w:end="0"/>
        <w:jc w:val="both"/>
        <w:rPr>
          <w:sz w:val="22"/>
        </w:rPr>
      </w:pPr>
      <w:r>
        <w:rPr>
          <w:sz w:val="22"/>
          <w:sz w:val="22"/>
          <w:rtl w:val="true"/>
        </w:rPr>
        <w:t xml:space="preserve">בתסקיר משלים מיום </w:t>
      </w:r>
      <w:r>
        <w:rPr>
          <w:sz w:val="22"/>
        </w:rPr>
        <w:t>24.6.2014</w:t>
      </w:r>
      <w:r>
        <w:rPr>
          <w:sz w:val="22"/>
          <w:rtl w:val="true"/>
        </w:rPr>
        <w:t xml:space="preserve"> </w:t>
      </w:r>
      <w:r>
        <w:rPr>
          <w:sz w:val="22"/>
          <w:sz w:val="22"/>
          <w:rtl w:val="true"/>
        </w:rPr>
        <w:t>צוין כי מדובר בצעיר ללא ערכים אנטי</w:t>
      </w:r>
      <w:r>
        <w:rPr>
          <w:sz w:val="22"/>
          <w:rtl w:val="true"/>
        </w:rPr>
        <w:t>-</w:t>
      </w:r>
      <w:r>
        <w:rPr>
          <w:sz w:val="22"/>
          <w:sz w:val="22"/>
          <w:rtl w:val="true"/>
        </w:rPr>
        <w:t>סוציאליים והומלץ לשקול הקלה בעונשו</w:t>
      </w:r>
      <w:r>
        <w:rPr>
          <w:sz w:val="22"/>
          <w:rtl w:val="true"/>
        </w:rPr>
        <w:t xml:space="preserve">. </w:t>
      </w:r>
      <w:r>
        <w:rPr>
          <w:sz w:val="22"/>
          <w:sz w:val="22"/>
          <w:rtl w:val="true"/>
        </w:rPr>
        <w:t>כן הומלץ לשלבו בהליך שיקומי בשב</w:t>
      </w:r>
      <w:r>
        <w:rPr>
          <w:sz w:val="22"/>
          <w:rtl w:val="true"/>
        </w:rPr>
        <w:t>"</w:t>
      </w:r>
      <w:r>
        <w:rPr>
          <w:sz w:val="22"/>
          <w:sz w:val="22"/>
          <w:rtl w:val="true"/>
        </w:rPr>
        <w:t>ס</w:t>
      </w:r>
      <w:r>
        <w:rPr>
          <w:sz w:val="22"/>
          <w:rtl w:val="true"/>
        </w:rPr>
        <w:t>.</w:t>
      </w:r>
    </w:p>
    <w:p>
      <w:pPr>
        <w:pStyle w:val="Ruller42"/>
        <w:numPr>
          <w:ilvl w:val="0"/>
          <w:numId w:val="2"/>
        </w:numPr>
        <w:spacing w:before="0" w:after="240"/>
        <w:ind w:end="0"/>
        <w:jc w:val="both"/>
        <w:rPr>
          <w:sz w:val="22"/>
        </w:rPr>
      </w:pPr>
      <w:r>
        <w:rPr>
          <w:sz w:val="22"/>
          <w:sz w:val="22"/>
          <w:rtl w:val="true"/>
        </w:rPr>
        <w:t>בדיון לפנינו באת כוח המשיבה טענה כי אין לתת משקל נוסף לקולה בשל מעורבותו של הסמוי בפרשה</w:t>
      </w:r>
      <w:r>
        <w:rPr>
          <w:sz w:val="22"/>
          <w:rtl w:val="true"/>
        </w:rPr>
        <w:t xml:space="preserve">, </w:t>
      </w:r>
      <w:r>
        <w:rPr>
          <w:sz w:val="22"/>
          <w:sz w:val="22"/>
          <w:rtl w:val="true"/>
        </w:rPr>
        <w:t>וזאת בשל מעורבותו הגבוהה של המערער עצמו</w:t>
      </w:r>
      <w:r>
        <w:rPr>
          <w:sz w:val="22"/>
          <w:rtl w:val="true"/>
        </w:rPr>
        <w:t xml:space="preserve">. </w:t>
      </w:r>
      <w:r>
        <w:rPr>
          <w:sz w:val="22"/>
          <w:sz w:val="22"/>
          <w:rtl w:val="true"/>
        </w:rPr>
        <w:t>עוד סבורה היא כי אין מקום להיעתר להמלצת שירות המבחן</w:t>
      </w:r>
      <w:r>
        <w:rPr>
          <w:sz w:val="22"/>
          <w:rtl w:val="true"/>
        </w:rPr>
        <w:t xml:space="preserve">. </w:t>
      </w:r>
      <w:r>
        <w:rPr>
          <w:sz w:val="22"/>
          <w:sz w:val="22"/>
          <w:rtl w:val="true"/>
        </w:rPr>
        <w:t>בנוסף</w:t>
      </w:r>
      <w:r>
        <w:rPr>
          <w:sz w:val="22"/>
          <w:rtl w:val="true"/>
        </w:rPr>
        <w:t xml:space="preserve">, </w:t>
      </w:r>
      <w:r>
        <w:rPr>
          <w:sz w:val="22"/>
          <w:sz w:val="22"/>
          <w:rtl w:val="true"/>
        </w:rPr>
        <w:t>הציגה באת כוח המשיבה פסיקה אשר מצביעה על מגמת החמרה מוצהרת של בית משפט זה בעבירות של סחר בנשק</w:t>
      </w:r>
      <w:r>
        <w:rPr>
          <w:sz w:val="22"/>
          <w:rtl w:val="true"/>
        </w:rPr>
        <w:t>.</w:t>
      </w:r>
    </w:p>
    <w:p>
      <w:pPr>
        <w:pStyle w:val="Ruller42"/>
        <w:numPr>
          <w:ilvl w:val="0"/>
          <w:numId w:val="0"/>
        </w:numPr>
        <w:spacing w:before="0" w:after="240"/>
        <w:ind w:hanging="0" w:start="0" w:end="0"/>
        <w:jc w:val="both"/>
        <w:rPr>
          <w:rFonts w:ascii="Century" w:hAnsi="Century"/>
          <w:b/>
          <w:spacing w:val="0"/>
          <w:sz w:val="22"/>
          <w:szCs w:val="24"/>
        </w:rPr>
      </w:pPr>
      <w:r>
        <w:rPr>
          <w:rFonts w:ascii="Century" w:hAnsi="Century" w:cs="Miriam"/>
          <w:b/>
          <w:b/>
          <w:spacing w:val="0"/>
          <w:sz w:val="22"/>
          <w:sz w:val="22"/>
          <w:szCs w:val="24"/>
          <w:rtl w:val="true"/>
        </w:rPr>
        <w:t>דיון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והכרעה</w:t>
      </w:r>
    </w:p>
    <w:p>
      <w:pPr>
        <w:pStyle w:val="Ruller42"/>
        <w:numPr>
          <w:ilvl w:val="0"/>
          <w:numId w:val="2"/>
        </w:numPr>
        <w:spacing w:before="0" w:after="240"/>
        <w:ind w:end="0"/>
        <w:jc w:val="both"/>
        <w:rPr/>
      </w:pPr>
      <w:r>
        <w:rPr>
          <w:rtl w:val="true"/>
        </w:rPr>
        <w:t>אין בידינו לקבל את הערעור</w:t>
      </w:r>
      <w:r>
        <w:rPr>
          <w:rtl w:val="true"/>
        </w:rPr>
        <w:t xml:space="preserve">. </w:t>
      </w:r>
      <w:r>
        <w:rPr>
          <w:rtl w:val="true"/>
        </w:rPr>
        <w:t>התנהלותו של המערער בשרשרת המעשים שבגינם הורשע אינה מעידה על מעידה חד</w:t>
      </w:r>
      <w:r>
        <w:rPr>
          <w:rtl w:val="true"/>
        </w:rPr>
        <w:t>-</w:t>
      </w:r>
      <w:r>
        <w:rPr>
          <w:rtl w:val="true"/>
        </w:rPr>
        <w:t>פעמית או על מעורבות מצומצמת בנעשה</w:t>
      </w:r>
      <w:r>
        <w:rPr>
          <w:rtl w:val="true"/>
        </w:rPr>
        <w:t xml:space="preserve">. </w:t>
      </w:r>
      <w:r>
        <w:rPr>
          <w:rtl w:val="true"/>
        </w:rPr>
        <w:t>מדובר בעבירות של החזקה</w:t>
      </w:r>
      <w:r>
        <w:rPr>
          <w:rtl w:val="true"/>
        </w:rPr>
        <w:t xml:space="preserve">, </w:t>
      </w:r>
      <w:r>
        <w:rPr>
          <w:rtl w:val="true"/>
        </w:rPr>
        <w:t>הובלה</w:t>
      </w:r>
      <w:r>
        <w:rPr>
          <w:rtl w:val="true"/>
        </w:rPr>
        <w:t xml:space="preserve">, </w:t>
      </w:r>
      <w:r>
        <w:rPr>
          <w:rtl w:val="true"/>
        </w:rPr>
        <w:t>נשיאה וסחר בנשק – עבירות שפוטנציאל הפגיעה הגלום בהן הוא רב</w:t>
      </w:r>
      <w:r>
        <w:rPr>
          <w:rtl w:val="true"/>
        </w:rPr>
        <w:t xml:space="preserve">. </w:t>
      </w:r>
      <w:r>
        <w:rPr>
          <w:rtl w:val="true"/>
        </w:rPr>
        <w:t xml:space="preserve">מבית משפט זה יצאה לא מכבר הלכה שלפיה יש להחמיר בעבירות אלה שכן </w:t>
      </w:r>
      <w:r>
        <w:rPr>
          <w:rtl w:val="true"/>
        </w:rPr>
        <w:t>"</w:t>
      </w:r>
      <w:r>
        <w:rPr>
          <w:rtl w:val="true"/>
        </w:rPr>
        <w:t>סחר בלתי חוקי בנשק סולל את הדרך לפעילות אלימה ובלתי חוקית והדבר חמור שבעתיים במציאות הישראלית בה קיים חשש תמידי כי נשק המוחזק באופן בלתי חוקי יתגלגל לא רק לידים עברייניות</w:t>
      </w:r>
      <w:r>
        <w:rPr>
          <w:rtl w:val="true"/>
        </w:rPr>
        <w:t xml:space="preserve">, </w:t>
      </w:r>
      <w:r>
        <w:rPr>
          <w:rtl w:val="true"/>
        </w:rPr>
        <w:t>עניין חמור לעצמו</w:t>
      </w:r>
      <w:r>
        <w:rPr>
          <w:rtl w:val="true"/>
        </w:rPr>
        <w:t xml:space="preserve">, </w:t>
      </w:r>
      <w:r>
        <w:rPr>
          <w:rtl w:val="true"/>
        </w:rPr>
        <w:t>כי אם לידיהם של אלה המבקשים להוציא אל הפועל פעילות חבלנית עוינת</w:t>
      </w:r>
      <w:r>
        <w:rPr>
          <w:rtl w:val="true"/>
        </w:rPr>
        <w:t>" (</w:t>
      </w:r>
      <w:hyperlink r:id="rId2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2251/11</w:t>
        </w:r>
      </w:hyperlink>
      <w:r>
        <w:rPr>
          <w:rtl w:val="true"/>
        </w:rPr>
        <w:t xml:space="preserve"> </w:t>
      </w:r>
      <w:r>
        <w:rPr>
          <w:rFonts w:ascii="Century" w:hAnsi="Century" w:cs="Miriam"/>
          <w:b/>
          <w:b/>
          <w:spacing w:val="0"/>
          <w:sz w:val="22"/>
          <w:sz w:val="22"/>
          <w:szCs w:val="24"/>
          <w:rtl w:val="true"/>
        </w:rPr>
        <w:t>נפעא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5</w:t>
      </w:r>
      <w:r>
        <w:rPr>
          <w:rtl w:val="true"/>
        </w:rPr>
        <w:t xml:space="preserve"> (</w:t>
      </w:r>
      <w:r>
        <w:rPr/>
        <w:t>4.12.2011</w:t>
      </w:r>
      <w:r>
        <w:rPr>
          <w:rtl w:val="true"/>
        </w:rPr>
        <w:t xml:space="preserve">)). </w:t>
      </w:r>
      <w:r>
        <w:rPr>
          <w:rtl w:val="true"/>
        </w:rPr>
        <w:t>שיקולי השיקום</w:t>
      </w:r>
      <w:r>
        <w:rPr>
          <w:rtl w:val="true"/>
        </w:rPr>
        <w:t xml:space="preserve">, </w:t>
      </w:r>
      <w:r>
        <w:rPr>
          <w:rtl w:val="true"/>
        </w:rPr>
        <w:t>בנסיבות המקרה הנוכחי</w:t>
      </w:r>
      <w:r>
        <w:rPr>
          <w:rtl w:val="true"/>
        </w:rPr>
        <w:t xml:space="preserve">, </w:t>
      </w:r>
      <w:r>
        <w:rPr>
          <w:rtl w:val="true"/>
        </w:rPr>
        <w:t>נסוגים במידה מסוימת מפני שיקולי הגמול וההרתעה וזאת חרף גילו הצעיר של המערער</w:t>
      </w:r>
      <w:r>
        <w:rPr>
          <w:rtl w:val="true"/>
        </w:rPr>
        <w:t xml:space="preserve">. </w:t>
      </w:r>
      <w:r>
        <w:rPr>
          <w:rtl w:val="true"/>
        </w:rPr>
        <w:t>ב</w:t>
      </w:r>
      <w:hyperlink r:id="rId2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7781/12</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51</w:t>
      </w:r>
      <w:r>
        <w:rPr>
          <w:rtl w:val="true"/>
        </w:rPr>
        <w:t xml:space="preserve"> (</w:t>
      </w:r>
      <w:r>
        <w:rPr/>
        <w:t>25.6.2013</w:t>
      </w:r>
      <w:r>
        <w:rPr>
          <w:rtl w:val="true"/>
        </w:rPr>
        <w:t xml:space="preserve">)) </w:t>
      </w:r>
      <w:r>
        <w:rPr>
          <w:rtl w:val="true"/>
        </w:rPr>
        <w:t xml:space="preserve">ציינתי כי </w:t>
      </w:r>
      <w:r>
        <w:rPr>
          <w:rtl w:val="true"/>
        </w:rPr>
        <w:t>"</w:t>
      </w:r>
      <w:r>
        <w:rPr>
          <w:rFonts w:ascii="Arial TUR;Arial" w:hAnsi="Arial TUR;Arial" w:cs="Arial TUR;Arial"/>
          <w:sz w:val="28"/>
          <w:sz w:val="28"/>
          <w:rtl w:val="true"/>
        </w:rPr>
        <w:t>ישנם מקרים בהם חרף העובדה שמדובר ב</w:t>
      </w:r>
      <w:r>
        <w:rPr>
          <w:rFonts w:cs="Arial TUR;Arial" w:ascii="Arial TUR;Arial" w:hAnsi="Arial TUR;Arial"/>
          <w:sz w:val="28"/>
          <w:rtl w:val="true"/>
        </w:rPr>
        <w:t>'</w:t>
      </w:r>
      <w:r>
        <w:rPr>
          <w:rFonts w:ascii="Arial TUR;Arial" w:hAnsi="Arial TUR;Arial" w:cs="Arial TUR;Arial"/>
          <w:sz w:val="28"/>
          <w:sz w:val="28"/>
          <w:rtl w:val="true"/>
        </w:rPr>
        <w:t>בגיר</w:t>
      </w:r>
      <w:r>
        <w:rPr>
          <w:rFonts w:cs="Arial TUR;Arial" w:ascii="Arial TUR;Arial" w:hAnsi="Arial TUR;Arial"/>
          <w:sz w:val="28"/>
          <w:rtl w:val="true"/>
        </w:rPr>
        <w:t>-</w:t>
      </w:r>
      <w:r>
        <w:rPr>
          <w:rFonts w:ascii="Arial TUR;Arial" w:hAnsi="Arial TUR;Arial" w:cs="Arial TUR;Arial"/>
          <w:sz w:val="28"/>
          <w:sz w:val="28"/>
          <w:rtl w:val="true"/>
        </w:rPr>
        <w:t>צעיר</w:t>
      </w:r>
      <w:r>
        <w:rPr>
          <w:rFonts w:cs="Arial TUR;Arial" w:ascii="Arial TUR;Arial" w:hAnsi="Arial TUR;Arial"/>
          <w:sz w:val="28"/>
          <w:rtl w:val="true"/>
        </w:rPr>
        <w:t xml:space="preserve">', </w:t>
      </w:r>
      <w:r>
        <w:rPr>
          <w:rFonts w:ascii="Arial TUR;Arial" w:hAnsi="Arial TUR;Arial" w:cs="Arial TUR;Arial"/>
          <w:sz w:val="28"/>
          <w:sz w:val="28"/>
          <w:rtl w:val="true"/>
        </w:rPr>
        <w:t>או אף בקטין</w:t>
      </w:r>
      <w:r>
        <w:rPr>
          <w:rFonts w:cs="Arial TUR;Arial" w:ascii="Arial TUR;Arial" w:hAnsi="Arial TUR;Arial"/>
          <w:sz w:val="28"/>
          <w:rtl w:val="true"/>
        </w:rPr>
        <w:t xml:space="preserve">, </w:t>
      </w:r>
      <w:r>
        <w:rPr>
          <w:rFonts w:ascii="Arial TUR;Arial" w:hAnsi="Arial TUR;Arial" w:cs="Arial TUR;Arial"/>
          <w:sz w:val="28"/>
          <w:sz w:val="28"/>
          <w:rtl w:val="true"/>
        </w:rPr>
        <w:t>ישנם טעמים משמעותיים המחייבים לבכר את שיקולי ההרתעה והגמול על שיקולי השיקום</w:t>
      </w:r>
      <w:r>
        <w:rPr>
          <w:rtl w:val="true"/>
        </w:rPr>
        <w:t xml:space="preserve">". </w:t>
      </w:r>
      <w:r>
        <w:rPr>
          <w:rtl w:val="true"/>
        </w:rPr>
        <w:t>דומה כי המקרה הנוכחי בא בקהלם של מקרים אלה</w:t>
      </w:r>
      <w:r>
        <w:rPr>
          <w:rtl w:val="true"/>
        </w:rPr>
        <w:t>.</w:t>
      </w:r>
    </w:p>
    <w:p>
      <w:pPr>
        <w:pStyle w:val="Ruller42"/>
        <w:numPr>
          <w:ilvl w:val="0"/>
          <w:numId w:val="2"/>
        </w:numPr>
        <w:spacing w:before="0" w:after="240"/>
        <w:ind w:end="0"/>
        <w:jc w:val="both"/>
        <w:rPr/>
      </w:pPr>
      <w:r>
        <w:rPr>
          <w:rtl w:val="true"/>
        </w:rPr>
        <w:t xml:space="preserve">בית המשפט המחוזי לא מיצה את הדין עם המערער </w:t>
      </w:r>
      <w:r>
        <w:rPr>
          <w:rtl w:val="true"/>
        </w:rPr>
        <w:t>(</w:t>
      </w:r>
      <w:r>
        <w:rPr>
          <w:rtl w:val="true"/>
        </w:rPr>
        <w:t>עמ</w:t>
      </w:r>
      <w:r>
        <w:rPr>
          <w:rtl w:val="true"/>
        </w:rPr>
        <w:t xml:space="preserve">' </w:t>
      </w:r>
      <w:r>
        <w:rPr/>
        <w:t>12</w:t>
      </w:r>
      <w:r>
        <w:rPr>
          <w:rtl w:val="true"/>
        </w:rPr>
        <w:t xml:space="preserve"> </w:t>
      </w:r>
      <w:r>
        <w:rPr>
          <w:rtl w:val="true"/>
        </w:rPr>
        <w:t>לגזר דינו</w:t>
      </w:r>
      <w:r>
        <w:rPr>
          <w:rtl w:val="true"/>
        </w:rPr>
        <w:t xml:space="preserve">). </w:t>
      </w:r>
      <w:r>
        <w:rPr>
          <w:rtl w:val="true"/>
        </w:rPr>
        <w:t xml:space="preserve">עונשו אינו חורג ממדיניות הענישה הנהוגה </w:t>
      </w:r>
      <w:r>
        <w:rPr>
          <w:rtl w:val="true"/>
        </w:rPr>
        <w:t>(</w:t>
      </w:r>
      <w:r>
        <w:rPr>
          <w:rtl w:val="true"/>
        </w:rPr>
        <w:t>השוו</w:t>
      </w:r>
      <w:r>
        <w:rPr>
          <w:rtl w:val="true"/>
        </w:rPr>
        <w:t xml:space="preserve">: </w:t>
      </w:r>
      <w:hyperlink r:id="rId2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2606/13</w:t>
        </w:r>
      </w:hyperlink>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rtl w:val="true"/>
        </w:rPr>
        <w:t xml:space="preserve">בעניינו של נאשם </w:t>
      </w:r>
      <w:r>
        <w:rPr/>
        <w:t>2</w:t>
      </w:r>
      <w:r>
        <w:rPr>
          <w:rtl w:val="true"/>
        </w:rPr>
        <w:t xml:space="preserve"> </w:t>
      </w:r>
      <w:r>
        <w:rPr>
          <w:rtl w:val="true"/>
        </w:rPr>
        <w:t xml:space="preserve">אשר עונשו עמד על </w:t>
      </w:r>
      <w:r>
        <w:rPr/>
        <w:t>45</w:t>
      </w:r>
      <w:r>
        <w:rPr>
          <w:rtl w:val="true"/>
        </w:rPr>
        <w:t xml:space="preserve"> </w:t>
      </w:r>
      <w:r>
        <w:rPr>
          <w:rtl w:val="true"/>
        </w:rPr>
        <w:t>חודשי מאסר בפועל</w:t>
      </w:r>
      <w:r>
        <w:rPr>
          <w:rtl w:val="true"/>
        </w:rPr>
        <w:t xml:space="preserve">); </w:t>
      </w:r>
      <w:hyperlink r:id="rId2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318/11</w:t>
        </w:r>
      </w:hyperlink>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rtl w:val="true"/>
        </w:rPr>
        <w:t>שם בנסיבות דומות למקרה הנוכחי הוחמר עונשו של המשיב מ</w:t>
      </w:r>
      <w:r>
        <w:rPr>
          <w:rtl w:val="true"/>
        </w:rPr>
        <w:t>-</w:t>
      </w:r>
      <w:r>
        <w:rPr/>
        <w:t>36</w:t>
      </w:r>
      <w:r>
        <w:rPr>
          <w:rtl w:val="true"/>
        </w:rPr>
        <w:t xml:space="preserve"> </w:t>
      </w:r>
      <w:r>
        <w:rPr>
          <w:rtl w:val="true"/>
        </w:rPr>
        <w:t>ל</w:t>
      </w:r>
      <w:r>
        <w:rPr>
          <w:rtl w:val="true"/>
        </w:rPr>
        <w:t>-</w:t>
      </w:r>
      <w:r>
        <w:rPr/>
        <w:t>44</w:t>
      </w:r>
      <w:r>
        <w:rPr>
          <w:rtl w:val="true"/>
        </w:rPr>
        <w:t xml:space="preserve"> </w:t>
      </w:r>
      <w:r>
        <w:rPr>
          <w:rtl w:val="true"/>
        </w:rPr>
        <w:t>חודשי מאסר בפועל</w:t>
      </w:r>
      <w:r>
        <w:rPr>
          <w:rtl w:val="true"/>
        </w:rPr>
        <w:t xml:space="preserve">); </w:t>
      </w:r>
      <w:hyperlink r:id="rId2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319/11</w:t>
        </w:r>
      </w:hyperlink>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שם נעברו עבירות סחר בנשק בנסיבות דומות</w:t>
      </w:r>
      <w:r>
        <w:rPr>
          <w:rtl w:val="true"/>
        </w:rPr>
        <w:t xml:space="preserve">, </w:t>
      </w:r>
      <w:r>
        <w:rPr>
          <w:rtl w:val="true"/>
        </w:rPr>
        <w:t>ועונשי המאסר של המשיבים הוחמר ל</w:t>
      </w:r>
      <w:r>
        <w:rPr>
          <w:rtl w:val="true"/>
        </w:rPr>
        <w:t>-</w:t>
      </w:r>
      <w:r>
        <w:rPr/>
        <w:t>38</w:t>
      </w:r>
      <w:r>
        <w:rPr>
          <w:rtl w:val="true"/>
        </w:rPr>
        <w:t xml:space="preserve"> </w:t>
      </w:r>
      <w:r>
        <w:rPr>
          <w:rtl w:val="true"/>
        </w:rPr>
        <w:t>ו</w:t>
      </w:r>
      <w:r>
        <w:rPr>
          <w:rtl w:val="true"/>
        </w:rPr>
        <w:t>-</w:t>
      </w:r>
      <w:r>
        <w:rPr/>
        <w:t>48</w:t>
      </w:r>
      <w:r>
        <w:rPr>
          <w:rtl w:val="true"/>
        </w:rPr>
        <w:t xml:space="preserve"> </w:t>
      </w:r>
      <w:r>
        <w:rPr>
          <w:rtl w:val="true"/>
        </w:rPr>
        <w:t>חודשים</w:t>
      </w:r>
      <w:r>
        <w:rPr>
          <w:rtl w:val="true"/>
        </w:rPr>
        <w:t xml:space="preserve">; </w:t>
      </w:r>
      <w:r>
        <w:rPr>
          <w:rtl w:val="true"/>
        </w:rPr>
        <w:t xml:space="preserve">והכל בהתאם לעניין </w:t>
      </w:r>
      <w:r>
        <w:rPr>
          <w:rFonts w:ascii="Century" w:hAnsi="Century" w:cs="Miriam"/>
          <w:b/>
          <w:b/>
          <w:spacing w:val="0"/>
          <w:sz w:val="22"/>
          <w:sz w:val="22"/>
          <w:szCs w:val="24"/>
          <w:rtl w:val="true"/>
        </w:rPr>
        <w:t>נפעא</w:t>
      </w:r>
      <w:r>
        <w:rPr>
          <w:rtl w:val="true"/>
        </w:rPr>
        <w:t xml:space="preserve"> </w:t>
      </w:r>
      <w:r>
        <w:rPr>
          <w:rtl w:val="true"/>
        </w:rPr>
        <w:t>(</w:t>
      </w:r>
      <w:hyperlink r:id="rId2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2251/11</w:t>
        </w:r>
      </w:hyperlink>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בו נקבעה מדיניות ההחמרה בענישה של עבירות סחר בנשק</w:t>
      </w:r>
      <w:r>
        <w:rPr>
          <w:rtl w:val="true"/>
        </w:rPr>
        <w:t xml:space="preserve">. </w:t>
      </w:r>
      <w:r>
        <w:rPr>
          <w:rtl w:val="true"/>
        </w:rPr>
        <w:t>בנסיבות המקרה</w:t>
      </w:r>
      <w:r>
        <w:rPr>
          <w:rtl w:val="true"/>
        </w:rPr>
        <w:t xml:space="preserve">, </w:t>
      </w:r>
      <w:r>
        <w:rPr>
          <w:rtl w:val="true"/>
        </w:rPr>
        <w:t>חרף הפוטנציאל השיקומי הברור שעולה מתסקירי שירות המבחן</w:t>
      </w:r>
      <w:r>
        <w:rPr>
          <w:rtl w:val="true"/>
        </w:rPr>
        <w:t xml:space="preserve">, </w:t>
      </w:r>
      <w:r>
        <w:rPr>
          <w:rtl w:val="true"/>
        </w:rPr>
        <w:t>אין בידינו להפחית מעונשו של המערער</w:t>
      </w:r>
      <w:r>
        <w:rPr>
          <w:rtl w:val="true"/>
        </w:rPr>
        <w:t>.</w:t>
      </w:r>
    </w:p>
    <w:p>
      <w:pPr>
        <w:pStyle w:val="Ruller42"/>
        <w:numPr>
          <w:ilvl w:val="0"/>
          <w:numId w:val="2"/>
        </w:numPr>
        <w:spacing w:before="0" w:after="240"/>
        <w:ind w:end="0"/>
        <w:jc w:val="both"/>
        <w:rPr/>
      </w:pPr>
      <w:r>
        <w:rPr>
          <w:rtl w:val="true"/>
        </w:rPr>
        <w:t xml:space="preserve">לא ניתן ללמוד מן הפסיקה שהוגשה לנו ביום הדיון </w:t>
      </w:r>
      <w:r>
        <w:rPr>
          <w:rtl w:val="true"/>
        </w:rPr>
        <w:t>(</w:t>
      </w:r>
      <w:hyperlink r:id="rId2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1567/14</w:t>
        </w:r>
      </w:hyperlink>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w:t>
      </w:r>
      <w:r>
        <w:rPr>
          <w:rtl w:val="true"/>
        </w:rPr>
        <w:t xml:space="preserve">. </w:t>
      </w:r>
      <w:r>
        <w:rPr>
          <w:rtl w:val="true"/>
        </w:rPr>
        <w:t>באותו מקרה הנאשמים ייצרו בעצמם מטעני חבלה כדי להפחיד קרוב משפחה</w:t>
      </w:r>
      <w:r>
        <w:rPr>
          <w:rtl w:val="true"/>
        </w:rPr>
        <w:t xml:space="preserve">, </w:t>
      </w:r>
      <w:r>
        <w:rPr>
          <w:rtl w:val="true"/>
        </w:rPr>
        <w:t>אך נפגעו מן המטענים בעצמם</w:t>
      </w:r>
      <w:r>
        <w:rPr>
          <w:rtl w:val="true"/>
        </w:rPr>
        <w:t xml:space="preserve">. </w:t>
      </w:r>
      <w:r>
        <w:rPr>
          <w:rtl w:val="true"/>
        </w:rPr>
        <w:t>סחר בנשק לא היה</w:t>
      </w:r>
      <w:r>
        <w:rPr>
          <w:rtl w:val="true"/>
        </w:rPr>
        <w:t>.</w:t>
      </w:r>
    </w:p>
    <w:p>
      <w:pPr>
        <w:pStyle w:val="Ruller42"/>
        <w:numPr>
          <w:ilvl w:val="0"/>
          <w:numId w:val="2"/>
        </w:numPr>
        <w:spacing w:before="0" w:after="240"/>
        <w:ind w:end="0"/>
        <w:jc w:val="both"/>
        <w:rPr/>
      </w:pPr>
      <w:r>
        <w:rPr>
          <w:rtl w:val="true"/>
        </w:rPr>
        <w:t>סוף דבר</w:t>
      </w:r>
      <w:r>
        <w:rPr>
          <w:rtl w:val="true"/>
        </w:rPr>
        <w:t xml:space="preserve">, </w:t>
      </w:r>
      <w:r>
        <w:rPr>
          <w:rtl w:val="true"/>
        </w:rPr>
        <w:t>הערעור נדחה בזאת</w:t>
      </w:r>
      <w:r>
        <w:rPr>
          <w:rtl w:val="true"/>
        </w:rPr>
        <w:t xml:space="preserve">. </w:t>
      </w:r>
      <w:r>
        <w:rPr>
          <w:rtl w:val="true"/>
        </w:rPr>
        <w:t xml:space="preserve">ההחלטה בדבר עיכוב ביצוע מיום </w:t>
      </w:r>
      <w:r>
        <w:rPr/>
        <w:t>11.3.2014</w:t>
      </w:r>
      <w:r>
        <w:rPr>
          <w:rtl w:val="true"/>
        </w:rPr>
        <w:t xml:space="preserve"> </w:t>
      </w:r>
      <w:r>
        <w:rPr>
          <w:rtl w:val="true"/>
        </w:rPr>
        <w:t>מבוטלת</w:t>
      </w:r>
      <w:r>
        <w:rPr>
          <w:rtl w:val="true"/>
        </w:rPr>
        <w:t xml:space="preserve">. </w:t>
      </w:r>
    </w:p>
    <w:p>
      <w:pPr>
        <w:pStyle w:val="Ruller42"/>
        <w:numPr>
          <w:ilvl w:val="0"/>
          <w:numId w:val="2"/>
        </w:numPr>
        <w:spacing w:before="0" w:after="240"/>
        <w:ind w:end="0"/>
        <w:jc w:val="both"/>
        <w:rPr/>
      </w:pPr>
      <w:r>
        <w:rPr>
          <w:rtl w:val="true"/>
        </w:rPr>
        <w:t xml:space="preserve">המערער יתייצב לשאת בעונש המאסר שהוטל עליו ביום </w:t>
      </w:r>
      <w:r>
        <w:rPr/>
        <w:t>3.8.2014</w:t>
      </w:r>
      <w:r>
        <w:rPr>
          <w:rtl w:val="true"/>
        </w:rPr>
        <w:t xml:space="preserve"> </w:t>
      </w:r>
      <w:r>
        <w:rPr>
          <w:rtl w:val="true"/>
        </w:rPr>
        <w:t xml:space="preserve">עד השעה </w:t>
      </w:r>
      <w:r>
        <w:rPr/>
        <w:t>10:00</w:t>
      </w:r>
      <w:r>
        <w:rPr>
          <w:rtl w:val="true"/>
        </w:rPr>
        <w:t xml:space="preserve"> </w:t>
      </w:r>
      <w:r>
        <w:rPr>
          <w:rtl w:val="true"/>
        </w:rPr>
        <w:t>בבית סוהר בימ</w:t>
      </w:r>
      <w:r>
        <w:rPr>
          <w:rtl w:val="true"/>
        </w:rPr>
        <w:t>"</w:t>
      </w:r>
      <w:r>
        <w:rPr>
          <w:rtl w:val="true"/>
        </w:rPr>
        <w:t>ר קישון</w:t>
      </w:r>
      <w:r>
        <w:rPr>
          <w:rtl w:val="true"/>
        </w:rPr>
        <w:t xml:space="preserve">, </w:t>
      </w:r>
      <w:r>
        <w:rPr>
          <w:rtl w:val="true"/>
        </w:rPr>
        <w:t>או על פי החלטת שירות בתי הסוהר</w:t>
      </w:r>
      <w:r>
        <w:rPr>
          <w:rtl w:val="true"/>
        </w:rPr>
        <w:t xml:space="preserve">, </w:t>
      </w:r>
      <w:r>
        <w:rPr>
          <w:rtl w:val="true"/>
        </w:rPr>
        <w:t>כשברשותו תעודת זהות או דרכון</w:t>
      </w:r>
      <w:r>
        <w:rPr>
          <w:rtl w:val="true"/>
        </w:rPr>
        <w:t xml:space="preserve">. </w:t>
      </w:r>
      <w:r>
        <w:rPr>
          <w:rtl w:val="true"/>
        </w:rPr>
        <w:t>על המערער לתאם את הכניסה למאסר</w:t>
      </w:r>
      <w:r>
        <w:rPr>
          <w:rtl w:val="true"/>
        </w:rPr>
        <w:t xml:space="preserve">, </w:t>
      </w:r>
      <w:r>
        <w:rPr>
          <w:rtl w:val="true"/>
        </w:rPr>
        <w:t>כולל האפשרות למיון מוקדם</w:t>
      </w:r>
      <w:r>
        <w:rPr>
          <w:rtl w:val="true"/>
        </w:rPr>
        <w:t xml:space="preserve">, </w:t>
      </w:r>
      <w:r>
        <w:rPr>
          <w:rtl w:val="true"/>
        </w:rPr>
        <w:t>עם ענף אבחון ומיון של שירות בתי הסוהר</w:t>
      </w:r>
      <w:r>
        <w:rPr>
          <w:rtl w:val="true"/>
        </w:rPr>
        <w:t xml:space="preserve">, </w:t>
      </w:r>
      <w:r>
        <w:rPr>
          <w:rtl w:val="true"/>
        </w:rPr>
        <w:t>בטלפונים</w:t>
      </w:r>
      <w:r>
        <w:rPr>
          <w:rtl w:val="true"/>
        </w:rPr>
        <w:t xml:space="preserve">: </w:t>
      </w:r>
      <w:r>
        <w:rPr/>
        <w:t>08-9787377</w:t>
      </w:r>
      <w:r>
        <w:rPr>
          <w:rtl w:val="true"/>
        </w:rPr>
        <w:t xml:space="preserve"> </w:t>
      </w:r>
      <w:r>
        <w:rPr>
          <w:rtl w:val="true"/>
        </w:rPr>
        <w:t xml:space="preserve">או  </w:t>
      </w:r>
      <w:r>
        <w:rPr/>
        <w:t>08-9787336</w:t>
      </w:r>
      <w:r>
        <w:rPr>
          <w:rtl w:val="true"/>
        </w:rPr>
        <w:t>.</w:t>
      </w:r>
    </w:p>
    <w:p>
      <w:pPr>
        <w:pStyle w:val="Ruller41"/>
        <w:ind w:end="0"/>
        <w:jc w:val="both"/>
        <w:rPr/>
      </w:pPr>
      <w:r>
        <w:rPr>
          <w:rtl w:val="true"/>
        </w:rPr>
      </w:r>
    </w:p>
    <w:p>
      <w:pPr>
        <w:pStyle w:val="Ruller41"/>
        <w:ind w:end="0"/>
        <w:jc w:val="both"/>
        <w:rPr/>
      </w:pP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היום</w:t>
      </w:r>
      <w:r>
        <w:rPr>
          <w:rtl w:val="true"/>
        </w:rPr>
        <w:t xml:space="preserve">, </w:t>
      </w:r>
      <w:r>
        <w:rPr>
          <w:rtl w:val="true"/>
        </w:rPr>
        <w:t>כ</w:t>
      </w:r>
      <w:r>
        <w:rPr>
          <w:rtl w:val="true"/>
        </w:rPr>
        <w:t>"</w:t>
      </w:r>
      <w:r>
        <w:rPr>
          <w:rtl w:val="true"/>
        </w:rPr>
        <w:t>ד</w:t>
      </w:r>
      <w:r>
        <w:rPr>
          <w:rFonts w:eastAsia="Arial TUR;Arial" w:cs="Arial TUR;Arial"/>
          <w:rtl w:val="true"/>
        </w:rPr>
        <w:t xml:space="preserve"> </w:t>
      </w:r>
      <w:r>
        <w:rPr>
          <w:rtl w:val="true"/>
        </w:rPr>
        <w:t>בתמוז</w:t>
      </w:r>
      <w:r>
        <w:rPr>
          <w:rFonts w:eastAsia="Arial TUR;Arial" w:cs="Arial TUR;Arial"/>
          <w:rtl w:val="true"/>
        </w:rPr>
        <w:t xml:space="preserve"> </w:t>
      </w:r>
      <w:r>
        <w:rPr>
          <w:rtl w:val="true"/>
        </w:rPr>
        <w:t>התשע</w:t>
      </w:r>
      <w:r>
        <w:rPr>
          <w:rtl w:val="true"/>
        </w:rPr>
        <w:t>"</w:t>
      </w:r>
      <w:r>
        <w:rPr>
          <w:rtl w:val="true"/>
        </w:rPr>
        <w:t>ד</w:t>
      </w:r>
      <w:r>
        <w:rPr>
          <w:rFonts w:eastAsia="Arial TUR;Arial" w:cs="Arial TUR;Arial"/>
          <w:rtl w:val="true"/>
        </w:rPr>
        <w:t xml:space="preserve"> </w:t>
      </w:r>
      <w:r>
        <w:rPr>
          <w:rtl w:val="true"/>
        </w:rPr>
        <w:t>(</w:t>
      </w:r>
      <w:r>
        <w:rPr/>
        <w:t>22.7.2014</w:t>
      </w:r>
      <w:r>
        <w:rPr>
          <w:rtl w:val="true"/>
        </w:rPr>
        <w:t xml:space="preserve">). </w:t>
      </w:r>
    </w:p>
    <w:p>
      <w:pPr>
        <w:pStyle w:val="Ruller41"/>
        <w:ind w:end="0"/>
        <w:jc w:val="both"/>
        <w:rPr/>
      </w:pPr>
      <w:r>
        <w:rPr>
          <w:rtl w:val="true"/>
        </w:rPr>
      </w:r>
    </w:p>
    <w:p>
      <w:pPr>
        <w:pStyle w:val="Ruller41"/>
        <w:ind w:end="0"/>
        <w:jc w:val="both"/>
        <w:rPr/>
      </w:pPr>
      <w:r>
        <w:rPr>
          <w:rtl w:val="true"/>
        </w:rPr>
      </w:r>
    </w:p>
    <w:tbl>
      <w:tblPr>
        <w:bidiVisual w:val="true"/>
        <w:tblW w:w="8522" w:type="dxa"/>
        <w:jc w:val="end"/>
        <w:tblInd w:w="0" w:type="dxa"/>
        <w:tblLayout w:type="fixed"/>
        <w:tblCellMar>
          <w:top w:w="0" w:type="dxa"/>
          <w:start w:w="108" w:type="dxa"/>
          <w:bottom w:w="0" w:type="dxa"/>
          <w:end w:w="108" w:type="dxa"/>
        </w:tblCellMar>
      </w:tblPr>
      <w:tblGrid>
        <w:gridCol w:w="2840"/>
        <w:gridCol w:w="2841"/>
        <w:gridCol w:w="2841"/>
      </w:tblGrid>
      <w:tr>
        <w:trPr/>
        <w:tc>
          <w:tcPr>
            <w:tcW w:w="2840" w:type="dxa"/>
            <w:tcBorders/>
          </w:tcPr>
          <w:p>
            <w:pPr>
              <w:pStyle w:val="Ruller41"/>
              <w:ind w:end="0"/>
              <w:jc w:val="both"/>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841" w:type="dxa"/>
            <w:tcBorders/>
          </w:tcPr>
          <w:p>
            <w:pPr>
              <w:pStyle w:val="Ruller41"/>
              <w:ind w:end="0"/>
              <w:jc w:val="both"/>
              <w:rPr/>
            </w:pPr>
            <w:r>
              <w:rPr>
                <w:rFonts w:eastAsia="Arial TUR;Arial" w:cs="Arial TUR;Arial"/>
                <w:rtl w:val="true"/>
              </w:rPr>
              <w:t xml:space="preserve">       </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841" w:type="dxa"/>
            <w:tcBorders/>
          </w:tcPr>
          <w:p>
            <w:pPr>
              <w:pStyle w:val="Ruller41"/>
              <w:ind w:end="0"/>
              <w:jc w:val="both"/>
              <w:rPr/>
            </w:pPr>
            <w:r>
              <w:rPr>
                <w:rFonts w:eastAsia="Arial TUR;Arial" w:cs="Arial TUR;Arial"/>
                <w:rtl w:val="true"/>
              </w:rPr>
              <w:t xml:space="preserve">                  </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Ruller41"/>
        <w:ind w:end="0"/>
        <w:jc w:val="both"/>
        <w:rPr>
          <w:color w:val="FFFFFF"/>
          <w:sz w:val="2"/>
          <w:szCs w:val="2"/>
        </w:rPr>
      </w:pPr>
      <w:r>
        <w:rPr>
          <w:color w:val="FFFFFF"/>
          <w:sz w:val="2"/>
          <w:szCs w:val="2"/>
        </w:rPr>
        <w:t>5129371</w:t>
      </w:r>
    </w:p>
    <w:p>
      <w:pPr>
        <w:pStyle w:val="Normal"/>
        <w:ind w:end="0"/>
        <w:jc w:val="start"/>
        <w:rPr/>
      </w:pPr>
      <w:r>
        <w:rPr>
          <w:color w:val="FFFFFF"/>
          <w:sz w:val="2"/>
          <w:szCs w:val="2"/>
        </w:rPr>
        <w:t>54678313</w:t>
      </w:r>
      <w:r>
        <w:rPr>
          <w:szCs w:val="16"/>
          <w:rtl w:val="true"/>
        </w:rPr>
        <w:t>_________________________</w:t>
      </w:r>
    </w:p>
    <w:p>
      <w:pPr>
        <w:pStyle w:val="Ruller381"/>
        <w:ind w:end="0"/>
        <w:jc w:val="start"/>
        <w:rPr/>
      </w:pPr>
      <w:r>
        <w:rPr>
          <w:rtl w:val="true"/>
        </w:rPr>
        <w:t>העותק</w:t>
      </w:r>
      <w:r>
        <w:rPr>
          <w:rFonts w:cs="Times New Roman"/>
          <w:rtl w:val="true"/>
        </w:rPr>
        <w:t xml:space="preserve"> </w:t>
      </w:r>
      <w:r>
        <w:rPr>
          <w:rtl w:val="true"/>
        </w:rPr>
        <w:t>כפוף</w:t>
      </w:r>
      <w:r>
        <w:rPr>
          <w:rFonts w:cs="Times New Roman"/>
          <w:rtl w:val="true"/>
        </w:rPr>
        <w:t xml:space="preserve"> </w:t>
      </w:r>
      <w:r>
        <w:rPr>
          <w:rtl w:val="true"/>
        </w:rPr>
        <w:t>לשינויי</w:t>
      </w:r>
      <w:r>
        <w:rPr>
          <w:rFonts w:cs="Times New Roman"/>
          <w:rtl w:val="true"/>
        </w:rPr>
        <w:t xml:space="preserve"> </w:t>
      </w:r>
      <w:r>
        <w:rPr>
          <w:rtl w:val="true"/>
        </w:rPr>
        <w:t>עריכה</w:t>
      </w:r>
      <w:r>
        <w:rPr>
          <w:rFonts w:cs="Times New Roman"/>
          <w:rtl w:val="true"/>
        </w:rPr>
        <w:t xml:space="preserve"> </w:t>
      </w:r>
      <w:r>
        <w:rPr>
          <w:rtl w:val="true"/>
        </w:rPr>
        <w:t>וניסוח</w:t>
      </w:r>
      <w:r>
        <w:rPr>
          <w:rtl w:val="true"/>
        </w:rPr>
        <w:t>.</w:t>
      </w:r>
      <w:r>
        <w:rPr>
          <w:sz w:val="16"/>
          <w:rtl w:val="true"/>
        </w:rPr>
        <w:t xml:space="preserve"> </w:t>
      </w:r>
      <w:r>
        <w:rPr>
          <w:sz w:val="16"/>
          <w:rtl w:val="true"/>
        </w:rPr>
        <w:t xml:space="preserve">  </w:t>
      </w:r>
      <w:bookmarkStart w:id="22" w:name="FileName"/>
      <w:r>
        <w:rPr>
          <w:sz w:val="16"/>
        </w:rPr>
        <w:t>14017680</w:t>
      </w:r>
      <w:r>
        <w:rPr>
          <w:sz w:val="16"/>
          <w:rtl w:val="true"/>
        </w:rPr>
        <w:t>_</w:t>
      </w:r>
      <w:r>
        <w:rPr>
          <w:sz w:val="16"/>
        </w:rPr>
        <w:t>H02.doc</w:t>
      </w:r>
      <w:r>
        <w:rPr>
          <w:sz w:val="16"/>
          <w:rtl w:val="true"/>
        </w:rPr>
        <w:t xml:space="preserve">   </w:t>
      </w:r>
      <w:bookmarkEnd w:id="22"/>
      <w:r>
        <w:rPr>
          <w:sz w:val="16"/>
          <w:sz w:val="16"/>
          <w:rtl w:val="true"/>
        </w:rPr>
        <w:t>שצ</w:t>
      </w:r>
    </w:p>
    <w:p>
      <w:pPr>
        <w:pStyle w:val="Ruller381"/>
        <w:ind w:end="0"/>
        <w:jc w:val="start"/>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 xml:space="preserve">' </w:t>
      </w:r>
      <w:r>
        <w:rPr/>
        <w:t>077-2703333</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29">
        <w:r>
          <w:rPr>
            <w:rStyle w:val="Hyperlink"/>
            <w:sz w:val="16"/>
          </w:rPr>
          <w:t>www.court.gov.il</w:t>
        </w:r>
      </w:hyperlink>
    </w:p>
    <w:p>
      <w:pPr>
        <w:pStyle w:val="Ruller381"/>
        <w:ind w:end="0"/>
        <w:jc w:val="start"/>
        <w:rPr/>
      </w:pPr>
      <w:r>
        <w:rPr>
          <w:rtl w:val="true"/>
        </w:rPr>
      </w:r>
    </w:p>
    <w:p>
      <w:pPr>
        <w:pStyle w:val="Ruller381"/>
        <w:ind w:end="0"/>
        <w:jc w:val="start"/>
        <w:rPr/>
      </w:pPr>
      <w:r>
        <w:rPr>
          <w:rtl w:val="true"/>
        </w:rPr>
      </w:r>
    </w:p>
    <w:p>
      <w:pPr>
        <w:pStyle w:val="Ruller381"/>
        <w:keepNext w:val="true"/>
        <w:ind w:end="0"/>
        <w:jc w:val="start"/>
        <w:rPr>
          <w:rFonts w:ascii="David" w:hAnsi="David" w:cs="David"/>
          <w:color w:val="000000"/>
          <w:szCs w:val="22"/>
        </w:rPr>
      </w:pPr>
      <w:r>
        <w:rPr>
          <w:rFonts w:cs="David" w:ascii="David" w:hAnsi="David"/>
          <w:color w:val="000000"/>
          <w:szCs w:val="22"/>
          <w:rtl w:val="true"/>
        </w:rPr>
      </w:r>
    </w:p>
    <w:p>
      <w:pPr>
        <w:pStyle w:val="Ruller381"/>
        <w:keepNext w:val="true"/>
        <w:ind w:end="0"/>
        <w:jc w:val="start"/>
        <w:rPr>
          <w:rFonts w:ascii="David" w:hAnsi="David" w:cs="David"/>
          <w:color w:val="000000"/>
          <w:szCs w:val="22"/>
        </w:rPr>
      </w:pPr>
      <w:r>
        <w:rPr>
          <w:rFonts w:ascii="David" w:hAnsi="David"/>
          <w:color w:val="000000"/>
          <w:szCs w:val="22"/>
          <w:rtl w:val="true"/>
        </w:rPr>
        <w:t>ס</w:t>
      </w:r>
      <w:r>
        <w:rPr>
          <w:rFonts w:cs="David" w:ascii="David" w:hAnsi="David"/>
          <w:color w:val="000000"/>
          <w:szCs w:val="22"/>
          <w:rtl w:val="true"/>
        </w:rPr>
        <w:t xml:space="preserve">' </w:t>
      </w:r>
      <w:r>
        <w:rPr>
          <w:rFonts w:ascii="David" w:hAnsi="David"/>
          <w:color w:val="000000"/>
          <w:szCs w:val="22"/>
          <w:rtl w:val="true"/>
        </w:rPr>
        <w:t>ג</w:t>
      </w:r>
      <w:r>
        <w:rPr>
          <w:rFonts w:cs="David" w:ascii="David" w:hAnsi="David"/>
          <w:color w:val="000000"/>
          <w:szCs w:val="22"/>
          <w:rtl w:val="true"/>
        </w:rPr>
        <w:t>'</w:t>
      </w:r>
      <w:r>
        <w:rPr>
          <w:rFonts w:ascii="David" w:hAnsi="David"/>
          <w:color w:val="000000"/>
          <w:szCs w:val="22"/>
          <w:rtl w:val="true"/>
        </w:rPr>
        <w:t xml:space="preserve">ובראן </w:t>
      </w:r>
      <w:r>
        <w:rPr>
          <w:rFonts w:cs="David" w:ascii="David" w:hAnsi="David"/>
          <w:color w:val="000000"/>
          <w:szCs w:val="22"/>
        </w:rPr>
        <w:t>54678313-1768/14</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30">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31"/>
      <w:footerReference w:type="default" r:id="rId32"/>
      <w:type w:val="nextPage"/>
      <w:pgSz w:w="11906" w:h="16838"/>
      <w:pgMar w:left="1800" w:right="1800" w:gutter="0" w:header="708" w:top="1701" w:footer="708" w:bottom="1440"/>
      <w:pgNumType w:start="1" w:fmt="decimal"/>
      <w:formProt w:val="false"/>
      <w:textDirection w:val="lrTb"/>
      <w:bidi/>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entury">
    <w:charset w:val="00" w:characterSet="windows-1252"/>
    <w:family w:val="roman"/>
    <w:pitch w:val="variable"/>
  </w:font>
  <w:font w:name="Arial TUR">
    <w:altName w:val="Arial"/>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FrankRuehl">
    <w:charset w:val="b1" w:characterSet="windows-1255"/>
    <w:family w:val="swiss"/>
    <w:pitch w:val="variable"/>
  </w:font>
  <w:font w:name="David">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7</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rPr>
    </w:pPr>
    <w:r>
      <w:rPr>
        <w:rFonts w:cs="FrankRuehl" w:ascii="FrankRuehl" w:hAnsi="FrankRuehl"/>
        <w:color w:val="000000"/>
        <w:sz w:val="24"/>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1768/14</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בהא גנאיים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643"/>
        </w:tabs>
        <w:ind w:start="643" w:hanging="360"/>
      </w:pPr>
    </w:lvl>
  </w:abstractNum>
  <w:abstractNum w:abstractNumId="2">
    <w:lvl w:ilvl="0">
      <w:start w:val="1"/>
      <w:numFmt w:val="decimal"/>
      <w:lvlText w:val="%1."/>
      <w:lvlJc w:val="start"/>
      <w:pPr>
        <w:tabs>
          <w:tab w:val="num" w:pos="907"/>
        </w:tabs>
        <w:ind w:start="0" w:hanging="0"/>
      </w:pPr>
      <w:rPr>
        <w:smallCaps w:val="false"/>
        <w:caps w:val="false"/>
        <w:outline w:val="false"/>
        <w:dstrike w:val="false"/>
        <w:strike w:val="false"/>
        <w:vertAlign w:val="baseline"/>
        <w:position w:val="0"/>
        <w:sz w:val="22"/>
        <w:sz w:val="22"/>
        <w:spacing w:val="10"/>
        <w:i w:val="false"/>
        <w:shadow w:val="false"/>
        <w:u w:val="none" w:color="000000"/>
        <w:b w:val="false"/>
        <w:kern w:val="0"/>
        <w:szCs w:val="28"/>
        <w:iCs w:val="false"/>
        <w:bCs w:val="false"/>
        <w:w w:val="100"/>
        <w:vanish w:val="false"/>
        <w:rFonts w:ascii="Century" w:hAnsi="Century" w:cs="FrankRuehl"/>
        <w:color w:val="000000"/>
        <w:lang w:val="en-US"/>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autoHyphenation w:val="true"/>
  <w:hyphenationZone w:val="0"/>
  <w:compat>
    <w:doNotExpandShiftReturn/>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pPr>
    <w:rPr>
      <w:rFonts w:ascii="Times New Roman" w:hAnsi="Times New Roman" w:eastAsia="Times New Roman" w:cs="David"/>
      <w:color w:val="auto"/>
      <w:sz w:val="20"/>
      <w:szCs w:val="24"/>
      <w:lang w:val="en-US" w:bidi="he-IL" w:eastAsia="zh-CN"/>
    </w:rPr>
  </w:style>
  <w:style w:type="character" w:styleId="WW8Num2z0">
    <w:name w:val="WW8Num2z0"/>
    <w:qFormat/>
    <w:rPr>
      <w:rFonts w:ascii="Century" w:hAnsi="Century" w:cs="FrankRuehl"/>
      <w:b w:val="false"/>
      <w:bCs w:val="false"/>
      <w:i w:val="false"/>
      <w:iCs w:val="false"/>
      <w:caps w:val="false"/>
      <w:smallCaps w:val="false"/>
      <w:strike w:val="false"/>
      <w:dstrike w:val="false"/>
      <w:outline w:val="false"/>
      <w:shadow w:val="false"/>
      <w:vanish w:val="false"/>
      <w:color w:val="000000"/>
      <w:spacing w:val="10"/>
      <w:w w:val="100"/>
      <w:kern w:val="0"/>
      <w:position w:val="0"/>
      <w:sz w:val="22"/>
      <w:sz w:val="22"/>
      <w:szCs w:val="28"/>
      <w:u w:val="none" w:color="000000"/>
      <w:vertAlign w:val="baseline"/>
      <w:lang w:val="en-US"/>
    </w:rPr>
  </w:style>
  <w:style w:type="character" w:styleId="DefaultParagraphFont">
    <w:name w:val="Default Paragraph Font"/>
    <w:qFormat/>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Ruller4">
    <w:name w:val="Ruller4 תו"/>
    <w:basedOn w:val="DefaultParagraphFont"/>
    <w:qFormat/>
    <w:rPr>
      <w:rFonts w:ascii="Arial TUR;Arial" w:hAnsi="Arial TUR;Arial" w:cs="FrankRuehl"/>
      <w:spacing w:val="10"/>
      <w:sz w:val="22"/>
      <w:szCs w:val="28"/>
      <w:lang w:val="en-US" w:bidi="he-IL"/>
    </w:rPr>
  </w:style>
  <w:style w:type="character" w:styleId="Delete">
    <w:name w:val="Delete"/>
    <w:basedOn w:val="DefaultParagraphFont"/>
    <w:qFormat/>
    <w:rPr>
      <w:strike/>
    </w:rPr>
  </w:style>
  <w:style w:type="character" w:styleId="Hand">
    <w:name w:val="Hand"/>
    <w:basedOn w:val="DefaultParagraphFont"/>
    <w:qFormat/>
    <w:rPr>
      <w:rFonts w:cs="Guttman Yad"/>
    </w:rPr>
  </w:style>
  <w:style w:type="character" w:styleId="Ruller3">
    <w:name w:val="Ruller 3 תו"/>
    <w:basedOn w:val="DefaultParagraphFont"/>
    <w:qFormat/>
    <w:rPr>
      <w:rFonts w:cs="FrankRuehl"/>
      <w:sz w:val="22"/>
      <w:szCs w:val="28"/>
      <w:lang w:val="en-US" w:bidi="he-IL"/>
    </w:rPr>
  </w:style>
  <w:style w:type="character" w:styleId="BodyRuller">
    <w:name w:val="Body Ruller תו"/>
    <w:basedOn w:val="Ruller3"/>
    <w:qFormat/>
    <w:rPr>
      <w:rFonts w:cs="David"/>
    </w:rPr>
  </w:style>
  <w:style w:type="character" w:styleId="Ruller38">
    <w:name w:val="סגנון Ruller 3 + (מורכב) ‏8 נק תו"/>
    <w:basedOn w:val="BodyRuller"/>
    <w:qFormat/>
    <w:rPr>
      <w:szCs w:val="16"/>
    </w:rPr>
  </w:style>
  <w:style w:type="character" w:styleId="PageNumber">
    <w:name w:val="page number"/>
    <w:basedOn w:val="DefaultParagraphFon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Ruller31">
    <w:name w:val="Ruller 3"/>
    <w:basedOn w:val="Normal"/>
    <w:qFormat/>
    <w:pPr>
      <w:tabs>
        <w:tab w:val="clear" w:pos="720"/>
        <w:tab w:val="left" w:pos="3210" w:leader="none"/>
        <w:tab w:val="left" w:pos="6753" w:leader="none"/>
      </w:tabs>
      <w:spacing w:lineRule="auto" w:line="360"/>
      <w:ind w:hanging="0" w:start="0" w:end="0"/>
      <w:jc w:val="start"/>
    </w:pPr>
    <w:rPr>
      <w:rFonts w:cs="FrankRuehl"/>
      <w:spacing w:val="10"/>
      <w:sz w:val="22"/>
      <w:szCs w:val="28"/>
    </w:rPr>
  </w:style>
  <w:style w:type="paragraph" w:styleId="Pskdinhead">
    <w:name w:val="Pskdin head"/>
    <w:basedOn w:val="Normal"/>
    <w:qFormat/>
    <w:pPr>
      <w:spacing w:lineRule="auto" w:line="360"/>
      <w:ind w:hanging="0" w:start="0" w:end="0"/>
      <w:jc w:val="start"/>
    </w:pPr>
    <w:rPr>
      <w:b/>
      <w:bCs/>
      <w:u w:val="single"/>
    </w:rPr>
  </w:style>
  <w:style w:type="paragraph" w:styleId="FileNumber">
    <w:name w:val="File Number"/>
    <w:basedOn w:val="Normal"/>
    <w:qFormat/>
    <w:pPr>
      <w:spacing w:lineRule="auto" w:line="360"/>
      <w:ind w:hanging="0" w:start="0" w:end="0"/>
      <w:jc w:val="end"/>
    </w:pPr>
    <w:rPr>
      <w:bCs/>
    </w:rPr>
  </w:style>
  <w:style w:type="paragraph" w:styleId="FirstpagestylePsakdin">
    <w:name w:val="First page style Psak din"/>
    <w:basedOn w:val="Ruller31"/>
    <w:qFormat/>
    <w:pPr>
      <w:tabs>
        <w:tab w:val="clear" w:pos="3210"/>
        <w:tab w:val="left" w:pos="3209" w:leader="none"/>
        <w:tab w:val="left" w:pos="6753" w:leader="none"/>
      </w:tabs>
      <w:ind w:hanging="0" w:start="0" w:end="0"/>
      <w:jc w:val="start"/>
    </w:pPr>
    <w:rPr>
      <w:bCs/>
    </w:rPr>
  </w:style>
  <w:style w:type="paragraph" w:styleId="TyutaDate">
    <w:name w:val="Tyuta Date"/>
    <w:basedOn w:val="Normal"/>
    <w:qFormat/>
    <w:pPr>
      <w:ind w:hanging="0" w:start="0" w:end="0"/>
      <w:jc w:val="center"/>
    </w:pPr>
    <w:rPr>
      <w:b/>
      <w:bCs/>
      <w:i/>
      <w:iCs/>
      <w:sz w:val="28"/>
      <w:szCs w:val="28"/>
    </w:rPr>
  </w:style>
  <w:style w:type="paragraph" w:styleId="DocumentHead">
    <w:name w:val="Document Head"/>
    <w:basedOn w:val="Normal"/>
    <w:qFormat/>
    <w:pPr>
      <w:spacing w:lineRule="auto" w:line="360"/>
      <w:ind w:hanging="0" w:start="0" w:end="0"/>
      <w:jc w:val="center"/>
    </w:pPr>
    <w:rPr>
      <w:bCs/>
      <w:spacing w:val="30"/>
      <w:szCs w:val="28"/>
      <w:u w:val="single"/>
    </w:rPr>
  </w:style>
  <w:style w:type="paragraph" w:styleId="TfutzaList">
    <w:name w:val="Tfutza List"/>
    <w:basedOn w:val="Normal"/>
    <w:qFormat/>
    <w:pPr>
      <w:ind w:hanging="0" w:start="0" w:end="0"/>
      <w:jc w:val="start"/>
    </w:pPr>
    <w:rPr>
      <w:i/>
      <w:iCs/>
    </w:rPr>
  </w:style>
  <w:style w:type="paragraph" w:styleId="Ruller41">
    <w:name w:val="Ruller4"/>
    <w:basedOn w:val="Normal"/>
    <w:qFormat/>
    <w:pPr>
      <w:tabs>
        <w:tab w:val="clear" w:pos="720"/>
        <w:tab w:val="left" w:pos="800" w:leader="none"/>
      </w:tabs>
      <w:spacing w:lineRule="auto" w:line="360"/>
      <w:ind w:hanging="0" w:start="0" w:end="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tabs>
        <w:tab w:val="clear" w:pos="720"/>
        <w:tab w:val="left" w:pos="794" w:leader="none"/>
        <w:tab w:val="left" w:pos="2268" w:leader="none"/>
        <w:tab w:val="left" w:pos="5783" w:leader="none"/>
        <w:tab w:val="left" w:pos="7371" w:leader="none"/>
      </w:tabs>
      <w:ind w:hanging="0" w:start="0" w:end="0"/>
      <w:jc w:val="start"/>
    </w:pPr>
    <w:rPr>
      <w:rFonts w:ascii="Arial TUR;Arial" w:hAnsi="Arial TUR;Arial" w:cs="DavidFix"/>
      <w:spacing w:val="10"/>
      <w:sz w:val="22"/>
      <w:szCs w:val="20"/>
    </w:rPr>
  </w:style>
  <w:style w:type="paragraph" w:styleId="WriterName">
    <w:name w:val="Writer Name"/>
    <w:basedOn w:val="Ruller41"/>
    <w:next w:val="Ruller41"/>
    <w:qFormat/>
    <w:pPr>
      <w:ind w:hanging="0" w:start="0" w:end="0"/>
      <w:jc w:val="both"/>
    </w:pPr>
    <w:rPr>
      <w:rFonts w:cs="David"/>
      <w:b/>
      <w:bCs/>
      <w:u w:val="single"/>
    </w:rPr>
  </w:style>
  <w:style w:type="paragraph" w:styleId="2">
    <w:name w:val="ñâðåï2"/>
    <w:basedOn w:val="Normal"/>
    <w:qFormat/>
    <w:pPr>
      <w:overflowPunct w:val="true"/>
      <w:ind w:hanging="0" w:start="0" w:end="0"/>
      <w:jc w:val="start"/>
    </w:pPr>
    <w:rPr>
      <w:rFonts w:cs="Times New Roman"/>
    </w:rPr>
  </w:style>
  <w:style w:type="paragraph" w:styleId="Casenameintextbody">
    <w:name w:val="Case name in text body"/>
    <w:basedOn w:val="Normal"/>
    <w:qFormat/>
    <w:pPr>
      <w:overflowPunct w:val="true"/>
      <w:ind w:hanging="0" w:start="0" w:end="0"/>
      <w:jc w:val="end"/>
    </w:pPr>
    <w:rPr>
      <w:rFonts w:cs="Times New Roman"/>
      <w:b/>
      <w:bCs/>
      <w:u w:val="single"/>
    </w:rPr>
  </w:style>
  <w:style w:type="paragraph" w:styleId="precasestyle">
    <w:name w:val="pre_case style"/>
    <w:basedOn w:val="Normal"/>
    <w:qFormat/>
    <w:pPr>
      <w:tabs>
        <w:tab w:val="clear" w:pos="720"/>
        <w:tab w:val="left" w:pos="2552" w:leader="none"/>
      </w:tabs>
      <w:overflowPunct w:val="true"/>
      <w:ind w:hanging="0" w:start="0" w:end="2549"/>
      <w:jc w:val="start"/>
    </w:pPr>
    <w:rPr>
      <w:rFonts w:cs="Times New Roman"/>
    </w:rPr>
  </w:style>
  <w:style w:type="paragraph" w:styleId="BodyRuller1">
    <w:name w:val="Body Ruller"/>
    <w:basedOn w:val="Normal"/>
    <w:qFormat/>
    <w:pPr>
      <w:ind w:hanging="0" w:start="0" w:end="0"/>
      <w:jc w:val="start"/>
    </w:pPr>
    <w:rPr>
      <w:sz w:val="22"/>
      <w:szCs w:val="28"/>
    </w:rPr>
  </w:style>
  <w:style w:type="paragraph" w:styleId="Ruller381">
    <w:name w:val="סגנון Ruller 3 + (מורכב) ‏8 נק"/>
    <w:basedOn w:val="BodyRuller1"/>
    <w:qFormat/>
    <w:pPr>
      <w:ind w:hanging="0" w:start="0" w:end="0"/>
      <w:jc w:val="start"/>
    </w:pPr>
    <w:rPr>
      <w:szCs w:val="16"/>
    </w:rPr>
  </w:style>
  <w:style w:type="paragraph" w:styleId="FileNumber1">
    <w:name w:val="סגנון File Number + ימין"/>
    <w:basedOn w:val="FileNumber"/>
    <w:qFormat/>
    <w:pPr>
      <w:ind w:hanging="0" w:start="0" w:end="0"/>
      <w:jc w:val="start"/>
    </w:pPr>
    <w:rPr>
      <w:szCs w:val="28"/>
    </w:rPr>
  </w:style>
  <w:style w:type="paragraph" w:styleId="BODYVERDICT">
    <w:name w:val="BODY VERDICT"/>
    <w:basedOn w:val="Normal"/>
    <w:qFormat/>
    <w:pPr>
      <w:ind w:hanging="0" w:start="0" w:end="0"/>
      <w:jc w:val="start"/>
    </w:pPr>
    <w:rPr>
      <w:rFonts w:cs="FrankRuehl"/>
      <w:spacing w:val="10"/>
      <w:sz w:val="22"/>
      <w:szCs w:val="28"/>
    </w:rPr>
  </w:style>
  <w:style w:type="paragraph" w:styleId="Ruller42">
    <w:name w:val="Ruller 4 ממוספר"/>
    <w:basedOn w:val="Ruller41"/>
    <w:next w:val="Ruller41"/>
    <w:qFormat/>
    <w:pPr>
      <w:numPr>
        <w:ilvl w:val="0"/>
        <w:numId w:val="2"/>
      </w:numPr>
      <w:ind w:hanging="0" w:start="0" w:end="0"/>
      <w:jc w:val="both"/>
    </w:pPr>
    <w:rPr>
      <w:rFonts w:ascii="Garamond" w:hAnsi="Garamond" w:cs="Garamond"/>
      <w:sz w:val="24"/>
    </w:rPr>
  </w:style>
  <w:style w:type="paragraph" w:styleId="ruller40">
    <w:name w:val="ruller40"/>
    <w:basedOn w:val="Normal"/>
    <w:qFormat/>
    <w:pPr>
      <w:numPr>
        <w:ilvl w:val="0"/>
        <w:numId w:val="1"/>
      </w:numPr>
      <w:spacing w:lineRule="auto" w:line="360"/>
      <w:ind w:hanging="0" w:start="643" w:end="0"/>
      <w:jc w:val="both"/>
    </w:pPr>
    <w:rPr>
      <w:rFonts w:ascii="Garamond" w:hAnsi="Garamond" w:cs="Times New Roman"/>
      <w:spacing w:val="1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3942428" TargetMode="External"/><Relationship Id="rId3" Type="http://schemas.openxmlformats.org/officeDocument/2006/relationships/hyperlink" Target="http://www.nevo.co.il/law/70301" TargetMode="External"/><Relationship Id="rId4" Type="http://schemas.openxmlformats.org/officeDocument/2006/relationships/hyperlink" Target="http://www.nevo.co.il/law/70301/29" TargetMode="External"/><Relationship Id="rId5" Type="http://schemas.openxmlformats.org/officeDocument/2006/relationships/hyperlink" Target="http://www.nevo.co.il/law/70301/40g" TargetMode="External"/><Relationship Id="rId6" Type="http://schemas.openxmlformats.org/officeDocument/2006/relationships/hyperlink" Target="http://www.nevo.co.il/law/70301/144.a" TargetMode="External"/><Relationship Id="rId7" Type="http://schemas.openxmlformats.org/officeDocument/2006/relationships/hyperlink" Target="http://www.nevo.co.il/law/70301/144.b" TargetMode="External"/><Relationship Id="rId8" Type="http://schemas.openxmlformats.org/officeDocument/2006/relationships/hyperlink" Target="http://www.nevo.co.il/law/70301/144.b2" TargetMode="External"/><Relationship Id="rId9" Type="http://schemas.openxmlformats.org/officeDocument/2006/relationships/hyperlink" Target="http://www.nevo.co.il/law/70301/144.c" TargetMode="External"/><Relationship Id="rId10" Type="http://schemas.openxmlformats.org/officeDocument/2006/relationships/hyperlink" Target="http://www.nevo.co.il/case/3942428" TargetMode="External"/><Relationship Id="rId11" Type="http://schemas.openxmlformats.org/officeDocument/2006/relationships/hyperlink" Target="http://www.nevo.co.il/law/70301/144.a" TargetMode="External"/><Relationship Id="rId12" Type="http://schemas.openxmlformats.org/officeDocument/2006/relationships/hyperlink" Target="http://www.nevo.co.il/law/70301/144.b" TargetMode="External"/><Relationship Id="rId13" Type="http://schemas.openxmlformats.org/officeDocument/2006/relationships/hyperlink" Target="http://www.nevo.co.il/law/70301/144.c" TargetMode="External"/><Relationship Id="rId14" Type="http://schemas.openxmlformats.org/officeDocument/2006/relationships/hyperlink" Target="http://www.nevo.co.il/law/70301/29" TargetMode="External"/><Relationship Id="rId15" Type="http://schemas.openxmlformats.org/officeDocument/2006/relationships/hyperlink" Target="http://www.nevo.co.il/law/70301" TargetMode="External"/><Relationship Id="rId16" Type="http://schemas.openxmlformats.org/officeDocument/2006/relationships/hyperlink" Target="http://www.nevo.co.il/law/70301/144.b2" TargetMode="External"/><Relationship Id="rId17" Type="http://schemas.openxmlformats.org/officeDocument/2006/relationships/hyperlink" Target="http://www.nevo.co.il/law/70301/144.c" TargetMode="External"/><Relationship Id="rId18" Type="http://schemas.openxmlformats.org/officeDocument/2006/relationships/hyperlink" Target="http://www.nevo.co.il/law/70301/29" TargetMode="External"/><Relationship Id="rId19" Type="http://schemas.openxmlformats.org/officeDocument/2006/relationships/hyperlink" Target="http://www.nevo.co.il/law/70301" TargetMode="External"/><Relationship Id="rId20" Type="http://schemas.openxmlformats.org/officeDocument/2006/relationships/hyperlink" Target="http://www.nevo.co.il/law/70301/40g" TargetMode="External"/><Relationship Id="rId21" Type="http://schemas.openxmlformats.org/officeDocument/2006/relationships/hyperlink" Target="http://www.nevo.co.il/law/70301" TargetMode="External"/><Relationship Id="rId22" Type="http://schemas.openxmlformats.org/officeDocument/2006/relationships/hyperlink" Target="http://www.nevo.co.il/case/5821327" TargetMode="External"/><Relationship Id="rId23" Type="http://schemas.openxmlformats.org/officeDocument/2006/relationships/hyperlink" Target="http://www.nevo.co.il/case/6248029" TargetMode="External"/><Relationship Id="rId24" Type="http://schemas.openxmlformats.org/officeDocument/2006/relationships/hyperlink" Target="http://www.nevo.co.il/case/6882160" TargetMode="External"/><Relationship Id="rId25" Type="http://schemas.openxmlformats.org/officeDocument/2006/relationships/hyperlink" Target="http://www.nevo.co.il/case/5692319" TargetMode="External"/><Relationship Id="rId26" Type="http://schemas.openxmlformats.org/officeDocument/2006/relationships/hyperlink" Target="http://www.nevo.co.il/case/5699080" TargetMode="External"/><Relationship Id="rId27" Type="http://schemas.openxmlformats.org/officeDocument/2006/relationships/hyperlink" Target="http://www.nevo.co.il/case/5821327" TargetMode="External"/><Relationship Id="rId28" Type="http://schemas.openxmlformats.org/officeDocument/2006/relationships/hyperlink" Target="http://www.nevo.co.il/case/16916801" TargetMode="External"/><Relationship Id="rId29" Type="http://schemas.openxmlformats.org/officeDocument/2006/relationships/hyperlink" Target="http://www.court.gov.il/" TargetMode="External"/><Relationship Id="rId30" Type="http://schemas.openxmlformats.org/officeDocument/2006/relationships/hyperlink" Target="http://www.nevo.co.il/advertisements/nevo-100.doc" TargetMode="External"/><Relationship Id="rId31" Type="http://schemas.openxmlformats.org/officeDocument/2006/relationships/header" Target="header1.xml"/><Relationship Id="rId32" Type="http://schemas.openxmlformats.org/officeDocument/2006/relationships/footer" Target="footer1.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14017680.H02.doc</Template>
  <TotalTime>3</TotalTime>
  <Application>LibreOffice/24.8.4.2$MacOSX_AARCH64 LibreOffice_project/bb3cfa12c7b1bf994ecc5649a80400d06cd71002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2014-07-23T07:51:00Z</dcterms:created>
  <dc:creator> </dc:creator>
  <dc:description/>
  <cp:keywords/>
  <dc:language>en-IL</dc:language>
  <cp:lastModifiedBy>orly</cp:lastModifiedBy>
  <cp:lastPrinted>2009-02-15T10:12:00Z</cp:lastPrinted>
  <dcterms:modified xsi:type="dcterms:W3CDTF">2014-07-23T08:10:00Z</dcterms:modified>
  <cp:revision>3</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בהא גנאיים</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vt:lpwstr>
  </property>
  <property fmtid="{D5CDD505-2E9C-101B-9397-08002B2CF9AE}" pid="6" name="APPELLEE1">
    <vt:lpwstr/>
  </property>
  <property fmtid="{D5CDD505-2E9C-101B-9397-08002B2CF9AE}" pid="7" name="APPELLEE2">
    <vt:lpwstr/>
  </property>
  <property fmtid="{D5CDD505-2E9C-101B-9397-08002B2CF9AE}" pid="8" name="CASESLISTTMP1">
    <vt:lpwstr>3942428:2;5821327:2;6248029;6882160;5692319;5699080;16916801</vt:lpwstr>
  </property>
  <property fmtid="{D5CDD505-2E9C-101B-9397-08002B2CF9AE}" pid="9" name="CITY">
    <vt:lpwstr/>
  </property>
  <property fmtid="{D5CDD505-2E9C-101B-9397-08002B2CF9AE}" pid="10" name="DATE">
    <vt:lpwstr>20140722</vt:lpwstr>
  </property>
  <property fmtid="{D5CDD505-2E9C-101B-9397-08002B2CF9AE}" pid="11" name="DELEMATA">
    <vt:lpwstr/>
  </property>
  <property fmtid="{D5CDD505-2E9C-101B-9397-08002B2CF9AE}" pid="12" name="ISABSTRACT">
    <vt:lpwstr>Y</vt:lpwstr>
  </property>
  <property fmtid="{D5CDD505-2E9C-101B-9397-08002B2CF9AE}" pid="13" name="JUDGE">
    <vt:lpwstr>ס' ג'ובראן;נ' הנדל;א' שהם</vt:lpwstr>
  </property>
  <property fmtid="{D5CDD505-2E9C-101B-9397-08002B2CF9AE}" pid="14" name="LAWLISTTMP1">
    <vt:lpwstr>70301/144.a;144.b;144.c:2;029:2;144.b2;040g</vt:lpwstr>
  </property>
  <property fmtid="{D5CDD505-2E9C-101B-9397-08002B2CF9AE}" pid="15" name="LAWYER">
    <vt:lpwstr>קרן רוט;שלומי בלומנפלד</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METAKZER">
    <vt:lpwstr>פאני</vt:lpwstr>
  </property>
  <property fmtid="{D5CDD505-2E9C-101B-9397-08002B2CF9AE}" pid="22" name="NEWPARTA">
    <vt:lpwstr/>
  </property>
  <property fmtid="{D5CDD505-2E9C-101B-9397-08002B2CF9AE}" pid="23" name="NEWPARTB">
    <vt:lpwstr/>
  </property>
  <property fmtid="{D5CDD505-2E9C-101B-9397-08002B2CF9AE}" pid="24" name="NEWPARTC">
    <vt:lpwstr/>
  </property>
  <property fmtid="{D5CDD505-2E9C-101B-9397-08002B2CF9AE}" pid="25" name="NEWPROC">
    <vt:lpwstr/>
  </property>
  <property fmtid="{D5CDD505-2E9C-101B-9397-08002B2CF9AE}" pid="26" name="NOSE11">
    <vt:lpwstr>עונשין</vt:lpwstr>
  </property>
  <property fmtid="{D5CDD505-2E9C-101B-9397-08002B2CF9AE}" pid="27" name="NOSE110">
    <vt:lpwstr/>
  </property>
  <property fmtid="{D5CDD505-2E9C-101B-9397-08002B2CF9AE}" pid="28" name="NOSE12">
    <vt:lpwstr>עונשין</vt:lpwstr>
  </property>
  <property fmtid="{D5CDD505-2E9C-101B-9397-08002B2CF9AE}" pid="29" name="NOSE13">
    <vt:lpwstr>עונשין</vt:lpwstr>
  </property>
  <property fmtid="{D5CDD505-2E9C-101B-9397-08002B2CF9AE}" pid="30" name="NOSE14">
    <vt:lpwstr>עונשין</vt:lpwstr>
  </property>
  <property fmtid="{D5CDD505-2E9C-101B-9397-08002B2CF9AE}" pid="31" name="NOSE15">
    <vt:lpwstr/>
  </property>
  <property fmtid="{D5CDD505-2E9C-101B-9397-08002B2CF9AE}" pid="32" name="NOSE16">
    <vt:lpwstr/>
  </property>
  <property fmtid="{D5CDD505-2E9C-101B-9397-08002B2CF9AE}" pid="33" name="NOSE17">
    <vt:lpwstr/>
  </property>
  <property fmtid="{D5CDD505-2E9C-101B-9397-08002B2CF9AE}" pid="34" name="NOSE18">
    <vt:lpwstr/>
  </property>
  <property fmtid="{D5CDD505-2E9C-101B-9397-08002B2CF9AE}" pid="35" name="NOSE19">
    <vt:lpwstr/>
  </property>
  <property fmtid="{D5CDD505-2E9C-101B-9397-08002B2CF9AE}" pid="36" name="NOSE1ID">
    <vt:lpwstr>77;77;77;77</vt:lpwstr>
  </property>
  <property fmtid="{D5CDD505-2E9C-101B-9397-08002B2CF9AE}" pid="37" name="NOSE21">
    <vt:lpwstr>ענישה</vt:lpwstr>
  </property>
  <property fmtid="{D5CDD505-2E9C-101B-9397-08002B2CF9AE}" pid="38" name="NOSE210">
    <vt:lpwstr/>
  </property>
  <property fmtid="{D5CDD505-2E9C-101B-9397-08002B2CF9AE}" pid="39" name="NOSE22">
    <vt:lpwstr>ענישה</vt:lpwstr>
  </property>
  <property fmtid="{D5CDD505-2E9C-101B-9397-08002B2CF9AE}" pid="40" name="NOSE23">
    <vt:lpwstr>ענישה</vt:lpwstr>
  </property>
  <property fmtid="{D5CDD505-2E9C-101B-9397-08002B2CF9AE}" pid="41" name="NOSE24">
    <vt:lpwstr>ענישה</vt:lpwstr>
  </property>
  <property fmtid="{D5CDD505-2E9C-101B-9397-08002B2CF9AE}" pid="42" name="NOSE25">
    <vt:lpwstr/>
  </property>
  <property fmtid="{D5CDD505-2E9C-101B-9397-08002B2CF9AE}" pid="43" name="NOSE26">
    <vt:lpwstr/>
  </property>
  <property fmtid="{D5CDD505-2E9C-101B-9397-08002B2CF9AE}" pid="44" name="NOSE27">
    <vt:lpwstr/>
  </property>
  <property fmtid="{D5CDD505-2E9C-101B-9397-08002B2CF9AE}" pid="45" name="NOSE28">
    <vt:lpwstr/>
  </property>
  <property fmtid="{D5CDD505-2E9C-101B-9397-08002B2CF9AE}" pid="46" name="NOSE29">
    <vt:lpwstr/>
  </property>
  <property fmtid="{D5CDD505-2E9C-101B-9397-08002B2CF9AE}" pid="47" name="NOSE2ID">
    <vt:lpwstr>1446;1446;1446;1446</vt:lpwstr>
  </property>
  <property fmtid="{D5CDD505-2E9C-101B-9397-08002B2CF9AE}" pid="48" name="NOSE31">
    <vt:lpwstr>מדיניות ענישה: עבירות נשק</vt:lpwstr>
  </property>
  <property fmtid="{D5CDD505-2E9C-101B-9397-08002B2CF9AE}" pid="49" name="NOSE310">
    <vt:lpwstr/>
  </property>
  <property fmtid="{D5CDD505-2E9C-101B-9397-08002B2CF9AE}" pid="50" name="NOSE32">
    <vt:lpwstr>מדיניות ענישה: שיקולים לחומרה</vt:lpwstr>
  </property>
  <property fmtid="{D5CDD505-2E9C-101B-9397-08002B2CF9AE}" pid="51" name="NOSE33">
    <vt:lpwstr>מדיניות ענישה: שיקום</vt:lpwstr>
  </property>
  <property fmtid="{D5CDD505-2E9C-101B-9397-08002B2CF9AE}" pid="52" name="NOSE34">
    <vt:lpwstr>התערבות ערכאת הערעור</vt:lpwstr>
  </property>
  <property fmtid="{D5CDD505-2E9C-101B-9397-08002B2CF9AE}" pid="53" name="NOSE35">
    <vt:lpwstr/>
  </property>
  <property fmtid="{D5CDD505-2E9C-101B-9397-08002B2CF9AE}" pid="54" name="NOSE36">
    <vt:lpwstr/>
  </property>
  <property fmtid="{D5CDD505-2E9C-101B-9397-08002B2CF9AE}" pid="55" name="NOSE37">
    <vt:lpwstr/>
  </property>
  <property fmtid="{D5CDD505-2E9C-101B-9397-08002B2CF9AE}" pid="56" name="NOSE38">
    <vt:lpwstr/>
  </property>
  <property fmtid="{D5CDD505-2E9C-101B-9397-08002B2CF9AE}" pid="57" name="NOSE39">
    <vt:lpwstr/>
  </property>
  <property fmtid="{D5CDD505-2E9C-101B-9397-08002B2CF9AE}" pid="58" name="NOSE3ID">
    <vt:lpwstr>13800;8995;14346;8978</vt:lpwstr>
  </property>
  <property fmtid="{D5CDD505-2E9C-101B-9397-08002B2CF9AE}" pid="59" name="PADIDATE">
    <vt:lpwstr>20140723</vt:lpwstr>
  </property>
  <property fmtid="{D5CDD505-2E9C-101B-9397-08002B2CF9AE}" pid="60" name="PADIMAIL">
    <vt:lpwstr>YES</vt:lpwstr>
  </property>
  <property fmtid="{D5CDD505-2E9C-101B-9397-08002B2CF9AE}" pid="61" name="PAGE">
    <vt:lpwstr/>
  </property>
  <property fmtid="{D5CDD505-2E9C-101B-9397-08002B2CF9AE}" pid="62" name="PART">
    <vt:lpwstr/>
  </property>
  <property fmtid="{D5CDD505-2E9C-101B-9397-08002B2CF9AE}" pid="63" name="PROCESS">
    <vt:lpwstr>עפ</vt:lpwstr>
  </property>
  <property fmtid="{D5CDD505-2E9C-101B-9397-08002B2CF9AE}" pid="64" name="PROCNUM">
    <vt:lpwstr>1768</vt:lpwstr>
  </property>
  <property fmtid="{D5CDD505-2E9C-101B-9397-08002B2CF9AE}" pid="65" name="PROCYEAR">
    <vt:lpwstr>14</vt:lpwstr>
  </property>
  <property fmtid="{D5CDD505-2E9C-101B-9397-08002B2CF9AE}" pid="66" name="PSAKDIN">
    <vt:lpwstr>פסק-דין</vt:lpwstr>
  </property>
  <property fmtid="{D5CDD505-2E9C-101B-9397-08002B2CF9AE}" pid="67" name="TYPE">
    <vt:lpwstr>1</vt:lpwstr>
  </property>
  <property fmtid="{D5CDD505-2E9C-101B-9397-08002B2CF9AE}" pid="68" name="TYPE_ABS_DATE">
    <vt:lpwstr>410120140722</vt:lpwstr>
  </property>
  <property fmtid="{D5CDD505-2E9C-101B-9397-08002B2CF9AE}" pid="69" name="TYPE_N_DATE">
    <vt:lpwstr>41020140722</vt:lpwstr>
  </property>
  <property fmtid="{D5CDD505-2E9C-101B-9397-08002B2CF9AE}" pid="70" name="VOLUME">
    <vt:lpwstr/>
  </property>
  <property fmtid="{D5CDD505-2E9C-101B-9397-08002B2CF9AE}" pid="71" name="WORDNUMPAGES">
    <vt:lpwstr>6</vt:lpwstr>
  </property>
</Properties>
</file>