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4530/19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3" w:name="FirstAppellant"/>
            <w:bookmarkEnd w:id="3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נור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אלדין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זאווי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ascii="David;Times New Roman" w:hAnsi="David;Times New Roman"/>
                <w:rtl w:val="true"/>
              </w:rPr>
              <w:t>ה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rFonts w:ascii="Century" w:hAnsi="Century" w:cs="Miriam"/>
                <w:b/>
                <w:szCs w:val="24"/>
              </w:rPr>
            </w:pP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ערעור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פסק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דינו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בית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המשפט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המחוזי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מרכז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-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לוד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rFonts w:ascii="Century" w:hAnsi="Century" w:cs="Miriam"/>
                  <w:b/>
                  <w:b/>
                  <w:color w:val="0000FF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Miriam" w:ascii="Century" w:hAnsi="Century"/>
                  <w:b/>
                  <w:color w:val="0000FF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Century" w:hAnsi="Century" w:cs="Miriam"/>
                  <w:b/>
                  <w:b/>
                  <w:color w:val="0000FF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ascii="Century" w:hAnsi="Century" w:eastAsia="Century" w:cs="Century"/>
                  <w:b/>
                  <w:b/>
                  <w:color w:val="0000FF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Miriam" w:ascii="Century" w:hAnsi="Century"/>
                  <w:b/>
                  <w:color w:val="0000FF"/>
                  <w:szCs w:val="24"/>
                  <w:u w:val="single"/>
                </w:rPr>
                <w:t>60792-07-18</w:t>
              </w:r>
            </w:hyperlink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;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מיום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cs="Miriam" w:ascii="Century" w:hAnsi="Century"/>
                <w:b/>
                <w:szCs w:val="24"/>
              </w:rPr>
              <w:t>23.05.2019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שניתן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ידי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כב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השופט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עמי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קובו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בתמוז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;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01.08.2019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רמי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עותמאן</w:t>
            </w:r>
            <w:r>
              <w:rPr>
                <w:rFonts w:cs="Times New Roman;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איתמר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גלבפיש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r>
        <w:rPr>
          <w:rFonts w:cs="FrankRuehl;Times New Roman" w:ascii="FrankRuehl;Times New Roman" w:hAnsi="FrankRuehl;Times New Roman"/>
          <w:sz w:val="24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/>
      </w:pPr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חקיקה שאוזכרה</w:t>
      </w:r>
      <w:r>
        <w:rPr>
          <w:rFonts w:cs="FrankRuehl;Times New Roman" w:ascii="FrankRuehl;Times New Roman" w:hAnsi="FrankRuehl;Times New Roman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hyperlink r:id="rId3"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1977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144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413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ד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413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ו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r>
        <w:rPr>
          <w:rFonts w:cs="FrankRuehl;Times New Roman" w:ascii="FrankRuehl;Times New Roman" w:hAnsi="FrankRuehl;Times New Roman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textAlignment w:val="auto"/>
        <w:rPr>
          <w:rFonts w:cs="FrankRuehl;Times New Roman"/>
          <w:sz w:val="24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cs="FrankRuehl;Times New Roman"/>
          <w:sz w:val="24"/>
          <w:sz w:val="24"/>
          <w:szCs w:val="26"/>
          <w:rtl w:val="true"/>
        </w:rPr>
        <w:t>מיני</w:t>
      </w:r>
      <w:r>
        <w:rPr>
          <w:rFonts w:cs="FrankRuehl;Times New Roman"/>
          <w:sz w:val="24"/>
          <w:szCs w:val="26"/>
          <w:rtl w:val="true"/>
        </w:rPr>
        <w:t>-</w:t>
      </w:r>
      <w:r>
        <w:rPr>
          <w:rFonts w:cs="FrankRuehl;Times New Roman"/>
          <w:sz w:val="24"/>
          <w:sz w:val="24"/>
          <w:szCs w:val="26"/>
          <w:rtl w:val="true"/>
        </w:rPr>
        <w:t>רציו</w:t>
      </w:r>
      <w:r>
        <w:rPr>
          <w:rFonts w:cs="FrankRuehl;Times New Roman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textAlignment w:val="auto"/>
        <w:rPr/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להשלים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ביצוען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נשק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להחמיר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בעונשם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המורשעים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אלו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תוך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ביטוי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עונשי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הולם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לסכנה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הממשית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הנשקפת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ממעשיהם</w:t>
      </w:r>
      <w:r>
        <w:rPr>
          <w:rFonts w:cs="FrankRuehl;Times New Roman"/>
          <w:sz w:val="24"/>
          <w:szCs w:val="26"/>
          <w:rtl w:val="true"/>
        </w:rPr>
        <w:t xml:space="preserve">; </w:t>
      </w:r>
      <w:r>
        <w:rPr>
          <w:rFonts w:cs="FrankRuehl;Times New Roman"/>
          <w:sz w:val="24"/>
          <w:sz w:val="24"/>
          <w:szCs w:val="26"/>
          <w:rtl w:val="true"/>
        </w:rPr>
        <w:t>במקרה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הנדון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לייחס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חומרה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יתירה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למעשי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לנוכח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העובדה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הנשק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שנטל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טרם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הושב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לידי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גורמי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האכיפה</w:t>
      </w:r>
      <w:r>
        <w:rPr>
          <w:rFonts w:cs="FrankRuehl;Times New Roman"/>
          <w:sz w:val="24"/>
          <w:szCs w:val="26"/>
          <w:rtl w:val="true"/>
        </w:rPr>
        <w:t xml:space="preserve">; </w:t>
      </w:r>
      <w:r>
        <w:rPr>
          <w:rFonts w:cs="FrankRuehl;Times New Roman"/>
          <w:sz w:val="24"/>
          <w:sz w:val="24"/>
          <w:szCs w:val="26"/>
          <w:rtl w:val="true"/>
        </w:rPr>
        <w:t>בגזירת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עונשם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אלו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שהורשעו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בביצוע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נשק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ליתן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משקל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עודף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לאינטרס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הציבורי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נסיבותיו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האישיות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העבריין</w:t>
      </w: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FrankRuehl;Times New Roman"/>
          <w:sz w:val="24"/>
          <w:szCs w:val="26"/>
          <w:rtl w:val="true"/>
        </w:rPr>
        <w:t xml:space="preserve">: </w:t>
      </w:r>
      <w:r>
        <w:rPr>
          <w:rFonts w:cs="FrankRuehl;Times New Roman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נשק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textAlignment w:val="auto"/>
        <w:rPr>
          <w:rFonts w:cs="FrankRuehl;Times New Roman"/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דיון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פלילי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</w:t>
      </w:r>
      <w:r>
        <w:rPr>
          <w:rFonts w:cs="FrankRuehl;Times New Roman"/>
          <w:sz w:val="24"/>
          <w:szCs w:val="26"/>
          <w:rtl w:val="true"/>
        </w:rPr>
        <w:t>-</w:t>
      </w:r>
      <w:r>
        <w:rPr>
          <w:rFonts w:cs="FrankRuehl;Times New Roman"/>
          <w:sz w:val="24"/>
          <w:sz w:val="24"/>
          <w:szCs w:val="26"/>
          <w:rtl w:val="true"/>
        </w:rPr>
        <w:t>התערבות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במידת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textAlignment w:val="auto"/>
        <w:rPr>
          <w:rFonts w:cs="FrankRuehl;Times New Roman"/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ביהמ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המחוזי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בגדרו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הושתו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32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חודשי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בפועל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ועונשים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נוספים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בגין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הרשעתו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בביצוע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נשיאת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נשק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רשות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פ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דין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נשיאת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אבזר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לנשק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פריצה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לרכב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בכוונה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לבצע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גניבה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וגניבה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מרכב</w:t>
      </w: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textAlignment w:val="auto"/>
        <w:rPr>
          <w:rFonts w:cs="FrankRuehl;Times New Roman"/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ביהמ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העליון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דחה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בקבעו</w:t>
      </w:r>
      <w:r>
        <w:rPr>
          <w:rFonts w:cs="FrankRuehl;Times New Roman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הלכה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ערכאת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תתערב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בחומרת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שנקבע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הערכאה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הדיונית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זולת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חריגות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נפלה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טעות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מהותית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ובולטת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כאשר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שהוטל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חורג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באופן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קיצוני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מהענישה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המקובלת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במקרים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דומים</w:t>
      </w: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textAlignment w:val="auto"/>
        <w:rPr>
          <w:rFonts w:cs="FrankRuehl;Times New Roman"/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להקל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ראש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בחומרת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הורשע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בימ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ופסק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להשלים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ביצוען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נשק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להחמיר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בעונשם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המורשעים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אלו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תוך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ביטוי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עונשי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הולם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לסכנה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הממשית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הנשקפת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ממעשיהם</w:t>
      </w:r>
      <w:r>
        <w:rPr>
          <w:rFonts w:cs="FrankRuehl;Times New Roman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;Times New Roman"/>
          <w:sz w:val="24"/>
          <w:sz w:val="24"/>
          <w:szCs w:val="26"/>
          <w:rtl w:val="true"/>
        </w:rPr>
        <w:t>במקרה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דנן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גניבתו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רובה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Cs w:val="26"/>
        </w:rPr>
        <w:t>16</w:t>
      </w:r>
      <w:r>
        <w:rPr>
          <w:rFonts w:cs="FrankRuehl;Times New Roman"/>
          <w:sz w:val="24"/>
          <w:szCs w:val="26"/>
          <w:rtl w:val="true"/>
        </w:rPr>
        <w:t>-</w:t>
      </w:r>
      <w:r>
        <w:rPr>
          <w:rFonts w:cs="FrankRuehl;Times New Roman"/>
          <w:sz w:val="24"/>
          <w:szCs w:val="26"/>
        </w:rPr>
        <w:t>M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מקוצר</w:t>
      </w:r>
      <w:r>
        <w:rPr>
          <w:rFonts w:cs="FrankRuehl;Times New Roman"/>
          <w:sz w:val="24"/>
          <w:szCs w:val="26"/>
          <w:rtl w:val="true"/>
        </w:rPr>
        <w:t xml:space="preserve">" </w:t>
      </w:r>
      <w:r>
        <w:rPr>
          <w:rFonts w:cs="FrankRuehl;Times New Roman"/>
          <w:sz w:val="24"/>
          <w:sz w:val="24"/>
          <w:szCs w:val="26"/>
          <w:rtl w:val="true"/>
        </w:rPr>
        <w:t>ע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שפרץ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לרכב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במטרה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לבצע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גניבה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חמורות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ביותר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אף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לייחס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חומרה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יתירה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למעשי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לנוכח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העובדה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הנשק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שנטל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טרם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הושב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לידי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גורמי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האכיפה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כלי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נשק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שאינם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נמצאים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בידי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רשויות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החוק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עלולים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לשמש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לפעילות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עבריינית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המסכנת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הציבור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וביטחונו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ואף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לסייע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לפעילות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חבלנית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עוינת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רקע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ביטחוני</w:t>
      </w: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נוכח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זאת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הוטל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חורג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במאומה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המקובלת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במקרים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דומים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אדרבה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שהוטל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מקל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עמו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בשים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הורשע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ויודגש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ניסיונו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לבצע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עסקה</w:t>
      </w:r>
      <w:r>
        <w:rPr>
          <w:rFonts w:cs="FrankRuehl;Times New Roman"/>
          <w:sz w:val="24"/>
          <w:szCs w:val="26"/>
          <w:rtl w:val="true"/>
        </w:rPr>
        <w:t xml:space="preserve">" </w:t>
      </w:r>
      <w:r>
        <w:rPr>
          <w:rFonts w:cs="FrankRuehl;Times New Roman"/>
          <w:sz w:val="24"/>
          <w:sz w:val="24"/>
          <w:szCs w:val="26"/>
          <w:rtl w:val="true"/>
        </w:rPr>
        <w:t>להחזרת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הנשק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בתמורה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להקלה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בעונשו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מקובלת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כלל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ועיקר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לדחותה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הסף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טוב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לוּ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חלף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ניסיונותיו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לרקום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עסקאות</w:t>
      </w:r>
      <w:r>
        <w:rPr>
          <w:rFonts w:cs="FrankRuehl;Times New Roman"/>
          <w:sz w:val="24"/>
          <w:szCs w:val="26"/>
          <w:rtl w:val="true"/>
        </w:rPr>
        <w:t xml:space="preserve">" </w:t>
      </w:r>
      <w:r>
        <w:rPr>
          <w:rFonts w:cs="FrankRuehl;Times New Roman"/>
          <w:sz w:val="24"/>
          <w:sz w:val="24"/>
          <w:szCs w:val="26"/>
          <w:rtl w:val="true"/>
        </w:rPr>
        <w:t>שונות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רשויות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החוק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משיב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הנשק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לידי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גורמי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האכיפה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ומסייע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בכך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להקטין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פוטנציאל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הנזק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אותו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יצר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ידיו</w:t>
      </w:r>
      <w:r>
        <w:rPr>
          <w:rFonts w:cs="FrankRuehl;Times New Roman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textAlignment w:val="auto"/>
        <w:rPr/>
      </w:pPr>
      <w:r>
        <w:rPr>
          <w:rFonts w:cs="FrankRuehl;Times New Roman"/>
          <w:sz w:val="24"/>
          <w:sz w:val="24"/>
          <w:szCs w:val="26"/>
          <w:rtl w:val="true"/>
        </w:rPr>
        <w:t>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לקבל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טענת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לפיה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להוסיף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ולהקל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בעונשו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נוכח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נסיבותיו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האישיות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ומשיקולי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שיקום</w:t>
      </w:r>
      <w:r>
        <w:rPr>
          <w:rFonts w:cs="FrankRuehl;Times New Roman"/>
          <w:sz w:val="24"/>
          <w:szCs w:val="26"/>
          <w:rtl w:val="true"/>
        </w:rPr>
        <w:t>.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ראשית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הלכה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בגזירת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עונשם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אלו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שהורשעו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בביצוע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נשק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ביהמ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ליתן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משקל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עודף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לאינטרס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הציבורי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ולצורך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להרתיע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מפני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ביצוע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דומות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בעתיד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נסיבותיו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האישיות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העבריין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שנית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והיא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העיקר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נסיבותיו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האישיות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והליכי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שיקום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שעבר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נלקחו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בחשבון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לקוּלא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גזירת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עונשו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ובהתאמה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מוּקם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עונשו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ברף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התחתון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מתחם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ההולם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שנקבע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נמצא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מקום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להקל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בעונשו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פעם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נוספת</w:t>
      </w: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;Times New Roman"/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;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  <w:bookmarkStart w:id="15" w:name="Start_Write"/>
      <w:bookmarkStart w:id="16" w:name="Start_Write"/>
      <w:bookmarkEnd w:id="16"/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לפנינו ערעור על גזר דינו של בית המשפט המחוזי מרכז</w:t>
      </w:r>
      <w:r>
        <w:rPr>
          <w:rtl w:val="true"/>
        </w:rPr>
        <w:t>-</w:t>
      </w:r>
      <w:r>
        <w:rPr>
          <w:rtl w:val="true"/>
        </w:rPr>
        <w:t xml:space="preserve">לוד </w:t>
      </w:r>
      <w:r>
        <w:rPr>
          <w:rtl w:val="true"/>
        </w:rPr>
        <w:t>(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קובו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>ב</w:t>
      </w:r>
      <w:hyperlink r:id="rId7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ת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60792-07-18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מיום </w:t>
      </w:r>
      <w:r>
        <w:rPr>
          <w:rFonts w:cs="Century" w:ascii="Century" w:hAnsi="Century"/>
          <w:sz w:val="22"/>
        </w:rPr>
        <w:t>23.5.2019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בגדרו הושת על המערער עונש של </w:t>
      </w:r>
      <w:r>
        <w:rPr>
          <w:rFonts w:cs="Century" w:ascii="Century" w:hAnsi="Century"/>
          <w:sz w:val="22"/>
        </w:rPr>
        <w:t>32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חודשי מאסר בפועל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 xml:space="preserve">עונש של </w:t>
      </w:r>
      <w:r>
        <w:rPr>
          <w:rFonts w:cs="Century" w:ascii="Century" w:hAnsi="Century"/>
          <w:sz w:val="22"/>
        </w:rPr>
        <w:t>12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חודשי מאסר על תנאי למשך </w:t>
      </w:r>
      <w:r>
        <w:rPr>
          <w:rFonts w:cs="Century" w:ascii="Century" w:hAnsi="Century"/>
          <w:sz w:val="22"/>
        </w:rPr>
        <w:t>3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שנים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ועונש נוסף של </w:t>
      </w:r>
      <w:r>
        <w:rPr>
          <w:rFonts w:cs="Century" w:ascii="Century" w:hAnsi="Century"/>
          <w:sz w:val="22"/>
        </w:rPr>
        <w:t>6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חודשי מאסר על תנאי למשך שנתיים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וכן תשלום קנס ופיצויים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המתוקן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פי המתואר בעובדות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11.7.2018</w:t>
      </w:r>
      <w:r>
        <w:rPr>
          <w:rtl w:val="true"/>
        </w:rPr>
        <w:t xml:space="preserve"> </w:t>
      </w:r>
      <w:r>
        <w:rPr>
          <w:rtl w:val="true"/>
        </w:rPr>
        <w:t xml:space="preserve">בסמוך לשעה </w:t>
      </w:r>
      <w:r>
        <w:rPr/>
        <w:t>23:00</w:t>
      </w:r>
      <w:r>
        <w:rPr>
          <w:rtl w:val="true"/>
        </w:rPr>
        <w:t xml:space="preserve"> </w:t>
      </w:r>
      <w:r>
        <w:rPr>
          <w:rtl w:val="true"/>
        </w:rPr>
        <w:t xml:space="preserve">החנו חיילת ואחותה את רכבן בחניון באזור טרמינל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שבנמל התעופה בן גוריון</w:t>
      </w:r>
      <w:r>
        <w:rPr>
          <w:rtl w:val="true"/>
        </w:rPr>
        <w:t xml:space="preserve">. </w:t>
      </w:r>
      <w:r>
        <w:rPr>
          <w:rtl w:val="true"/>
        </w:rPr>
        <w:t>השתיים יצאו מהרכב</w:t>
      </w:r>
      <w:r>
        <w:rPr>
          <w:rtl w:val="true"/>
        </w:rPr>
        <w:t xml:space="preserve">, </w:t>
      </w:r>
      <w:r>
        <w:rPr>
          <w:rtl w:val="true"/>
        </w:rPr>
        <w:t xml:space="preserve">ולאחר שהאחות נעלה את הרכב פנו לאזור קבלת הפנים על מנת להמתין לקרובת משפחתן שהייתה צפויה </w:t>
      </w:r>
      <w:r>
        <w:rPr>
          <w:rtl w:val="true"/>
        </w:rPr>
        <w:t>להגיע מחו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עת</w:t>
      </w:r>
      <w:r>
        <w:rPr>
          <w:rtl w:val="true"/>
        </w:rPr>
        <w:t xml:space="preserve"> יציאתן מהרכב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 xml:space="preserve">שאירה </w:t>
      </w:r>
      <w:r>
        <w:rPr>
          <w:rtl w:val="true"/>
        </w:rPr>
        <w:t>החיילת את נשקה האישי</w:t>
      </w:r>
      <w:r>
        <w:rPr>
          <w:rtl w:val="true"/>
        </w:rPr>
        <w:t xml:space="preserve">, </w:t>
      </w:r>
      <w:r>
        <w:rPr>
          <w:rtl w:val="true"/>
        </w:rPr>
        <w:t>רובה מסוג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/>
        <w:t>16</w:t>
      </w:r>
      <w:r>
        <w:rPr>
          <w:rtl w:val="true"/>
        </w:rPr>
        <w:t>-</w:t>
      </w:r>
      <w:r>
        <w:rPr/>
        <w:t>M</w:t>
      </w:r>
      <w:r>
        <w:rPr>
          <w:rtl w:val="true"/>
        </w:rPr>
        <w:t xml:space="preserve">  </w:t>
      </w:r>
      <w:r>
        <w:rPr>
          <w:rtl w:val="true"/>
        </w:rPr>
        <w:t>מקוצר</w:t>
      </w:r>
      <w:r>
        <w:rPr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מונח ברכב מתחת למושב שליד הנהג</w:t>
      </w:r>
      <w:r>
        <w:rPr>
          <w:rtl w:val="true"/>
        </w:rPr>
        <w:t xml:space="preserve"> באופן</w:t>
      </w:r>
      <w:r>
        <w:rPr>
          <w:rtl w:val="true"/>
        </w:rPr>
        <w:t xml:space="preserve"> שהוא מוסתר על ידי תיקהּ </w:t>
      </w:r>
      <w:r>
        <w:rPr>
          <w:rtl w:val="true"/>
        </w:rPr>
        <w:t>ש</w:t>
      </w:r>
      <w:r>
        <w:rPr>
          <w:rtl w:val="true"/>
        </w:rPr>
        <w:t xml:space="preserve">הכיל שתי מחסניות וחפצים אישיים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תיק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החיילת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 xml:space="preserve">האחות </w:t>
      </w:r>
      <w:r>
        <w:rPr>
          <w:rtl w:val="true"/>
        </w:rPr>
        <w:t>הותירה</w:t>
      </w:r>
      <w:r>
        <w:rPr>
          <w:rtl w:val="true"/>
        </w:rPr>
        <w:t xml:space="preserve"> ברכב מזוודה ובה חפצים אישיים בשווי כולל של כ</w:t>
      </w:r>
      <w:r>
        <w:rPr>
          <w:rtl w:val="true"/>
        </w:rPr>
        <w:t>-</w:t>
      </w:r>
      <w:r>
        <w:rPr/>
        <w:t>2000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התעופה</w:t>
      </w:r>
      <w:r>
        <w:rPr>
          <w:rtl w:val="true"/>
        </w:rPr>
        <w:t xml:space="preserve">, </w:t>
      </w:r>
      <w:r>
        <w:rPr>
          <w:rtl w:val="true"/>
        </w:rPr>
        <w:t>החנה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טרמינל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והחל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מסתובב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בחניון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האחיות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בחפצים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המונחים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והתרחק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לגניבת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החפצים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, </w:t>
      </w:r>
      <w:r>
        <w:rPr>
          <w:rtl w:val="true"/>
        </w:rPr>
        <w:t>ובעודו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לובש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הכניסו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למזוודה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האחות</w:t>
      </w:r>
      <w:r>
        <w:rPr>
          <w:rtl w:val="true"/>
        </w:rPr>
        <w:t xml:space="preserve">, </w:t>
      </w:r>
      <w:r>
        <w:rPr>
          <w:rtl w:val="true"/>
        </w:rPr>
        <w:t>ונשא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החיילת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בחלוף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חנינה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כשברשותו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המזוודה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החיילת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cs="Miriam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b/>
          <w:spacing w:val="0"/>
          <w:sz w:val="22"/>
          <w:szCs w:val="24"/>
        </w:rPr>
      </w:pPr>
      <w:r>
        <w:rPr>
          <w:rFonts w:cs="Century" w:ascii="Century" w:hAnsi="Century"/>
          <w:b/>
          <w:spacing w:val="0"/>
          <w:sz w:val="22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המערער כפר</w:t>
      </w:r>
      <w:r>
        <w:rPr>
          <w:rFonts w:ascii="Century" w:hAnsi="Century" w:cs="Century"/>
          <w:sz w:val="22"/>
          <w:sz w:val="22"/>
          <w:rtl w:val="true"/>
        </w:rPr>
        <w:t xml:space="preserve"> בעובדות כתב האישום</w:t>
      </w:r>
      <w:r>
        <w:rPr>
          <w:rFonts w:ascii="Century" w:hAnsi="Century" w:cs="Century"/>
          <w:sz w:val="22"/>
          <w:sz w:val="22"/>
          <w:rtl w:val="true"/>
        </w:rPr>
        <w:t xml:space="preserve"> בתחילה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אולם </w:t>
      </w:r>
      <w:r>
        <w:rPr>
          <w:rFonts w:ascii="Century" w:hAnsi="Century" w:cs="Century"/>
          <w:sz w:val="22"/>
          <w:sz w:val="22"/>
          <w:rtl w:val="true"/>
        </w:rPr>
        <w:t>משהחלה שמיעת הראיות</w:t>
      </w:r>
      <w:r>
        <w:rPr>
          <w:rFonts w:ascii="Century" w:hAnsi="Century" w:cs="Century"/>
          <w:sz w:val="22"/>
          <w:sz w:val="22"/>
          <w:rtl w:val="true"/>
        </w:rPr>
        <w:t xml:space="preserve"> בבית </w:t>
      </w:r>
      <w:r>
        <w:rPr>
          <w:rFonts w:ascii="Century" w:hAnsi="Century" w:cs="Century"/>
          <w:sz w:val="22"/>
          <w:sz w:val="22"/>
          <w:rtl w:val="true"/>
        </w:rPr>
        <w:t>המשפט המחוזי</w:t>
      </w:r>
      <w:r>
        <w:rPr>
          <w:rFonts w:ascii="Century" w:hAnsi="Century" w:cs="Century"/>
          <w:sz w:val="22"/>
          <w:sz w:val="22"/>
          <w:rtl w:val="true"/>
        </w:rPr>
        <w:t xml:space="preserve"> הגיעו הצדדים להסדר טיעון לפיו המערער יחזור בו מכפירתו ויודה בעובדות כתב האישום המתוקן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בהתאם להסדר הטיעון בין הצדדים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המערער הודה בעובדות כתב האישום המתוקן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והורשע </w:t>
      </w:r>
      <w:r>
        <w:rPr>
          <w:rFonts w:ascii="Century" w:hAnsi="Century" w:cs="Century"/>
          <w:sz w:val="22"/>
          <w:sz w:val="22"/>
          <w:rtl w:val="true"/>
        </w:rPr>
        <w:t xml:space="preserve">בביצוע עבירות </w:t>
      </w:r>
      <w:r>
        <w:rPr>
          <w:rtl w:val="true"/>
        </w:rPr>
        <w:t>של נשיאת נשק בלא רשות על פי דין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 ל</w:t>
      </w:r>
      <w:hyperlink r:id="rId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Fonts w:cs="Century" w:ascii="Century" w:hAnsi="Century"/>
          <w:sz w:val="22"/>
          <w:rtl w:val="true"/>
        </w:rPr>
        <w:t xml:space="preserve">); </w:t>
      </w:r>
      <w:r>
        <w:rPr>
          <w:rFonts w:ascii="Century" w:hAnsi="Century" w:cs="Century"/>
          <w:sz w:val="22"/>
          <w:sz w:val="22"/>
          <w:rtl w:val="true"/>
        </w:rPr>
        <w:t>נשיאת אבזר לנשק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לפי </w:t>
      </w:r>
      <w:hyperlink r:id="rId10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144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ב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סיפא לחוק העונשין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פריצה לרכב בכוונה לבצע גניבה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לפי </w:t>
      </w:r>
      <w:hyperlink r:id="rId11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413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ו</w:t>
        </w:r>
      </w:hyperlink>
      <w:r>
        <w:rPr>
          <w:rFonts w:ascii="Century" w:hAnsi="Century" w:cs="Century"/>
          <w:sz w:val="22"/>
          <w:sz w:val="22"/>
          <w:rtl w:val="true"/>
        </w:rPr>
        <w:t xml:space="preserve"> לחוק העונשין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וכן בגניבה מרכב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לפי </w:t>
      </w:r>
      <w:hyperlink r:id="rId12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413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ד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לחוק העונשין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גזר דינו </w:t>
      </w:r>
      <w:r>
        <w:rPr>
          <w:rtl w:val="true"/>
        </w:rPr>
        <w:t>קבע בית משפט המחוזי מתחם עונש הולם אחד לעבירות שבגינן הורשע המערער</w:t>
      </w:r>
      <w:r>
        <w:rPr>
          <w:rtl w:val="true"/>
        </w:rPr>
        <w:t xml:space="preserve">. </w:t>
      </w:r>
      <w:r>
        <w:rPr>
          <w:rtl w:val="true"/>
        </w:rPr>
        <w:t xml:space="preserve">בקביעת מתחם </w:t>
      </w:r>
      <w:r>
        <w:rPr>
          <w:rtl w:val="true"/>
        </w:rPr>
        <w:t>זה</w:t>
      </w:r>
      <w:r>
        <w:rPr>
          <w:rtl w:val="true"/>
        </w:rPr>
        <w:t xml:space="preserve"> עמד בית המשפט על כך שמעשיו פגעו בשלום הציבור וביטחונו</w:t>
      </w:r>
      <w:r>
        <w:rPr>
          <w:rtl w:val="true"/>
        </w:rPr>
        <w:t xml:space="preserve">; </w:t>
      </w:r>
      <w:r>
        <w:rPr>
          <w:rtl w:val="true"/>
        </w:rPr>
        <w:t>הדגיש כי להתפרצות וגניבת חפצי האחות מן הרכב קדם תכנון מוקדם מצדו</w:t>
      </w:r>
      <w:r>
        <w:rPr>
          <w:rtl w:val="true"/>
        </w:rPr>
        <w:t xml:space="preserve">; </w:t>
      </w:r>
      <w:r>
        <w:rPr>
          <w:rtl w:val="true"/>
        </w:rPr>
        <w:t xml:space="preserve">ואף ציין כי עלול להיגרם נזק רב </w:t>
      </w:r>
      <w:r>
        <w:rPr>
          <w:rtl w:val="true"/>
        </w:rPr>
        <w:t xml:space="preserve">כתוצאה </w:t>
      </w:r>
      <w:r>
        <w:rPr>
          <w:rtl w:val="true"/>
        </w:rPr>
        <w:t>ממעשי</w:t>
      </w:r>
      <w:r>
        <w:rPr>
          <w:rtl w:val="true"/>
        </w:rPr>
        <w:t>ו</w:t>
      </w:r>
      <w:r>
        <w:rPr>
          <w:rtl w:val="true"/>
        </w:rPr>
        <w:t xml:space="preserve">, </w:t>
      </w:r>
      <w:r>
        <w:rPr>
          <w:rtl w:val="true"/>
        </w:rPr>
        <w:t xml:space="preserve">בפרט לנוכח העובדה כי </w:t>
      </w:r>
      <w:r>
        <w:rPr>
          <w:rtl w:val="true"/>
        </w:rPr>
        <w:t xml:space="preserve">מקום הנשק כיום </w:t>
      </w:r>
      <w:r>
        <w:rPr>
          <w:rtl w:val="true"/>
        </w:rPr>
        <w:t>איננו</w:t>
      </w:r>
      <w:r>
        <w:rPr>
          <w:rtl w:val="true"/>
        </w:rPr>
        <w:t xml:space="preserve"> ידוע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בגזירת עונשו של המערער בתוך המתחם</w:t>
      </w:r>
      <w:r>
        <w:rPr>
          <w:rtl w:val="true"/>
        </w:rPr>
        <w:t xml:space="preserve">, </w:t>
      </w:r>
      <w:r>
        <w:rPr>
          <w:rtl w:val="true"/>
        </w:rPr>
        <w:t>שקל בית המשפט</w:t>
      </w:r>
      <w:r>
        <w:rPr>
          <w:rtl w:val="true"/>
        </w:rPr>
        <w:t xml:space="preserve"> המחוזי</w:t>
      </w:r>
      <w:r>
        <w:rPr>
          <w:rtl w:val="true"/>
        </w:rPr>
        <w:t xml:space="preserve"> לחוּמרא את העובדה כי הנשק שנגנב טרם הושב</w:t>
      </w:r>
      <w:r>
        <w:rPr>
          <w:rtl w:val="true"/>
        </w:rPr>
        <w:t xml:space="preserve">, </w:t>
      </w:r>
      <w:r>
        <w:rPr>
          <w:rtl w:val="true"/>
        </w:rPr>
        <w:t xml:space="preserve">וקבע כי לא שוכנע </w:t>
      </w:r>
      <w:r>
        <w:rPr>
          <w:rtl w:val="true"/>
        </w:rPr>
        <w:t xml:space="preserve">כי </w:t>
      </w:r>
      <w:r>
        <w:rPr>
          <w:rtl w:val="true"/>
        </w:rPr>
        <w:t>המערער עשה מאמצים לשיתוף פעולה עם רשויות אכיפת החוק במטרה להשיב את הנשק לידי רשויות המדינה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עוד הדגיש בית המשפט</w:t>
      </w:r>
      <w:r>
        <w:rPr>
          <w:rtl w:val="true"/>
        </w:rPr>
        <w:t xml:space="preserve"> המחוזי</w:t>
      </w:r>
      <w:r>
        <w:rPr>
          <w:rtl w:val="true"/>
        </w:rPr>
        <w:t xml:space="preserve"> את הצורך ב</w:t>
      </w:r>
      <w:r>
        <w:rPr>
          <w:rtl w:val="true"/>
        </w:rPr>
        <w:t xml:space="preserve">מתן משקל משמעותי לשיקולי </w:t>
      </w:r>
      <w:r>
        <w:rPr>
          <w:rtl w:val="true"/>
        </w:rPr>
        <w:t xml:space="preserve">הרתעה </w:t>
      </w:r>
      <w:r>
        <w:rPr>
          <w:rtl w:val="true"/>
        </w:rPr>
        <w:t>מפני ביצוע</w:t>
      </w:r>
      <w:r>
        <w:rPr>
          <w:rtl w:val="true"/>
        </w:rPr>
        <w:t xml:space="preserve"> עבירות נשק</w:t>
      </w:r>
      <w:r>
        <w:rPr>
          <w:rtl w:val="true"/>
        </w:rPr>
        <w:t xml:space="preserve">, </w:t>
      </w:r>
      <w:r>
        <w:rPr>
          <w:rtl w:val="true"/>
        </w:rPr>
        <w:t>ועמד על הנזק שנגרם לחיילת ולאחותה כתוצאה מגניבת חפציהן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לקוּלא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; </w:t>
      </w:r>
      <w:r>
        <w:rPr>
          <w:rtl w:val="true"/>
        </w:rPr>
        <w:t>בנסיבותיו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הכלכלי</w:t>
      </w:r>
      <w:r>
        <w:rPr>
          <w:rtl w:val="true"/>
        </w:rPr>
        <w:t xml:space="preserve">; </w:t>
      </w:r>
      <w:r>
        <w:rPr>
          <w:rtl w:val="true"/>
        </w:rPr>
        <w:t>בהשתלבותו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; </w:t>
      </w:r>
      <w:r>
        <w:rPr>
          <w:rtl w:val="true"/>
        </w:rPr>
        <w:t>ובכך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משפטו</w:t>
      </w:r>
      <w:r>
        <w:rPr>
          <w:rtl w:val="true"/>
        </w:rPr>
        <w:t xml:space="preserve">, </w:t>
      </w:r>
      <w:r>
        <w:rPr>
          <w:rtl w:val="true"/>
        </w:rPr>
        <w:t>וגזר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המערער </w:t>
      </w:r>
      <w:r>
        <w:rPr>
          <w:rtl w:val="true"/>
        </w:rPr>
        <w:t>הגיש לבית משפט זה ערעור המופנה כלפי חומרת העונש שהוטל עליו</w:t>
      </w:r>
      <w:r>
        <w:rPr>
          <w:rtl w:val="true"/>
        </w:rPr>
        <w:t xml:space="preserve">, </w:t>
      </w:r>
      <w:r>
        <w:rPr>
          <w:rtl w:val="true"/>
        </w:rPr>
        <w:t>למעט רכיב הפיצוי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בנימוקי הערעור ובדיון שנערך לפנינו טען בא</w:t>
      </w:r>
      <w:r>
        <w:rPr>
          <w:rtl w:val="true"/>
        </w:rPr>
        <w:t>-</w:t>
      </w:r>
      <w:r>
        <w:rPr>
          <w:rtl w:val="true"/>
        </w:rPr>
        <w:t xml:space="preserve">כוח המערער כי שגה בית המשפט </w:t>
      </w:r>
      <w:r>
        <w:rPr>
          <w:rtl w:val="true"/>
        </w:rPr>
        <w:t>המחוזי</w:t>
      </w:r>
      <w:r>
        <w:rPr>
          <w:rtl w:val="true"/>
        </w:rPr>
        <w:t xml:space="preserve"> משלא </w:t>
      </w:r>
      <w:r>
        <w:rPr>
          <w:rtl w:val="true"/>
        </w:rPr>
        <w:t xml:space="preserve">נתן </w:t>
      </w:r>
      <w:r>
        <w:rPr>
          <w:rtl w:val="true"/>
        </w:rPr>
        <w:t>ביטוי הולם במסגרת גזירת העונש לנסיבותיו האישיות של המערער</w:t>
      </w:r>
      <w:r>
        <w:rPr>
          <w:rtl w:val="true"/>
        </w:rPr>
        <w:t xml:space="preserve">, </w:t>
      </w:r>
      <w:r>
        <w:rPr>
          <w:rtl w:val="true"/>
        </w:rPr>
        <w:t>ובכלל זה היותו</w:t>
      </w:r>
      <w:r>
        <w:rPr>
          <w:rtl w:val="true"/>
        </w:rPr>
        <w:t xml:space="preserve"> נעדר עבר פלילי </w:t>
      </w:r>
      <w:r>
        <w:rPr>
          <w:rtl w:val="true"/>
        </w:rPr>
        <w:t>ונטילת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אחריות על מעשיו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  <w:t xml:space="preserve"> </w:t>
      </w:r>
      <w:r>
        <w:rPr>
          <w:rtl w:val="true"/>
        </w:rPr>
        <w:t>עוד טען בא</w:t>
      </w:r>
      <w:r>
        <w:rPr>
          <w:rtl w:val="true"/>
        </w:rPr>
        <w:t>-</w:t>
      </w:r>
      <w:r>
        <w:rPr>
          <w:rtl w:val="true"/>
        </w:rPr>
        <w:t xml:space="preserve">כוח המערער כי העונש שהוטל על מרשו </w:t>
      </w:r>
      <w:r>
        <w:rPr>
          <w:rtl w:val="true"/>
        </w:rPr>
        <w:t>חורג</w:t>
      </w:r>
      <w:r>
        <w:rPr>
          <w:rtl w:val="true"/>
        </w:rPr>
        <w:t xml:space="preserve"> ממדיניות הענישה הנוהגת במקרים דומים</w:t>
      </w:r>
      <w:r>
        <w:rPr>
          <w:rtl w:val="true"/>
        </w:rPr>
        <w:t xml:space="preserve">, </w:t>
      </w:r>
      <w:r>
        <w:rPr>
          <w:rtl w:val="true"/>
        </w:rPr>
        <w:t xml:space="preserve">וכי יש מקום להקל בעונשו לנוכח השתלבותו </w:t>
      </w:r>
      <w:r>
        <w:rPr>
          <w:rtl w:val="true"/>
        </w:rPr>
        <w:t>בהליכי שיקום</w:t>
      </w:r>
      <w:r>
        <w:rPr>
          <w:rtl w:val="true"/>
        </w:rPr>
        <w:t xml:space="preserve"> שונים במסגרת </w:t>
      </w:r>
      <w:r>
        <w:rPr>
          <w:rtl w:val="true"/>
        </w:rPr>
        <w:t>מעצרו ומאסרו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במהלך הדיון שנערך לפנינו ביקש בא</w:t>
      </w:r>
      <w:r>
        <w:rPr>
          <w:rtl w:val="true"/>
        </w:rPr>
        <w:t>-</w:t>
      </w:r>
      <w:r>
        <w:rPr>
          <w:rtl w:val="true"/>
        </w:rPr>
        <w:t>כוח המערער כי נקל בעונשו בתמורה להחזרת הנשק הגנוב על ידו</w:t>
      </w:r>
      <w:r>
        <w:rPr>
          <w:rtl w:val="true"/>
        </w:rPr>
        <w:t xml:space="preserve">. </w:t>
      </w:r>
      <w:r>
        <w:rPr>
          <w:rtl w:val="true"/>
        </w:rPr>
        <w:t>לצורך כך ביקש כי תינתן לו אורכה בת חודש ימים לצורך השבת הנשק לידי רשויות החוק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 המשיבה הגדיר את הצעת המערער להשבת הנשק בתמורה להקלה בעונשו כ</w:t>
      </w:r>
      <w:r>
        <w:rPr>
          <w:rtl w:val="true"/>
        </w:rPr>
        <w:t>"</w:t>
      </w:r>
      <w:r>
        <w:rPr>
          <w:rtl w:val="true"/>
        </w:rPr>
        <w:t>סחיטה</w:t>
      </w:r>
      <w:r>
        <w:rPr>
          <w:rtl w:val="true"/>
        </w:rPr>
        <w:t xml:space="preserve">". </w:t>
      </w:r>
      <w:r>
        <w:rPr>
          <w:rtl w:val="true"/>
        </w:rPr>
        <w:t>מעבר לכך לא נתבקשה תגובת בא</w:t>
      </w:r>
      <w:r>
        <w:rPr>
          <w:rtl w:val="true"/>
        </w:rPr>
        <w:t>-</w:t>
      </w:r>
      <w:r>
        <w:rPr>
          <w:rtl w:val="true"/>
        </w:rPr>
        <w:t>כוח המשיבה לגוף הערעור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  <w:r>
        <w:rPr>
          <w:rtl w:val="true"/>
        </w:rPr>
        <w:t>דין הערעור להידחות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הלכה היא כי ערכאת הערעור לא תתערב בחומרת העונש שנקבע על ידי הערכאה הדיונית</w:t>
      </w:r>
      <w:r>
        <w:rPr>
          <w:rtl w:val="true"/>
        </w:rPr>
        <w:t xml:space="preserve">, </w:t>
      </w:r>
      <w:r>
        <w:rPr>
          <w:rtl w:val="true"/>
        </w:rPr>
        <w:t xml:space="preserve">זולת בנסיבות חריגות בהן נפלה טעות מהותית ובולטת בגזר הדין או כאשר העונש שהוטל חורג באופן קיצוני מהענישה המקובלת במקרים דומים </w:t>
      </w:r>
      <w:r>
        <w:rPr>
          <w:rtl w:val="true"/>
        </w:rPr>
        <w:t>(</w:t>
      </w:r>
      <w:r>
        <w:rPr>
          <w:rtl w:val="true"/>
        </w:rPr>
        <w:t>וראו למשל</w:t>
      </w:r>
      <w:r>
        <w:rPr>
          <w:rtl w:val="true"/>
        </w:rPr>
        <w:t xml:space="preserve">: 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9965/17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29.4.2018</w:t>
      </w:r>
      <w:r>
        <w:rPr>
          <w:rFonts w:cs="Century" w:ascii="Century" w:hAnsi="Century"/>
          <w:sz w:val="22"/>
          <w:rtl w:val="true"/>
        </w:rPr>
        <w:t>)).</w:t>
      </w:r>
    </w:p>
    <w:p>
      <w:pPr>
        <w:pStyle w:val="Ruller4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אין להקל ראש בחומרתן של העבירות בהן הורשע המערער</w:t>
      </w:r>
      <w:r>
        <w:rPr>
          <w:rtl w:val="true"/>
        </w:rPr>
        <w:t xml:space="preserve">. </w:t>
      </w:r>
      <w:r>
        <w:rPr>
          <w:rtl w:val="true"/>
        </w:rPr>
        <w:t xml:space="preserve">בית משפט זה </w:t>
      </w:r>
      <w:r>
        <w:rPr>
          <w:rtl w:val="true"/>
        </w:rPr>
        <w:t xml:space="preserve">שב ופסק </w:t>
      </w:r>
      <w:r>
        <w:rPr>
          <w:rtl w:val="true"/>
        </w:rPr>
        <w:t xml:space="preserve">כי </w:t>
      </w:r>
      <w:r>
        <w:rPr>
          <w:rFonts w:ascii="Century" w:hAnsi="Century" w:cs="Century"/>
          <w:sz w:val="22"/>
          <w:sz w:val="22"/>
          <w:rtl w:val="true"/>
        </w:rPr>
        <w:t>אין ל</w:t>
      </w:r>
      <w:r>
        <w:rPr>
          <w:rFonts w:ascii="Century" w:hAnsi="Century" w:cs="Century"/>
          <w:sz w:val="22"/>
          <w:sz w:val="22"/>
          <w:rtl w:val="true"/>
        </w:rPr>
        <w:t xml:space="preserve">השלים </w:t>
      </w:r>
      <w:r>
        <w:rPr>
          <w:rFonts w:ascii="Century" w:hAnsi="Century" w:cs="Century"/>
          <w:sz w:val="22"/>
          <w:sz w:val="22"/>
          <w:rtl w:val="true"/>
        </w:rPr>
        <w:t>עם ביצוען של עבירות נשק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וכי יש להחמיר בעונשם של המורשעים בעבירות אלו תוך מתן ביטוי עונשי הולם לסכנה הממשית הנשקפת ממעשיהם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וראו</w:t>
      </w:r>
      <w:r>
        <w:rPr>
          <w:rFonts w:cs="Century" w:ascii="Century" w:hAnsi="Century"/>
          <w:sz w:val="22"/>
          <w:rtl w:val="true"/>
        </w:rPr>
        <w:t xml:space="preserve">: </w:t>
      </w:r>
      <w:hyperlink r:id="rId14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135/17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8.3.2017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Century" w:ascii="Century" w:hAnsi="Century"/>
          <w:sz w:val="22"/>
          <w:rtl w:val="true"/>
        </w:rPr>
        <w:t>;</w:t>
      </w:r>
      <w:r>
        <w:rPr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2808/18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ואמיס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26.7.2018</w:t>
      </w:r>
      <w:r>
        <w:rPr>
          <w:rFonts w:cs="Century" w:ascii="Century" w:hAnsi="Century"/>
          <w:sz w:val="22"/>
          <w:rtl w:val="true"/>
        </w:rPr>
        <w:t xml:space="preserve">)).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גניבתו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/>
        <w:t>16</w:t>
      </w:r>
      <w:r>
        <w:rPr>
          <w:rtl w:val="true"/>
        </w:rPr>
        <w:t>-</w:t>
      </w:r>
      <w:r>
        <w:rPr>
          <w:rFonts w:cs="Garamond" w:ascii="Garamond" w:hAnsi="Garamond"/>
        </w:rPr>
        <w:t>M</w:t>
      </w:r>
      <w:r>
        <w:rPr>
          <w:rtl w:val="true"/>
        </w:rPr>
        <w:t xml:space="preserve"> </w:t>
      </w:r>
      <w:r>
        <w:rPr>
          <w:rtl w:val="true"/>
        </w:rPr>
        <w:t>מקוצר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גניבה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כמתואר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המפורטת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עצם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הזה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כלי נשק אשר אינם נמצאים בידי רשויות החוק </w:t>
      </w:r>
      <w:r>
        <w:rPr>
          <w:rFonts w:ascii="Century" w:hAnsi="Century" w:cs="Century"/>
          <w:rtl w:val="true"/>
        </w:rPr>
        <w:t>עלולים לשמש לפעילות עבריינית המסכנת את שלום הציבור ואת ביטחונו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ואף לסייע לפעילות חבלנית עוינת על רקע ביטחוני</w:t>
      </w:r>
      <w:r>
        <w:rPr>
          <w:rFonts w:ascii="Century" w:hAnsi="Century" w:cs="Century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tl w:val="true"/>
        </w:rPr>
        <w:t xml:space="preserve">: </w:t>
      </w:r>
      <w:hyperlink r:id="rId1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27/17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12.12.2017</w:t>
      </w:r>
      <w:r>
        <w:rPr>
          <w:rFonts w:cs="Century" w:ascii="Century" w:hAnsi="Century"/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במאומה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. </w:t>
      </w:r>
      <w:r>
        <w:rPr>
          <w:rtl w:val="true"/>
        </w:rPr>
        <w:t>אדרבה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  <w:tab/>
      </w:r>
      <w:r>
        <w:rPr>
          <w:rFonts w:ascii="Arial TUR;Arial" w:hAnsi="Arial TUR;Arial" w:cs="Arial TUR;Arial"/>
          <w:sz w:val="22"/>
          <w:sz w:val="22"/>
          <w:rtl w:val="true"/>
        </w:rPr>
        <w:t>בהקשר זה מצאנו לנכון להדגיש את המובן מאליו</w:t>
      </w:r>
      <w:r>
        <w:rPr>
          <w:rFonts w:cs="Arial TUR;Arial" w:ascii="Arial TUR;Arial" w:hAnsi="Arial TUR;Arial"/>
          <w:sz w:val="22"/>
          <w:rtl w:val="true"/>
        </w:rPr>
        <w:t xml:space="preserve">: </w:t>
      </w:r>
      <w:r>
        <w:rPr>
          <w:rFonts w:ascii="Arial TUR;Arial" w:hAnsi="Arial TUR;Arial" w:cs="Arial TUR;Arial"/>
          <w:sz w:val="22"/>
          <w:sz w:val="22"/>
          <w:rtl w:val="true"/>
        </w:rPr>
        <w:t>ניסיונ</w:t>
      </w:r>
      <w:r>
        <w:rPr>
          <w:rFonts w:ascii="Arial TUR;Arial" w:hAnsi="Arial TUR;Arial" w:cs="Arial TUR;Arial"/>
          <w:sz w:val="22"/>
          <w:sz w:val="22"/>
          <w:rtl w:val="true"/>
        </w:rPr>
        <w:t>ו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של המערער לבצע </w:t>
      </w:r>
      <w:r>
        <w:rPr>
          <w:rFonts w:cs="Arial TUR;Arial" w:ascii="Arial TUR;Arial" w:hAnsi="Arial TUR;Arial"/>
          <w:sz w:val="22"/>
          <w:rtl w:val="true"/>
        </w:rPr>
        <w:t>"</w:t>
      </w:r>
      <w:r>
        <w:rPr>
          <w:rFonts w:ascii="Arial TUR;Arial" w:hAnsi="Arial TUR;Arial" w:cs="Arial TUR;Arial"/>
          <w:sz w:val="22"/>
          <w:sz w:val="22"/>
          <w:rtl w:val="true"/>
        </w:rPr>
        <w:t>עסקה</w:t>
      </w:r>
      <w:r>
        <w:rPr>
          <w:rFonts w:cs="Arial TUR;Arial" w:ascii="Arial TUR;Arial" w:hAnsi="Arial TUR;Arial"/>
          <w:sz w:val="22"/>
          <w:rtl w:val="true"/>
        </w:rPr>
        <w:t xml:space="preserve">" </w:t>
      </w:r>
      <w:r>
        <w:rPr>
          <w:rFonts w:ascii="Arial TUR;Arial" w:hAnsi="Arial TUR;Arial" w:cs="Arial TUR;Arial"/>
          <w:sz w:val="22"/>
          <w:sz w:val="22"/>
          <w:rtl w:val="true"/>
        </w:rPr>
        <w:t>להחזרת הנשק בתמורה להקלה בעונשו אינה מקובלת כלל ועיקר ויש לדחותה על הסף</w:t>
      </w:r>
      <w:r>
        <w:rPr>
          <w:rFonts w:cs="Arial TUR;Arial" w:ascii="Arial TUR;Arial" w:hAnsi="Arial TUR;Arial"/>
          <w:sz w:val="22"/>
          <w:rtl w:val="true"/>
        </w:rPr>
        <w:t xml:space="preserve">. </w:t>
      </w:r>
      <w:r>
        <w:rPr>
          <w:rFonts w:ascii="Arial TUR;Arial" w:hAnsi="Arial TUR;Arial" w:cs="Arial TUR;Arial"/>
          <w:sz w:val="22"/>
          <w:sz w:val="22"/>
          <w:rtl w:val="true"/>
        </w:rPr>
        <w:t>טוב היה עושה המערער לוּ חלף ניסיונותי</w:t>
      </w:r>
      <w:r>
        <w:rPr>
          <w:rFonts w:ascii="Arial TUR;Arial" w:hAnsi="Arial TUR;Arial" w:cs="Arial TUR;Arial"/>
          <w:sz w:val="22"/>
          <w:sz w:val="22"/>
          <w:rtl w:val="true"/>
        </w:rPr>
        <w:t>ו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לרקום </w:t>
      </w:r>
      <w:r>
        <w:rPr>
          <w:rFonts w:cs="Arial TUR;Arial" w:ascii="Arial TUR;Arial" w:hAnsi="Arial TUR;Arial"/>
          <w:sz w:val="22"/>
          <w:rtl w:val="true"/>
        </w:rPr>
        <w:t>"</w:t>
      </w:r>
      <w:r>
        <w:rPr>
          <w:rFonts w:ascii="Arial TUR;Arial" w:hAnsi="Arial TUR;Arial" w:cs="Arial TUR;Arial"/>
          <w:sz w:val="22"/>
          <w:sz w:val="22"/>
          <w:rtl w:val="true"/>
        </w:rPr>
        <w:t>עסקאות</w:t>
      </w:r>
      <w:r>
        <w:rPr>
          <w:rFonts w:cs="Arial TUR;Arial" w:ascii="Arial TUR;Arial" w:hAnsi="Arial TUR;Arial"/>
          <w:sz w:val="22"/>
          <w:rtl w:val="true"/>
        </w:rPr>
        <w:t xml:space="preserve">"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שונות עם רשויות החוק </w:t>
      </w:r>
      <w:r>
        <w:rPr>
          <w:rtl w:val="true"/>
        </w:rPr>
        <w:t>היה משיב את הנשק לידי גורמי האכיפה</w:t>
      </w:r>
      <w:r>
        <w:rPr>
          <w:rtl w:val="true"/>
        </w:rPr>
        <w:t xml:space="preserve">, </w:t>
      </w:r>
      <w:r>
        <w:rPr>
          <w:rtl w:val="true"/>
        </w:rPr>
        <w:t>ומסייע בכך להקטין את פוטנציאל הנזק אותו יצר במו ידיו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/>
          <w:sz w:val="22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ולבסוף</w:t>
      </w:r>
      <w:r>
        <w:rPr>
          <w:rtl w:val="true"/>
        </w:rPr>
        <w:t xml:space="preserve">, </w:t>
      </w:r>
      <w:r>
        <w:rPr>
          <w:rtl w:val="true"/>
        </w:rPr>
        <w:t xml:space="preserve">אין לקבל </w:t>
      </w:r>
      <w:r>
        <w:rPr>
          <w:rtl w:val="true"/>
        </w:rPr>
        <w:t>את טענת המערער</w:t>
      </w:r>
      <w:r>
        <w:rPr>
          <w:rtl w:val="true"/>
        </w:rPr>
        <w:t xml:space="preserve"> לפיה יש להוסיף ולהקל בעונשו לנוכח נסיבותיו האישיות </w:t>
      </w:r>
      <w:r>
        <w:rPr>
          <w:rtl w:val="true"/>
        </w:rPr>
        <w:t>ו</w:t>
      </w:r>
      <w:r>
        <w:rPr>
          <w:rtl w:val="true"/>
        </w:rPr>
        <w:t>משיקולי שיקום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שהורשעו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tl w:val="true"/>
        </w:rPr>
        <w:t xml:space="preserve">: 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6924/12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בעארני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29.10.2013</w:t>
      </w:r>
      <w:r>
        <w:rPr>
          <w:rFonts w:cs="Century" w:ascii="Century" w:hAnsi="Century"/>
          <w:rtl w:val="true"/>
        </w:rPr>
        <w:t>)).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והיא העיקר</w:t>
      </w:r>
      <w:r>
        <w:rPr>
          <w:rtl w:val="true"/>
        </w:rPr>
        <w:t xml:space="preserve">, </w:t>
      </w:r>
      <w:r>
        <w:rPr>
          <w:rtl w:val="true"/>
        </w:rPr>
        <w:t xml:space="preserve">עיון בגזר דינו של בית המשפט המחוזי מעלה כי נסיבותיו האישיות של המערער והליכי שיקום אותם עבר נלקחו בחשבון </w:t>
      </w:r>
      <w:r>
        <w:rPr>
          <w:rtl w:val="true"/>
        </w:rPr>
        <w:t>לקוּלא ב</w:t>
      </w:r>
      <w:r>
        <w:rPr>
          <w:rtl w:val="true"/>
        </w:rPr>
        <w:t xml:space="preserve">עת </w:t>
      </w:r>
      <w:r>
        <w:rPr>
          <w:rtl w:val="true"/>
        </w:rPr>
        <w:t>גזירת עונשו– ובהתא</w:t>
      </w:r>
      <w:r>
        <w:rPr>
          <w:rtl w:val="true"/>
        </w:rPr>
        <w:t xml:space="preserve">מה מוּקם עונשו ברף התחתון </w:t>
      </w:r>
      <w:r>
        <w:rPr>
          <w:rtl w:val="true"/>
        </w:rPr>
        <w:t>של מתחם העונש ההולם שנקבע לו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סוף דבר</w:t>
      </w:r>
      <w:r>
        <w:rPr>
          <w:rtl w:val="true"/>
        </w:rPr>
        <w:t xml:space="preserve">, </w:t>
      </w:r>
      <w:r>
        <w:rPr>
          <w:rtl w:val="true"/>
        </w:rPr>
        <w:t>הערעור נדחה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7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באב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11.8.2019</w:t>
      </w:r>
      <w:r>
        <w:rPr>
          <w:rtl w:val="true"/>
        </w:rPr>
        <w:t xml:space="preserve">). </w:t>
      </w:r>
      <w:bookmarkEnd w:id="17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;Times New Roman"/>
          <w:sz w:val="16"/>
          <w:rtl w:val="true"/>
        </w:rPr>
        <w:t xml:space="preserve">   </w:t>
      </w:r>
      <w:r>
        <w:rPr>
          <w:sz w:val="16"/>
        </w:rPr>
        <w:t>19045300</w:t>
      </w:r>
      <w:r>
        <w:rPr>
          <w:sz w:val="16"/>
          <w:rtl w:val="true"/>
        </w:rPr>
        <w:t>_</w:t>
      </w:r>
      <w:r>
        <w:rPr>
          <w:sz w:val="16"/>
        </w:rPr>
        <w:t>J01.docx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8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י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עמית </w:t>
      </w:r>
      <w:r>
        <w:rPr>
          <w:rFonts w:cs="David;Times New Roman" w:ascii="David;Times New Roman" w:hAnsi="David;Times New Roman"/>
          <w:color w:val="000000"/>
          <w:szCs w:val="22"/>
        </w:rPr>
        <w:t>54678313-4530/19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9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0"/>
      <w:footerReference w:type="default" r:id="rId21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Tahoma">
    <w:altName w:val="Verdana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altName w:val="Times New Roman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FrankRuehl">
    <w:altName w:val="Times New Roman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;Times New Roman" w:hAnsi="FrankRuehl;Times New Roman" w:cs="FrankRuehl;Times New Roman"/>
        <w:sz w:val="24"/>
      </w:rPr>
    </w:pPr>
    <w:r>
      <w:rPr>
        <w:rFonts w:cs="FrankRuehl;Times New Roman" w:ascii="FrankRuehl;Times New Roman" w:hAnsi="FrankRuehl;Times New Roman"/>
        <w:sz w:val="24"/>
        <w:rtl w:val="true"/>
      </w:rPr>
      <w:fldChar w:fldCharType="begin"/>
    </w:r>
    <w:r>
      <w:rPr>
        <w:rtl w:val="true"/>
        <w:sz w:val="24"/>
        <w:rFonts w:cs="FrankRuehl;Times New Roman" w:ascii="FrankRuehl;Times New Roman" w:hAnsi="FrankRuehl;Times New Roman"/>
      </w:rPr>
      <w:instrText xml:space="preserve"> PAGE </w:instrText>
    </w:r>
    <w:r>
      <w:rPr>
        <w:rtl w:val="true"/>
        <w:sz w:val="24"/>
        <w:rFonts w:cs="FrankRuehl;Times New Roman" w:ascii="FrankRuehl;Times New Roman" w:hAnsi="FrankRuehl;Times New Roman"/>
      </w:rPr>
      <w:fldChar w:fldCharType="separate"/>
    </w:r>
    <w:r>
      <w:rPr>
        <w:rtl w:val="true"/>
        <w:sz w:val="24"/>
        <w:rFonts w:cs="FrankRuehl;Times New Roman" w:ascii="FrankRuehl;Times New Roman" w:hAnsi="FrankRuehl;Times New Roman"/>
      </w:rPr>
      <w:t>7</w:t>
    </w:r>
    <w:r>
      <w:rPr>
        <w:rtl w:val="true"/>
        <w:sz w:val="24"/>
        <w:rFonts w:cs="FrankRuehl;Times New Roman" w:ascii="FrankRuehl;Times New Roman" w:hAnsi="FrankRuehl;Times New Roman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;Times New Roman" w:hAnsi="FrankRuehl;Times New Roman" w:cs="FrankRuehl;Times New Roman"/>
        <w:color w:val="000000"/>
        <w:sz w:val="24"/>
        <w:lang w:val="en-IL" w:eastAsia="en-IL"/>
      </w:rPr>
    </w:pPr>
    <w:r>
      <w:rPr>
        <w:rFonts w:cs="FrankRuehl;Times New Roman" w:ascii="FrankRuehl;Times New Roman" w:hAnsi="FrankRuehl;Times New Roman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4530/19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נור אלדין ג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>'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זאווי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;Times New Roman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;Verdana" w:hAnsi="Tahoma;Verdana" w:cs="Tahoma;Verdan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;Times New Roman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;Times New Roman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;Verdana" w:hAnsi="Tahoma;Verdana" w:cs="Tahoma;Verdan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  <w:textAlignment w:val="auto"/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4413550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413d.a" TargetMode="External"/><Relationship Id="rId6" Type="http://schemas.openxmlformats.org/officeDocument/2006/relationships/hyperlink" Target="http://www.nevo.co.il/law/70301/413f" TargetMode="External"/><Relationship Id="rId7" Type="http://schemas.openxmlformats.org/officeDocument/2006/relationships/hyperlink" Target="http://www.nevo.co.il/case/24413550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/413f" TargetMode="External"/><Relationship Id="rId12" Type="http://schemas.openxmlformats.org/officeDocument/2006/relationships/hyperlink" Target="http://www.nevo.co.il/law/70301/413d.a" TargetMode="External"/><Relationship Id="rId13" Type="http://schemas.openxmlformats.org/officeDocument/2006/relationships/hyperlink" Target="http://www.nevo.co.il/case/23751289" TargetMode="External"/><Relationship Id="rId14" Type="http://schemas.openxmlformats.org/officeDocument/2006/relationships/hyperlink" Target="http://www.nevo.co.il/case/22006503" TargetMode="External"/><Relationship Id="rId15" Type="http://schemas.openxmlformats.org/officeDocument/2006/relationships/hyperlink" Target="http://www.nevo.co.il/case/23850962" TargetMode="External"/><Relationship Id="rId16" Type="http://schemas.openxmlformats.org/officeDocument/2006/relationships/hyperlink" Target="http://www.nevo.co.il/case/21946424" TargetMode="External"/><Relationship Id="rId17" Type="http://schemas.openxmlformats.org/officeDocument/2006/relationships/hyperlink" Target="http://www.nevo.co.il/case/5580733" TargetMode="External"/><Relationship Id="rId18" Type="http://schemas.openxmlformats.org/officeDocument/2006/relationships/hyperlink" Target="http://supreme.court.gov.il/" TargetMode="External"/><Relationship Id="rId19" Type="http://schemas.openxmlformats.org/officeDocument/2006/relationships/hyperlink" Target="http://www.nevo.co.il/advertisements/nevo-100.doc" TargetMode="Externa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LibreOffice/24.8.4.2$MacOSX_AARCH64 LibreOffice_project/bb3cfa12c7b1bf994ecc5649a80400d06cd71002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2019-08-12T09:31:00Z</dcterms:created>
  <dc:creator>h4</dc:creator>
  <dc:description/>
  <cp:keywords/>
  <dc:language>en-IL</dc:language>
  <cp:lastModifiedBy>orly</cp:lastModifiedBy>
  <cp:lastPrinted>2019-08-11T08:02:00Z</cp:lastPrinted>
  <dcterms:modified xsi:type="dcterms:W3CDTF">2019-08-12T09:31:00Z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נור אלדין ג'זאווי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24413550:2;23751289;22006503;23850962;21946424;5580733</vt:lpwstr>
  </property>
  <property fmtid="{D5CDD505-2E9C-101B-9397-08002B2CF9AE}" pid="9" name="CITY">
    <vt:lpwstr/>
  </property>
  <property fmtid="{D5CDD505-2E9C-101B-9397-08002B2CF9AE}" pid="10" name="DATE">
    <vt:lpwstr>20190811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עמית;ד' מינץ;י' אלרון</vt:lpwstr>
  </property>
  <property fmtid="{D5CDD505-2E9C-101B-9397-08002B2CF9AE}" pid="14" name="LAWLISTTMP1">
    <vt:lpwstr>70301/144.b:2;413f;413d.a</vt:lpwstr>
  </property>
  <property fmtid="{D5CDD505-2E9C-101B-9397-08002B2CF9AE}" pid="15" name="LAWYER">
    <vt:lpwstr>איתמר גלבפיש;רמי עותמאן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דיון פלילי</vt:lpwstr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77;18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ערעור</vt:lpwstr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1446;504</vt:lpwstr>
  </property>
  <property fmtid="{D5CDD505-2E9C-101B-9397-08002B2CF9AE}" pid="48" name="NOSE31">
    <vt:lpwstr>מדיניות ענישה: עבירות נשק</vt:lpwstr>
  </property>
  <property fmtid="{D5CDD505-2E9C-101B-9397-08002B2CF9AE}" pid="49" name="NOSE310">
    <vt:lpwstr/>
  </property>
  <property fmtid="{D5CDD505-2E9C-101B-9397-08002B2CF9AE}" pid="50" name="NOSE32">
    <vt:lpwstr>אי-התערבות במידת העונש</vt:lpwstr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13800;17039</vt:lpwstr>
  </property>
  <property fmtid="{D5CDD505-2E9C-101B-9397-08002B2CF9AE}" pid="59" name="PADIDATE">
    <vt:lpwstr>20190812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4530</vt:lpwstr>
  </property>
  <property fmtid="{D5CDD505-2E9C-101B-9397-08002B2CF9AE}" pid="65" name="PROCYEAR">
    <vt:lpwstr>19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410120190811</vt:lpwstr>
  </property>
  <property fmtid="{D5CDD505-2E9C-101B-9397-08002B2CF9AE}" pid="69" name="TYPE_N_DATE">
    <vt:lpwstr>41020190811</vt:lpwstr>
  </property>
  <property fmtid="{D5CDD505-2E9C-101B-9397-08002B2CF9AE}" pid="70" name="VOLUME">
    <vt:lpwstr/>
  </property>
  <property fmtid="{D5CDD505-2E9C-101B-9397-08002B2CF9AE}" pid="71" name="WORDNUMPAGES">
    <vt:lpwstr>7</vt:lpwstr>
  </property>
</Properties>
</file>