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7857" w:type="dxa"/>
        <w:jc w:val="end"/>
        <w:tblInd w:w="0" w:type="dxa"/>
        <w:tblLayout w:type="fixed"/>
        <w:tblCellMar>
          <w:top w:w="0" w:type="dxa"/>
          <w:start w:w="108" w:type="dxa"/>
          <w:bottom w:w="0" w:type="dxa"/>
          <w:end w:w="108" w:type="dxa"/>
        </w:tblCellMar>
      </w:tblPr>
      <w:tblGrid>
        <w:gridCol w:w="7857"/>
      </w:tblGrid>
      <w:tr>
        <w:trPr/>
        <w:tc>
          <w:tcPr>
            <w:tcW w:w="7857" w:type="dxa"/>
            <w:tcBorders/>
          </w:tcPr>
          <w:p>
            <w:pPr>
              <w:pStyle w:val="FileNumber1"/>
              <w:ind w:end="0"/>
              <w:jc w:val="center"/>
              <w:rPr>
                <w:sz w:val="28"/>
              </w:rPr>
            </w:pP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בשבתו</w:t>
            </w:r>
            <w:r>
              <w:rPr>
                <w:rFonts w:cs="Times New Roman"/>
                <w:rtl w:val="true"/>
              </w:rPr>
              <w:t xml:space="preserve"> </w:t>
            </w:r>
            <w:r>
              <w:rPr>
                <w:rtl w:val="true"/>
              </w:rPr>
              <w:t>כבית</w:t>
            </w:r>
            <w:r>
              <w:rPr>
                <w:rFonts w:cs="Times New Roman"/>
                <w:rtl w:val="true"/>
              </w:rPr>
              <w:t xml:space="preserve"> </w:t>
            </w:r>
            <w:r>
              <w:rPr>
                <w:rtl w:val="true"/>
              </w:rPr>
              <w:t>משפט</w:t>
            </w:r>
            <w:r>
              <w:rPr>
                <w:rFonts w:cs="Times New Roman"/>
                <w:rtl w:val="true"/>
              </w:rPr>
              <w:t xml:space="preserve"> </w:t>
            </w:r>
            <w:r>
              <w:rPr>
                <w:rtl w:val="true"/>
              </w:rPr>
              <w:t>לערעורים</w:t>
            </w:r>
            <w:r>
              <w:rPr>
                <w:rFonts w:cs="Times New Roman"/>
                <w:rtl w:val="true"/>
              </w:rPr>
              <w:t xml:space="preserve"> </w:t>
            </w:r>
            <w:r>
              <w:rPr>
                <w:rtl w:val="true"/>
              </w:rPr>
              <w:t>פליליים</w:t>
            </w:r>
          </w:p>
        </w:tc>
      </w:tr>
    </w:tbl>
    <w:p>
      <w:pPr>
        <w:pStyle w:val="Normal"/>
        <w:ind w:end="0"/>
        <w:jc w:val="end"/>
        <w:rPr>
          <w:rFonts w:cs="Miriam"/>
          <w:b/>
          <w:bCs/>
        </w:rPr>
      </w:pPr>
      <w:r>
        <w:rPr>
          <w:rFonts w:cs="Miriam"/>
          <w:b/>
          <w:bCs/>
          <w:rtl w:val="true"/>
        </w:rPr>
      </w:r>
    </w:p>
    <w:tbl>
      <w:tblPr>
        <w:bidiVisual w:val="true"/>
        <w:tblW w:w="8501" w:type="dxa"/>
        <w:jc w:val="start"/>
        <w:tblInd w:w="0" w:type="dxa"/>
        <w:tblLayout w:type="fixed"/>
        <w:tblCellMar>
          <w:top w:w="0" w:type="dxa"/>
          <w:start w:w="108" w:type="dxa"/>
          <w:bottom w:w="0" w:type="dxa"/>
          <w:end w:w="108" w:type="dxa"/>
        </w:tblCellMar>
      </w:tblPr>
      <w:tblGrid>
        <w:gridCol w:w="8501"/>
      </w:tblGrid>
      <w:tr>
        <w:trPr>
          <w:trHeight w:val="212" w:hRule="atLeast"/>
        </w:trPr>
        <w:tc>
          <w:tcPr>
            <w:tcW w:w="8501" w:type="dxa"/>
            <w:tcBorders/>
          </w:tcPr>
          <w:p>
            <w:pPr>
              <w:pStyle w:val="FileNumber"/>
              <w:spacing w:lineRule="auto" w:line="240"/>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8045/17</w:t>
            </w:r>
          </w:p>
        </w:tc>
      </w:tr>
      <w:tr>
        <w:trPr>
          <w:trHeight w:val="216" w:hRule="atLeast"/>
        </w:trPr>
        <w:tc>
          <w:tcPr>
            <w:tcW w:w="8501" w:type="dxa"/>
            <w:tcBorders/>
          </w:tcPr>
          <w:p>
            <w:pPr>
              <w:pStyle w:val="FileNumber"/>
              <w:spacing w:lineRule="auto" w:line="240"/>
              <w:ind w:end="0"/>
              <w:jc w:val="end"/>
              <w:rPr>
                <w:sz w:val="28"/>
                <w:szCs w:val="28"/>
              </w:rPr>
            </w:pP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8341/17</w:t>
            </w:r>
          </w:p>
        </w:tc>
      </w:tr>
      <w:tr>
        <w:trPr>
          <w:trHeight w:val="236" w:hRule="atLeast"/>
        </w:trPr>
        <w:tc>
          <w:tcPr>
            <w:tcW w:w="8501" w:type="dxa"/>
            <w:tcBorders/>
          </w:tcPr>
          <w:p>
            <w:pPr>
              <w:pStyle w:val="FileNumber"/>
              <w:spacing w:lineRule="auto" w:line="240"/>
              <w:ind w:end="0"/>
              <w:jc w:val="end"/>
              <w:rPr>
                <w:sz w:val="28"/>
                <w:szCs w:val="28"/>
              </w:rPr>
            </w:pP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8347/17</w:t>
            </w:r>
          </w:p>
        </w:tc>
      </w:tr>
      <w:tr>
        <w:trPr>
          <w:trHeight w:val="224" w:hRule="atLeast"/>
        </w:trPr>
        <w:tc>
          <w:tcPr>
            <w:tcW w:w="8501" w:type="dxa"/>
            <w:tcBorders/>
          </w:tcPr>
          <w:p>
            <w:pPr>
              <w:pStyle w:val="FileNumber"/>
              <w:spacing w:lineRule="auto" w:line="240"/>
              <w:ind w:end="0"/>
              <w:jc w:val="end"/>
              <w:rPr>
                <w:sz w:val="28"/>
                <w:szCs w:val="28"/>
              </w:rPr>
            </w:pP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999/18</w:t>
            </w:r>
          </w:p>
        </w:tc>
      </w:tr>
      <w:tr>
        <w:trPr>
          <w:trHeight w:val="227" w:hRule="atLeast"/>
        </w:trPr>
        <w:tc>
          <w:tcPr>
            <w:tcW w:w="8501" w:type="dxa"/>
            <w:tcBorders/>
          </w:tcPr>
          <w:p>
            <w:pPr>
              <w:pStyle w:val="FileNumber"/>
              <w:spacing w:lineRule="auto" w:line="240"/>
              <w:ind w:end="0"/>
              <w:jc w:val="end"/>
              <w:rPr>
                <w:sz w:val="28"/>
                <w:szCs w:val="28"/>
              </w:rPr>
            </w:pP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1010/18</w:t>
            </w:r>
          </w:p>
        </w:tc>
      </w:tr>
      <w:tr>
        <w:trPr>
          <w:trHeight w:val="232" w:hRule="atLeast"/>
        </w:trPr>
        <w:tc>
          <w:tcPr>
            <w:tcW w:w="8501" w:type="dxa"/>
            <w:tcBorders/>
          </w:tcPr>
          <w:p>
            <w:pPr>
              <w:pStyle w:val="FileNumber"/>
              <w:spacing w:lineRule="auto" w:line="240"/>
              <w:ind w:end="0"/>
              <w:jc w:val="end"/>
              <w:rPr>
                <w:sz w:val="28"/>
                <w:szCs w:val="28"/>
              </w:rPr>
            </w:pP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1060/18</w:t>
            </w:r>
          </w:p>
        </w:tc>
      </w:tr>
      <w:tr>
        <w:trPr>
          <w:trHeight w:val="235" w:hRule="atLeast"/>
        </w:trPr>
        <w:tc>
          <w:tcPr>
            <w:tcW w:w="8501" w:type="dxa"/>
            <w:tcBorders/>
          </w:tcPr>
          <w:p>
            <w:pPr>
              <w:pStyle w:val="FileNumber"/>
              <w:spacing w:lineRule="auto" w:line="240"/>
              <w:ind w:end="0"/>
              <w:jc w:val="end"/>
              <w:rPr>
                <w:sz w:val="28"/>
                <w:szCs w:val="28"/>
              </w:rPr>
            </w:pP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1175/18</w:t>
            </w:r>
          </w:p>
        </w:tc>
      </w:tr>
      <w:tr>
        <w:trPr>
          <w:trHeight w:val="240" w:hRule="atLeast"/>
        </w:trPr>
        <w:tc>
          <w:tcPr>
            <w:tcW w:w="8501" w:type="dxa"/>
            <w:tcBorders/>
          </w:tcPr>
          <w:p>
            <w:pPr>
              <w:pStyle w:val="FileNumber"/>
              <w:spacing w:lineRule="auto" w:line="240"/>
              <w:ind w:end="0"/>
              <w:jc w:val="end"/>
              <w:rPr>
                <w:sz w:val="28"/>
                <w:szCs w:val="28"/>
              </w:rPr>
            </w:pP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2732/18</w:t>
            </w:r>
          </w:p>
        </w:tc>
      </w:tr>
    </w:tbl>
    <w:p>
      <w:pPr>
        <w:pStyle w:val="Normal"/>
        <w:ind w:end="0"/>
        <w:jc w:val="end"/>
        <w:rPr>
          <w:rFonts w:cs="Miriam"/>
          <w:b/>
          <w:bCs/>
        </w:rPr>
      </w:pPr>
      <w:r>
        <w:rPr>
          <w:rFonts w:cs="Miriam"/>
          <w:b/>
          <w:bCs/>
          <w:rtl w:val="true"/>
        </w:rPr>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rHeight w:val="287" w:hRule="atLeast"/>
        </w:trPr>
        <w:tc>
          <w:tcPr>
            <w:tcW w:w="3284" w:type="dxa"/>
            <w:tcBorders/>
          </w:tcPr>
          <w:p>
            <w:pPr>
              <w:pStyle w:val="BodyRuller1"/>
              <w:ind w:end="0"/>
              <w:jc w:val="start"/>
              <w:rPr>
                <w:rFonts w:cs="Miriam"/>
                <w:b/>
                <w:bCs/>
              </w:rPr>
            </w:pPr>
            <w:r>
              <w:rPr>
                <w:rtl w:val="true"/>
              </w:rPr>
              <w:t>ל</w:t>
            </w:r>
            <w:r>
              <w:rPr>
                <w:rtl w:val="true"/>
              </w:rPr>
              <w:t>פני</w:t>
            </w:r>
            <w:r>
              <w:rPr>
                <w:rtl w:val="true"/>
              </w:rPr>
              <w:t>:</w:t>
              <w:tab/>
            </w:r>
          </w:p>
        </w:tc>
        <w:tc>
          <w:tcPr>
            <w:tcW w:w="5238"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נ</w:t>
            </w:r>
            <w:r>
              <w:rPr>
                <w:rtl w:val="true"/>
              </w:rPr>
              <w:t xml:space="preserve">' </w:t>
            </w:r>
            <w:r>
              <w:rPr>
                <w:rtl w:val="true"/>
              </w:rPr>
              <w:t>סולברג</w:t>
            </w:r>
          </w:p>
        </w:tc>
      </w:tr>
      <w:tr>
        <w:trPr>
          <w:trHeight w:val="287" w:hRule="atLeast"/>
        </w:trPr>
        <w:tc>
          <w:tcPr>
            <w:tcW w:w="3284" w:type="dxa"/>
            <w:tcBorders/>
          </w:tcPr>
          <w:p>
            <w:pPr>
              <w:pStyle w:val="BodyRuller1"/>
              <w:snapToGrid w:val="false"/>
              <w:ind w:end="0"/>
              <w:jc w:val="start"/>
              <w:rPr/>
            </w:pPr>
            <w:r>
              <w:rPr>
                <w:rtl w:val="true"/>
              </w:rPr>
            </w:r>
          </w:p>
        </w:tc>
        <w:tc>
          <w:tcPr>
            <w:tcW w:w="5238"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ד</w:t>
            </w:r>
            <w:r>
              <w:rPr>
                <w:rtl w:val="true"/>
              </w:rPr>
              <w:t xml:space="preserve">' </w:t>
            </w:r>
            <w:r>
              <w:rPr>
                <w:rtl w:val="true"/>
              </w:rPr>
              <w:t>מינץ</w:t>
            </w:r>
          </w:p>
        </w:tc>
      </w:tr>
      <w:tr>
        <w:trPr>
          <w:trHeight w:val="287" w:hRule="atLeast"/>
        </w:trPr>
        <w:tc>
          <w:tcPr>
            <w:tcW w:w="3284" w:type="dxa"/>
            <w:tcBorders/>
          </w:tcPr>
          <w:p>
            <w:pPr>
              <w:pStyle w:val="BodyRuller1"/>
              <w:snapToGrid w:val="false"/>
              <w:ind w:end="0"/>
              <w:jc w:val="start"/>
              <w:rPr/>
            </w:pPr>
            <w:r>
              <w:rPr>
                <w:rtl w:val="true"/>
              </w:rPr>
            </w:r>
            <w:bookmarkStart w:id="1" w:name="LastJudge"/>
            <w:bookmarkStart w:id="2" w:name="LastJudge"/>
            <w:bookmarkEnd w:id="2"/>
          </w:p>
        </w:tc>
        <w:tc>
          <w:tcPr>
            <w:tcW w:w="5238"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ע</w:t>
            </w:r>
            <w:r>
              <w:rPr>
                <w:rtl w:val="true"/>
              </w:rPr>
              <w:t xml:space="preserve">' </w:t>
            </w:r>
            <w:r>
              <w:rPr>
                <w:rtl w:val="true"/>
              </w:rPr>
              <w:t>גרוסקופף</w:t>
            </w:r>
          </w:p>
        </w:tc>
      </w:tr>
    </w:tbl>
    <w:p>
      <w:pPr>
        <w:pStyle w:val="Ruller31"/>
        <w:spacing w:lineRule="auto" w:line="240"/>
        <w:ind w:end="0"/>
        <w:jc w:val="start"/>
        <w:rPr>
          <w:rFonts w:cs="Miriam"/>
          <w:b/>
          <w:bCs/>
        </w:rPr>
      </w:pPr>
      <w:r>
        <w:rPr>
          <w:rFonts w:cs="Miriam"/>
          <w:b/>
          <w:bCs/>
          <w:rtl w:val="true"/>
        </w:rPr>
      </w:r>
    </w:p>
    <w:p>
      <w:pPr>
        <w:pStyle w:val="Ruller31"/>
        <w:spacing w:lineRule="auto" w:line="240"/>
        <w:ind w:end="0"/>
        <w:jc w:val="start"/>
        <w:rPr>
          <w:rFonts w:cs="Miriam"/>
          <w:b/>
          <w:bCs/>
          <w:sz w:val="10"/>
          <w:szCs w:val="10"/>
        </w:rPr>
      </w:pPr>
      <w:r>
        <w:rPr>
          <w:rFonts w:cs="Miriam"/>
          <w:b/>
          <w:bCs/>
          <w:sz w:val="10"/>
          <w:szCs w:val="10"/>
          <w:rtl w:val="true"/>
        </w:rPr>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bookmarkStart w:id="3" w:name="FirstAppellant"/>
            <w:bookmarkEnd w:id="3"/>
            <w:r>
              <w:rPr>
                <w:rtl w:val="true"/>
              </w:rPr>
              <w:t>המערער</w:t>
            </w:r>
            <w:r>
              <w:rPr>
                <w:rFonts w:cs="Times New Roman"/>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8045/17</w:t>
            </w:r>
            <w:r>
              <w:rPr>
                <w:rtl w:val="true"/>
              </w:rPr>
              <w:t>:</w:t>
            </w:r>
          </w:p>
        </w:tc>
        <w:tc>
          <w:tcPr>
            <w:tcW w:w="5238" w:type="dxa"/>
            <w:tcBorders/>
          </w:tcPr>
          <w:p>
            <w:pPr>
              <w:pStyle w:val="BodyRuller1"/>
              <w:ind w:end="0"/>
              <w:jc w:val="start"/>
              <w:rPr/>
            </w:pPr>
            <w:r>
              <w:rPr>
                <w:rtl w:val="true"/>
              </w:rPr>
              <w:t>מחמוד</w:t>
            </w:r>
            <w:r>
              <w:rPr>
                <w:rFonts w:cs="Times New Roman"/>
                <w:rtl w:val="true"/>
              </w:rPr>
              <w:t xml:space="preserve"> </w:t>
            </w:r>
            <w:r>
              <w:rPr>
                <w:rtl w:val="true"/>
              </w:rPr>
              <w:t>בראנסי</w:t>
            </w:r>
          </w:p>
        </w:tc>
      </w:tr>
    </w:tbl>
    <w:p>
      <w:pPr>
        <w:pStyle w:val="Ruller31"/>
        <w:spacing w:lineRule="auto" w:line="240"/>
        <w:ind w:end="0"/>
        <w:jc w:val="start"/>
        <w:rPr>
          <w:sz w:val="10"/>
          <w:szCs w:val="10"/>
        </w:rPr>
      </w:pPr>
      <w:r>
        <w:rPr>
          <w:sz w:val="10"/>
          <w:szCs w:val="10"/>
          <w:rtl w:val="true"/>
        </w:rPr>
        <w:tab/>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r>
              <w:rPr>
                <w:rtl w:val="true"/>
              </w:rPr>
              <w:t>המערער</w:t>
            </w:r>
            <w:r>
              <w:rPr>
                <w:rFonts w:cs="Times New Roman"/>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8341/17</w:t>
            </w:r>
            <w:r>
              <w:rPr>
                <w:rtl w:val="true"/>
              </w:rPr>
              <w:t>:</w:t>
            </w:r>
          </w:p>
        </w:tc>
        <w:tc>
          <w:tcPr>
            <w:tcW w:w="5238" w:type="dxa"/>
            <w:tcBorders/>
          </w:tcPr>
          <w:p>
            <w:pPr>
              <w:pStyle w:val="BodyRuller1"/>
              <w:ind w:end="0"/>
              <w:jc w:val="start"/>
              <w:rPr/>
            </w:pPr>
            <w:r>
              <w:rPr>
                <w:rtl w:val="true"/>
              </w:rPr>
              <w:t>סוהיל</w:t>
            </w:r>
            <w:r>
              <w:rPr>
                <w:rFonts w:cs="Times New Roman"/>
                <w:rtl w:val="true"/>
              </w:rPr>
              <w:t xml:space="preserve"> </w:t>
            </w:r>
            <w:r>
              <w:rPr>
                <w:rtl w:val="true"/>
              </w:rPr>
              <w:t>בראנסי</w:t>
            </w:r>
          </w:p>
        </w:tc>
      </w:tr>
    </w:tbl>
    <w:p>
      <w:pPr>
        <w:pStyle w:val="Ruller31"/>
        <w:spacing w:lineRule="auto" w:line="240"/>
        <w:ind w:end="0"/>
        <w:jc w:val="start"/>
        <w:rPr>
          <w:sz w:val="10"/>
          <w:szCs w:val="10"/>
        </w:rPr>
      </w:pPr>
      <w:r>
        <w:rPr>
          <w:sz w:val="10"/>
          <w:szCs w:val="10"/>
          <w:rtl w:val="true"/>
        </w:rPr>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r>
              <w:rPr>
                <w:rtl w:val="true"/>
              </w:rPr>
              <w:t>המערער</w:t>
            </w:r>
            <w:r>
              <w:rPr>
                <w:rFonts w:cs="Times New Roman"/>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1010/18</w:t>
            </w:r>
            <w:r>
              <w:rPr>
                <w:rtl w:val="true"/>
              </w:rPr>
              <w:t>:</w:t>
            </w:r>
          </w:p>
        </w:tc>
        <w:tc>
          <w:tcPr>
            <w:tcW w:w="5238" w:type="dxa"/>
            <w:tcBorders/>
          </w:tcPr>
          <w:p>
            <w:pPr>
              <w:pStyle w:val="BodyRuller1"/>
              <w:ind w:end="0"/>
              <w:jc w:val="start"/>
              <w:rPr/>
            </w:pPr>
            <w:r>
              <w:rPr>
                <w:rtl w:val="true"/>
              </w:rPr>
              <w:t>איסלאם</w:t>
            </w:r>
            <w:r>
              <w:rPr>
                <w:rFonts w:cs="Times New Roman"/>
                <w:rtl w:val="true"/>
              </w:rPr>
              <w:t xml:space="preserve"> </w:t>
            </w:r>
            <w:r>
              <w:rPr>
                <w:rtl w:val="true"/>
              </w:rPr>
              <w:t>בראנסי</w:t>
            </w:r>
          </w:p>
        </w:tc>
      </w:tr>
    </w:tbl>
    <w:p>
      <w:pPr>
        <w:pStyle w:val="Ruller31"/>
        <w:spacing w:lineRule="auto" w:line="240"/>
        <w:ind w:end="0"/>
        <w:jc w:val="start"/>
        <w:rPr>
          <w:sz w:val="10"/>
          <w:szCs w:val="10"/>
        </w:rPr>
      </w:pPr>
      <w:r>
        <w:rPr>
          <w:sz w:val="10"/>
          <w:szCs w:val="10"/>
          <w:rtl w:val="true"/>
        </w:rPr>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r>
              <w:rPr>
                <w:rtl w:val="true"/>
              </w:rPr>
              <w:t>ה</w:t>
            </w:r>
            <w:r>
              <w:rPr>
                <w:rtl w:val="true"/>
              </w:rPr>
              <w:t>מערער</w:t>
            </w:r>
            <w:r>
              <w:rPr>
                <w:rFonts w:cs="Times New Roman"/>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1060/18</w:t>
            </w:r>
            <w:r>
              <w:rPr>
                <w:rtl w:val="true"/>
              </w:rPr>
              <w:t>:</w:t>
            </w:r>
          </w:p>
        </w:tc>
        <w:tc>
          <w:tcPr>
            <w:tcW w:w="5238" w:type="dxa"/>
            <w:tcBorders/>
          </w:tcPr>
          <w:p>
            <w:pPr>
              <w:pStyle w:val="BodyRuller1"/>
              <w:ind w:end="0"/>
              <w:jc w:val="start"/>
              <w:rPr/>
            </w:pPr>
            <w:r>
              <w:rPr>
                <w:rtl w:val="true"/>
              </w:rPr>
              <w:t>רושד</w:t>
            </w:r>
            <w:r>
              <w:rPr>
                <w:rFonts w:cs="Times New Roman"/>
                <w:rtl w:val="true"/>
              </w:rPr>
              <w:t xml:space="preserve"> </w:t>
            </w:r>
            <w:r>
              <w:rPr>
                <w:rtl w:val="true"/>
              </w:rPr>
              <w:t>בראנסה</w:t>
            </w:r>
          </w:p>
        </w:tc>
      </w:tr>
    </w:tbl>
    <w:p>
      <w:pPr>
        <w:pStyle w:val="Ruller31"/>
        <w:spacing w:lineRule="auto" w:line="240"/>
        <w:ind w:end="0"/>
        <w:jc w:val="start"/>
        <w:rPr>
          <w:sz w:val="10"/>
          <w:szCs w:val="10"/>
        </w:rPr>
      </w:pPr>
      <w:r>
        <w:rPr>
          <w:sz w:val="10"/>
          <w:szCs w:val="10"/>
          <w:rtl w:val="true"/>
        </w:rPr>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r>
              <w:rPr>
                <w:rtl w:val="true"/>
              </w:rPr>
              <w:t>המערער</w:t>
            </w:r>
            <w:r>
              <w:rPr>
                <w:rFonts w:cs="Times New Roman"/>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1175/18</w:t>
            </w:r>
            <w:r>
              <w:rPr>
                <w:rtl w:val="true"/>
              </w:rPr>
              <w:t>:</w:t>
            </w:r>
          </w:p>
        </w:tc>
        <w:tc>
          <w:tcPr>
            <w:tcW w:w="5238" w:type="dxa"/>
            <w:tcBorders/>
          </w:tcPr>
          <w:p>
            <w:pPr>
              <w:pStyle w:val="BodyRuller1"/>
              <w:ind w:end="0"/>
              <w:jc w:val="start"/>
              <w:rPr/>
            </w:pPr>
            <w:r>
              <w:rPr>
                <w:rtl w:val="true"/>
              </w:rPr>
              <w:t>ג</w:t>
            </w:r>
            <w:r>
              <w:rPr>
                <w:rtl w:val="true"/>
              </w:rPr>
              <w:t>'</w:t>
            </w:r>
            <w:r>
              <w:rPr>
                <w:rtl w:val="true"/>
              </w:rPr>
              <w:t>מיל</w:t>
            </w:r>
            <w:r>
              <w:rPr>
                <w:rFonts w:cs="Times New Roman"/>
                <w:rtl w:val="true"/>
              </w:rPr>
              <w:t xml:space="preserve"> </w:t>
            </w:r>
            <w:r>
              <w:rPr>
                <w:rtl w:val="true"/>
              </w:rPr>
              <w:t>חאג</w:t>
            </w:r>
            <w:r>
              <w:rPr>
                <w:rtl w:val="true"/>
              </w:rPr>
              <w:t xml:space="preserve">' </w:t>
            </w:r>
            <w:r>
              <w:rPr>
                <w:rtl w:val="true"/>
              </w:rPr>
              <w:t>יחיא</w:t>
            </w:r>
          </w:p>
        </w:tc>
      </w:tr>
    </w:tbl>
    <w:p>
      <w:pPr>
        <w:pStyle w:val="Ruller31"/>
        <w:spacing w:lineRule="auto" w:line="240"/>
        <w:ind w:end="0"/>
        <w:jc w:val="start"/>
        <w:rPr>
          <w:sz w:val="10"/>
          <w:szCs w:val="10"/>
        </w:rPr>
      </w:pPr>
      <w:r>
        <w:rPr>
          <w:sz w:val="10"/>
          <w:szCs w:val="10"/>
          <w:rtl w:val="true"/>
        </w:rPr>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r>
              <w:rPr>
                <w:rtl w:val="true"/>
              </w:rPr>
              <w:t>המערער</w:t>
            </w:r>
            <w:r>
              <w:rPr>
                <w:rFonts w:cs="Times New Roman"/>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2732/18</w:t>
            </w:r>
            <w:r>
              <w:rPr>
                <w:rtl w:val="true"/>
              </w:rPr>
              <w:t>:</w:t>
            </w:r>
          </w:p>
        </w:tc>
        <w:tc>
          <w:tcPr>
            <w:tcW w:w="5238" w:type="dxa"/>
            <w:tcBorders/>
          </w:tcPr>
          <w:p>
            <w:pPr>
              <w:pStyle w:val="BodyRuller1"/>
              <w:ind w:end="0"/>
              <w:jc w:val="start"/>
              <w:rPr/>
            </w:pPr>
            <w:r>
              <w:rPr>
                <w:rtl w:val="true"/>
              </w:rPr>
              <w:t>פיראס</w:t>
            </w:r>
            <w:r>
              <w:rPr>
                <w:rFonts w:cs="Times New Roman"/>
                <w:rtl w:val="true"/>
              </w:rPr>
              <w:t xml:space="preserve"> </w:t>
            </w:r>
            <w:r>
              <w:rPr>
                <w:rtl w:val="true"/>
              </w:rPr>
              <w:t>בראנסי</w:t>
            </w:r>
          </w:p>
        </w:tc>
      </w:tr>
    </w:tbl>
    <w:p>
      <w:pPr>
        <w:pStyle w:val="Ruller31"/>
        <w:spacing w:lineRule="auto" w:line="240"/>
        <w:ind w:end="0"/>
        <w:jc w:val="start"/>
        <w:rPr>
          <w:rFonts w:cs="Miriam"/>
          <w:b/>
          <w:bCs/>
        </w:rPr>
      </w:pPr>
      <w:r>
        <w:rPr>
          <w:rFonts w:cs="Miriam"/>
          <w:b/>
          <w:bCs/>
          <w:rtl w:val="true"/>
        </w:rPr>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snapToGrid w:val="false"/>
              <w:ind w:end="0"/>
              <w:jc w:val="start"/>
              <w:rPr/>
            </w:pPr>
            <w:r>
              <w:rPr>
                <w:rtl w:val="true"/>
              </w:rPr>
            </w:r>
          </w:p>
        </w:tc>
        <w:tc>
          <w:tcPr>
            <w:tcW w:w="5238" w:type="dxa"/>
            <w:tcBorders/>
          </w:tcPr>
          <w:p>
            <w:pPr>
              <w:pStyle w:val="BodyRuller1"/>
              <w:ind w:end="0"/>
              <w:jc w:val="start"/>
              <w:rPr/>
            </w:pPr>
            <w:r>
              <w:rPr>
                <w:rtl w:val="true"/>
              </w:rPr>
              <w:t>נ</w:t>
            </w:r>
            <w:r>
              <w:rPr>
                <w:rFonts w:cs="Times New Roman"/>
                <w:rtl w:val="true"/>
              </w:rPr>
              <w:t xml:space="preserve">  </w:t>
            </w:r>
            <w:r>
              <w:rPr>
                <w:rtl w:val="true"/>
              </w:rPr>
              <w:t>ג</w:t>
            </w:r>
            <w:r>
              <w:rPr>
                <w:rFonts w:cs="Times New Roman"/>
                <w:rtl w:val="true"/>
              </w:rPr>
              <w:t xml:space="preserve">  </w:t>
            </w:r>
            <w:r>
              <w:rPr>
                <w:rtl w:val="true"/>
              </w:rPr>
              <w:t>ד</w:t>
            </w:r>
          </w:p>
        </w:tc>
      </w:tr>
    </w:tbl>
    <w:p>
      <w:pPr>
        <w:pStyle w:val="Ruller31"/>
        <w:spacing w:lineRule="auto" w:line="240"/>
        <w:ind w:end="0"/>
        <w:jc w:val="start"/>
        <w:rPr/>
      </w:pPr>
      <w:r>
        <w:rPr>
          <w:rtl w:val="true"/>
        </w:rPr>
        <w:tab/>
        <w:tab/>
        <w:tab/>
        <w:t xml:space="preserve">     </w:t>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r>
              <w:rPr>
                <w:rtl w:val="true"/>
              </w:rPr>
              <w:t>המשיב</w:t>
            </w:r>
            <w:r>
              <w:rPr>
                <w:rtl w:val="true"/>
              </w:rPr>
              <w:t>ה</w:t>
            </w:r>
            <w:r>
              <w:rPr>
                <w:rtl w:val="true"/>
              </w:rPr>
              <w:t>:</w:t>
            </w:r>
          </w:p>
        </w:tc>
        <w:tc>
          <w:tcPr>
            <w:tcW w:w="5238" w:type="dxa"/>
            <w:tcBorders/>
          </w:tcPr>
          <w:p>
            <w:pPr>
              <w:pStyle w:val="BodyRuller1"/>
              <w:ind w:end="0"/>
              <w:jc w:val="start"/>
              <w:rPr/>
            </w:pPr>
            <w:r>
              <w:rPr>
                <w:rtl w:val="true"/>
              </w:rPr>
              <w:t>מדינת</w:t>
            </w:r>
            <w:r>
              <w:rPr>
                <w:rFonts w:cs="Times New Roman"/>
                <w:rtl w:val="true"/>
              </w:rPr>
              <w:t xml:space="preserve"> </w:t>
            </w:r>
            <w:r>
              <w:rPr>
                <w:rtl w:val="true"/>
              </w:rPr>
              <w:t>ישראל</w:t>
            </w:r>
          </w:p>
        </w:tc>
      </w:tr>
    </w:tbl>
    <w:p>
      <w:pPr>
        <w:pStyle w:val="Ruller31"/>
        <w:spacing w:lineRule="auto" w:line="240"/>
        <w:ind w:end="0"/>
        <w:jc w:val="start"/>
        <w:rPr>
          <w:rFonts w:cs="Miriam"/>
          <w:b/>
          <w:bCs/>
        </w:rPr>
      </w:pPr>
      <w:r>
        <w:rPr>
          <w:rFonts w:cs="Miriam"/>
          <w:b/>
          <w:bCs/>
          <w:rtl w:val="true"/>
        </w:rPr>
      </w:r>
    </w:p>
    <w:p>
      <w:pPr>
        <w:pStyle w:val="Ruller31"/>
        <w:spacing w:lineRule="auto" w:line="240"/>
        <w:ind w:end="0"/>
        <w:jc w:val="start"/>
        <w:rPr>
          <w:rFonts w:cs="Miriam"/>
          <w:b/>
          <w:bCs/>
        </w:rPr>
      </w:pPr>
      <w:r>
        <w:rPr>
          <w:rFonts w:cs="Miriam"/>
          <w:b/>
          <w:bCs/>
          <w:rtl w:val="true"/>
        </w:rPr>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r>
              <w:rPr>
                <w:rtl w:val="true"/>
              </w:rPr>
              <w:t>המערער</w:t>
            </w:r>
            <w:r>
              <w:rPr>
                <w:rtl w:val="true"/>
              </w:rPr>
              <w:t>ת</w:t>
            </w:r>
            <w:r>
              <w:rPr>
                <w:rFonts w:cs="Times New Roman"/>
                <w:rtl w:val="true"/>
              </w:rPr>
              <w:t xml:space="preserve"> </w:t>
            </w:r>
            <w:r>
              <w:rPr>
                <w:rtl w:val="true"/>
              </w:rPr>
              <w:t>בע</w:t>
            </w:r>
            <w:r>
              <w:rPr>
                <w:rtl w:val="true"/>
              </w:rPr>
              <w:t>"</w:t>
            </w:r>
            <w:r>
              <w:rPr>
                <w:rtl w:val="true"/>
              </w:rPr>
              <w:t>פ</w:t>
            </w:r>
            <w:r>
              <w:rPr>
                <w:rFonts w:cs="Times New Roman"/>
                <w:rtl w:val="true"/>
              </w:rPr>
              <w:t xml:space="preserve"> </w:t>
            </w:r>
            <w:r>
              <w:rPr/>
              <w:t>8347/17</w:t>
            </w:r>
            <w:r>
              <w:rPr>
                <w:rtl w:val="true"/>
              </w:rPr>
              <w:t xml:space="preserve"> </w:t>
            </w:r>
            <w:r>
              <w:rPr>
                <w:rtl w:val="true"/>
              </w:rPr>
              <w:t>ו</w:t>
            </w:r>
            <w:r>
              <w:rPr>
                <w:rtl w:val="true"/>
              </w:rPr>
              <w:t>ב</w:t>
            </w:r>
            <w:r>
              <w:rPr>
                <w:rtl w:val="true"/>
              </w:rPr>
              <w:t>ע</w:t>
            </w:r>
            <w:r>
              <w:rPr>
                <w:rtl w:val="true"/>
              </w:rPr>
              <w:t>"</w:t>
            </w:r>
            <w:r>
              <w:rPr>
                <w:rtl w:val="true"/>
              </w:rPr>
              <w:t>פ</w:t>
            </w:r>
            <w:r>
              <w:rPr>
                <w:rFonts w:cs="Times New Roman"/>
                <w:rtl w:val="true"/>
              </w:rPr>
              <w:t xml:space="preserve"> </w:t>
            </w:r>
            <w:r>
              <w:rPr/>
              <w:t>999/18</w:t>
            </w:r>
            <w:r>
              <w:rPr>
                <w:rtl w:val="true"/>
              </w:rPr>
              <w:t>:</w:t>
            </w:r>
          </w:p>
        </w:tc>
        <w:tc>
          <w:tcPr>
            <w:tcW w:w="5238" w:type="dxa"/>
            <w:tcBorders/>
          </w:tcPr>
          <w:p>
            <w:pPr>
              <w:pStyle w:val="BodyRuller1"/>
              <w:snapToGrid w:val="false"/>
              <w:ind w:end="0"/>
              <w:jc w:val="start"/>
              <w:rPr/>
            </w:pPr>
            <w:r>
              <w:rPr>
                <w:rtl w:val="true"/>
              </w:rPr>
            </w:r>
          </w:p>
          <w:p>
            <w:pPr>
              <w:pStyle w:val="BodyRuller1"/>
              <w:ind w:end="0"/>
              <w:jc w:val="start"/>
              <w:rPr/>
            </w:pPr>
            <w:r>
              <w:rPr>
                <w:rtl w:val="true"/>
              </w:rPr>
              <w:t>מדינת</w:t>
            </w:r>
            <w:r>
              <w:rPr>
                <w:rFonts w:cs="Times New Roman"/>
                <w:rtl w:val="true"/>
              </w:rPr>
              <w:t xml:space="preserve"> </w:t>
            </w:r>
            <w:r>
              <w:rPr>
                <w:rtl w:val="true"/>
              </w:rPr>
              <w:t>ישראל</w:t>
            </w:r>
          </w:p>
        </w:tc>
      </w:tr>
    </w:tbl>
    <w:p>
      <w:pPr>
        <w:pStyle w:val="Ruller31"/>
        <w:spacing w:lineRule="auto" w:line="240"/>
        <w:ind w:end="0"/>
        <w:jc w:val="start"/>
        <w:rPr>
          <w:sz w:val="10"/>
          <w:szCs w:val="10"/>
        </w:rPr>
      </w:pPr>
      <w:r>
        <w:rPr>
          <w:sz w:val="10"/>
          <w:szCs w:val="10"/>
          <w:rtl w:val="true"/>
        </w:rPr>
      </w:r>
    </w:p>
    <w:p>
      <w:pPr>
        <w:pStyle w:val="Ruller31"/>
        <w:spacing w:lineRule="auto" w:line="240"/>
        <w:ind w:end="0"/>
        <w:jc w:val="start"/>
        <w:rPr>
          <w:rFonts w:cs="Miriam"/>
          <w:b/>
          <w:bCs/>
          <w:sz w:val="10"/>
          <w:szCs w:val="10"/>
        </w:rPr>
      </w:pPr>
      <w:r>
        <w:rPr>
          <w:rFonts w:cs="Miriam"/>
          <w:b/>
          <w:bCs/>
          <w:sz w:val="10"/>
          <w:szCs w:val="10"/>
          <w:rtl w:val="true"/>
        </w:rPr>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snapToGrid w:val="false"/>
              <w:ind w:end="0"/>
              <w:jc w:val="start"/>
              <w:rPr/>
            </w:pPr>
            <w:r>
              <w:rPr>
                <w:rtl w:val="true"/>
              </w:rPr>
            </w:r>
          </w:p>
        </w:tc>
        <w:tc>
          <w:tcPr>
            <w:tcW w:w="5238" w:type="dxa"/>
            <w:tcBorders/>
          </w:tcPr>
          <w:p>
            <w:pPr>
              <w:pStyle w:val="BodyRuller1"/>
              <w:ind w:end="0"/>
              <w:jc w:val="start"/>
              <w:rPr/>
            </w:pPr>
            <w:r>
              <w:rPr>
                <w:rtl w:val="true"/>
              </w:rPr>
              <w:t>נ</w:t>
            </w:r>
            <w:r>
              <w:rPr>
                <w:rFonts w:cs="Times New Roman"/>
                <w:rtl w:val="true"/>
              </w:rPr>
              <w:t xml:space="preserve">  </w:t>
            </w:r>
            <w:r>
              <w:rPr>
                <w:rtl w:val="true"/>
              </w:rPr>
              <w:t>ג</w:t>
            </w:r>
            <w:r>
              <w:rPr>
                <w:rFonts w:cs="Times New Roman"/>
                <w:rtl w:val="true"/>
              </w:rPr>
              <w:t xml:space="preserve">  </w:t>
            </w:r>
            <w:r>
              <w:rPr>
                <w:rtl w:val="true"/>
              </w:rPr>
              <w:t>ד</w:t>
            </w:r>
          </w:p>
        </w:tc>
      </w:tr>
    </w:tbl>
    <w:p>
      <w:pPr>
        <w:pStyle w:val="Ruller31"/>
        <w:spacing w:lineRule="auto" w:line="240"/>
        <w:ind w:end="0"/>
        <w:jc w:val="start"/>
        <w:rPr/>
      </w:pPr>
      <w:r>
        <w:rPr>
          <w:rtl w:val="true"/>
        </w:rPr>
        <w:tab/>
        <w:tab/>
        <w:tab/>
        <w:t xml:space="preserve">     </w:t>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r>
              <w:rPr>
                <w:rtl w:val="true"/>
              </w:rPr>
              <w:t>מ</w:t>
            </w:r>
            <w:r>
              <w:rPr>
                <w:rtl w:val="true"/>
              </w:rPr>
              <w:t>שיב</w:t>
            </w:r>
            <w:r>
              <w:rPr>
                <w:rFonts w:cs="Times New Roman"/>
                <w:rtl w:val="true"/>
              </w:rPr>
              <w:t xml:space="preserve"> </w:t>
            </w:r>
            <w:r>
              <w:rPr/>
              <w:t>1</w:t>
            </w:r>
            <w:r>
              <w:rPr>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8347/17</w:t>
            </w:r>
            <w:r>
              <w:rPr>
                <w:rtl w:val="true"/>
              </w:rPr>
              <w:t>:</w:t>
            </w:r>
          </w:p>
        </w:tc>
        <w:tc>
          <w:tcPr>
            <w:tcW w:w="5238" w:type="dxa"/>
            <w:tcBorders/>
          </w:tcPr>
          <w:p>
            <w:pPr>
              <w:pStyle w:val="BodyRuller1"/>
              <w:ind w:end="0"/>
              <w:jc w:val="start"/>
              <w:rPr/>
            </w:pPr>
            <w:r>
              <w:rPr>
                <w:rtl w:val="true"/>
              </w:rPr>
              <w:t>ג</w:t>
            </w:r>
            <w:r>
              <w:rPr>
                <w:rtl w:val="true"/>
              </w:rPr>
              <w:t>'</w:t>
            </w:r>
            <w:r>
              <w:rPr>
                <w:rtl w:val="true"/>
              </w:rPr>
              <w:t>מיל</w:t>
            </w:r>
            <w:r>
              <w:rPr>
                <w:rFonts w:cs="Times New Roman"/>
                <w:rtl w:val="true"/>
              </w:rPr>
              <w:t xml:space="preserve"> </w:t>
            </w:r>
            <w:r>
              <w:rPr>
                <w:rtl w:val="true"/>
              </w:rPr>
              <w:t>גאנם</w:t>
            </w:r>
          </w:p>
        </w:tc>
      </w:tr>
    </w:tbl>
    <w:p>
      <w:pPr>
        <w:pStyle w:val="Ruller31"/>
        <w:spacing w:lineRule="auto" w:line="240"/>
        <w:ind w:end="0"/>
        <w:jc w:val="start"/>
        <w:rPr>
          <w:sz w:val="10"/>
          <w:szCs w:val="10"/>
        </w:rPr>
      </w:pPr>
      <w:r>
        <w:rPr>
          <w:sz w:val="10"/>
          <w:szCs w:val="10"/>
          <w:rtl w:val="true"/>
        </w:rPr>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r>
              <w:rPr>
                <w:rtl w:val="true"/>
              </w:rPr>
              <w:t>מ</w:t>
            </w:r>
            <w:r>
              <w:rPr>
                <w:rtl w:val="true"/>
              </w:rPr>
              <w:t>שיב</w:t>
            </w:r>
            <w:r>
              <w:rPr>
                <w:rFonts w:cs="Times New Roman"/>
                <w:rtl w:val="true"/>
              </w:rPr>
              <w:t xml:space="preserve"> </w:t>
            </w:r>
            <w:r>
              <w:rPr/>
              <w:t>2</w:t>
            </w:r>
            <w:r>
              <w:rPr>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8347/17</w:t>
            </w:r>
            <w:r>
              <w:rPr>
                <w:rtl w:val="true"/>
              </w:rPr>
              <w:t>:</w:t>
            </w:r>
          </w:p>
        </w:tc>
        <w:tc>
          <w:tcPr>
            <w:tcW w:w="5238" w:type="dxa"/>
            <w:tcBorders/>
          </w:tcPr>
          <w:p>
            <w:pPr>
              <w:pStyle w:val="BodyRuller1"/>
              <w:ind w:end="0"/>
              <w:jc w:val="start"/>
              <w:rPr/>
            </w:pPr>
            <w:r>
              <w:rPr>
                <w:rtl w:val="true"/>
              </w:rPr>
              <w:t>מוחמד</w:t>
            </w:r>
            <w:r>
              <w:rPr>
                <w:rFonts w:cs="Times New Roman"/>
                <w:rtl w:val="true"/>
              </w:rPr>
              <w:t xml:space="preserve"> </w:t>
            </w:r>
            <w:r>
              <w:rPr>
                <w:rtl w:val="true"/>
              </w:rPr>
              <w:t>בראנסי</w:t>
            </w:r>
          </w:p>
        </w:tc>
      </w:tr>
    </w:tbl>
    <w:p>
      <w:pPr>
        <w:pStyle w:val="Ruller31"/>
        <w:spacing w:lineRule="auto" w:line="240"/>
        <w:ind w:end="0"/>
        <w:jc w:val="start"/>
        <w:rPr>
          <w:sz w:val="10"/>
          <w:szCs w:val="10"/>
        </w:rPr>
      </w:pPr>
      <w:r>
        <w:rPr>
          <w:sz w:val="10"/>
          <w:szCs w:val="10"/>
          <w:rtl w:val="true"/>
        </w:rPr>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r>
              <w:rPr>
                <w:rtl w:val="true"/>
              </w:rPr>
              <w:t>משיב</w:t>
            </w:r>
            <w:r>
              <w:rPr>
                <w:rFonts w:cs="Times New Roman"/>
                <w:rtl w:val="true"/>
              </w:rPr>
              <w:t xml:space="preserve"> </w:t>
            </w:r>
            <w:r>
              <w:rPr/>
              <w:t>1</w:t>
            </w:r>
            <w:r>
              <w:rPr>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999/18</w:t>
            </w:r>
            <w:r>
              <w:rPr>
                <w:rtl w:val="true"/>
              </w:rPr>
              <w:t>:</w:t>
            </w:r>
          </w:p>
        </w:tc>
        <w:tc>
          <w:tcPr>
            <w:tcW w:w="5238" w:type="dxa"/>
            <w:tcBorders/>
          </w:tcPr>
          <w:p>
            <w:pPr>
              <w:pStyle w:val="BodyRuller1"/>
              <w:ind w:end="0"/>
              <w:jc w:val="start"/>
              <w:rPr/>
            </w:pPr>
            <w:r>
              <w:rPr>
                <w:rtl w:val="true"/>
              </w:rPr>
              <w:t>רושד</w:t>
            </w:r>
            <w:r>
              <w:rPr>
                <w:rFonts w:cs="Times New Roman"/>
                <w:rtl w:val="true"/>
              </w:rPr>
              <w:t xml:space="preserve"> </w:t>
            </w:r>
            <w:r>
              <w:rPr>
                <w:rtl w:val="true"/>
              </w:rPr>
              <w:t>בראנסה</w:t>
            </w:r>
          </w:p>
        </w:tc>
      </w:tr>
    </w:tbl>
    <w:p>
      <w:pPr>
        <w:pStyle w:val="Ruller31"/>
        <w:spacing w:lineRule="auto" w:line="240"/>
        <w:ind w:end="0"/>
        <w:jc w:val="start"/>
        <w:rPr>
          <w:sz w:val="10"/>
          <w:szCs w:val="10"/>
        </w:rPr>
      </w:pPr>
      <w:r>
        <w:rPr>
          <w:sz w:val="10"/>
          <w:szCs w:val="10"/>
          <w:rtl w:val="true"/>
        </w:rPr>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r>
              <w:rPr>
                <w:rtl w:val="true"/>
              </w:rPr>
              <w:t>משיב</w:t>
            </w:r>
            <w:r>
              <w:rPr>
                <w:rFonts w:cs="Times New Roman"/>
                <w:rtl w:val="true"/>
              </w:rPr>
              <w:t xml:space="preserve"> </w:t>
            </w:r>
            <w:r>
              <w:rPr/>
              <w:t>2</w:t>
            </w:r>
            <w:r>
              <w:rPr>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999/18</w:t>
            </w:r>
            <w:r>
              <w:rPr>
                <w:rtl w:val="true"/>
              </w:rPr>
              <w:t>:</w:t>
            </w:r>
          </w:p>
        </w:tc>
        <w:tc>
          <w:tcPr>
            <w:tcW w:w="5238" w:type="dxa"/>
            <w:tcBorders/>
          </w:tcPr>
          <w:p>
            <w:pPr>
              <w:pStyle w:val="BodyRuller1"/>
              <w:ind w:end="0"/>
              <w:jc w:val="start"/>
              <w:rPr/>
            </w:pPr>
            <w:r>
              <w:rPr>
                <w:rtl w:val="true"/>
              </w:rPr>
              <w:t>כארם</w:t>
            </w:r>
            <w:r>
              <w:rPr>
                <w:rFonts w:cs="Times New Roman"/>
                <w:rtl w:val="true"/>
              </w:rPr>
              <w:t xml:space="preserve"> </w:t>
            </w:r>
            <w:r>
              <w:rPr>
                <w:rtl w:val="true"/>
              </w:rPr>
              <w:t>אג</w:t>
            </w:r>
            <w:r>
              <w:rPr>
                <w:rtl w:val="true"/>
              </w:rPr>
              <w:t>'</w:t>
            </w:r>
            <w:r>
              <w:rPr>
                <w:rtl w:val="true"/>
              </w:rPr>
              <w:t>מיל</w:t>
            </w:r>
          </w:p>
        </w:tc>
      </w:tr>
    </w:tbl>
    <w:p>
      <w:pPr>
        <w:pStyle w:val="Ruller31"/>
        <w:spacing w:lineRule="auto" w:line="240"/>
        <w:ind w:end="0"/>
        <w:jc w:val="start"/>
        <w:rPr>
          <w:sz w:val="10"/>
          <w:szCs w:val="10"/>
        </w:rPr>
      </w:pPr>
      <w:r>
        <w:rPr>
          <w:sz w:val="10"/>
          <w:szCs w:val="10"/>
          <w:rtl w:val="true"/>
        </w:rPr>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r>
              <w:rPr>
                <w:rtl w:val="true"/>
              </w:rPr>
              <w:t>משיב</w:t>
            </w:r>
            <w:r>
              <w:rPr>
                <w:rFonts w:cs="Times New Roman"/>
                <w:rtl w:val="true"/>
              </w:rPr>
              <w:t xml:space="preserve"> </w:t>
            </w:r>
            <w:r>
              <w:rPr/>
              <w:t>3</w:t>
            </w:r>
            <w:r>
              <w:rPr>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999/18</w:t>
            </w:r>
            <w:r>
              <w:rPr>
                <w:rtl w:val="true"/>
              </w:rPr>
              <w:t>:</w:t>
            </w:r>
          </w:p>
        </w:tc>
        <w:tc>
          <w:tcPr>
            <w:tcW w:w="5238" w:type="dxa"/>
            <w:tcBorders/>
          </w:tcPr>
          <w:p>
            <w:pPr>
              <w:pStyle w:val="BodyRuller1"/>
              <w:ind w:end="0"/>
              <w:jc w:val="start"/>
              <w:rPr/>
            </w:pPr>
            <w:r>
              <w:rPr>
                <w:rtl w:val="true"/>
              </w:rPr>
              <w:t>עבד</w:t>
            </w:r>
            <w:r>
              <w:rPr>
                <w:rFonts w:cs="Times New Roman"/>
                <w:rtl w:val="true"/>
              </w:rPr>
              <w:t xml:space="preserve"> </w:t>
            </w:r>
            <w:r>
              <w:rPr>
                <w:rtl w:val="true"/>
              </w:rPr>
              <w:t>אלראזק</w:t>
            </w:r>
            <w:r>
              <w:rPr>
                <w:rFonts w:cs="Times New Roman"/>
                <w:rtl w:val="true"/>
              </w:rPr>
              <w:t xml:space="preserve"> </w:t>
            </w:r>
            <w:r>
              <w:rPr>
                <w:rtl w:val="true"/>
              </w:rPr>
              <w:t>אלקאדר</w:t>
            </w:r>
          </w:p>
        </w:tc>
      </w:tr>
    </w:tbl>
    <w:p>
      <w:pPr>
        <w:pStyle w:val="Ruller31"/>
        <w:spacing w:lineRule="auto" w:line="240"/>
        <w:ind w:end="0"/>
        <w:jc w:val="start"/>
        <w:rPr>
          <w:sz w:val="10"/>
          <w:szCs w:val="10"/>
        </w:rPr>
      </w:pPr>
      <w:r>
        <w:rPr>
          <w:sz w:val="10"/>
          <w:szCs w:val="10"/>
          <w:rtl w:val="true"/>
        </w:rPr>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r>
              <w:rPr>
                <w:rtl w:val="true"/>
              </w:rPr>
              <w:t>משיב</w:t>
            </w:r>
            <w:r>
              <w:rPr>
                <w:rFonts w:cs="Times New Roman"/>
                <w:rtl w:val="true"/>
              </w:rPr>
              <w:t xml:space="preserve"> </w:t>
            </w:r>
            <w:r>
              <w:rPr/>
              <w:t>4</w:t>
            </w:r>
            <w:r>
              <w:rPr>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999/18</w:t>
            </w:r>
            <w:r>
              <w:rPr>
                <w:rtl w:val="true"/>
              </w:rPr>
              <w:t>:</w:t>
            </w:r>
          </w:p>
        </w:tc>
        <w:tc>
          <w:tcPr>
            <w:tcW w:w="5238" w:type="dxa"/>
            <w:tcBorders/>
          </w:tcPr>
          <w:p>
            <w:pPr>
              <w:pStyle w:val="BodyRuller1"/>
              <w:ind w:end="0"/>
              <w:jc w:val="start"/>
              <w:rPr/>
            </w:pPr>
            <w:r>
              <w:rPr>
                <w:rtl w:val="true"/>
              </w:rPr>
              <w:t>ענאן</w:t>
            </w:r>
            <w:r>
              <w:rPr>
                <w:rFonts w:cs="Times New Roman"/>
                <w:rtl w:val="true"/>
              </w:rPr>
              <w:t xml:space="preserve"> </w:t>
            </w:r>
            <w:r>
              <w:rPr>
                <w:rtl w:val="true"/>
              </w:rPr>
              <w:t>חלף</w:t>
            </w:r>
          </w:p>
        </w:tc>
      </w:tr>
    </w:tbl>
    <w:p>
      <w:pPr>
        <w:pStyle w:val="Ruller31"/>
        <w:spacing w:lineRule="auto" w:line="240"/>
        <w:ind w:end="0"/>
        <w:jc w:val="start"/>
        <w:rPr>
          <w:sz w:val="10"/>
          <w:szCs w:val="10"/>
        </w:rPr>
      </w:pPr>
      <w:r>
        <w:rPr>
          <w:sz w:val="10"/>
          <w:szCs w:val="10"/>
          <w:rtl w:val="true"/>
        </w:rPr>
      </w:r>
    </w:p>
    <w:p>
      <w:pPr>
        <w:pStyle w:val="Ruller31"/>
        <w:spacing w:lineRule="auto" w:line="240"/>
        <w:ind w:end="0"/>
        <w:jc w:val="start"/>
        <w:rPr>
          <w:rFonts w:cs="Miriam"/>
          <w:b/>
          <w:bCs/>
          <w:sz w:val="10"/>
          <w:szCs w:val="10"/>
        </w:rPr>
      </w:pPr>
      <w:r>
        <w:rPr>
          <w:rFonts w:cs="Miriam"/>
          <w:b/>
          <w:bCs/>
          <w:sz w:val="10"/>
          <w:szCs w:val="10"/>
          <w:rtl w:val="true"/>
        </w:rPr>
      </w:r>
    </w:p>
    <w:tbl>
      <w:tblPr>
        <w:bidiVisual w:val="true"/>
        <w:tblW w:w="5238" w:type="dxa"/>
        <w:jc w:val="start"/>
        <w:tblInd w:w="6" w:type="dxa"/>
        <w:tblLayout w:type="fixed"/>
        <w:tblCellMar>
          <w:top w:w="0" w:type="dxa"/>
          <w:start w:w="108" w:type="dxa"/>
          <w:bottom w:w="0" w:type="dxa"/>
          <w:end w:w="108" w:type="dxa"/>
        </w:tblCellMar>
      </w:tblPr>
      <w:tblGrid>
        <w:gridCol w:w="5238"/>
      </w:tblGrid>
      <w:tr>
        <w:trPr/>
        <w:tc>
          <w:tcPr>
            <w:tcW w:w="5238" w:type="dxa"/>
            <w:tcBorders/>
          </w:tcPr>
          <w:p>
            <w:pPr>
              <w:pStyle w:val="BodyRuller1"/>
              <w:ind w:end="0"/>
              <w:jc w:val="both"/>
              <w:rPr>
                <w:sz w:val="24"/>
                <w:szCs w:val="24"/>
              </w:rPr>
            </w:pPr>
            <w:r>
              <w:rPr>
                <w:sz w:val="24"/>
                <w:sz w:val="24"/>
                <w:szCs w:val="24"/>
                <w:rtl w:val="true"/>
              </w:rPr>
              <w:t>ערעורים</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גזרי</w:t>
            </w:r>
            <w:r>
              <w:rPr>
                <w:rFonts w:cs="Times New Roman"/>
                <w:sz w:val="24"/>
                <w:sz w:val="24"/>
                <w:szCs w:val="24"/>
                <w:rtl w:val="true"/>
              </w:rPr>
              <w:t xml:space="preserve"> </w:t>
            </w:r>
            <w:r>
              <w:rPr>
                <w:sz w:val="24"/>
                <w:sz w:val="24"/>
                <w:szCs w:val="24"/>
                <w:rtl w:val="true"/>
              </w:rPr>
              <w:t>הדין</w:t>
            </w:r>
            <w:r>
              <w:rPr>
                <w:rFonts w:cs="Times New Roman"/>
                <w:sz w:val="24"/>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בית</w:t>
            </w:r>
            <w:r>
              <w:rPr>
                <w:rFonts w:cs="Times New Roman"/>
                <w:sz w:val="24"/>
                <w:sz w:val="24"/>
                <w:szCs w:val="24"/>
                <w:rtl w:val="true"/>
              </w:rPr>
              <w:t xml:space="preserve"> </w:t>
            </w:r>
            <w:r>
              <w:rPr>
                <w:sz w:val="24"/>
                <w:sz w:val="24"/>
                <w:szCs w:val="24"/>
                <w:rtl w:val="true"/>
              </w:rPr>
              <w:t>המשפט</w:t>
            </w:r>
            <w:r>
              <w:rPr>
                <w:rFonts w:cs="Times New Roman"/>
                <w:sz w:val="24"/>
                <w:sz w:val="24"/>
                <w:szCs w:val="24"/>
                <w:rtl w:val="true"/>
              </w:rPr>
              <w:t xml:space="preserve"> </w:t>
            </w:r>
            <w:r>
              <w:rPr>
                <w:sz w:val="24"/>
                <w:sz w:val="24"/>
                <w:szCs w:val="24"/>
                <w:rtl w:val="true"/>
              </w:rPr>
              <w:t>המחוזי</w:t>
            </w:r>
            <w:r>
              <w:rPr>
                <w:rFonts w:cs="Times New Roman"/>
                <w:sz w:val="24"/>
                <w:sz w:val="24"/>
                <w:szCs w:val="24"/>
                <w:rtl w:val="true"/>
              </w:rPr>
              <w:t xml:space="preserve"> </w:t>
            </w:r>
            <w:r>
              <w:rPr>
                <w:sz w:val="24"/>
                <w:sz w:val="24"/>
                <w:szCs w:val="24"/>
                <w:rtl w:val="true"/>
              </w:rPr>
              <w:t>מרכז</w:t>
            </w:r>
            <w:r>
              <w:rPr>
                <w:sz w:val="24"/>
                <w:szCs w:val="24"/>
                <w:rtl w:val="true"/>
              </w:rPr>
              <w:t>-</w:t>
            </w:r>
            <w:r>
              <w:rPr>
                <w:sz w:val="24"/>
                <w:sz w:val="24"/>
                <w:szCs w:val="24"/>
                <w:rtl w:val="true"/>
              </w:rPr>
              <w:t>לוד</w:t>
            </w:r>
            <w:r>
              <w:rPr>
                <w:rFonts w:cs="Times New Roman"/>
                <w:sz w:val="24"/>
                <w:sz w:val="24"/>
                <w:szCs w:val="24"/>
                <w:rtl w:val="true"/>
              </w:rPr>
              <w:t xml:space="preserve"> </w:t>
            </w:r>
            <w:r>
              <w:rPr>
                <w:sz w:val="24"/>
                <w:sz w:val="24"/>
                <w:szCs w:val="24"/>
                <w:rtl w:val="true"/>
              </w:rPr>
              <w:t>מיום</w:t>
            </w:r>
            <w:r>
              <w:rPr>
                <w:rFonts w:cs="Times New Roman"/>
                <w:sz w:val="24"/>
                <w:sz w:val="24"/>
                <w:szCs w:val="24"/>
                <w:rtl w:val="true"/>
              </w:rPr>
              <w:t xml:space="preserve"> </w:t>
            </w:r>
            <w:r>
              <w:rPr>
                <w:sz w:val="24"/>
                <w:szCs w:val="24"/>
              </w:rPr>
              <w:t>11.9.2017</w:t>
            </w:r>
            <w:r>
              <w:rPr>
                <w:sz w:val="24"/>
                <w:szCs w:val="24"/>
                <w:rtl w:val="true"/>
              </w:rPr>
              <w:t xml:space="preserve"> </w:t>
            </w:r>
            <w:r>
              <w:rPr>
                <w:sz w:val="24"/>
                <w:sz w:val="24"/>
                <w:szCs w:val="24"/>
                <w:rtl w:val="true"/>
              </w:rPr>
              <w:t>ומיום</w:t>
            </w:r>
            <w:r>
              <w:rPr>
                <w:rFonts w:cs="Times New Roman"/>
                <w:sz w:val="24"/>
                <w:sz w:val="24"/>
                <w:szCs w:val="24"/>
                <w:rtl w:val="true"/>
              </w:rPr>
              <w:t xml:space="preserve"> </w:t>
            </w:r>
            <w:r>
              <w:rPr>
                <w:sz w:val="24"/>
                <w:szCs w:val="24"/>
              </w:rPr>
              <w:t>19.9.2017</w:t>
            </w:r>
            <w:r>
              <w:rPr>
                <w:sz w:val="24"/>
                <w:szCs w:val="24"/>
                <w:rtl w:val="true"/>
              </w:rPr>
              <w:t xml:space="preserve"> (</w:t>
            </w:r>
            <w:r>
              <w:rPr>
                <w:sz w:val="24"/>
                <w:sz w:val="24"/>
                <w:szCs w:val="24"/>
                <w:rtl w:val="true"/>
              </w:rPr>
              <w:t>כב</w:t>
            </w:r>
            <w:r>
              <w:rPr>
                <w:sz w:val="24"/>
                <w:szCs w:val="24"/>
                <w:rtl w:val="true"/>
              </w:rPr>
              <w:t xml:space="preserve">' </w:t>
            </w:r>
            <w:r>
              <w:rPr>
                <w:sz w:val="24"/>
                <w:sz w:val="24"/>
                <w:szCs w:val="24"/>
                <w:rtl w:val="true"/>
              </w:rPr>
              <w:t>סגנית</w:t>
            </w:r>
            <w:r>
              <w:rPr>
                <w:rFonts w:cs="Times New Roman"/>
                <w:sz w:val="24"/>
                <w:sz w:val="24"/>
                <w:szCs w:val="24"/>
                <w:rtl w:val="true"/>
              </w:rPr>
              <w:t xml:space="preserve"> </w:t>
            </w:r>
            <w:r>
              <w:rPr>
                <w:sz w:val="24"/>
                <w:sz w:val="24"/>
                <w:szCs w:val="24"/>
                <w:rtl w:val="true"/>
              </w:rPr>
              <w:t>הנשיא</w:t>
            </w:r>
            <w:r>
              <w:rPr>
                <w:rFonts w:cs="Times New Roman"/>
                <w:sz w:val="24"/>
                <w:sz w:val="24"/>
                <w:szCs w:val="24"/>
                <w:rtl w:val="true"/>
              </w:rPr>
              <w:t xml:space="preserve"> </w:t>
            </w:r>
            <w:r>
              <w:rPr>
                <w:sz w:val="24"/>
                <w:sz w:val="24"/>
                <w:szCs w:val="24"/>
                <w:rtl w:val="true"/>
              </w:rPr>
              <w:t>ר</w:t>
            </w:r>
            <w:r>
              <w:rPr>
                <w:sz w:val="24"/>
                <w:szCs w:val="24"/>
                <w:rtl w:val="true"/>
              </w:rPr>
              <w:t xml:space="preserve">' </w:t>
            </w:r>
            <w:r>
              <w:rPr>
                <w:sz w:val="24"/>
                <w:sz w:val="24"/>
                <w:szCs w:val="24"/>
                <w:rtl w:val="true"/>
              </w:rPr>
              <w:t>לורך</w:t>
            </w:r>
            <w:r>
              <w:rPr>
                <w:sz w:val="24"/>
                <w:szCs w:val="24"/>
                <w:rtl w:val="true"/>
              </w:rPr>
              <w:t xml:space="preserve">) </w:t>
            </w:r>
            <w:r>
              <w:rPr>
                <w:sz w:val="24"/>
                <w:sz w:val="24"/>
                <w:szCs w:val="24"/>
                <w:rtl w:val="true"/>
              </w:rPr>
              <w:t>וכן</w:t>
            </w:r>
            <w:r>
              <w:rPr>
                <w:rFonts w:cs="Times New Roman"/>
                <w:sz w:val="24"/>
                <w:sz w:val="24"/>
                <w:szCs w:val="24"/>
                <w:rtl w:val="true"/>
              </w:rPr>
              <w:t xml:space="preserve"> </w:t>
            </w:r>
            <w:r>
              <w:rPr>
                <w:sz w:val="24"/>
                <w:sz w:val="24"/>
                <w:szCs w:val="24"/>
                <w:rtl w:val="true"/>
              </w:rPr>
              <w:t>מיום</w:t>
            </w:r>
            <w:r>
              <w:rPr>
                <w:rFonts w:cs="Times New Roman"/>
                <w:sz w:val="24"/>
                <w:sz w:val="24"/>
                <w:szCs w:val="24"/>
                <w:rtl w:val="true"/>
              </w:rPr>
              <w:t xml:space="preserve"> </w:t>
            </w:r>
            <w:r>
              <w:rPr>
                <w:sz w:val="24"/>
                <w:szCs w:val="24"/>
              </w:rPr>
              <w:t>21.12.2017</w:t>
            </w:r>
            <w:r>
              <w:rPr>
                <w:sz w:val="24"/>
                <w:szCs w:val="24"/>
                <w:rtl w:val="true"/>
              </w:rPr>
              <w:t xml:space="preserve"> </w:t>
            </w:r>
            <w:r>
              <w:rPr>
                <w:sz w:val="24"/>
                <w:sz w:val="24"/>
                <w:szCs w:val="24"/>
                <w:rtl w:val="true"/>
              </w:rPr>
              <w:t>ומיום</w:t>
            </w:r>
            <w:r>
              <w:rPr>
                <w:rFonts w:cs="Times New Roman"/>
                <w:sz w:val="24"/>
                <w:sz w:val="24"/>
                <w:szCs w:val="24"/>
                <w:rtl w:val="true"/>
              </w:rPr>
              <w:t xml:space="preserve"> </w:t>
            </w:r>
            <w:r>
              <w:rPr>
                <w:sz w:val="24"/>
                <w:szCs w:val="24"/>
              </w:rPr>
              <w:t>8.3.2018</w:t>
            </w:r>
            <w:r>
              <w:rPr>
                <w:sz w:val="24"/>
                <w:szCs w:val="24"/>
                <w:rtl w:val="true"/>
              </w:rPr>
              <w:t xml:space="preserve"> (</w:t>
            </w:r>
            <w:r>
              <w:rPr>
                <w:sz w:val="24"/>
                <w:sz w:val="24"/>
                <w:szCs w:val="24"/>
                <w:rtl w:val="true"/>
              </w:rPr>
              <w:t>כב</w:t>
            </w:r>
            <w:r>
              <w:rPr>
                <w:sz w:val="24"/>
                <w:szCs w:val="24"/>
                <w:rtl w:val="true"/>
              </w:rPr>
              <w:t xml:space="preserve">' </w:t>
            </w:r>
            <w:r>
              <w:rPr>
                <w:sz w:val="24"/>
                <w:sz w:val="24"/>
                <w:szCs w:val="24"/>
                <w:rtl w:val="true"/>
              </w:rPr>
              <w:t>השופטת</w:t>
            </w:r>
            <w:r>
              <w:rPr>
                <w:rFonts w:cs="Times New Roman"/>
                <w:sz w:val="24"/>
                <w:sz w:val="24"/>
                <w:szCs w:val="24"/>
                <w:rtl w:val="true"/>
              </w:rPr>
              <w:t xml:space="preserve"> </w:t>
            </w:r>
            <w:r>
              <w:rPr>
                <w:sz w:val="24"/>
                <w:sz w:val="24"/>
                <w:szCs w:val="24"/>
                <w:rtl w:val="true"/>
              </w:rPr>
              <w:t>ד</w:t>
            </w:r>
            <w:r>
              <w:rPr>
                <w:sz w:val="24"/>
                <w:szCs w:val="24"/>
                <w:rtl w:val="true"/>
              </w:rPr>
              <w:t xml:space="preserve">' </w:t>
            </w:r>
            <w:r>
              <w:rPr>
                <w:sz w:val="24"/>
                <w:sz w:val="24"/>
                <w:szCs w:val="24"/>
                <w:rtl w:val="true"/>
              </w:rPr>
              <w:t>מרשק</w:t>
            </w:r>
            <w:r>
              <w:rPr>
                <w:rFonts w:cs="Times New Roman"/>
                <w:sz w:val="24"/>
                <w:sz w:val="24"/>
                <w:szCs w:val="24"/>
                <w:rtl w:val="true"/>
              </w:rPr>
              <w:t xml:space="preserve"> </w:t>
            </w:r>
            <w:r>
              <w:rPr>
                <w:sz w:val="24"/>
                <w:sz w:val="24"/>
                <w:szCs w:val="24"/>
                <w:rtl w:val="true"/>
              </w:rPr>
              <w:t>מרום</w:t>
            </w:r>
            <w:r>
              <w:rPr>
                <w:sz w:val="24"/>
                <w:szCs w:val="24"/>
                <w:rtl w:val="true"/>
              </w:rPr>
              <w:t xml:space="preserve">) </w:t>
            </w:r>
            <w:r>
              <w:rPr>
                <w:sz w:val="24"/>
                <w:sz w:val="24"/>
                <w:szCs w:val="24"/>
                <w:rtl w:val="true"/>
              </w:rPr>
              <w:t>ב</w:t>
            </w:r>
            <w:hyperlink r:id="rId2">
              <w:r>
                <w:rPr>
                  <w:rStyle w:val="Hyperlink"/>
                  <w:color w:val="0000FF"/>
                  <w:sz w:val="24"/>
                  <w:sz w:val="24"/>
                  <w:szCs w:val="24"/>
                  <w:u w:val="single"/>
                  <w:rtl w:val="true"/>
                </w:rPr>
                <w:t>ת</w:t>
              </w:r>
              <w:r>
                <w:rPr>
                  <w:rStyle w:val="Hyperlink"/>
                  <w:color w:val="0000FF"/>
                  <w:sz w:val="24"/>
                  <w:szCs w:val="24"/>
                  <w:u w:val="single"/>
                  <w:rtl w:val="true"/>
                </w:rPr>
                <w:t>"</w:t>
              </w:r>
              <w:r>
                <w:rPr>
                  <w:rStyle w:val="Hyperlink"/>
                  <w:color w:val="0000FF"/>
                  <w:sz w:val="24"/>
                  <w:sz w:val="24"/>
                  <w:szCs w:val="24"/>
                  <w:u w:val="single"/>
                  <w:rtl w:val="true"/>
                </w:rPr>
                <w:t>פ</w:t>
              </w:r>
              <w:r>
                <w:rPr>
                  <w:rStyle w:val="Hyperlink"/>
                  <w:rFonts w:cs="Times New Roman"/>
                  <w:color w:val="0000FF"/>
                  <w:sz w:val="24"/>
                  <w:sz w:val="24"/>
                  <w:szCs w:val="24"/>
                  <w:u w:val="single"/>
                  <w:rtl w:val="true"/>
                </w:rPr>
                <w:t xml:space="preserve"> </w:t>
              </w:r>
              <w:r>
                <w:rPr>
                  <w:rStyle w:val="Hyperlink"/>
                  <w:color w:val="0000FF"/>
                  <w:sz w:val="24"/>
                  <w:szCs w:val="24"/>
                  <w:u w:val="single"/>
                </w:rPr>
                <w:t>46999-07-16</w:t>
              </w:r>
            </w:hyperlink>
          </w:p>
        </w:tc>
      </w:tr>
    </w:tbl>
    <w:p>
      <w:pPr>
        <w:pStyle w:val="Ruller31"/>
        <w:spacing w:lineRule="auto" w:line="240"/>
        <w:ind w:end="0"/>
        <w:jc w:val="start"/>
        <w:rPr/>
      </w:pPr>
      <w:r>
        <w:rPr>
          <w:rtl w:val="true"/>
        </w:rPr>
        <w:tab/>
      </w:r>
    </w:p>
    <w:tbl>
      <w:tblPr>
        <w:bidiVisual w:val="true"/>
        <w:tblW w:w="8535" w:type="dxa"/>
        <w:jc w:val="start"/>
        <w:tblInd w:w="-34" w:type="dxa"/>
        <w:tblLayout w:type="fixed"/>
        <w:tblCellMar>
          <w:top w:w="0" w:type="dxa"/>
          <w:start w:w="108" w:type="dxa"/>
          <w:bottom w:w="0" w:type="dxa"/>
          <w:end w:w="108" w:type="dxa"/>
        </w:tblCellMar>
      </w:tblPr>
      <w:tblGrid>
        <w:gridCol w:w="3257"/>
        <w:gridCol w:w="2301"/>
        <w:gridCol w:w="2977"/>
      </w:tblGrid>
      <w:tr>
        <w:trPr/>
        <w:tc>
          <w:tcPr>
            <w:tcW w:w="3257" w:type="dxa"/>
            <w:tcBorders/>
          </w:tcPr>
          <w:p>
            <w:pPr>
              <w:pStyle w:val="BodyRuller1"/>
              <w:ind w:end="0"/>
              <w:jc w:val="start"/>
              <w:rPr>
                <w:sz w:val="24"/>
                <w:szCs w:val="24"/>
              </w:rPr>
            </w:pPr>
            <w:r>
              <w:rPr>
                <w:sz w:val="24"/>
                <w:sz w:val="24"/>
                <w:szCs w:val="24"/>
                <w:rtl w:val="true"/>
              </w:rPr>
              <w:t>תאריך</w:t>
            </w:r>
            <w:r>
              <w:rPr>
                <w:rFonts w:cs="Times New Roman"/>
                <w:sz w:val="24"/>
                <w:sz w:val="24"/>
                <w:szCs w:val="24"/>
                <w:rtl w:val="true"/>
              </w:rPr>
              <w:t xml:space="preserve"> </w:t>
            </w:r>
            <w:r>
              <w:rPr>
                <w:sz w:val="24"/>
                <w:sz w:val="24"/>
                <w:szCs w:val="24"/>
                <w:rtl w:val="true"/>
              </w:rPr>
              <w:t>הישיבה</w:t>
            </w:r>
            <w:r>
              <w:rPr>
                <w:sz w:val="24"/>
                <w:szCs w:val="24"/>
                <w:rtl w:val="true"/>
              </w:rPr>
              <w:t>:</w:t>
            </w:r>
          </w:p>
        </w:tc>
        <w:tc>
          <w:tcPr>
            <w:tcW w:w="2301" w:type="dxa"/>
            <w:tcBorders/>
          </w:tcPr>
          <w:p>
            <w:pPr>
              <w:pStyle w:val="BodyRuller1"/>
              <w:ind w:end="0"/>
              <w:jc w:val="start"/>
              <w:rPr/>
            </w:pPr>
            <w:r>
              <w:rPr>
                <w:sz w:val="24"/>
                <w:sz w:val="24"/>
                <w:szCs w:val="24"/>
                <w:rtl w:val="true"/>
              </w:rPr>
              <w:t>י</w:t>
            </w:r>
            <w:r>
              <w:rPr>
                <w:sz w:val="24"/>
                <w:szCs w:val="24"/>
                <w:rtl w:val="true"/>
              </w:rPr>
              <w:t>"</w:t>
            </w:r>
            <w:r>
              <w:rPr>
                <w:sz w:val="24"/>
                <w:sz w:val="24"/>
                <w:szCs w:val="24"/>
                <w:rtl w:val="true"/>
              </w:rPr>
              <w:t>ד</w:t>
            </w:r>
            <w:r>
              <w:rPr>
                <w:rFonts w:cs="Times New Roman"/>
                <w:sz w:val="24"/>
                <w:sz w:val="24"/>
                <w:szCs w:val="24"/>
                <w:rtl w:val="true"/>
              </w:rPr>
              <w:t xml:space="preserve"> </w:t>
            </w:r>
            <w:r>
              <w:rPr>
                <w:sz w:val="24"/>
                <w:sz w:val="24"/>
                <w:szCs w:val="24"/>
                <w:rtl w:val="true"/>
              </w:rPr>
              <w:t>בסיון</w:t>
            </w:r>
            <w:r>
              <w:rPr>
                <w:rFonts w:cs="Times New Roman"/>
                <w:sz w:val="24"/>
                <w:sz w:val="24"/>
                <w:szCs w:val="24"/>
                <w:rtl w:val="true"/>
              </w:rPr>
              <w:t xml:space="preserve"> </w:t>
            </w:r>
            <w:r>
              <w:rPr>
                <w:sz w:val="24"/>
                <w:sz w:val="24"/>
                <w:szCs w:val="24"/>
                <w:rtl w:val="true"/>
              </w:rPr>
              <w:t>התשע</w:t>
            </w:r>
            <w:r>
              <w:rPr>
                <w:sz w:val="24"/>
                <w:szCs w:val="24"/>
                <w:rtl w:val="true"/>
              </w:rPr>
              <w:t>"</w:t>
            </w:r>
            <w:r>
              <w:rPr>
                <w:sz w:val="24"/>
                <w:sz w:val="24"/>
                <w:szCs w:val="24"/>
                <w:rtl w:val="true"/>
              </w:rPr>
              <w:t>ח</w:t>
            </w:r>
          </w:p>
        </w:tc>
        <w:tc>
          <w:tcPr>
            <w:tcW w:w="2977" w:type="dxa"/>
            <w:tcBorders/>
          </w:tcPr>
          <w:p>
            <w:pPr>
              <w:pStyle w:val="BodyRuller1"/>
              <w:ind w:end="0"/>
              <w:jc w:val="start"/>
              <w:rPr>
                <w:sz w:val="24"/>
                <w:szCs w:val="24"/>
              </w:rPr>
            </w:pPr>
            <w:r>
              <w:rPr>
                <w:rtl w:val="true"/>
              </w:rPr>
              <w:t>(</w:t>
            </w:r>
            <w:r>
              <w:rPr/>
              <w:t>28.05.2018</w:t>
            </w:r>
            <w:r>
              <w:rPr>
                <w:rtl w:val="true"/>
              </w:rPr>
              <w:t xml:space="preserve">) </w:t>
            </w:r>
          </w:p>
        </w:tc>
      </w:tr>
    </w:tbl>
    <w:p>
      <w:pPr>
        <w:pStyle w:val="Ruller31"/>
        <w:spacing w:lineRule="auto" w:line="240"/>
        <w:ind w:end="0"/>
        <w:jc w:val="start"/>
        <w:rPr>
          <w:rFonts w:cs="Miriam"/>
          <w:b/>
          <w:bCs/>
        </w:rPr>
      </w:pPr>
      <w:r>
        <w:rPr>
          <w:rFonts w:cs="Miriam"/>
          <w:b/>
          <w:bCs/>
          <w:rtl w:val="true"/>
        </w:rPr>
      </w:r>
    </w:p>
    <w:tbl>
      <w:tblPr>
        <w:bidiVisual w:val="true"/>
        <w:tblW w:w="8495" w:type="dxa"/>
        <w:jc w:val="start"/>
        <w:tblInd w:w="6" w:type="dxa"/>
        <w:tblLayout w:type="fixed"/>
        <w:tblCellMar>
          <w:top w:w="0" w:type="dxa"/>
          <w:start w:w="108" w:type="dxa"/>
          <w:bottom w:w="0" w:type="dxa"/>
          <w:end w:w="108" w:type="dxa"/>
        </w:tblCellMar>
      </w:tblPr>
      <w:tblGrid>
        <w:gridCol w:w="3257"/>
        <w:gridCol w:w="5238"/>
      </w:tblGrid>
      <w:tr>
        <w:trPr/>
        <w:tc>
          <w:tcPr>
            <w:tcW w:w="3257" w:type="dxa"/>
            <w:tcBorders/>
          </w:tcPr>
          <w:p>
            <w:pPr>
              <w:pStyle w:val="BodyRuller1"/>
              <w:ind w:end="0"/>
              <w:jc w:val="start"/>
              <w:rPr/>
            </w:pPr>
            <w:bookmarkStart w:id="4" w:name="FirstLawyer"/>
            <w:bookmarkEnd w:id="4"/>
            <w:r>
              <w:rPr>
                <w:rtl w:val="true"/>
              </w:rPr>
              <w:t>בשם</w:t>
            </w:r>
            <w:r>
              <w:rPr>
                <w:rFonts w:cs="Times New Roman"/>
                <w:rtl w:val="true"/>
              </w:rPr>
              <w:t xml:space="preserve"> </w:t>
            </w:r>
            <w:r>
              <w:rPr>
                <w:rtl w:val="true"/>
              </w:rPr>
              <w:t>המערערת</w:t>
            </w:r>
            <w:r>
              <w:rPr>
                <w:rFonts w:cs="Times New Roman"/>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8347/17</w:t>
            </w:r>
            <w:r>
              <w:rPr>
                <w:rtl w:val="true"/>
              </w:rPr>
              <w:t xml:space="preserve"> </w:t>
            </w:r>
            <w:r>
              <w:rPr>
                <w:rtl w:val="true"/>
              </w:rPr>
              <w:t>ו</w:t>
            </w:r>
            <w:r>
              <w:rPr>
                <w:rtl w:val="true"/>
              </w:rPr>
              <w:t>ע</w:t>
            </w:r>
            <w:r>
              <w:rPr>
                <w:rtl w:val="true"/>
              </w:rPr>
              <w:t>"</w:t>
            </w:r>
            <w:r>
              <w:rPr>
                <w:rtl w:val="true"/>
              </w:rPr>
              <w:t>פ</w:t>
            </w:r>
            <w:r>
              <w:rPr>
                <w:rFonts w:cs="Times New Roman"/>
                <w:rtl w:val="true"/>
              </w:rPr>
              <w:t xml:space="preserve"> </w:t>
            </w:r>
            <w:r>
              <w:rPr/>
              <w:t>999/18</w:t>
            </w:r>
            <w:r>
              <w:rPr>
                <w:rtl w:val="true"/>
              </w:rPr>
              <w:t>;</w:t>
            </w:r>
            <w:r>
              <w:rPr>
                <w:rtl w:val="true"/>
              </w:rPr>
              <w:t xml:space="preserve"> </w:t>
            </w:r>
            <w:r>
              <w:rPr>
                <w:rtl w:val="true"/>
              </w:rPr>
              <w:t>ו</w:t>
            </w:r>
            <w:r>
              <w:rPr>
                <w:rtl w:val="true"/>
              </w:rPr>
              <w:t>המשיב</w:t>
            </w:r>
            <w:r>
              <w:rPr>
                <w:rtl w:val="true"/>
              </w:rPr>
              <w:t>ה</w:t>
            </w:r>
            <w:r>
              <w:rPr>
                <w:rFonts w:cs="Times New Roman"/>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8045/17</w:t>
            </w:r>
            <w:r>
              <w:rPr>
                <w:rtl w:val="true"/>
              </w:rPr>
              <w:t xml:space="preserve">, </w:t>
            </w:r>
            <w:r>
              <w:rPr>
                <w:rtl w:val="true"/>
              </w:rPr>
              <w:t>ע</w:t>
            </w:r>
            <w:r>
              <w:rPr>
                <w:rtl w:val="true"/>
              </w:rPr>
              <w:t>"</w:t>
            </w:r>
            <w:r>
              <w:rPr>
                <w:rtl w:val="true"/>
              </w:rPr>
              <w:t>פ</w:t>
            </w:r>
            <w:r>
              <w:rPr>
                <w:rFonts w:cs="Times New Roman"/>
                <w:rtl w:val="true"/>
              </w:rPr>
              <w:t xml:space="preserve"> </w:t>
            </w:r>
            <w:r>
              <w:rPr/>
              <w:t>8341/17</w:t>
            </w:r>
            <w:r>
              <w:rPr>
                <w:rtl w:val="true"/>
              </w:rPr>
              <w:t xml:space="preserve">, </w:t>
            </w:r>
            <w:r>
              <w:rPr>
                <w:rtl w:val="true"/>
              </w:rPr>
              <w:t>ע</w:t>
            </w:r>
            <w:r>
              <w:rPr>
                <w:rtl w:val="true"/>
              </w:rPr>
              <w:t>"</w:t>
            </w:r>
            <w:r>
              <w:rPr>
                <w:rtl w:val="true"/>
              </w:rPr>
              <w:t>פ</w:t>
            </w:r>
            <w:r>
              <w:rPr>
                <w:rFonts w:cs="Times New Roman"/>
                <w:rtl w:val="true"/>
              </w:rPr>
              <w:t xml:space="preserve"> </w:t>
            </w:r>
            <w:r>
              <w:rPr/>
              <w:t>1010/18</w:t>
            </w:r>
            <w:r>
              <w:rPr>
                <w:rtl w:val="true"/>
              </w:rPr>
              <w:t xml:space="preserve">, </w:t>
            </w:r>
            <w:r>
              <w:rPr>
                <w:rtl w:val="true"/>
              </w:rPr>
              <w:t>ע</w:t>
            </w:r>
            <w:r>
              <w:rPr>
                <w:rtl w:val="true"/>
              </w:rPr>
              <w:t>"</w:t>
            </w:r>
            <w:r>
              <w:rPr>
                <w:rtl w:val="true"/>
              </w:rPr>
              <w:t>פ</w:t>
            </w:r>
            <w:r>
              <w:rPr>
                <w:rFonts w:cs="Times New Roman"/>
                <w:rtl w:val="true"/>
              </w:rPr>
              <w:t xml:space="preserve"> </w:t>
            </w:r>
            <w:r>
              <w:rPr/>
              <w:t>1060/18</w:t>
            </w:r>
            <w:r>
              <w:rPr>
                <w:rtl w:val="true"/>
              </w:rPr>
              <w:t xml:space="preserve">, </w:t>
            </w:r>
            <w:r>
              <w:rPr>
                <w:rtl w:val="true"/>
              </w:rPr>
              <w:t>ע</w:t>
            </w:r>
            <w:r>
              <w:rPr>
                <w:rtl w:val="true"/>
              </w:rPr>
              <w:t>"</w:t>
            </w:r>
            <w:r>
              <w:rPr>
                <w:rtl w:val="true"/>
              </w:rPr>
              <w:t>פ</w:t>
            </w:r>
            <w:r>
              <w:rPr>
                <w:rFonts w:cs="Times New Roman"/>
                <w:rtl w:val="true"/>
              </w:rPr>
              <w:t xml:space="preserve"> </w:t>
            </w:r>
            <w:r>
              <w:rPr/>
              <w:t>1175/18</w:t>
            </w:r>
            <w:r>
              <w:rPr>
                <w:rtl w:val="true"/>
              </w:rPr>
              <w:t xml:space="preserve"> </w:t>
            </w:r>
            <w:r>
              <w:rPr>
                <w:rtl w:val="true"/>
              </w:rPr>
              <w:t>ו</w:t>
            </w:r>
            <w:r>
              <w:rPr>
                <w:rtl w:val="true"/>
              </w:rPr>
              <w:t>ע</w:t>
            </w:r>
            <w:r>
              <w:rPr>
                <w:rtl w:val="true"/>
              </w:rPr>
              <w:t>"</w:t>
            </w:r>
            <w:r>
              <w:rPr>
                <w:rtl w:val="true"/>
              </w:rPr>
              <w:t>פ</w:t>
            </w:r>
            <w:r>
              <w:rPr>
                <w:rFonts w:cs="Times New Roman"/>
                <w:rtl w:val="true"/>
              </w:rPr>
              <w:t xml:space="preserve"> </w:t>
            </w:r>
            <w:r>
              <w:rPr/>
              <w:t>2732/18</w:t>
            </w:r>
            <w:r>
              <w:rPr>
                <w:rtl w:val="true"/>
              </w:rPr>
              <w:t>:</w:t>
            </w:r>
          </w:p>
        </w:tc>
        <w:tc>
          <w:tcPr>
            <w:tcW w:w="5238" w:type="dxa"/>
            <w:tcBorders/>
          </w:tcPr>
          <w:p>
            <w:pPr>
              <w:pStyle w:val="BodyRuller1"/>
              <w:snapToGrid w:val="false"/>
              <w:ind w:end="0"/>
              <w:jc w:val="start"/>
              <w:rPr/>
            </w:pPr>
            <w:r>
              <w:rPr>
                <w:rtl w:val="true"/>
              </w:rPr>
            </w:r>
          </w:p>
          <w:p>
            <w:pPr>
              <w:pStyle w:val="BodyRuller1"/>
              <w:ind w:end="0"/>
              <w:jc w:val="start"/>
              <w:rPr/>
            </w:pPr>
            <w:r>
              <w:rPr>
                <w:rtl w:val="true"/>
              </w:rPr>
            </w:r>
          </w:p>
          <w:p>
            <w:pPr>
              <w:pStyle w:val="BodyRuller1"/>
              <w:ind w:end="0"/>
              <w:jc w:val="start"/>
              <w:rPr/>
            </w:pPr>
            <w:r>
              <w:rPr>
                <w:rtl w:val="true"/>
              </w:rPr>
            </w:r>
          </w:p>
          <w:p>
            <w:pPr>
              <w:pStyle w:val="BodyRuller1"/>
              <w:ind w:end="0"/>
              <w:jc w:val="start"/>
              <w:rPr/>
            </w:pPr>
            <w:r>
              <w:rPr>
                <w:rtl w:val="true"/>
              </w:rPr>
            </w:r>
          </w:p>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סיון</w:t>
            </w:r>
            <w:r>
              <w:rPr>
                <w:rFonts w:cs="Times New Roman"/>
                <w:rtl w:val="true"/>
              </w:rPr>
              <w:t xml:space="preserve"> </w:t>
            </w:r>
            <w:r>
              <w:rPr>
                <w:rtl w:val="true"/>
              </w:rPr>
              <w:t>רוסו</w:t>
            </w:r>
          </w:p>
        </w:tc>
      </w:tr>
    </w:tbl>
    <w:p>
      <w:pPr>
        <w:pStyle w:val="Ruller31"/>
        <w:spacing w:lineRule="auto" w:line="240"/>
        <w:ind w:end="0"/>
        <w:jc w:val="start"/>
        <w:rPr>
          <w:rFonts w:cs="David"/>
          <w:sz w:val="10"/>
          <w:szCs w:val="10"/>
        </w:rPr>
      </w:pPr>
      <w:r>
        <w:rPr>
          <w:rFonts w:cs="David"/>
          <w:sz w:val="10"/>
          <w:szCs w:val="10"/>
          <w:rtl w:val="true"/>
        </w:rPr>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r>
              <w:rPr>
                <w:rtl w:val="true"/>
              </w:rPr>
              <w:t>בשם</w:t>
            </w:r>
            <w:r>
              <w:rPr>
                <w:rFonts w:cs="Times New Roman"/>
                <w:rtl w:val="true"/>
              </w:rPr>
              <w:t xml:space="preserve"> </w:t>
            </w:r>
            <w:r>
              <w:rPr>
                <w:rtl w:val="true"/>
              </w:rPr>
              <w:t>המערער</w:t>
            </w:r>
            <w:r>
              <w:rPr>
                <w:rFonts w:cs="Times New Roman"/>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8045/17</w:t>
            </w:r>
            <w:r>
              <w:rPr>
                <w:rtl w:val="true"/>
              </w:rPr>
              <w:t>:</w:t>
            </w:r>
          </w:p>
        </w:tc>
        <w:tc>
          <w:tcPr>
            <w:tcW w:w="5238"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אבנון</w:t>
            </w:r>
            <w:r>
              <w:rPr>
                <w:rFonts w:cs="Times New Roman"/>
                <w:rtl w:val="true"/>
              </w:rPr>
              <w:t xml:space="preserve"> </w:t>
            </w:r>
            <w:r>
              <w:rPr>
                <w:rtl w:val="true"/>
              </w:rPr>
              <w:t>צבי</w:t>
            </w:r>
          </w:p>
        </w:tc>
      </w:tr>
    </w:tbl>
    <w:p>
      <w:pPr>
        <w:pStyle w:val="Ruller31"/>
        <w:spacing w:lineRule="auto" w:line="240"/>
        <w:ind w:end="0"/>
        <w:jc w:val="start"/>
        <w:rPr>
          <w:rFonts w:cs="David"/>
          <w:sz w:val="10"/>
          <w:szCs w:val="10"/>
        </w:rPr>
      </w:pPr>
      <w:r>
        <w:rPr>
          <w:rFonts w:cs="David"/>
          <w:sz w:val="10"/>
          <w:szCs w:val="10"/>
          <w:rtl w:val="true"/>
        </w:rPr>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r>
              <w:rPr>
                <w:rtl w:val="true"/>
              </w:rPr>
              <w:t>בשם</w:t>
            </w:r>
            <w:r>
              <w:rPr>
                <w:rFonts w:cs="Times New Roman"/>
                <w:rtl w:val="true"/>
              </w:rPr>
              <w:t xml:space="preserve"> </w:t>
            </w:r>
            <w:r>
              <w:rPr>
                <w:rtl w:val="true"/>
              </w:rPr>
              <w:t>המערער</w:t>
            </w:r>
            <w:r>
              <w:rPr>
                <w:rFonts w:cs="Times New Roman"/>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8341/17</w:t>
            </w:r>
            <w:r>
              <w:rPr>
                <w:rtl w:val="true"/>
              </w:rPr>
              <w:t>:</w:t>
            </w:r>
          </w:p>
        </w:tc>
        <w:tc>
          <w:tcPr>
            <w:tcW w:w="5238"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מאיה</w:t>
            </w:r>
            <w:r>
              <w:rPr>
                <w:rFonts w:cs="Times New Roman"/>
                <w:rtl w:val="true"/>
              </w:rPr>
              <w:t xml:space="preserve"> </w:t>
            </w:r>
            <w:r>
              <w:rPr>
                <w:rtl w:val="true"/>
              </w:rPr>
              <w:t>גלעדי</w:t>
            </w:r>
            <w:r>
              <w:rPr>
                <w:rFonts w:cs="Times New Roman"/>
                <w:rtl w:val="true"/>
              </w:rPr>
              <w:t xml:space="preserve"> </w:t>
            </w:r>
            <w:r>
              <w:rPr>
                <w:rtl w:val="true"/>
              </w:rPr>
              <w:t>ז</w:t>
            </w:r>
            <w:r>
              <w:rPr>
                <w:rtl w:val="true"/>
              </w:rPr>
              <w:t>'</w:t>
            </w:r>
            <w:r>
              <w:rPr>
                <w:rtl w:val="true"/>
              </w:rPr>
              <w:t>ולסון</w:t>
            </w:r>
          </w:p>
        </w:tc>
      </w:tr>
    </w:tbl>
    <w:p>
      <w:pPr>
        <w:pStyle w:val="Ruller31"/>
        <w:spacing w:lineRule="auto" w:line="240"/>
        <w:ind w:end="0"/>
        <w:jc w:val="start"/>
        <w:rPr>
          <w:rFonts w:cs="David"/>
          <w:sz w:val="10"/>
          <w:szCs w:val="10"/>
        </w:rPr>
      </w:pPr>
      <w:r>
        <w:rPr>
          <w:rFonts w:cs="David"/>
          <w:sz w:val="10"/>
          <w:szCs w:val="10"/>
          <w:rtl w:val="true"/>
        </w:rPr>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r>
              <w:rPr>
                <w:rtl w:val="true"/>
              </w:rPr>
              <w:t>בשם</w:t>
            </w:r>
            <w:r>
              <w:rPr>
                <w:rFonts w:cs="Times New Roman"/>
                <w:rtl w:val="true"/>
              </w:rPr>
              <w:t xml:space="preserve"> </w:t>
            </w:r>
            <w:r>
              <w:rPr>
                <w:rtl w:val="true"/>
              </w:rPr>
              <w:t>המערער</w:t>
            </w:r>
            <w:r>
              <w:rPr>
                <w:rFonts w:cs="Times New Roman"/>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1010/18</w:t>
            </w:r>
            <w:r>
              <w:rPr>
                <w:rtl w:val="true"/>
              </w:rPr>
              <w:t>:</w:t>
            </w:r>
          </w:p>
        </w:tc>
        <w:tc>
          <w:tcPr>
            <w:tcW w:w="5238"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ניל</w:t>
            </w:r>
            <w:r>
              <w:rPr>
                <w:rFonts w:cs="Times New Roman"/>
                <w:rtl w:val="true"/>
              </w:rPr>
              <w:t xml:space="preserve"> </w:t>
            </w:r>
            <w:r>
              <w:rPr>
                <w:rtl w:val="true"/>
              </w:rPr>
              <w:t>סיימון</w:t>
            </w:r>
          </w:p>
        </w:tc>
      </w:tr>
    </w:tbl>
    <w:p>
      <w:pPr>
        <w:pStyle w:val="Ruller31"/>
        <w:spacing w:lineRule="auto" w:line="240"/>
        <w:ind w:end="0"/>
        <w:jc w:val="start"/>
        <w:rPr>
          <w:rFonts w:cs="David"/>
          <w:sz w:val="10"/>
          <w:szCs w:val="10"/>
        </w:rPr>
      </w:pPr>
      <w:r>
        <w:rPr>
          <w:rFonts w:cs="David"/>
          <w:sz w:val="10"/>
          <w:szCs w:val="10"/>
          <w:rtl w:val="true"/>
        </w:rPr>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r>
              <w:rPr>
                <w:rtl w:val="true"/>
              </w:rPr>
              <w:t>בשם</w:t>
            </w:r>
            <w:r>
              <w:rPr>
                <w:rFonts w:cs="Times New Roman"/>
                <w:rtl w:val="true"/>
              </w:rPr>
              <w:t xml:space="preserve"> </w:t>
            </w:r>
            <w:r>
              <w:rPr>
                <w:rtl w:val="true"/>
              </w:rPr>
              <w:t>ה</w:t>
            </w:r>
            <w:r>
              <w:rPr>
                <w:rtl w:val="true"/>
              </w:rPr>
              <w:t>מערער</w:t>
            </w:r>
            <w:r>
              <w:rPr>
                <w:rFonts w:cs="Times New Roman"/>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1060/18</w:t>
            </w:r>
            <w:r>
              <w:rPr>
                <w:rtl w:val="true"/>
              </w:rPr>
              <w:t xml:space="preserve"> </w:t>
            </w:r>
            <w:r>
              <w:rPr>
                <w:rtl w:val="true"/>
              </w:rPr>
              <w:t>ומשיב</w:t>
            </w:r>
            <w:r>
              <w:rPr>
                <w:rFonts w:cs="Times New Roman"/>
                <w:rtl w:val="true"/>
              </w:rPr>
              <w:t xml:space="preserve"> </w:t>
            </w:r>
            <w:r>
              <w:rPr/>
              <w:t>1</w:t>
            </w:r>
            <w:r>
              <w:rPr>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999/18</w:t>
            </w:r>
            <w:r>
              <w:rPr>
                <w:rtl w:val="true"/>
              </w:rPr>
              <w:t>:</w:t>
            </w:r>
          </w:p>
        </w:tc>
        <w:tc>
          <w:tcPr>
            <w:tcW w:w="5238" w:type="dxa"/>
            <w:tcBorders/>
          </w:tcPr>
          <w:p>
            <w:pPr>
              <w:pStyle w:val="BodyRuller1"/>
              <w:snapToGrid w:val="false"/>
              <w:ind w:end="0"/>
              <w:jc w:val="start"/>
              <w:rPr/>
            </w:pPr>
            <w:r>
              <w:rPr>
                <w:rtl w:val="true"/>
              </w:rPr>
            </w:r>
          </w:p>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דרויש</w:t>
            </w:r>
            <w:r>
              <w:rPr>
                <w:rFonts w:cs="Times New Roman"/>
                <w:rtl w:val="true"/>
              </w:rPr>
              <w:t xml:space="preserve"> </w:t>
            </w:r>
            <w:r>
              <w:rPr>
                <w:rtl w:val="true"/>
              </w:rPr>
              <w:t>נאשף</w:t>
            </w:r>
          </w:p>
        </w:tc>
      </w:tr>
    </w:tbl>
    <w:p>
      <w:pPr>
        <w:pStyle w:val="Ruller31"/>
        <w:spacing w:lineRule="auto" w:line="240"/>
        <w:ind w:end="0"/>
        <w:jc w:val="start"/>
        <w:rPr>
          <w:rFonts w:cs="David"/>
          <w:sz w:val="10"/>
          <w:szCs w:val="10"/>
        </w:rPr>
      </w:pPr>
      <w:r>
        <w:rPr>
          <w:rFonts w:cs="David"/>
          <w:sz w:val="10"/>
          <w:szCs w:val="10"/>
          <w:rtl w:val="true"/>
        </w:rPr>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r>
              <w:rPr>
                <w:rtl w:val="true"/>
              </w:rPr>
              <w:t>בשם</w:t>
            </w:r>
            <w:r>
              <w:rPr>
                <w:rFonts w:cs="Times New Roman"/>
                <w:rtl w:val="true"/>
              </w:rPr>
              <w:t xml:space="preserve"> </w:t>
            </w:r>
            <w:r>
              <w:rPr>
                <w:rtl w:val="true"/>
              </w:rPr>
              <w:t>המערער</w:t>
            </w:r>
            <w:r>
              <w:rPr>
                <w:rFonts w:cs="Times New Roman"/>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1175/18</w:t>
            </w:r>
            <w:r>
              <w:rPr>
                <w:rtl w:val="true"/>
              </w:rPr>
              <w:t>:</w:t>
            </w:r>
          </w:p>
        </w:tc>
        <w:tc>
          <w:tcPr>
            <w:tcW w:w="5238"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היתם</w:t>
            </w:r>
            <w:r>
              <w:rPr>
                <w:rFonts w:cs="Times New Roman"/>
                <w:rtl w:val="true"/>
              </w:rPr>
              <w:t xml:space="preserve"> </w:t>
            </w:r>
            <w:r>
              <w:rPr>
                <w:rtl w:val="true"/>
              </w:rPr>
              <w:t>חאג</w:t>
            </w:r>
            <w:r>
              <w:rPr>
                <w:rtl w:val="true"/>
              </w:rPr>
              <w:t xml:space="preserve">' </w:t>
            </w:r>
            <w:r>
              <w:rPr>
                <w:rtl w:val="true"/>
              </w:rPr>
              <w:t>יחיא</w:t>
            </w:r>
          </w:p>
        </w:tc>
      </w:tr>
    </w:tbl>
    <w:p>
      <w:pPr>
        <w:pStyle w:val="Ruller31"/>
        <w:spacing w:lineRule="auto" w:line="240"/>
        <w:ind w:end="0"/>
        <w:jc w:val="start"/>
        <w:rPr>
          <w:rFonts w:cs="David"/>
          <w:sz w:val="10"/>
          <w:szCs w:val="10"/>
        </w:rPr>
      </w:pPr>
      <w:r>
        <w:rPr>
          <w:rFonts w:cs="David"/>
          <w:sz w:val="10"/>
          <w:szCs w:val="10"/>
          <w:rtl w:val="true"/>
        </w:rPr>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r>
              <w:rPr>
                <w:rtl w:val="true"/>
              </w:rPr>
              <w:t>בשם</w:t>
            </w:r>
            <w:r>
              <w:rPr>
                <w:rFonts w:cs="Times New Roman"/>
                <w:rtl w:val="true"/>
              </w:rPr>
              <w:t xml:space="preserve"> </w:t>
            </w:r>
            <w:r>
              <w:rPr>
                <w:rtl w:val="true"/>
              </w:rPr>
              <w:t>המערער</w:t>
            </w:r>
            <w:r>
              <w:rPr>
                <w:rFonts w:cs="Times New Roman"/>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2732/18</w:t>
            </w:r>
            <w:r>
              <w:rPr>
                <w:rtl w:val="true"/>
              </w:rPr>
              <w:t>:</w:t>
            </w:r>
          </w:p>
        </w:tc>
        <w:tc>
          <w:tcPr>
            <w:tcW w:w="5238"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דוד</w:t>
            </w:r>
            <w:r>
              <w:rPr>
                <w:rFonts w:cs="Times New Roman"/>
                <w:rtl w:val="true"/>
              </w:rPr>
              <w:t xml:space="preserve"> </w:t>
            </w:r>
            <w:r>
              <w:rPr>
                <w:rtl w:val="true"/>
              </w:rPr>
              <w:t>זילברמן</w:t>
            </w:r>
          </w:p>
        </w:tc>
      </w:tr>
    </w:tbl>
    <w:p>
      <w:pPr>
        <w:pStyle w:val="Ruller31"/>
        <w:spacing w:lineRule="auto" w:line="240"/>
        <w:ind w:end="0"/>
        <w:jc w:val="start"/>
        <w:rPr>
          <w:rFonts w:cs="David"/>
          <w:sz w:val="10"/>
          <w:szCs w:val="10"/>
        </w:rPr>
      </w:pPr>
      <w:r>
        <w:rPr>
          <w:rFonts w:cs="David"/>
          <w:sz w:val="10"/>
          <w:szCs w:val="10"/>
          <w:rtl w:val="true"/>
        </w:rPr>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r>
              <w:rPr>
                <w:rtl w:val="true"/>
              </w:rPr>
              <w:t>בשם</w:t>
            </w:r>
            <w:r>
              <w:rPr>
                <w:rFonts w:cs="Times New Roman"/>
                <w:rtl w:val="true"/>
              </w:rPr>
              <w:t xml:space="preserve"> </w:t>
            </w:r>
            <w:r>
              <w:rPr>
                <w:rtl w:val="true"/>
              </w:rPr>
              <w:t>מ</w:t>
            </w:r>
            <w:r>
              <w:rPr>
                <w:rtl w:val="true"/>
              </w:rPr>
              <w:t>שיב</w:t>
            </w:r>
            <w:r>
              <w:rPr>
                <w:rFonts w:cs="Times New Roman"/>
                <w:rtl w:val="true"/>
              </w:rPr>
              <w:t xml:space="preserve"> </w:t>
            </w:r>
            <w:r>
              <w:rPr/>
              <w:t>1</w:t>
            </w:r>
            <w:r>
              <w:rPr>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8347/17</w:t>
            </w:r>
            <w:r>
              <w:rPr>
                <w:rtl w:val="true"/>
              </w:rPr>
              <w:t>:</w:t>
            </w:r>
          </w:p>
        </w:tc>
        <w:tc>
          <w:tcPr>
            <w:tcW w:w="5238"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עומר</w:t>
            </w:r>
            <w:r>
              <w:rPr>
                <w:rFonts w:cs="Times New Roman"/>
                <w:rtl w:val="true"/>
              </w:rPr>
              <w:t xml:space="preserve"> </w:t>
            </w:r>
            <w:r>
              <w:rPr>
                <w:rtl w:val="true"/>
              </w:rPr>
              <w:t>מסארווה</w:t>
            </w:r>
          </w:p>
        </w:tc>
      </w:tr>
    </w:tbl>
    <w:p>
      <w:pPr>
        <w:pStyle w:val="Ruller31"/>
        <w:spacing w:lineRule="auto" w:line="240"/>
        <w:ind w:end="0"/>
        <w:jc w:val="start"/>
        <w:rPr>
          <w:rFonts w:cs="David"/>
          <w:sz w:val="10"/>
          <w:szCs w:val="10"/>
        </w:rPr>
      </w:pPr>
      <w:r>
        <w:rPr>
          <w:rFonts w:cs="David"/>
          <w:sz w:val="10"/>
          <w:szCs w:val="10"/>
          <w:rtl w:val="true"/>
        </w:rPr>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r>
              <w:rPr>
                <w:rtl w:val="true"/>
              </w:rPr>
              <w:t>בשם</w:t>
            </w:r>
            <w:r>
              <w:rPr>
                <w:rFonts w:cs="Times New Roman"/>
                <w:rtl w:val="true"/>
              </w:rPr>
              <w:t xml:space="preserve"> </w:t>
            </w:r>
            <w:r>
              <w:rPr>
                <w:rtl w:val="true"/>
              </w:rPr>
              <w:t>מ</w:t>
            </w:r>
            <w:r>
              <w:rPr>
                <w:rtl w:val="true"/>
              </w:rPr>
              <w:t>שיב</w:t>
            </w:r>
            <w:r>
              <w:rPr>
                <w:rFonts w:cs="Times New Roman"/>
                <w:rtl w:val="true"/>
              </w:rPr>
              <w:t xml:space="preserve"> </w:t>
            </w:r>
            <w:r>
              <w:rPr/>
              <w:t>2</w:t>
            </w:r>
            <w:r>
              <w:rPr>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8347/17</w:t>
            </w:r>
            <w:r>
              <w:rPr>
                <w:rtl w:val="true"/>
              </w:rPr>
              <w:t>:</w:t>
            </w:r>
          </w:p>
        </w:tc>
        <w:tc>
          <w:tcPr>
            <w:tcW w:w="5238"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רביע</w:t>
            </w:r>
            <w:r>
              <w:rPr>
                <w:rFonts w:cs="Times New Roman"/>
                <w:rtl w:val="true"/>
              </w:rPr>
              <w:t xml:space="preserve"> </w:t>
            </w:r>
            <w:r>
              <w:rPr>
                <w:rtl w:val="true"/>
              </w:rPr>
              <w:t>אגרביה</w:t>
            </w:r>
          </w:p>
        </w:tc>
      </w:tr>
    </w:tbl>
    <w:p>
      <w:pPr>
        <w:pStyle w:val="Ruller31"/>
        <w:spacing w:lineRule="auto" w:line="240"/>
        <w:ind w:end="0"/>
        <w:jc w:val="start"/>
        <w:rPr>
          <w:rFonts w:cs="David"/>
          <w:sz w:val="10"/>
          <w:szCs w:val="10"/>
        </w:rPr>
      </w:pPr>
      <w:r>
        <w:rPr>
          <w:rFonts w:cs="David"/>
          <w:sz w:val="10"/>
          <w:szCs w:val="10"/>
          <w:rtl w:val="true"/>
        </w:rPr>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r>
              <w:rPr>
                <w:rtl w:val="true"/>
              </w:rPr>
              <w:t>בשם</w:t>
            </w:r>
            <w:r>
              <w:rPr>
                <w:rFonts w:cs="Times New Roman"/>
                <w:rtl w:val="true"/>
              </w:rPr>
              <w:t xml:space="preserve"> </w:t>
            </w:r>
            <w:r>
              <w:rPr>
                <w:rtl w:val="true"/>
              </w:rPr>
              <w:t>משיב</w:t>
            </w:r>
            <w:r>
              <w:rPr>
                <w:rFonts w:cs="Times New Roman"/>
                <w:rtl w:val="true"/>
              </w:rPr>
              <w:t xml:space="preserve"> </w:t>
            </w:r>
            <w:r>
              <w:rPr/>
              <w:t>2</w:t>
            </w:r>
            <w:r>
              <w:rPr>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999/18</w:t>
            </w:r>
            <w:r>
              <w:rPr>
                <w:rtl w:val="true"/>
              </w:rPr>
              <w:t>:</w:t>
            </w:r>
          </w:p>
        </w:tc>
        <w:tc>
          <w:tcPr>
            <w:tcW w:w="5238"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חיים</w:t>
            </w:r>
            <w:r>
              <w:rPr>
                <w:rFonts w:cs="Times New Roman"/>
                <w:rtl w:val="true"/>
              </w:rPr>
              <w:t xml:space="preserve"> </w:t>
            </w:r>
            <w:r>
              <w:rPr>
                <w:rtl w:val="true"/>
              </w:rPr>
              <w:t>שוורצברג</w:t>
            </w:r>
          </w:p>
        </w:tc>
      </w:tr>
    </w:tbl>
    <w:p>
      <w:pPr>
        <w:pStyle w:val="Ruller31"/>
        <w:spacing w:lineRule="auto" w:line="240"/>
        <w:ind w:end="0"/>
        <w:jc w:val="start"/>
        <w:rPr>
          <w:rFonts w:cs="David"/>
          <w:sz w:val="10"/>
          <w:szCs w:val="10"/>
        </w:rPr>
      </w:pPr>
      <w:r>
        <w:rPr>
          <w:rFonts w:cs="David"/>
          <w:sz w:val="10"/>
          <w:szCs w:val="10"/>
          <w:rtl w:val="true"/>
        </w:rPr>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r>
              <w:rPr>
                <w:rtl w:val="true"/>
              </w:rPr>
              <w:t>בשם</w:t>
            </w:r>
            <w:r>
              <w:rPr>
                <w:rFonts w:cs="Times New Roman"/>
                <w:rtl w:val="true"/>
              </w:rPr>
              <w:t xml:space="preserve"> </w:t>
            </w:r>
            <w:r>
              <w:rPr>
                <w:rtl w:val="true"/>
              </w:rPr>
              <w:t>משיב</w:t>
            </w:r>
            <w:r>
              <w:rPr>
                <w:rFonts w:cs="Times New Roman"/>
                <w:rtl w:val="true"/>
              </w:rPr>
              <w:t xml:space="preserve"> </w:t>
            </w:r>
            <w:r>
              <w:rPr/>
              <w:t>3</w:t>
            </w:r>
            <w:r>
              <w:rPr>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999/18</w:t>
            </w:r>
            <w:r>
              <w:rPr>
                <w:rtl w:val="true"/>
              </w:rPr>
              <w:t>:</w:t>
            </w:r>
          </w:p>
        </w:tc>
        <w:tc>
          <w:tcPr>
            <w:tcW w:w="5238"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נדיר</w:t>
            </w:r>
            <w:r>
              <w:rPr>
                <w:rFonts w:cs="Times New Roman"/>
                <w:rtl w:val="true"/>
              </w:rPr>
              <w:t xml:space="preserve"> </w:t>
            </w:r>
            <w:r>
              <w:rPr>
                <w:rtl w:val="true"/>
              </w:rPr>
              <w:t>בראנסי</w:t>
            </w:r>
          </w:p>
        </w:tc>
      </w:tr>
    </w:tbl>
    <w:p>
      <w:pPr>
        <w:pStyle w:val="Ruller31"/>
        <w:spacing w:lineRule="auto" w:line="240"/>
        <w:ind w:end="0"/>
        <w:jc w:val="start"/>
        <w:rPr>
          <w:rFonts w:cs="David"/>
          <w:sz w:val="10"/>
          <w:szCs w:val="10"/>
        </w:rPr>
      </w:pPr>
      <w:r>
        <w:rPr>
          <w:rFonts w:cs="David"/>
          <w:sz w:val="10"/>
          <w:szCs w:val="10"/>
          <w:rtl w:val="true"/>
        </w:rPr>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r>
              <w:rPr>
                <w:rtl w:val="true"/>
              </w:rPr>
              <w:t>בשם</w:t>
            </w:r>
            <w:r>
              <w:rPr>
                <w:rFonts w:cs="Times New Roman"/>
                <w:rtl w:val="true"/>
              </w:rPr>
              <w:t xml:space="preserve"> </w:t>
            </w:r>
            <w:r>
              <w:rPr>
                <w:rtl w:val="true"/>
              </w:rPr>
              <w:t>משיב</w:t>
            </w:r>
            <w:r>
              <w:rPr>
                <w:rFonts w:cs="Times New Roman"/>
                <w:rtl w:val="true"/>
              </w:rPr>
              <w:t xml:space="preserve"> </w:t>
            </w:r>
            <w:r>
              <w:rPr/>
              <w:t>4</w:t>
            </w:r>
            <w:r>
              <w:rPr>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999/18</w:t>
            </w:r>
            <w:r>
              <w:rPr>
                <w:rtl w:val="true"/>
              </w:rPr>
              <w:t>:</w:t>
            </w:r>
          </w:p>
        </w:tc>
        <w:tc>
          <w:tcPr>
            <w:tcW w:w="5238"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זאב</w:t>
            </w:r>
            <w:r>
              <w:rPr>
                <w:rFonts w:cs="Times New Roman"/>
                <w:rtl w:val="true"/>
              </w:rPr>
              <w:t xml:space="preserve"> </w:t>
            </w:r>
            <w:r>
              <w:rPr>
                <w:rtl w:val="true"/>
              </w:rPr>
              <w:t>אלוני</w:t>
            </w:r>
          </w:p>
        </w:tc>
      </w:tr>
    </w:tbl>
    <w:p>
      <w:pPr>
        <w:pStyle w:val="Ruller31"/>
        <w:spacing w:lineRule="auto" w:line="240"/>
        <w:ind w:end="0"/>
        <w:jc w:val="start"/>
        <w:rPr/>
      </w:pPr>
      <w:r>
        <w:rPr>
          <w:rtl w:val="true"/>
        </w:rPr>
      </w:r>
      <w:bookmarkStart w:id="5" w:name="LawTable"/>
      <w:bookmarkStart w:id="6" w:name="LawTable"/>
      <w:bookmarkEnd w:id="6"/>
    </w:p>
    <w:p>
      <w:pPr>
        <w:pStyle w:val="Ruller31"/>
        <w:spacing w:lineRule="exact" w:line="240" w:before="0" w:after="120"/>
        <w:ind w:hanging="283" w:start="283" w:end="0"/>
        <w:jc w:val="both"/>
        <w:rPr>
          <w:rFonts w:ascii="FrankRuehl" w:hAnsi="FrankRuehl" w:cs="FrankRuehl"/>
          <w:spacing w:val="0"/>
          <w:sz w:val="24"/>
          <w:szCs w:val="24"/>
        </w:rPr>
      </w:pPr>
      <w:r>
        <w:rPr>
          <w:rFonts w:cs="FrankRuehl" w:ascii="FrankRuehl" w:hAnsi="FrankRuehl"/>
          <w:spacing w:val="0"/>
          <w:sz w:val="24"/>
          <w:szCs w:val="24"/>
          <w:rtl w:val="true"/>
        </w:rPr>
      </w:r>
    </w:p>
    <w:p>
      <w:pPr>
        <w:pStyle w:val="Ruller31"/>
        <w:spacing w:lineRule="exact" w:line="240" w:before="0" w:after="120"/>
        <w:ind w:hanging="283" w:start="283" w:end="0"/>
        <w:jc w:val="both"/>
        <w:rPr>
          <w:rFonts w:ascii="FrankRuehl" w:hAnsi="FrankRuehl" w:cs="FrankRuehl"/>
          <w:spacing w:val="0"/>
          <w:sz w:val="24"/>
          <w:szCs w:val="24"/>
        </w:rPr>
      </w:pPr>
      <w:r>
        <w:rPr>
          <w:rFonts w:ascii="FrankRuehl" w:hAnsi="FrankRuehl"/>
          <w:spacing w:val="0"/>
          <w:sz w:val="24"/>
          <w:sz w:val="24"/>
          <w:szCs w:val="24"/>
          <w:rtl w:val="true"/>
        </w:rPr>
        <w:t>חקיקה שאוזכרה</w:t>
      </w:r>
      <w:r>
        <w:rPr>
          <w:rFonts w:cs="FrankRuehl" w:ascii="FrankRuehl" w:hAnsi="FrankRuehl"/>
          <w:spacing w:val="0"/>
          <w:sz w:val="24"/>
          <w:szCs w:val="24"/>
          <w:rtl w:val="true"/>
        </w:rPr>
        <w:t xml:space="preserve">: </w:t>
      </w:r>
    </w:p>
    <w:p>
      <w:pPr>
        <w:pStyle w:val="Ruller31"/>
        <w:spacing w:lineRule="exact" w:line="240" w:before="0" w:after="120"/>
        <w:ind w:hanging="283" w:start="283" w:end="0"/>
        <w:jc w:val="both"/>
        <w:rPr>
          <w:rFonts w:ascii="FrankRuehl" w:hAnsi="FrankRuehl" w:cs="FrankRuehl"/>
          <w:spacing w:val="0"/>
          <w:sz w:val="24"/>
          <w:szCs w:val="24"/>
        </w:rPr>
      </w:pPr>
      <w:hyperlink r:id="rId3">
        <w:r>
          <w:rPr>
            <w:rStyle w:val="Hyperlink"/>
            <w:rFonts w:ascii="FrankRuehl" w:hAnsi="FrankRuehl"/>
            <w:color w:val="0000FF"/>
            <w:spacing w:val="0"/>
            <w:sz w:val="24"/>
            <w:sz w:val="24"/>
            <w:szCs w:val="24"/>
            <w:u w:val="single"/>
            <w:rtl w:val="true"/>
          </w:rPr>
          <w:t>חוק העונשין</w:t>
        </w:r>
        <w:r>
          <w:rPr>
            <w:rStyle w:val="Hyperlink"/>
            <w:rFonts w:cs="FrankRuehl" w:ascii="FrankRuehl" w:hAnsi="FrankRuehl"/>
            <w:color w:val="0000FF"/>
            <w:spacing w:val="0"/>
            <w:sz w:val="24"/>
            <w:szCs w:val="24"/>
            <w:u w:val="single"/>
            <w:rtl w:val="true"/>
          </w:rPr>
          <w:t xml:space="preserve">, </w:t>
        </w:r>
        <w:r>
          <w:rPr>
            <w:rStyle w:val="Hyperlink"/>
            <w:rFonts w:ascii="FrankRuehl" w:hAnsi="FrankRuehl"/>
            <w:color w:val="0000FF"/>
            <w:spacing w:val="0"/>
            <w:sz w:val="24"/>
            <w:sz w:val="24"/>
            <w:szCs w:val="24"/>
            <w:u w:val="single"/>
            <w:rtl w:val="true"/>
          </w:rPr>
          <w:t>תשל</w:t>
        </w:r>
        <w:r>
          <w:rPr>
            <w:rStyle w:val="Hyperlink"/>
            <w:rFonts w:cs="FrankRuehl" w:ascii="FrankRuehl" w:hAnsi="FrankRuehl"/>
            <w:color w:val="0000FF"/>
            <w:spacing w:val="0"/>
            <w:sz w:val="24"/>
            <w:szCs w:val="24"/>
            <w:u w:val="single"/>
            <w:rtl w:val="true"/>
          </w:rPr>
          <w:t>"</w:t>
        </w:r>
        <w:r>
          <w:rPr>
            <w:rStyle w:val="Hyperlink"/>
            <w:rFonts w:ascii="FrankRuehl" w:hAnsi="FrankRuehl"/>
            <w:color w:val="0000FF"/>
            <w:spacing w:val="0"/>
            <w:sz w:val="24"/>
            <w:sz w:val="24"/>
            <w:szCs w:val="24"/>
            <w:u w:val="single"/>
            <w:rtl w:val="true"/>
          </w:rPr>
          <w:t>ז</w:t>
        </w:r>
        <w:r>
          <w:rPr>
            <w:rStyle w:val="Hyperlink"/>
            <w:rFonts w:cs="FrankRuehl" w:ascii="FrankRuehl" w:hAnsi="FrankRuehl"/>
            <w:color w:val="0000FF"/>
            <w:spacing w:val="0"/>
            <w:sz w:val="24"/>
            <w:szCs w:val="24"/>
            <w:u w:val="single"/>
            <w:rtl w:val="true"/>
          </w:rPr>
          <w:t>-</w:t>
        </w:r>
        <w:r>
          <w:rPr>
            <w:rStyle w:val="Hyperlink"/>
            <w:rFonts w:cs="FrankRuehl" w:ascii="FrankRuehl" w:hAnsi="FrankRuehl"/>
            <w:color w:val="0000FF"/>
            <w:spacing w:val="0"/>
            <w:sz w:val="24"/>
            <w:szCs w:val="24"/>
            <w:u w:val="single"/>
          </w:rPr>
          <w:t>1977</w:t>
        </w:r>
      </w:hyperlink>
      <w:r>
        <w:rPr>
          <w:rFonts w:cs="FrankRuehl" w:ascii="FrankRuehl" w:hAnsi="FrankRuehl"/>
          <w:spacing w:val="0"/>
          <w:sz w:val="24"/>
          <w:szCs w:val="24"/>
          <w:rtl w:val="true"/>
        </w:rPr>
        <w:t xml:space="preserve">: </w:t>
      </w:r>
      <w:r>
        <w:rPr>
          <w:rFonts w:ascii="FrankRuehl" w:hAnsi="FrankRuehl"/>
          <w:spacing w:val="0"/>
          <w:sz w:val="24"/>
          <w:sz w:val="24"/>
          <w:szCs w:val="24"/>
          <w:rtl w:val="true"/>
        </w:rPr>
        <w:t>סע</w:t>
      </w:r>
      <w:r>
        <w:rPr>
          <w:rFonts w:cs="FrankRuehl" w:ascii="FrankRuehl" w:hAnsi="FrankRuehl"/>
          <w:spacing w:val="0"/>
          <w:sz w:val="24"/>
          <w:szCs w:val="24"/>
          <w:rtl w:val="true"/>
        </w:rPr>
        <w:t xml:space="preserve">'  </w:t>
      </w:r>
      <w:hyperlink r:id="rId4">
        <w:r>
          <w:rPr>
            <w:rStyle w:val="Hyperlink"/>
            <w:rFonts w:cs="FrankRuehl" w:ascii="FrankRuehl" w:hAnsi="FrankRuehl"/>
            <w:color w:val="0000FF"/>
            <w:spacing w:val="0"/>
            <w:sz w:val="24"/>
            <w:szCs w:val="24"/>
            <w:u w:val="single"/>
          </w:rPr>
          <w:t>25</w:t>
        </w:r>
      </w:hyperlink>
      <w:r>
        <w:rPr>
          <w:rFonts w:cs="FrankRuehl" w:ascii="FrankRuehl" w:hAnsi="FrankRuehl"/>
          <w:spacing w:val="0"/>
          <w:sz w:val="24"/>
          <w:szCs w:val="24"/>
          <w:rtl w:val="true"/>
        </w:rPr>
        <w:t xml:space="preserve">, </w:t>
      </w:r>
      <w:hyperlink r:id="rId5">
        <w:r>
          <w:rPr>
            <w:rStyle w:val="Hyperlink"/>
            <w:rFonts w:cs="FrankRuehl" w:ascii="FrankRuehl" w:hAnsi="FrankRuehl"/>
            <w:color w:val="0000FF"/>
            <w:spacing w:val="0"/>
            <w:sz w:val="24"/>
            <w:szCs w:val="24"/>
            <w:u w:val="single"/>
          </w:rPr>
          <w:t>29</w:t>
        </w:r>
      </w:hyperlink>
      <w:r>
        <w:rPr>
          <w:rFonts w:cs="FrankRuehl" w:ascii="FrankRuehl" w:hAnsi="FrankRuehl"/>
          <w:spacing w:val="0"/>
          <w:sz w:val="24"/>
          <w:szCs w:val="24"/>
          <w:rtl w:val="true"/>
        </w:rPr>
        <w:t xml:space="preserve">, </w:t>
      </w:r>
      <w:hyperlink r:id="rId6">
        <w:r>
          <w:rPr>
            <w:rStyle w:val="Hyperlink"/>
            <w:rFonts w:cs="FrankRuehl" w:ascii="FrankRuehl" w:hAnsi="FrankRuehl"/>
            <w:color w:val="0000FF"/>
            <w:spacing w:val="0"/>
            <w:sz w:val="24"/>
            <w:szCs w:val="24"/>
            <w:u w:val="single"/>
          </w:rPr>
          <w:t>31</w:t>
        </w:r>
      </w:hyperlink>
      <w:r>
        <w:rPr>
          <w:rFonts w:cs="FrankRuehl" w:ascii="FrankRuehl" w:hAnsi="FrankRuehl"/>
          <w:spacing w:val="0"/>
          <w:sz w:val="24"/>
          <w:szCs w:val="24"/>
          <w:rtl w:val="true"/>
        </w:rPr>
        <w:t xml:space="preserve">, </w:t>
      </w:r>
      <w:hyperlink r:id="rId7">
        <w:r>
          <w:rPr>
            <w:rStyle w:val="Hyperlink"/>
            <w:rFonts w:cs="FrankRuehl" w:ascii="FrankRuehl" w:hAnsi="FrankRuehl"/>
            <w:color w:val="0000FF"/>
            <w:spacing w:val="0"/>
            <w:sz w:val="24"/>
            <w:szCs w:val="24"/>
            <w:u w:val="single"/>
          </w:rPr>
          <w:t>40</w:t>
        </w:r>
      </w:hyperlink>
      <w:r>
        <w:rPr>
          <w:rFonts w:cs="FrankRuehl" w:ascii="FrankRuehl" w:hAnsi="FrankRuehl"/>
          <w:spacing w:val="0"/>
          <w:sz w:val="24"/>
          <w:szCs w:val="24"/>
          <w:rtl w:val="true"/>
        </w:rPr>
        <w:t xml:space="preserve">, </w:t>
      </w:r>
      <w:hyperlink r:id="rId8">
        <w:r>
          <w:rPr>
            <w:rStyle w:val="Hyperlink"/>
            <w:rFonts w:cs="FrankRuehl" w:ascii="FrankRuehl" w:hAnsi="FrankRuehl"/>
            <w:color w:val="0000FF"/>
            <w:spacing w:val="0"/>
            <w:sz w:val="24"/>
            <w:szCs w:val="24"/>
            <w:u w:val="single"/>
          </w:rPr>
          <w:t>40</w:t>
        </w:r>
        <w:r>
          <w:rPr>
            <w:rStyle w:val="Hyperlink"/>
            <w:rFonts w:ascii="FrankRuehl" w:hAnsi="FrankRuehl"/>
            <w:color w:val="0000FF"/>
            <w:spacing w:val="0"/>
            <w:sz w:val="24"/>
            <w:sz w:val="24"/>
            <w:szCs w:val="24"/>
            <w:u w:val="single"/>
            <w:rtl w:val="true"/>
          </w:rPr>
          <w:t>ב</w:t>
        </w:r>
      </w:hyperlink>
      <w:r>
        <w:rPr>
          <w:rFonts w:cs="FrankRuehl" w:ascii="FrankRuehl" w:hAnsi="FrankRuehl"/>
          <w:spacing w:val="0"/>
          <w:sz w:val="24"/>
          <w:szCs w:val="24"/>
          <w:rtl w:val="true"/>
        </w:rPr>
        <w:t xml:space="preserve">, </w:t>
      </w:r>
      <w:hyperlink r:id="rId9">
        <w:r>
          <w:rPr>
            <w:rStyle w:val="Hyperlink"/>
            <w:rFonts w:cs="FrankRuehl" w:ascii="FrankRuehl" w:hAnsi="FrankRuehl"/>
            <w:color w:val="0000FF"/>
            <w:spacing w:val="0"/>
            <w:sz w:val="24"/>
            <w:szCs w:val="24"/>
            <w:u w:val="single"/>
          </w:rPr>
          <w:t>40</w:t>
        </w:r>
        <w:r>
          <w:rPr>
            <w:rStyle w:val="Hyperlink"/>
            <w:rFonts w:ascii="FrankRuehl" w:hAnsi="FrankRuehl"/>
            <w:color w:val="0000FF"/>
            <w:spacing w:val="0"/>
            <w:sz w:val="24"/>
            <w:sz w:val="24"/>
            <w:szCs w:val="24"/>
            <w:u w:val="single"/>
            <w:rtl w:val="true"/>
          </w:rPr>
          <w:t>ג</w:t>
        </w:r>
        <w:r>
          <w:rPr>
            <w:rStyle w:val="Hyperlink"/>
            <w:rFonts w:cs="FrankRuehl" w:ascii="FrankRuehl" w:hAnsi="FrankRuehl"/>
            <w:color w:val="0000FF"/>
            <w:spacing w:val="0"/>
            <w:sz w:val="24"/>
            <w:szCs w:val="24"/>
            <w:u w:val="single"/>
            <w:rtl w:val="true"/>
          </w:rPr>
          <w:t>(</w:t>
        </w:r>
        <w:r>
          <w:rPr>
            <w:rStyle w:val="Hyperlink"/>
            <w:rFonts w:ascii="FrankRuehl" w:hAnsi="FrankRuehl"/>
            <w:color w:val="0000FF"/>
            <w:spacing w:val="0"/>
            <w:sz w:val="24"/>
            <w:sz w:val="24"/>
            <w:szCs w:val="24"/>
            <w:u w:val="single"/>
            <w:rtl w:val="true"/>
          </w:rPr>
          <w:t>א</w:t>
        </w:r>
        <w:r>
          <w:rPr>
            <w:rStyle w:val="Hyperlink"/>
            <w:rFonts w:cs="FrankRuehl" w:ascii="FrankRuehl" w:hAnsi="FrankRuehl"/>
            <w:color w:val="0000FF"/>
            <w:spacing w:val="0"/>
            <w:sz w:val="24"/>
            <w:szCs w:val="24"/>
            <w:u w:val="single"/>
            <w:rtl w:val="true"/>
          </w:rPr>
          <w:t>)</w:t>
        </w:r>
      </w:hyperlink>
      <w:r>
        <w:rPr>
          <w:rFonts w:cs="FrankRuehl" w:ascii="FrankRuehl" w:hAnsi="FrankRuehl"/>
          <w:spacing w:val="0"/>
          <w:sz w:val="24"/>
          <w:szCs w:val="24"/>
          <w:rtl w:val="true"/>
        </w:rPr>
        <w:t xml:space="preserve">, </w:t>
      </w:r>
      <w:hyperlink r:id="rId10">
        <w:r>
          <w:rPr>
            <w:rStyle w:val="Hyperlink"/>
            <w:rFonts w:cs="FrankRuehl" w:ascii="FrankRuehl" w:hAnsi="FrankRuehl"/>
            <w:color w:val="0000FF"/>
            <w:spacing w:val="0"/>
            <w:sz w:val="24"/>
            <w:szCs w:val="24"/>
            <w:u w:val="single"/>
          </w:rPr>
          <w:t>144</w:t>
        </w:r>
        <w:r>
          <w:rPr>
            <w:rStyle w:val="Hyperlink"/>
            <w:rFonts w:cs="FrankRuehl" w:ascii="FrankRuehl" w:hAnsi="FrankRuehl"/>
            <w:color w:val="0000FF"/>
            <w:spacing w:val="0"/>
            <w:sz w:val="24"/>
            <w:szCs w:val="24"/>
            <w:u w:val="single"/>
            <w:rtl w:val="true"/>
          </w:rPr>
          <w:t>(</w:t>
        </w:r>
        <w:r>
          <w:rPr>
            <w:rStyle w:val="Hyperlink"/>
            <w:rFonts w:ascii="FrankRuehl" w:hAnsi="FrankRuehl"/>
            <w:color w:val="0000FF"/>
            <w:spacing w:val="0"/>
            <w:sz w:val="24"/>
            <w:sz w:val="24"/>
            <w:szCs w:val="24"/>
            <w:u w:val="single"/>
            <w:rtl w:val="true"/>
          </w:rPr>
          <w:t>ב</w:t>
        </w:r>
        <w:r>
          <w:rPr>
            <w:rStyle w:val="Hyperlink"/>
            <w:rFonts w:cs="FrankRuehl" w:ascii="FrankRuehl" w:hAnsi="FrankRuehl"/>
            <w:color w:val="0000FF"/>
            <w:spacing w:val="0"/>
            <w:sz w:val="24"/>
            <w:szCs w:val="24"/>
            <w:u w:val="single"/>
          </w:rPr>
          <w:t>2</w:t>
        </w:r>
        <w:r>
          <w:rPr>
            <w:rStyle w:val="Hyperlink"/>
            <w:rFonts w:cs="FrankRuehl" w:ascii="FrankRuehl" w:hAnsi="FrankRuehl"/>
            <w:color w:val="0000FF"/>
            <w:spacing w:val="0"/>
            <w:sz w:val="24"/>
            <w:szCs w:val="24"/>
            <w:u w:val="single"/>
            <w:rtl w:val="true"/>
          </w:rPr>
          <w:t>)</w:t>
        </w:r>
      </w:hyperlink>
      <w:r>
        <w:rPr>
          <w:rFonts w:cs="FrankRuehl" w:ascii="FrankRuehl" w:hAnsi="FrankRuehl"/>
          <w:spacing w:val="0"/>
          <w:sz w:val="24"/>
          <w:szCs w:val="24"/>
          <w:rtl w:val="true"/>
        </w:rPr>
        <w:t xml:space="preserve">, </w:t>
      </w:r>
      <w:hyperlink r:id="rId11">
        <w:r>
          <w:rPr>
            <w:rStyle w:val="Hyperlink"/>
            <w:rFonts w:cs="FrankRuehl" w:ascii="FrankRuehl" w:hAnsi="FrankRuehl"/>
            <w:color w:val="0000FF"/>
            <w:spacing w:val="0"/>
            <w:sz w:val="24"/>
            <w:szCs w:val="24"/>
            <w:u w:val="single"/>
          </w:rPr>
          <w:t>340</w:t>
        </w:r>
        <w:r>
          <w:rPr>
            <w:rStyle w:val="Hyperlink"/>
            <w:rFonts w:ascii="FrankRuehl" w:hAnsi="FrankRuehl"/>
            <w:color w:val="0000FF"/>
            <w:spacing w:val="0"/>
            <w:sz w:val="24"/>
            <w:sz w:val="24"/>
            <w:szCs w:val="24"/>
            <w:u w:val="single"/>
            <w:rtl w:val="true"/>
          </w:rPr>
          <w:t>א</w:t>
        </w:r>
      </w:hyperlink>
      <w:r>
        <w:rPr>
          <w:rFonts w:cs="FrankRuehl" w:ascii="FrankRuehl" w:hAnsi="FrankRuehl"/>
          <w:spacing w:val="0"/>
          <w:sz w:val="24"/>
          <w:szCs w:val="24"/>
          <w:rtl w:val="true"/>
        </w:rPr>
        <w:t xml:space="preserve">, </w:t>
      </w:r>
      <w:hyperlink r:id="rId12">
        <w:r>
          <w:rPr>
            <w:rStyle w:val="Hyperlink"/>
            <w:rFonts w:cs="FrankRuehl" w:ascii="FrankRuehl" w:hAnsi="FrankRuehl"/>
            <w:color w:val="0000FF"/>
            <w:spacing w:val="0"/>
            <w:sz w:val="24"/>
            <w:szCs w:val="24"/>
            <w:u w:val="single"/>
          </w:rPr>
          <w:t>499</w:t>
        </w:r>
        <w:r>
          <w:rPr>
            <w:rStyle w:val="Hyperlink"/>
            <w:rFonts w:cs="FrankRuehl" w:ascii="FrankRuehl" w:hAnsi="FrankRuehl"/>
            <w:color w:val="0000FF"/>
            <w:spacing w:val="0"/>
            <w:sz w:val="24"/>
            <w:szCs w:val="24"/>
            <w:u w:val="single"/>
            <w:rtl w:val="true"/>
          </w:rPr>
          <w:t>(</w:t>
        </w:r>
        <w:r>
          <w:rPr>
            <w:rStyle w:val="Hyperlink"/>
            <w:rFonts w:ascii="FrankRuehl" w:hAnsi="FrankRuehl"/>
            <w:color w:val="0000FF"/>
            <w:spacing w:val="0"/>
            <w:sz w:val="24"/>
            <w:sz w:val="24"/>
            <w:szCs w:val="24"/>
            <w:u w:val="single"/>
            <w:rtl w:val="true"/>
          </w:rPr>
          <w:t>א</w:t>
        </w:r>
        <w:r>
          <w:rPr>
            <w:rStyle w:val="Hyperlink"/>
            <w:rFonts w:cs="FrankRuehl" w:ascii="FrankRuehl" w:hAnsi="FrankRuehl"/>
            <w:color w:val="0000FF"/>
            <w:spacing w:val="0"/>
            <w:sz w:val="24"/>
            <w:szCs w:val="24"/>
            <w:u w:val="single"/>
            <w:rtl w:val="true"/>
          </w:rPr>
          <w:t>)(</w:t>
        </w:r>
        <w:r>
          <w:rPr>
            <w:rStyle w:val="Hyperlink"/>
            <w:rFonts w:cs="FrankRuehl" w:ascii="FrankRuehl" w:hAnsi="FrankRuehl"/>
            <w:color w:val="0000FF"/>
            <w:spacing w:val="0"/>
            <w:sz w:val="24"/>
            <w:szCs w:val="24"/>
            <w:u w:val="single"/>
          </w:rPr>
          <w:t>1</w:t>
        </w:r>
        <w:r>
          <w:rPr>
            <w:rStyle w:val="Hyperlink"/>
            <w:rFonts w:cs="FrankRuehl" w:ascii="FrankRuehl" w:hAnsi="FrankRuehl"/>
            <w:color w:val="0000FF"/>
            <w:spacing w:val="0"/>
            <w:sz w:val="24"/>
            <w:szCs w:val="24"/>
            <w:u w:val="single"/>
            <w:rtl w:val="true"/>
          </w:rPr>
          <w:t>)</w:t>
        </w:r>
      </w:hyperlink>
    </w:p>
    <w:p>
      <w:pPr>
        <w:pStyle w:val="Ruller31"/>
        <w:spacing w:lineRule="exact" w:line="240" w:before="0" w:after="120"/>
        <w:ind w:hanging="283" w:start="283" w:end="0"/>
        <w:jc w:val="both"/>
        <w:rPr>
          <w:rFonts w:ascii="FrankRuehl" w:hAnsi="FrankRuehl" w:cs="FrankRuehl"/>
          <w:spacing w:val="0"/>
          <w:sz w:val="24"/>
          <w:szCs w:val="24"/>
        </w:rPr>
      </w:pPr>
      <w:hyperlink r:id="rId13">
        <w:r>
          <w:rPr>
            <w:rStyle w:val="Hyperlink"/>
            <w:rFonts w:ascii="FrankRuehl" w:hAnsi="FrankRuehl"/>
            <w:color w:val="0000FF"/>
            <w:spacing w:val="0"/>
            <w:sz w:val="24"/>
            <w:sz w:val="24"/>
            <w:szCs w:val="24"/>
            <w:u w:val="single"/>
            <w:rtl w:val="true"/>
          </w:rPr>
          <w:t xml:space="preserve">פקודת הסמים המסוכנים </w:t>
        </w:r>
        <w:r>
          <w:rPr>
            <w:rStyle w:val="Hyperlink"/>
            <w:rFonts w:cs="FrankRuehl" w:ascii="FrankRuehl" w:hAnsi="FrankRuehl"/>
            <w:color w:val="0000FF"/>
            <w:spacing w:val="0"/>
            <w:sz w:val="24"/>
            <w:szCs w:val="24"/>
            <w:u w:val="single"/>
            <w:rtl w:val="true"/>
          </w:rPr>
          <w:t>[</w:t>
        </w:r>
        <w:r>
          <w:rPr>
            <w:rStyle w:val="Hyperlink"/>
            <w:rFonts w:ascii="FrankRuehl" w:hAnsi="FrankRuehl"/>
            <w:color w:val="0000FF"/>
            <w:spacing w:val="0"/>
            <w:sz w:val="24"/>
            <w:sz w:val="24"/>
            <w:szCs w:val="24"/>
            <w:u w:val="single"/>
            <w:rtl w:val="true"/>
          </w:rPr>
          <w:t>נוסח חדש</w:t>
        </w:r>
        <w:r>
          <w:rPr>
            <w:rStyle w:val="Hyperlink"/>
            <w:rFonts w:cs="FrankRuehl" w:ascii="FrankRuehl" w:hAnsi="FrankRuehl"/>
            <w:color w:val="0000FF"/>
            <w:spacing w:val="0"/>
            <w:sz w:val="24"/>
            <w:szCs w:val="24"/>
            <w:u w:val="single"/>
            <w:rtl w:val="true"/>
          </w:rPr>
          <w:t xml:space="preserve">], </w:t>
        </w:r>
        <w:r>
          <w:rPr>
            <w:rStyle w:val="Hyperlink"/>
            <w:rFonts w:ascii="FrankRuehl" w:hAnsi="FrankRuehl"/>
            <w:color w:val="0000FF"/>
            <w:spacing w:val="0"/>
            <w:sz w:val="24"/>
            <w:sz w:val="24"/>
            <w:szCs w:val="24"/>
            <w:u w:val="single"/>
            <w:rtl w:val="true"/>
          </w:rPr>
          <w:t>תשל</w:t>
        </w:r>
        <w:r>
          <w:rPr>
            <w:rStyle w:val="Hyperlink"/>
            <w:rFonts w:cs="FrankRuehl" w:ascii="FrankRuehl" w:hAnsi="FrankRuehl"/>
            <w:color w:val="0000FF"/>
            <w:spacing w:val="0"/>
            <w:sz w:val="24"/>
            <w:szCs w:val="24"/>
            <w:u w:val="single"/>
            <w:rtl w:val="true"/>
          </w:rPr>
          <w:t>"</w:t>
        </w:r>
        <w:r>
          <w:rPr>
            <w:rStyle w:val="Hyperlink"/>
            <w:rFonts w:ascii="FrankRuehl" w:hAnsi="FrankRuehl"/>
            <w:color w:val="0000FF"/>
            <w:spacing w:val="0"/>
            <w:sz w:val="24"/>
            <w:sz w:val="24"/>
            <w:szCs w:val="24"/>
            <w:u w:val="single"/>
            <w:rtl w:val="true"/>
          </w:rPr>
          <w:t>ג</w:t>
        </w:r>
        <w:r>
          <w:rPr>
            <w:rStyle w:val="Hyperlink"/>
            <w:rFonts w:cs="FrankRuehl" w:ascii="FrankRuehl" w:hAnsi="FrankRuehl"/>
            <w:color w:val="0000FF"/>
            <w:spacing w:val="0"/>
            <w:sz w:val="24"/>
            <w:szCs w:val="24"/>
            <w:u w:val="single"/>
            <w:rtl w:val="true"/>
          </w:rPr>
          <w:t>-</w:t>
        </w:r>
        <w:r>
          <w:rPr>
            <w:rStyle w:val="Hyperlink"/>
            <w:rFonts w:cs="FrankRuehl" w:ascii="FrankRuehl" w:hAnsi="FrankRuehl"/>
            <w:color w:val="0000FF"/>
            <w:spacing w:val="0"/>
            <w:sz w:val="24"/>
            <w:szCs w:val="24"/>
            <w:u w:val="single"/>
          </w:rPr>
          <w:t>1973</w:t>
        </w:r>
      </w:hyperlink>
      <w:r>
        <w:rPr>
          <w:rFonts w:cs="FrankRuehl" w:ascii="FrankRuehl" w:hAnsi="FrankRuehl"/>
          <w:spacing w:val="0"/>
          <w:sz w:val="24"/>
          <w:szCs w:val="24"/>
          <w:rtl w:val="true"/>
        </w:rPr>
        <w:t xml:space="preserve">: </w:t>
      </w:r>
      <w:r>
        <w:rPr>
          <w:rFonts w:ascii="FrankRuehl" w:hAnsi="FrankRuehl"/>
          <w:spacing w:val="0"/>
          <w:sz w:val="24"/>
          <w:sz w:val="24"/>
          <w:szCs w:val="24"/>
          <w:rtl w:val="true"/>
        </w:rPr>
        <w:t>סע</w:t>
      </w:r>
      <w:r>
        <w:rPr>
          <w:rFonts w:cs="FrankRuehl" w:ascii="FrankRuehl" w:hAnsi="FrankRuehl"/>
          <w:spacing w:val="0"/>
          <w:sz w:val="24"/>
          <w:szCs w:val="24"/>
          <w:rtl w:val="true"/>
        </w:rPr>
        <w:t xml:space="preserve">'  </w:t>
      </w:r>
      <w:hyperlink r:id="rId14">
        <w:r>
          <w:rPr>
            <w:rStyle w:val="Hyperlink"/>
            <w:rFonts w:cs="FrankRuehl" w:ascii="FrankRuehl" w:hAnsi="FrankRuehl"/>
            <w:color w:val="0000FF"/>
            <w:spacing w:val="0"/>
            <w:sz w:val="24"/>
            <w:szCs w:val="24"/>
            <w:u w:val="single"/>
          </w:rPr>
          <w:t>13</w:t>
        </w:r>
      </w:hyperlink>
      <w:r>
        <w:rPr>
          <w:rFonts w:cs="FrankRuehl" w:ascii="FrankRuehl" w:hAnsi="FrankRuehl"/>
          <w:spacing w:val="0"/>
          <w:sz w:val="24"/>
          <w:szCs w:val="24"/>
          <w:rtl w:val="true"/>
        </w:rPr>
        <w:t xml:space="preserve">, </w:t>
      </w:r>
      <w:hyperlink r:id="rId15">
        <w:r>
          <w:rPr>
            <w:rStyle w:val="Hyperlink"/>
            <w:rFonts w:cs="FrankRuehl" w:ascii="FrankRuehl" w:hAnsi="FrankRuehl"/>
            <w:color w:val="0000FF"/>
            <w:spacing w:val="0"/>
            <w:sz w:val="24"/>
            <w:szCs w:val="24"/>
            <w:u w:val="single"/>
          </w:rPr>
          <w:t>14</w:t>
        </w:r>
      </w:hyperlink>
      <w:r>
        <w:rPr>
          <w:rFonts w:cs="FrankRuehl" w:ascii="FrankRuehl" w:hAnsi="FrankRuehl"/>
          <w:spacing w:val="0"/>
          <w:sz w:val="24"/>
          <w:szCs w:val="24"/>
          <w:rtl w:val="true"/>
        </w:rPr>
        <w:t xml:space="preserve">, </w:t>
      </w:r>
      <w:hyperlink r:id="rId16">
        <w:r>
          <w:rPr>
            <w:rStyle w:val="Hyperlink"/>
            <w:rFonts w:cs="FrankRuehl" w:ascii="FrankRuehl" w:hAnsi="FrankRuehl"/>
            <w:color w:val="0000FF"/>
            <w:spacing w:val="0"/>
            <w:sz w:val="24"/>
            <w:szCs w:val="24"/>
            <w:u w:val="single"/>
          </w:rPr>
          <w:t>19</w:t>
        </w:r>
        <w:r>
          <w:rPr>
            <w:rStyle w:val="Hyperlink"/>
            <w:rFonts w:ascii="FrankRuehl" w:hAnsi="FrankRuehl"/>
            <w:color w:val="0000FF"/>
            <w:spacing w:val="0"/>
            <w:sz w:val="24"/>
            <w:sz w:val="24"/>
            <w:szCs w:val="24"/>
            <w:u w:val="single"/>
            <w:rtl w:val="true"/>
          </w:rPr>
          <w:t>א</w:t>
        </w:r>
      </w:hyperlink>
    </w:p>
    <w:p>
      <w:pPr>
        <w:pStyle w:val="Ruller31"/>
        <w:spacing w:lineRule="exact" w:line="240" w:before="0" w:after="120"/>
        <w:ind w:hanging="283" w:start="283" w:end="0"/>
        <w:jc w:val="both"/>
        <w:rPr>
          <w:rFonts w:ascii="FrankRuehl" w:hAnsi="FrankRuehl" w:cs="FrankRuehl"/>
          <w:spacing w:val="0"/>
          <w:sz w:val="24"/>
          <w:szCs w:val="24"/>
        </w:rPr>
      </w:pPr>
      <w:r>
        <w:rPr>
          <w:rFonts w:cs="FrankRuehl" w:ascii="FrankRuehl" w:hAnsi="FrankRuehl"/>
          <w:spacing w:val="0"/>
          <w:sz w:val="24"/>
          <w:szCs w:val="24"/>
          <w:rtl w:val="true"/>
        </w:rPr>
      </w:r>
    </w:p>
    <w:p>
      <w:pPr>
        <w:pStyle w:val="Ruller42"/>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bookmarkStart w:id="7" w:name="ABSTRACT_START"/>
      <w:bookmarkStart w:id="8" w:name="LawTable_End"/>
      <w:bookmarkEnd w:id="7"/>
      <w:bookmarkEnd w:id="8"/>
      <w:r>
        <w:rPr>
          <w:rFonts w:ascii="Times New Roman" w:hAnsi="Times New Roman" w:cs="Times New Roman"/>
          <w:spacing w:val="0"/>
          <w:sz w:val="24"/>
          <w:sz w:val="24"/>
          <w:szCs w:val="26"/>
          <w:rtl w:val="true"/>
        </w:rPr>
        <w:t>מיני</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רציו</w:t>
      </w:r>
      <w:r>
        <w:rPr>
          <w:rFonts w:cs="Times New Roman" w:ascii="Times New Roman" w:hAnsi="Times New Roman"/>
          <w:spacing w:val="0"/>
          <w:sz w:val="24"/>
          <w:szCs w:val="26"/>
          <w:rtl w:val="true"/>
        </w:rPr>
        <w:t>:</w:t>
      </w:r>
    </w:p>
    <w:p>
      <w:pPr>
        <w:pStyle w:val="Ruller42"/>
        <w:pBdr>
          <w:top w:val="single" w:sz="4" w:space="1" w:color="000000"/>
          <w:bottom w:val="single" w:sz="4" w:space="1" w:color="000000"/>
        </w:pBdr>
        <w:spacing w:lineRule="exact" w:line="320" w:before="0" w:after="120"/>
        <w:ind w:end="0"/>
        <w:jc w:val="both"/>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דן בערעורים על גזרי דין במסגרתם הושתו על המערערים עונשים שונים בגין הרשעות בעבירות של סחר בנשק ובתחמושת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של קשירת קשר לסחר בנשק ובעבירות נלוות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חלקם ערעורים על חומרת העונש וחלקם על קולת העונש</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עמד על הסכנה הנשקפת כתוצאה ממעשי המערערים ומידת הפגיעה בערך של שלום הציבור וביטחונו וקבע כי הגנה על שלום הציבור מחייבת החמרת עונשי המאסר המוטלים בגין פעילות עבריינית זו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דחה את כל הערעורים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זולת החמרת עונשו של משיב </w:t>
      </w:r>
      <w:r>
        <w:rPr>
          <w:rFonts w:cs="Times New Roman" w:ascii="Times New Roman" w:hAnsi="Times New Roman"/>
          <w:spacing w:val="0"/>
          <w:sz w:val="24"/>
          <w:szCs w:val="26"/>
        </w:rPr>
        <w:t>3</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בע</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 xml:space="preserve">פ </w:t>
      </w:r>
      <w:r>
        <w:rPr>
          <w:rFonts w:cs="Times New Roman" w:ascii="Times New Roman" w:hAnsi="Times New Roman"/>
          <w:spacing w:val="0"/>
          <w:sz w:val="24"/>
          <w:szCs w:val="26"/>
        </w:rPr>
        <w:t>999/18</w:t>
      </w:r>
      <w:r>
        <w:rPr>
          <w:rFonts w:cs="Times New Roman" w:ascii="Times New Roman" w:hAnsi="Times New Roman"/>
          <w:spacing w:val="0"/>
          <w:sz w:val="24"/>
          <w:szCs w:val="26"/>
          <w:rtl w:val="true"/>
        </w:rPr>
        <w:t>.</w:t>
      </w:r>
    </w:p>
    <w:p>
      <w:pPr>
        <w:pStyle w:val="Ruller42"/>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עונשין – ענישה – מדיניות ענישה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עבירות נשק</w:t>
      </w:r>
    </w:p>
    <w:p>
      <w:pPr>
        <w:pStyle w:val="Ruller42"/>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עונשין – ענישה – מדיניות ענישה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שיקולים לקולה</w:t>
      </w:r>
    </w:p>
    <w:p>
      <w:pPr>
        <w:pStyle w:val="Ruller42"/>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עונשין – ענישה – מדיניות ענישה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שיקולים לחומרה</w:t>
      </w:r>
    </w:p>
    <w:p>
      <w:pPr>
        <w:pStyle w:val="Ruller42"/>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עונשין – ענישה – מדיניות ענישה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התערבות ערכאת ערעור</w:t>
      </w:r>
    </w:p>
    <w:p>
      <w:pPr>
        <w:pStyle w:val="Ruller42"/>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עונשין – ענישה – מתחם הענישה</w:t>
      </w:r>
    </w:p>
    <w:p>
      <w:pPr>
        <w:pStyle w:val="Ruller42"/>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עונשין – ענישה – אחדות הענישה</w:t>
      </w:r>
    </w:p>
    <w:p>
      <w:pPr>
        <w:pStyle w:val="Ruller42"/>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w:t>
      </w:r>
    </w:p>
    <w:p>
      <w:pPr>
        <w:pStyle w:val="Ruller42"/>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ערעורים על גזרי הדין של 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המחוזי במסגרתם הושתו על המערערים עונשים שונים בגין הרשעות בעבירות של סחר בנשק ובתחמושת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של קשירת קשר לסחר בנשק וכן בעבירות נלוות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חלק מהערעורים מופנים נגד חומרת העונשים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וחלקם מופנים כלפי קולת העונשים</w:t>
      </w:r>
      <w:r>
        <w:rPr>
          <w:rFonts w:cs="Times New Roman" w:ascii="Times New Roman" w:hAnsi="Times New Roman"/>
          <w:spacing w:val="0"/>
          <w:sz w:val="24"/>
          <w:szCs w:val="26"/>
          <w:rtl w:val="true"/>
        </w:rPr>
        <w:t xml:space="preserve">. </w:t>
      </w:r>
    </w:p>
    <w:p>
      <w:pPr>
        <w:pStyle w:val="Ruller42"/>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w:t>
      </w:r>
    </w:p>
    <w:p>
      <w:pPr>
        <w:pStyle w:val="Ruller42"/>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 xml:space="preserve">בית המשפט העליון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מפי השופט מינץ ובהסכמת השופטים סולברג וגרוסקופף</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דחה את כל הערעורים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למעט ערעור המדינה בע</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 xml:space="preserve">פ </w:t>
      </w:r>
      <w:r>
        <w:rPr>
          <w:rFonts w:cs="Times New Roman" w:ascii="Times New Roman" w:hAnsi="Times New Roman"/>
          <w:spacing w:val="0"/>
          <w:sz w:val="24"/>
          <w:szCs w:val="26"/>
        </w:rPr>
        <w:t>998/18</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בנוגע למשיב </w:t>
      </w:r>
      <w:r>
        <w:rPr>
          <w:rFonts w:cs="Times New Roman" w:ascii="Times New Roman" w:hAnsi="Times New Roman"/>
          <w:spacing w:val="0"/>
          <w:sz w:val="24"/>
          <w:szCs w:val="26"/>
        </w:rPr>
        <w:t>3</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ופסק כי</w:t>
      </w:r>
      <w:r>
        <w:rPr>
          <w:rFonts w:cs="Times New Roman" w:ascii="Times New Roman" w:hAnsi="Times New Roman"/>
          <w:spacing w:val="0"/>
          <w:sz w:val="24"/>
          <w:szCs w:val="26"/>
          <w:rtl w:val="true"/>
        </w:rPr>
        <w:t>:</w:t>
      </w:r>
    </w:p>
    <w:p>
      <w:pPr>
        <w:pStyle w:val="Ruller42"/>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עמד על כך שמדובר בפרשת סחר בנשק חמורה מאוד מבחינת היקפה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במסגרתה נמכרו לסוכן משטרתי מספר רב של כלי נשק</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לרבות רובי סער ותתי</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מקלע</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בהיקף כספי כולל של מאות אלפי שקלים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כבר נפסק לא אחת על חומרתן הרבה של עבירות אלו ועל הפגיעה הנלווית להן בערכים החברתיים המוגנים שביסודן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פעילות של סחר בלתי חוקי בנשק אוצרת בחובה פגיעה בערכים חברתיים בעלי חשיבות רבה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בהם שלמות הגוף</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חיי אדם ושלום הציבור וביטחונו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כלי הנשק שנמכרו במסגרת האישומים הם כאלה שבאמצעותם ניתן בנקל לפגוע בשלמות הגוף ולגדוע חיי אדם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חומרת הנזק הנגרם בעקבות ביצוע עבירות כגון אלו מתעצמת במקרים כבענייננו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שבהם נמכרים כלי נשק בעלי פוטנציאל פגיעה ממשי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שהרי דין סחר ברובה סער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בתת</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מקלע או באקדח אמין ואיכותי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אינו כדין סחר באקדח מאולתר</w:t>
      </w:r>
      <w:r>
        <w:rPr>
          <w:rFonts w:cs="Times New Roman" w:ascii="Times New Roman" w:hAnsi="Times New Roman"/>
          <w:spacing w:val="0"/>
          <w:sz w:val="24"/>
          <w:szCs w:val="26"/>
          <w:rtl w:val="true"/>
        </w:rPr>
        <w:t xml:space="preserve">. </w:t>
      </w:r>
    </w:p>
    <w:p>
      <w:pPr>
        <w:pStyle w:val="Ruller42"/>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החומרה היתרה הכרוכה בעבירות נשק והסיכון הנשקף מביצוען לציבור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מקבלת משנה תוקף בשים לב להיקפי התופעה ואופן התפשטותה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כמענה לכך</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מסתמנת בפסיקה מגמה להחמיר את הענישה בגין עבירות אלו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באופן שיהלום את מידת פגיעתן בערכים המוגנים ויקדם את מיגור התופעה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משכך</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חרף עיקרון הענישה האינדיבידואלית והמשקל שיש ליתן לנסיבות האישיות של כל נאשם לגופו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בבואו לגזור את דינו של מי שהורשע בביצוע עבירות חמורות אלו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על 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לתת בכורה לשיקולי ההרתעה והאינטרס הציבורי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הגם שעסקאות סחר בנשק מערבות גורמים שונים שחלקו של כל אחד מהם בעסקה משתנה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יש חשיבות בענישה מוחשית של כל אחת החוליות בשרשרת הסחר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כל אחת מאותן חוליות מוחזקת כמי שמודעת לתוצאות האפשריות הקשות העלולות לנבוע מהשימוש שייעשה בנשק לאחר שיגיע אל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הצרכן הסופי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בקצה השרשרת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כבר נפסק כי נוכח ממדיה המדאיגים של תופעת הסחר הבלתי חוקי בנשק</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הסכנות הנשקפות ממנה והקלות היחסית שבה ניתן לבצען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הגיעה השעה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בכפוף לנסיבות כל מקרה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להחמיר בעונשי המאסר הנגזרים על נאשמים בעבירות אלו לעומת העונשים הנגזרים כיום</w:t>
      </w:r>
      <w:r>
        <w:rPr>
          <w:rFonts w:cs="Times New Roman" w:ascii="Times New Roman" w:hAnsi="Times New Roman"/>
          <w:spacing w:val="0"/>
          <w:sz w:val="24"/>
          <w:szCs w:val="26"/>
          <w:rtl w:val="true"/>
        </w:rPr>
        <w:t>.</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אשר למתחם העונש ההולם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קביעתו היא מלאכה קשה המביאה בחשבון מכלול שיקולים ונתונים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אין מדובר בטכנאות משפט או אריתמטיקה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ולערכאה הדיונית נתון שיקול דעת רחב בעניין זה וערכאת הערעור לא תתערב בו בנקל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כאשר מורשעים מספר רב של נאשמים בעבירות דומות שהן חלק מפרשה אחת שנחשפו כולן על ידי פעילותו של סוכן משטרתי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קיימת חשיבות מוגברת לעיקרון אחידות הענישה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עם זאת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מלאכת גזירת העונש אינה בגדר מדע מדויק</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ויש לקחת בחשבון גם את המסכת העובדתית הרלוונטית לכל נאשם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שוני רלוונטי מצדיק הבחנה גם בין נאשמים שהורשעו במסגרת אותו כתב אישום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כמו כן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תיתכן חריגה מעקרון אחידות הענישה כשקיימת זהות בנסיבותיהם האישיות של נאשמים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מקום בו מצא בימ</w:t>
      </w:r>
      <w:r>
        <w:rPr>
          <w:rFonts w:cs="Times New Roman" w:ascii="Times New Roman" w:hAnsi="Times New Roman"/>
          <w:spacing w:val="0"/>
          <w:szCs w:val="26"/>
          <w:rtl w:val="true"/>
        </w:rPr>
        <w:t>"</w:t>
      </w:r>
      <w:r>
        <w:rPr>
          <w:rFonts w:ascii="Times New Roman" w:hAnsi="Times New Roman" w:cs="Times New Roman"/>
          <w:spacing w:val="0"/>
          <w:szCs w:val="26"/>
          <w:rtl w:val="true"/>
        </w:rPr>
        <w:t>ש כי שיקולי ענישה נוספים גוברים באותו מקרה על עיקרון זה</w:t>
      </w:r>
      <w:r>
        <w:rPr>
          <w:rFonts w:cs="Times New Roman" w:ascii="Times New Roman" w:hAnsi="Times New Roman"/>
          <w:spacing w:val="0"/>
          <w:szCs w:val="26"/>
          <w:rtl w:val="true"/>
        </w:rPr>
        <w:t xml:space="preserve">. </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ש דן באופן פרטני בערעורים הנוגעים לחומרת העונש</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ודחה אותם בהעדר מקום להתערב במתחמי הענישה שנקבעו וכאשר העונשים שנגזרו נמצאו ראויים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ולא נמצא כי העונש שנגזר עליו סוטה מרמת הענישה הנוהגת בנסיבות דומות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כמו כן דן בימ</w:t>
      </w:r>
      <w:r>
        <w:rPr>
          <w:rFonts w:cs="Times New Roman" w:ascii="Times New Roman" w:hAnsi="Times New Roman"/>
          <w:spacing w:val="0"/>
          <w:szCs w:val="26"/>
          <w:rtl w:val="true"/>
        </w:rPr>
        <w:t>"</w:t>
      </w:r>
      <w:r>
        <w:rPr>
          <w:rFonts w:ascii="Times New Roman" w:hAnsi="Times New Roman" w:cs="Times New Roman"/>
          <w:spacing w:val="0"/>
          <w:szCs w:val="26"/>
          <w:rtl w:val="true"/>
        </w:rPr>
        <w:t>ש בערעורים הנוגעים לקולת העונש ודחה אותם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אף אם ביחס לחלקם העונש מקל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למעט באשר לעניינו של משיב </w:t>
      </w:r>
      <w:r>
        <w:rPr>
          <w:rFonts w:cs="Times New Roman" w:ascii="Times New Roman" w:hAnsi="Times New Roman"/>
          <w:spacing w:val="0"/>
          <w:szCs w:val="26"/>
        </w:rPr>
        <w:t>3</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בע</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פ </w:t>
      </w:r>
      <w:r>
        <w:rPr>
          <w:rFonts w:cs="Times New Roman" w:ascii="Times New Roman" w:hAnsi="Times New Roman"/>
          <w:spacing w:val="0"/>
          <w:szCs w:val="26"/>
        </w:rPr>
        <w:t>999/18</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אשר לגביו הוחמר העונש</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שכן בימ</w:t>
      </w:r>
      <w:r>
        <w:rPr>
          <w:rFonts w:cs="Times New Roman" w:ascii="Times New Roman" w:hAnsi="Times New Roman"/>
          <w:spacing w:val="0"/>
          <w:szCs w:val="26"/>
          <w:rtl w:val="true"/>
        </w:rPr>
        <w:t>"</w:t>
      </w:r>
      <w:r>
        <w:rPr>
          <w:rFonts w:ascii="Times New Roman" w:hAnsi="Times New Roman" w:cs="Times New Roman"/>
          <w:spacing w:val="0"/>
          <w:szCs w:val="26"/>
          <w:rtl w:val="true"/>
        </w:rPr>
        <w:t>ש קמא לא נתן משקל די הצורך לכך שהעבירות מושא כתב האישום המתוקן שלפיו הורשע המשיב</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נעשו באותה עת שהיה המשיב נתון במעצר בפיקוח אלקטרוני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לא רק שהמשיב הפר את תנאי מעצרו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אלא הוא עשה כן לצורך ביצוע עבירה דומה לזו שבגינה הושם במעצר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התנהלות מעין זו מקימה צורך משמעותי בהרתעת המשיב לבל ישוב על מעשיו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ומחייבת גזירת עונש משמעותי שיביא לידי ביטוי את חומרת המעשים והתעוזה הנלמדת מהם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על כן יש מקום להחמרה בעונשו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המשיב אף אינו מפנים את מלוא חומרת מעשיו ומתקשה להבין את הפסול שבהם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אשר על כן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עונשו של משיב </w:t>
      </w:r>
      <w:r>
        <w:rPr>
          <w:rFonts w:cs="Times New Roman" w:ascii="Times New Roman" w:hAnsi="Times New Roman"/>
          <w:spacing w:val="0"/>
          <w:szCs w:val="26"/>
        </w:rPr>
        <w:t>3</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בע</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פ </w:t>
      </w:r>
      <w:r>
        <w:rPr>
          <w:rFonts w:cs="Times New Roman" w:ascii="Times New Roman" w:hAnsi="Times New Roman"/>
          <w:spacing w:val="0"/>
          <w:szCs w:val="26"/>
        </w:rPr>
        <w:t>999/18</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יעמוד על </w:t>
      </w:r>
      <w:r>
        <w:rPr>
          <w:rFonts w:cs="Times New Roman" w:ascii="Times New Roman" w:hAnsi="Times New Roman"/>
          <w:spacing w:val="0"/>
          <w:szCs w:val="26"/>
        </w:rPr>
        <w:t>20</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חודשי מאסר בפועל </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חלף </w:t>
      </w:r>
      <w:r>
        <w:rPr>
          <w:rFonts w:cs="Times New Roman" w:ascii="Times New Roman" w:hAnsi="Times New Roman"/>
          <w:spacing w:val="0"/>
          <w:szCs w:val="26"/>
        </w:rPr>
        <w:t>12</w:t>
      </w:r>
      <w:r>
        <w:rPr>
          <w:rFonts w:cs="Times New Roman" w:ascii="Times New Roman" w:hAnsi="Times New Roman"/>
          <w:spacing w:val="0"/>
          <w:szCs w:val="26"/>
          <w:rtl w:val="true"/>
        </w:rPr>
        <w:t>).</w:t>
      </w:r>
    </w:p>
    <w:p>
      <w:pPr>
        <w:pStyle w:val="Ruller31"/>
        <w:spacing w:lineRule="auto" w:line="240"/>
        <w:ind w:end="0"/>
        <w:jc w:val="start"/>
        <w:rPr>
          <w:rFonts w:ascii="Times New Roman" w:hAnsi="Times New Roman" w:cs="Times New Roman"/>
          <w:spacing w:val="0"/>
          <w:szCs w:val="26"/>
        </w:rPr>
      </w:pPr>
      <w:r>
        <w:rPr>
          <w:rFonts w:cs="Times New Roman"/>
          <w:spacing w:val="0"/>
          <w:szCs w:val="26"/>
          <w:rtl w:val="true"/>
        </w:rPr>
      </w:r>
      <w:bookmarkStart w:id="9" w:name="ABSTRACT_END"/>
      <w:bookmarkStart w:id="10" w:name="ABSTRACT_END"/>
      <w:bookmarkEnd w:id="10"/>
    </w:p>
    <w:tbl>
      <w:tblPr>
        <w:bidiVisual w:val="true"/>
        <w:tblW w:w="8528" w:type="dxa"/>
        <w:jc w:val="end"/>
        <w:tblInd w:w="0" w:type="dxa"/>
        <w:tblLayout w:type="fixed"/>
        <w:tblCellMar>
          <w:top w:w="0" w:type="dxa"/>
          <w:start w:w="108" w:type="dxa"/>
          <w:bottom w:w="0" w:type="dxa"/>
          <w:end w:w="108" w:type="dxa"/>
        </w:tblCellMar>
      </w:tblPr>
      <w:tblGrid>
        <w:gridCol w:w="8528"/>
      </w:tblGrid>
      <w:tr>
        <w:trPr/>
        <w:tc>
          <w:tcPr>
            <w:tcW w:w="8528" w:type="dxa"/>
            <w:tcBorders/>
          </w:tcPr>
          <w:p>
            <w:pPr>
              <w:pStyle w:val="DocumentHead"/>
              <w:ind w:end="0"/>
              <w:jc w:val="center"/>
              <w:rPr/>
            </w:pPr>
            <w:bookmarkStart w:id="11" w:name="PsakDin"/>
            <w:bookmarkStart w:id="12" w:name="BeginProtocol"/>
            <w:bookmarkStart w:id="13" w:name="secretary"/>
            <w:bookmarkEnd w:id="11"/>
            <w:bookmarkEnd w:id="12"/>
            <w:bookmarkEnd w:id="13"/>
            <w:r>
              <w:rPr>
                <w:rtl w:val="true"/>
              </w:rPr>
              <w:t>פסק</w:t>
            </w:r>
            <w:r>
              <w:rPr>
                <w:rtl w:val="true"/>
              </w:rPr>
              <w:t>-</w:t>
            </w:r>
            <w:r>
              <w:rPr>
                <w:rtl w:val="true"/>
              </w:rPr>
              <w:t>דין</w:t>
            </w:r>
          </w:p>
        </w:tc>
      </w:tr>
    </w:tbl>
    <w:p>
      <w:pPr>
        <w:pStyle w:val="BODYVERDICT"/>
        <w:ind w:end="0"/>
        <w:jc w:val="start"/>
        <w:rPr/>
      </w:pPr>
      <w:r>
        <w:rPr>
          <w:rtl w:val="true"/>
        </w:rPr>
      </w:r>
    </w:p>
    <w:p>
      <w:pPr>
        <w:pStyle w:val="BODYVERDICT"/>
        <w:ind w:end="0"/>
        <w:jc w:val="start"/>
        <w:rPr>
          <w:rFonts w:cs="Miriam"/>
          <w:sz w:val="24"/>
          <w:szCs w:val="24"/>
          <w:u w:val="single"/>
        </w:rPr>
      </w:pPr>
      <w:bookmarkStart w:id="14" w:name="Writer_Name"/>
      <w:bookmarkEnd w:id="14"/>
      <w:r>
        <w:rPr>
          <w:rFonts w:cs="Miriam"/>
          <w:sz w:val="24"/>
          <w:sz w:val="24"/>
          <w:szCs w:val="24"/>
          <w:u w:val="single"/>
          <w:rtl w:val="true"/>
        </w:rPr>
        <w:t>השופט</w:t>
      </w:r>
      <w:r>
        <w:rPr>
          <w:rFonts w:cs="Times New Roman"/>
          <w:sz w:val="24"/>
          <w:sz w:val="24"/>
          <w:szCs w:val="24"/>
          <w:u w:val="single"/>
          <w:rtl w:val="true"/>
        </w:rPr>
        <w:t xml:space="preserve"> </w:t>
      </w:r>
      <w:r>
        <w:rPr>
          <w:rFonts w:cs="Miriam"/>
          <w:sz w:val="24"/>
          <w:sz w:val="24"/>
          <w:szCs w:val="24"/>
          <w:u w:val="single"/>
          <w:rtl w:val="true"/>
        </w:rPr>
        <w:t>ד</w:t>
      </w:r>
      <w:r>
        <w:rPr>
          <w:rFonts w:cs="Miriam"/>
          <w:sz w:val="24"/>
          <w:szCs w:val="24"/>
          <w:u w:val="single"/>
          <w:rtl w:val="true"/>
        </w:rPr>
        <w:t xml:space="preserve">' </w:t>
      </w:r>
      <w:r>
        <w:rPr>
          <w:rFonts w:cs="Miriam"/>
          <w:sz w:val="24"/>
          <w:sz w:val="24"/>
          <w:szCs w:val="24"/>
          <w:u w:val="single"/>
          <w:rtl w:val="true"/>
        </w:rPr>
        <w:t>מינץ</w:t>
      </w:r>
      <w:r>
        <w:rPr>
          <w:rFonts w:cs="Miriam"/>
          <w:sz w:val="24"/>
          <w:szCs w:val="24"/>
          <w:u w:val="single"/>
          <w:rtl w:val="true"/>
        </w:rPr>
        <w:t>:</w:t>
      </w:r>
    </w:p>
    <w:p>
      <w:pPr>
        <w:pStyle w:val="Ruller42"/>
        <w:ind w:end="0"/>
        <w:jc w:val="both"/>
        <w:rPr>
          <w:rFonts w:cs="Miriam"/>
          <w:sz w:val="24"/>
          <w:szCs w:val="24"/>
          <w:u w:val="single"/>
        </w:rPr>
      </w:pPr>
      <w:r>
        <w:rPr>
          <w:rFonts w:cs="Miriam"/>
          <w:sz w:val="24"/>
          <w:szCs w:val="24"/>
          <w:u w:val="single"/>
          <w:rtl w:val="true"/>
        </w:rPr>
      </w:r>
      <w:bookmarkStart w:id="15" w:name="Start_Write"/>
      <w:bookmarkStart w:id="16" w:name="Start_Write"/>
      <w:bookmarkEnd w:id="16"/>
    </w:p>
    <w:p>
      <w:pPr>
        <w:pStyle w:val="Ruller42"/>
        <w:ind w:end="0"/>
        <w:jc w:val="both"/>
        <w:rPr>
          <w:rFonts w:ascii="Century" w:hAnsi="Century" w:cs="Century"/>
        </w:rPr>
      </w:pPr>
      <w:r>
        <w:rPr>
          <w:rtl w:val="true"/>
        </w:rPr>
        <w:tab/>
      </w:r>
      <w:r>
        <w:rPr>
          <w:rtl w:val="true"/>
        </w:rPr>
        <w:t>לפנינו</w:t>
      </w:r>
      <w:r>
        <w:rPr>
          <w:rFonts w:eastAsia="Arial TUR;Arial" w:cs="Arial TUR;Arial"/>
          <w:rtl w:val="true"/>
        </w:rPr>
        <w:t xml:space="preserve"> </w:t>
      </w:r>
      <w:r>
        <w:rPr>
          <w:rtl w:val="true"/>
        </w:rPr>
        <w:t>שורה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ערעורים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גזרי</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מרכז</w:t>
      </w:r>
      <w:r>
        <w:rPr>
          <w:rtl w:val="true"/>
        </w:rPr>
        <w:t>-</w:t>
      </w:r>
      <w:r>
        <w:rPr>
          <w:rtl w:val="true"/>
        </w:rPr>
        <w:t>לוד</w:t>
      </w:r>
      <w:r>
        <w:rPr>
          <w:rFonts w:ascii="Century" w:hAnsi="Century" w:cs="Century"/>
          <w:rtl w:val="true"/>
        </w:rPr>
        <w:t xml:space="preserve"> מיום </w:t>
      </w:r>
      <w:r>
        <w:rPr>
          <w:rFonts w:cs="Century" w:ascii="Century" w:hAnsi="Century"/>
        </w:rPr>
        <w:t>11.9.2017</w:t>
      </w:r>
      <w:r>
        <w:rPr>
          <w:rFonts w:cs="Century" w:ascii="Century" w:hAnsi="Century"/>
          <w:rtl w:val="true"/>
        </w:rPr>
        <w:t xml:space="preserve"> </w:t>
      </w:r>
      <w:r>
        <w:rPr>
          <w:rFonts w:ascii="Century" w:hAnsi="Century" w:cs="Century"/>
          <w:rtl w:val="true"/>
        </w:rPr>
        <w:t xml:space="preserve">ומיום </w:t>
      </w:r>
      <w:r>
        <w:rPr>
          <w:rFonts w:cs="Century" w:ascii="Century" w:hAnsi="Century"/>
        </w:rPr>
        <w:t>19.9.2017</w:t>
      </w:r>
      <w:r>
        <w:rPr>
          <w:rFonts w:cs="Century" w:ascii="Century" w:hAnsi="Century"/>
          <w:rtl w:val="true"/>
        </w:rPr>
        <w:t xml:space="preserve"> </w:t>
      </w:r>
      <w:r>
        <w:rPr>
          <w:rtl w:val="true"/>
        </w:rPr>
        <w:t>(</w:t>
      </w:r>
      <w:r>
        <w:rPr>
          <w:rtl w:val="true"/>
        </w:rPr>
        <w:t>כב</w:t>
      </w:r>
      <w:r>
        <w:rPr>
          <w:rtl w:val="true"/>
        </w:rPr>
        <w:t xml:space="preserve">' </w:t>
      </w:r>
      <w:r>
        <w:rPr>
          <w:rtl w:val="true"/>
        </w:rPr>
        <w:t>סגנית</w:t>
      </w:r>
      <w:r>
        <w:rPr>
          <w:rFonts w:eastAsia="Arial TUR;Arial" w:cs="Arial TUR;Arial"/>
          <w:rtl w:val="true"/>
        </w:rPr>
        <w:t xml:space="preserve"> </w:t>
      </w:r>
      <w:r>
        <w:rPr>
          <w:rtl w:val="true"/>
        </w:rPr>
        <w:t>הנשיא</w:t>
      </w:r>
      <w:r>
        <w:rPr>
          <w:rFonts w:eastAsia="Arial TUR;Arial" w:cs="Arial TUR;Arial"/>
          <w:rtl w:val="true"/>
        </w:rPr>
        <w:t xml:space="preserve"> </w:t>
      </w:r>
      <w:r>
        <w:rPr>
          <w:rFonts w:ascii="Century" w:hAnsi="Century" w:cs="Miriam"/>
          <w:b/>
          <w:b/>
          <w:spacing w:val="0"/>
          <w:szCs w:val="24"/>
          <w:rtl w:val="true"/>
        </w:rPr>
        <w:t>ר</w:t>
      </w:r>
      <w:r>
        <w:rPr>
          <w:rFonts w:cs="Miriam" w:ascii="Century" w:hAnsi="Century"/>
          <w:b/>
          <w:spacing w:val="0"/>
          <w:szCs w:val="24"/>
          <w:rtl w:val="true"/>
        </w:rPr>
        <w:t xml:space="preserve">' </w:t>
      </w:r>
      <w:r>
        <w:rPr>
          <w:rFonts w:ascii="Century" w:hAnsi="Century" w:cs="Miriam"/>
          <w:b/>
          <w:b/>
          <w:spacing w:val="0"/>
          <w:szCs w:val="24"/>
          <w:rtl w:val="true"/>
        </w:rPr>
        <w:t>לורך</w:t>
      </w:r>
      <w:r>
        <w:rPr>
          <w:rFonts w:cs="Century" w:ascii="Century" w:hAnsi="Century"/>
          <w:rtl w:val="true"/>
        </w:rPr>
        <w:t xml:space="preserve">) </w:t>
      </w:r>
      <w:r>
        <w:rPr>
          <w:rFonts w:ascii="Century" w:hAnsi="Century" w:cs="Century"/>
          <w:rtl w:val="true"/>
        </w:rPr>
        <w:t xml:space="preserve">וכן מיום </w:t>
      </w:r>
      <w:r>
        <w:rPr>
          <w:rFonts w:cs="Century" w:ascii="Century" w:hAnsi="Century"/>
        </w:rPr>
        <w:t>21.12.2017</w:t>
      </w:r>
      <w:r>
        <w:rPr>
          <w:rFonts w:cs="Century" w:ascii="Century" w:hAnsi="Century"/>
          <w:rtl w:val="true"/>
        </w:rPr>
        <w:t xml:space="preserve"> </w:t>
      </w:r>
      <w:r>
        <w:rPr>
          <w:rFonts w:ascii="Century" w:hAnsi="Century" w:cs="Century"/>
          <w:rtl w:val="true"/>
        </w:rPr>
        <w:t xml:space="preserve">ומיום </w:t>
      </w:r>
      <w:r>
        <w:rPr>
          <w:rFonts w:cs="Century" w:ascii="Century" w:hAnsi="Century"/>
        </w:rPr>
        <w:t>8.3.2018</w:t>
      </w:r>
      <w:r>
        <w:rPr>
          <w:rFonts w:cs="Century" w:ascii="Century" w:hAnsi="Century"/>
          <w:rtl w:val="true"/>
        </w:rPr>
        <w:t xml:space="preserve"> (</w:t>
      </w:r>
      <w:r>
        <w:rPr>
          <w:rFonts w:ascii="Century" w:hAnsi="Century" w:cs="Century"/>
          <w:rtl w:val="true"/>
        </w:rPr>
        <w:t>כב</w:t>
      </w:r>
      <w:r>
        <w:rPr>
          <w:rFonts w:cs="Century" w:ascii="Century" w:hAnsi="Century"/>
          <w:rtl w:val="true"/>
        </w:rPr>
        <w:t xml:space="preserve">' </w:t>
      </w:r>
      <w:r>
        <w:rPr>
          <w:rFonts w:ascii="Century" w:hAnsi="Century" w:cs="Century"/>
          <w:rtl w:val="true"/>
        </w:rPr>
        <w:t xml:space="preserve">השופטת </w:t>
      </w:r>
      <w:r>
        <w:rPr>
          <w:rFonts w:ascii="Century" w:hAnsi="Century" w:cs="Miriam"/>
          <w:b/>
          <w:b/>
          <w:spacing w:val="0"/>
          <w:szCs w:val="24"/>
          <w:rtl w:val="true"/>
        </w:rPr>
        <w:t>ד</w:t>
      </w:r>
      <w:r>
        <w:rPr>
          <w:rFonts w:cs="Miriam" w:ascii="Century" w:hAnsi="Century"/>
          <w:b/>
          <w:spacing w:val="0"/>
          <w:szCs w:val="24"/>
          <w:rtl w:val="true"/>
        </w:rPr>
        <w:t xml:space="preserve">' </w:t>
      </w:r>
      <w:r>
        <w:rPr>
          <w:rFonts w:ascii="Century" w:hAnsi="Century" w:cs="Miriam"/>
          <w:b/>
          <w:b/>
          <w:spacing w:val="0"/>
          <w:szCs w:val="24"/>
          <w:rtl w:val="true"/>
        </w:rPr>
        <w:t>מרשק</w:t>
      </w:r>
      <w:r>
        <w:rPr>
          <w:rFonts w:ascii="Century" w:hAnsi="Century" w:eastAsia="Century" w:cs="Century"/>
          <w:b/>
          <w:b/>
          <w:spacing w:val="0"/>
          <w:szCs w:val="24"/>
          <w:rtl w:val="true"/>
        </w:rPr>
        <w:t xml:space="preserve"> </w:t>
      </w:r>
      <w:r>
        <w:rPr>
          <w:rFonts w:ascii="Century" w:hAnsi="Century" w:cs="Miriam"/>
          <w:b/>
          <w:b/>
          <w:spacing w:val="0"/>
          <w:szCs w:val="24"/>
          <w:rtl w:val="true"/>
        </w:rPr>
        <w:t>מרום</w:t>
      </w:r>
      <w:r>
        <w:rPr>
          <w:rFonts w:cs="Century" w:ascii="Century" w:hAnsi="Century"/>
          <w:rtl w:val="true"/>
        </w:rPr>
        <w:t xml:space="preserve">) </w:t>
      </w:r>
      <w:r>
        <w:rPr>
          <w:rFonts w:ascii="Century" w:hAnsi="Century" w:cs="Century"/>
          <w:rtl w:val="true"/>
        </w:rPr>
        <w:t>ב</w:t>
      </w:r>
      <w:hyperlink r:id="rId17">
        <w:r>
          <w:rPr>
            <w:rStyle w:val="Hyperlink"/>
            <w:rFonts w:ascii="Century" w:hAnsi="Century" w:cs="Century"/>
            <w:color w:val="0000FF"/>
            <w:u w:val="single"/>
            <w:rtl w:val="true"/>
          </w:rPr>
          <w:t>ת</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46999-07-16</w:t>
        </w:r>
      </w:hyperlink>
      <w:r>
        <w:rPr>
          <w:rFonts w:cs="Century" w:ascii="Century" w:hAnsi="Century"/>
          <w:rtl w:val="true"/>
        </w:rPr>
        <w:t xml:space="preserve">. </w:t>
      </w:r>
      <w:r>
        <w:rPr>
          <w:rFonts w:ascii="Century" w:hAnsi="Century" w:cs="Century"/>
          <w:rtl w:val="true"/>
        </w:rPr>
        <w:t>במסגרת גזרי הדין הוטלו על המערערים עונשים שונים בגין הרשעות בעבירות של סחר בנשק ובתחמושת</w:t>
      </w:r>
      <w:r>
        <w:rPr>
          <w:rFonts w:cs="Century" w:ascii="Century" w:hAnsi="Century"/>
          <w:rtl w:val="true"/>
        </w:rPr>
        <w:t xml:space="preserve">, </w:t>
      </w:r>
      <w:r>
        <w:rPr>
          <w:rFonts w:ascii="Century" w:hAnsi="Century" w:cs="Century"/>
          <w:rtl w:val="true"/>
        </w:rPr>
        <w:t>של קשירת קשר לסחר בנשק וכן בעבירות נלוות</w:t>
      </w:r>
      <w:r>
        <w:rPr>
          <w:rFonts w:cs="Century" w:ascii="Century" w:hAnsi="Century"/>
          <w:rtl w:val="true"/>
        </w:rPr>
        <w:t xml:space="preserve">. </w:t>
      </w:r>
      <w:r>
        <w:rPr>
          <w:rFonts w:ascii="Century" w:hAnsi="Century" w:cs="Century"/>
          <w:rtl w:val="true"/>
        </w:rPr>
        <w:t>חלק מהערעורים מופנים נגד חומרת העונשים</w:t>
      </w:r>
      <w:r>
        <w:rPr>
          <w:rFonts w:cs="Century" w:ascii="Century" w:hAnsi="Century"/>
          <w:rtl w:val="true"/>
        </w:rPr>
        <w:t xml:space="preserve">, </w:t>
      </w:r>
      <w:r>
        <w:rPr>
          <w:rFonts w:ascii="Century" w:hAnsi="Century" w:cs="Century"/>
          <w:rtl w:val="true"/>
        </w:rPr>
        <w:t>ואילו חלקם מופנים כלפי קולת העונשים</w:t>
      </w:r>
      <w:r>
        <w:rPr>
          <w:rFonts w:cs="Century" w:ascii="Century" w:hAnsi="Century"/>
          <w:rtl w:val="true"/>
        </w:rPr>
        <w:t xml:space="preserve">. </w:t>
      </w:r>
      <w:r>
        <w:rPr>
          <w:rFonts w:ascii="Century" w:hAnsi="Century" w:cs="Century"/>
          <w:rtl w:val="true"/>
        </w:rPr>
        <w:t>לצורך הנוחות</w:t>
      </w:r>
      <w:r>
        <w:rPr>
          <w:rFonts w:cs="Century" w:ascii="Century" w:hAnsi="Century"/>
          <w:rtl w:val="true"/>
        </w:rPr>
        <w:t xml:space="preserve">, </w:t>
      </w:r>
      <w:r>
        <w:rPr>
          <w:rFonts w:ascii="Century" w:hAnsi="Century" w:cs="Century"/>
          <w:rtl w:val="true"/>
        </w:rPr>
        <w:t>המערערים ייקראו על פי סדר הופעתם בכתב האישום גם במסגרת הדיון בערעור</w:t>
      </w:r>
      <w:r>
        <w:rPr>
          <w:rFonts w:cs="Century" w:ascii="Century" w:hAnsi="Century"/>
          <w:rtl w:val="true"/>
        </w:rPr>
        <w:t>.</w:t>
      </w:r>
    </w:p>
    <w:p>
      <w:pPr>
        <w:pStyle w:val="Ruller42"/>
        <w:ind w:end="0"/>
        <w:jc w:val="both"/>
        <w:rPr>
          <w:rFonts w:ascii="Century" w:hAnsi="Century" w:cs="Century"/>
        </w:rPr>
      </w:pPr>
      <w:r>
        <w:rPr>
          <w:rFonts w:cs="Century" w:ascii="Century" w:hAnsi="Century"/>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הרקע</w:t>
      </w:r>
      <w:r>
        <w:rPr>
          <w:rFonts w:ascii="Century" w:hAnsi="Century" w:eastAsia="Century" w:cs="Century"/>
          <w:b/>
          <w:b/>
          <w:spacing w:val="0"/>
          <w:szCs w:val="24"/>
          <w:rtl w:val="true"/>
        </w:rPr>
        <w:t xml:space="preserve"> </w:t>
      </w:r>
      <w:r>
        <w:rPr>
          <w:rFonts w:ascii="Century" w:hAnsi="Century" w:cs="Miriam"/>
          <w:b/>
          <w:b/>
          <w:spacing w:val="0"/>
          <w:szCs w:val="24"/>
          <w:rtl w:val="true"/>
        </w:rPr>
        <w:t>לערעורים</w:t>
      </w:r>
    </w:p>
    <w:p>
      <w:pPr>
        <w:pStyle w:val="Ruller43"/>
        <w:numPr>
          <w:ilvl w:val="0"/>
          <w:numId w:val="1"/>
        </w:numPr>
        <w:ind w:end="0"/>
        <w:jc w:val="both"/>
        <w:rPr/>
      </w:pPr>
      <w:r>
        <w:rPr>
          <w:rtl w:val="true"/>
        </w:rPr>
        <w:t xml:space="preserve">ביום </w:t>
      </w:r>
      <w:r>
        <w:rPr/>
        <w:t>28.7.2016</w:t>
      </w:r>
      <w:r>
        <w:rPr>
          <w:rtl w:val="true"/>
        </w:rPr>
        <w:t xml:space="preserve"> </w:t>
      </w:r>
      <w:r>
        <w:rPr>
          <w:rtl w:val="true"/>
        </w:rPr>
        <w:t>הוגש לבית המשפט המחוזי מרכז</w:t>
      </w:r>
      <w:r>
        <w:rPr>
          <w:rtl w:val="true"/>
        </w:rPr>
        <w:t>-</w:t>
      </w:r>
      <w:r>
        <w:rPr>
          <w:rtl w:val="true"/>
        </w:rPr>
        <w:t xml:space="preserve">לוד כתב אישום המופנה נגד </w:t>
      </w:r>
      <w:r>
        <w:rPr/>
        <w:t>21</w:t>
      </w:r>
      <w:r>
        <w:rPr>
          <w:rtl w:val="true"/>
        </w:rPr>
        <w:t xml:space="preserve"> </w:t>
      </w:r>
      <w:r>
        <w:rPr>
          <w:rtl w:val="true"/>
        </w:rPr>
        <w:t xml:space="preserve">נאשמים </w:t>
      </w:r>
      <w:r>
        <w:rPr>
          <w:rtl w:val="true"/>
        </w:rPr>
        <w:t>(</w:t>
      </w:r>
      <w:r>
        <w:rPr>
          <w:rtl w:val="true"/>
        </w:rPr>
        <w:t>שייקראו להלן יחדיו</w:t>
      </w:r>
      <w:r>
        <w:rPr>
          <w:rtl w:val="true"/>
        </w:rPr>
        <w:t xml:space="preserve">: </w:t>
      </w:r>
      <w:r>
        <w:rPr>
          <w:rFonts w:ascii="Century" w:hAnsi="Century" w:cs="Miriam"/>
          <w:b/>
          <w:b/>
          <w:spacing w:val="0"/>
          <w:sz w:val="22"/>
          <w:sz w:val="22"/>
          <w:szCs w:val="24"/>
          <w:rtl w:val="true"/>
        </w:rPr>
        <w:t>הנאשמים</w:t>
      </w:r>
      <w:r>
        <w:rPr>
          <w:rtl w:val="true"/>
        </w:rPr>
        <w:t xml:space="preserve">) </w:t>
      </w:r>
      <w:r>
        <w:rPr>
          <w:rtl w:val="true"/>
        </w:rPr>
        <w:t xml:space="preserve">המגולל את פרטיהם של </w:t>
      </w:r>
      <w:r>
        <w:rPr/>
        <w:t>29</w:t>
      </w:r>
      <w:r>
        <w:rPr>
          <w:rtl w:val="true"/>
        </w:rPr>
        <w:t xml:space="preserve"> </w:t>
      </w:r>
      <w:r>
        <w:rPr>
          <w:rtl w:val="true"/>
        </w:rPr>
        <w:t>אישומים</w:t>
      </w:r>
      <w:r>
        <w:rPr>
          <w:rtl w:val="true"/>
        </w:rPr>
        <w:t xml:space="preserve">, </w:t>
      </w:r>
      <w:r>
        <w:rPr>
          <w:rtl w:val="true"/>
        </w:rPr>
        <w:t>אשר עיקרם ריבוי עבירות של סחר בנשק ובתחמושת</w:t>
      </w:r>
      <w:r>
        <w:rPr>
          <w:rtl w:val="true"/>
        </w:rPr>
        <w:t xml:space="preserve">, </w:t>
      </w:r>
      <w:r>
        <w:rPr>
          <w:rtl w:val="true"/>
        </w:rPr>
        <w:t>סחר בסמים ועבירות נוספות</w:t>
      </w:r>
      <w:r>
        <w:rPr>
          <w:rtl w:val="true"/>
        </w:rPr>
        <w:t xml:space="preserve">. </w:t>
      </w:r>
      <w:r>
        <w:rPr>
          <w:rtl w:val="true"/>
        </w:rPr>
        <w:t xml:space="preserve">כתב האישום הוגש על רקע מבצע משטרתי במסגרתו הופעל סוכן באזור מרכז הארץ ובפרט באזור </w:t>
      </w:r>
      <w:r>
        <w:rPr>
          <w:rtl w:val="true"/>
        </w:rPr>
        <w:t>"</w:t>
      </w:r>
      <w:r>
        <w:rPr>
          <w:rtl w:val="true"/>
        </w:rPr>
        <w:t>המשולש</w:t>
      </w:r>
      <w:r>
        <w:rPr>
          <w:rtl w:val="true"/>
        </w:rPr>
        <w:t xml:space="preserve">", </w:t>
      </w:r>
      <w:r>
        <w:rPr>
          <w:rtl w:val="true"/>
        </w:rPr>
        <w:t xml:space="preserve">במהלך התקופה שבין חודש מרץ </w:t>
      </w:r>
      <w:r>
        <w:rPr/>
        <w:t>2015</w:t>
      </w:r>
      <w:r>
        <w:rPr>
          <w:rtl w:val="true"/>
        </w:rPr>
        <w:t xml:space="preserve"> </w:t>
      </w:r>
      <w:r>
        <w:rPr>
          <w:rtl w:val="true"/>
        </w:rPr>
        <w:t xml:space="preserve">לבין חודש יולי </w:t>
      </w:r>
      <w:r>
        <w:rPr/>
        <w:t>2016</w:t>
      </w:r>
      <w:r>
        <w:rPr>
          <w:rtl w:val="true"/>
        </w:rPr>
        <w:t xml:space="preserve">. </w:t>
      </w:r>
      <w:r>
        <w:rPr>
          <w:rtl w:val="true"/>
        </w:rPr>
        <w:t>על פי המתואר בכתב האישום</w:t>
      </w:r>
      <w:r>
        <w:rPr>
          <w:rtl w:val="true"/>
        </w:rPr>
        <w:t xml:space="preserve">, </w:t>
      </w:r>
      <w:r>
        <w:rPr>
          <w:rtl w:val="true"/>
        </w:rPr>
        <w:t>במהלך פעילותו ביצע הסוכן שורה של עסקאות עם הנאשמים</w:t>
      </w:r>
      <w:r>
        <w:rPr>
          <w:rtl w:val="true"/>
        </w:rPr>
        <w:t xml:space="preserve">, </w:t>
      </w:r>
      <w:r>
        <w:rPr>
          <w:rtl w:val="true"/>
        </w:rPr>
        <w:t>במסגרתן רכש כלי נשק מסוגים שונים ובהם אקדחים</w:t>
      </w:r>
      <w:r>
        <w:rPr>
          <w:rtl w:val="true"/>
        </w:rPr>
        <w:t xml:space="preserve">, </w:t>
      </w:r>
      <w:r>
        <w:rPr>
          <w:rtl w:val="true"/>
        </w:rPr>
        <w:t>תתי</w:t>
      </w:r>
      <w:r>
        <w:rPr>
          <w:rtl w:val="true"/>
        </w:rPr>
        <w:t>-</w:t>
      </w:r>
      <w:r>
        <w:rPr>
          <w:rtl w:val="true"/>
        </w:rPr>
        <w:t>מקלע</w:t>
      </w:r>
      <w:r>
        <w:rPr>
          <w:rtl w:val="true"/>
        </w:rPr>
        <w:t xml:space="preserve">, </w:t>
      </w:r>
      <w:r>
        <w:rPr>
          <w:rtl w:val="true"/>
        </w:rPr>
        <w:t>רובי סער וכיוצא באלה</w:t>
      </w:r>
      <w:r>
        <w:rPr>
          <w:rtl w:val="true"/>
        </w:rPr>
        <w:t xml:space="preserve">, </w:t>
      </w:r>
      <w:r>
        <w:rPr>
          <w:rtl w:val="true"/>
        </w:rPr>
        <w:t>בהיקף כספי כולל של מאות אלפי שקלים</w:t>
      </w:r>
      <w:r>
        <w:rPr>
          <w:rtl w:val="true"/>
        </w:rPr>
        <w:t>.</w:t>
      </w:r>
    </w:p>
    <w:p>
      <w:pPr>
        <w:pStyle w:val="Ruller42"/>
        <w:ind w:end="0"/>
        <w:jc w:val="both"/>
        <w:rPr/>
      </w:pPr>
      <w:r>
        <w:rPr>
          <w:rtl w:val="true"/>
        </w:rPr>
      </w:r>
    </w:p>
    <w:p>
      <w:pPr>
        <w:pStyle w:val="Ruller43"/>
        <w:numPr>
          <w:ilvl w:val="0"/>
          <w:numId w:val="1"/>
        </w:numPr>
        <w:ind w:end="0"/>
        <w:jc w:val="both"/>
        <w:rPr/>
      </w:pPr>
      <w:r>
        <w:rPr>
          <w:rtl w:val="true"/>
        </w:rPr>
        <w:t xml:space="preserve">הנאשמים הודו במיוחס להם </w:t>
      </w:r>
      <w:r>
        <w:rPr>
          <w:rtl w:val="true"/>
        </w:rPr>
        <w:t>(</w:t>
      </w:r>
      <w:r>
        <w:rPr>
          <w:rtl w:val="true"/>
        </w:rPr>
        <w:t>חלקם לאחר שחזרו בהם מכפירתם</w:t>
      </w:r>
      <w:r>
        <w:rPr>
          <w:rtl w:val="true"/>
        </w:rPr>
        <w:t xml:space="preserve">) </w:t>
      </w:r>
      <w:r>
        <w:rPr>
          <w:rtl w:val="true"/>
        </w:rPr>
        <w:t>והורשעו על יסוד הודאותיהם בעובדות כתבי האישום המתוקנים בהסדרי טיעון</w:t>
      </w:r>
      <w:r>
        <w:rPr>
          <w:rtl w:val="true"/>
        </w:rPr>
        <w:t xml:space="preserve">, </w:t>
      </w:r>
      <w:r>
        <w:rPr>
          <w:rtl w:val="true"/>
        </w:rPr>
        <w:t xml:space="preserve">במסגרת הכרעות הדין של בית המשפט המחוזי מיום </w:t>
      </w:r>
      <w:r>
        <w:rPr/>
        <w:t>26.3.2017</w:t>
      </w:r>
      <w:r>
        <w:rPr>
          <w:rtl w:val="true"/>
        </w:rPr>
        <w:t xml:space="preserve"> </w:t>
      </w:r>
      <w:r>
        <w:rPr>
          <w:rtl w:val="true"/>
        </w:rPr>
        <w:t xml:space="preserve">ומיום </w:t>
      </w:r>
      <w:r>
        <w:rPr/>
        <w:t>4.4.2017</w:t>
      </w:r>
      <w:r>
        <w:rPr>
          <w:rtl w:val="true"/>
        </w:rPr>
        <w:t xml:space="preserve"> (</w:t>
      </w:r>
      <w:r>
        <w:rPr>
          <w:rtl w:val="true"/>
        </w:rPr>
        <w:t xml:space="preserve">סגנית הנשיא </w:t>
      </w:r>
      <w:r>
        <w:rPr>
          <w:rFonts w:ascii="Century" w:hAnsi="Century" w:cs="Miriam"/>
          <w:b/>
          <w:b/>
          <w:spacing w:val="0"/>
          <w:sz w:val="22"/>
          <w:sz w:val="22"/>
          <w:szCs w:val="24"/>
          <w:rtl w:val="true"/>
        </w:rPr>
        <w:t>ר</w:t>
      </w:r>
      <w:r>
        <w:rPr>
          <w:rFonts w:cs="Miriam" w:ascii="Century" w:hAnsi="Century"/>
          <w:b/>
          <w:spacing w:val="0"/>
          <w:sz w:val="22"/>
          <w:szCs w:val="24"/>
          <w:rtl w:val="true"/>
        </w:rPr>
        <w:t xml:space="preserve">' </w:t>
      </w:r>
      <w:r>
        <w:rPr>
          <w:rFonts w:ascii="Century" w:hAnsi="Century" w:cs="Miriam"/>
          <w:b/>
          <w:b/>
          <w:spacing w:val="0"/>
          <w:sz w:val="22"/>
          <w:sz w:val="22"/>
          <w:szCs w:val="24"/>
          <w:rtl w:val="true"/>
        </w:rPr>
        <w:t>לורך</w:t>
      </w:r>
      <w:r>
        <w:rPr>
          <w:rtl w:val="true"/>
        </w:rPr>
        <w:t xml:space="preserve">), </w:t>
      </w:r>
      <w:r>
        <w:rPr>
          <w:rtl w:val="true"/>
        </w:rPr>
        <w:t xml:space="preserve">וכן מהימים </w:t>
      </w:r>
      <w:r>
        <w:rPr/>
        <w:t>3.7.2017</w:t>
      </w:r>
      <w:r>
        <w:rPr>
          <w:rtl w:val="true"/>
        </w:rPr>
        <w:t xml:space="preserve">, </w:t>
      </w:r>
      <w:r>
        <w:rPr/>
        <w:t>13.7.2017</w:t>
      </w:r>
      <w:r>
        <w:rPr>
          <w:rtl w:val="true"/>
        </w:rPr>
        <w:t xml:space="preserve">, </w:t>
      </w:r>
      <w:r>
        <w:rPr/>
        <w:t>14.9.2017</w:t>
      </w:r>
      <w:r>
        <w:rPr>
          <w:rtl w:val="true"/>
        </w:rPr>
        <w:t xml:space="preserve"> </w:t>
      </w:r>
      <w:r>
        <w:rPr>
          <w:rtl w:val="true"/>
        </w:rPr>
        <w:t>ו</w:t>
      </w:r>
      <w:r>
        <w:rPr>
          <w:rtl w:val="true"/>
        </w:rPr>
        <w:t>-</w:t>
      </w:r>
      <w:r>
        <w:rPr/>
        <w:t>5.11.2017</w:t>
      </w:r>
      <w:r>
        <w:rPr>
          <w:rtl w:val="true"/>
        </w:rPr>
        <w:t xml:space="preserve"> (</w:t>
      </w:r>
      <w:r>
        <w:rPr>
          <w:rtl w:val="true"/>
        </w:rPr>
        <w:t xml:space="preserve">השופטת </w:t>
      </w:r>
      <w:r>
        <w:rPr>
          <w:rFonts w:ascii="Century" w:hAnsi="Century" w:cs="Miriam"/>
          <w:b/>
          <w:b/>
          <w:spacing w:val="0"/>
          <w:sz w:val="22"/>
          <w:sz w:val="22"/>
          <w:szCs w:val="24"/>
          <w:rtl w:val="true"/>
        </w:rPr>
        <w:t>ד</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מרשק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מרום</w:t>
      </w:r>
      <w:r>
        <w:rPr>
          <w:rtl w:val="true"/>
        </w:rPr>
        <w:t xml:space="preserve">). </w:t>
      </w:r>
      <w:r>
        <w:rPr>
          <w:rtl w:val="true"/>
        </w:rPr>
        <w:t xml:space="preserve">מרבית ההרשעות הן בגין עבירות של סחר בנשק </w:t>
      </w:r>
      <w:r>
        <w:rPr>
          <w:rtl w:val="true"/>
        </w:rPr>
        <w:t>(</w:t>
      </w:r>
      <w:r>
        <w:rPr>
          <w:rtl w:val="true"/>
        </w:rPr>
        <w:t xml:space="preserve">לפי </w:t>
      </w:r>
      <w:hyperlink r:id="rId18">
        <w:r>
          <w:rPr>
            <w:rStyle w:val="Hyperlink"/>
            <w:color w:val="0000FF"/>
            <w:u w:val="single"/>
            <w:rtl w:val="true"/>
          </w:rPr>
          <w:t>סעיפים</w:t>
        </w:r>
        <w:r>
          <w:rPr>
            <w:rStyle w:val="Hyperlink"/>
            <w:color w:val="0000FF"/>
            <w:u w:val="single"/>
            <w:rtl w:val="true"/>
          </w:rPr>
          <w:t xml:space="preserve"> </w:t>
        </w:r>
        <w:r>
          <w:rPr>
            <w:rStyle w:val="Hyperlink"/>
            <w:color w:val="0000FF"/>
            <w:u w:val="single"/>
          </w:rPr>
          <w:t>144</w:t>
        </w:r>
        <w:r>
          <w:rPr>
            <w:rStyle w:val="Hyperlink"/>
            <w:color w:val="0000FF"/>
            <w:u w:val="single"/>
            <w:rtl w:val="true"/>
          </w:rPr>
          <w:t>(</w:t>
        </w:r>
        <w:r>
          <w:rPr>
            <w:rStyle w:val="Hyperlink"/>
            <w:color w:val="0000FF"/>
            <w:u w:val="single"/>
            <w:rtl w:val="true"/>
          </w:rPr>
          <w:t>ב</w:t>
        </w:r>
        <w:r>
          <w:rPr>
            <w:rStyle w:val="Hyperlink"/>
            <w:color w:val="0000FF"/>
            <w:u w:val="single"/>
          </w:rPr>
          <w:t>2</w:t>
        </w:r>
        <w:r>
          <w:rPr>
            <w:rStyle w:val="Hyperlink"/>
            <w:color w:val="0000FF"/>
            <w:u w:val="single"/>
            <w:rtl w:val="true"/>
          </w:rPr>
          <w:t>)</w:t>
        </w:r>
      </w:hyperlink>
      <w:r>
        <w:rPr>
          <w:rtl w:val="true"/>
        </w:rPr>
        <w:t xml:space="preserve"> </w:t>
      </w:r>
      <w:r>
        <w:rPr>
          <w:rtl w:val="true"/>
        </w:rPr>
        <w:t>ו</w:t>
      </w:r>
      <w:r>
        <w:rPr>
          <w:rtl w:val="true"/>
        </w:rPr>
        <w:t>-</w:t>
      </w:r>
      <w:hyperlink r:id="rId19">
        <w:r>
          <w:rPr>
            <w:rStyle w:val="Hyperlink"/>
          </w:rPr>
          <w:t>29</w:t>
        </w:r>
      </w:hyperlink>
      <w:r>
        <w:rPr>
          <w:rtl w:val="true"/>
        </w:rPr>
        <w:t xml:space="preserve"> </w:t>
      </w:r>
      <w:r>
        <w:rPr>
          <w:rtl w:val="true"/>
        </w:rPr>
        <w:t>ל</w:t>
      </w:r>
      <w:hyperlink r:id="rId20">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התשל</w:t>
      </w:r>
      <w:r>
        <w:rPr>
          <w:rtl w:val="true"/>
        </w:rPr>
        <w:t>"</w:t>
      </w:r>
      <w:r>
        <w:rPr>
          <w:rtl w:val="true"/>
        </w:rPr>
        <w:t>ז</w:t>
      </w:r>
      <w:r>
        <w:rPr>
          <w:rtl w:val="true"/>
        </w:rPr>
        <w:t>-</w:t>
      </w:r>
      <w:r>
        <w:rPr/>
        <w:t>1977</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חוק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העונשין</w:t>
      </w:r>
      <w:r>
        <w:rPr>
          <w:rtl w:val="true"/>
        </w:rPr>
        <w:t xml:space="preserve">)); </w:t>
      </w:r>
      <w:r>
        <w:rPr>
          <w:rtl w:val="true"/>
        </w:rPr>
        <w:t xml:space="preserve">קשירת קשר לסחר בנשק </w:t>
      </w:r>
      <w:r>
        <w:rPr>
          <w:rtl w:val="true"/>
        </w:rPr>
        <w:t>(</w:t>
      </w:r>
      <w:r>
        <w:rPr>
          <w:rtl w:val="true"/>
        </w:rPr>
        <w:t xml:space="preserve">לפי </w:t>
      </w:r>
      <w:hyperlink r:id="rId21">
        <w:r>
          <w:rPr>
            <w:rStyle w:val="Hyperlink"/>
            <w:rtl w:val="true"/>
          </w:rPr>
          <w:t>סעיף</w:t>
        </w:r>
        <w:r>
          <w:rPr>
            <w:rStyle w:val="Hyperlink"/>
            <w:rtl w:val="true"/>
          </w:rPr>
          <w:t xml:space="preserve"> </w:t>
        </w:r>
        <w:r>
          <w:rPr>
            <w:rStyle w:val="Hyperlink"/>
          </w:rPr>
          <w:t>499</w:t>
        </w:r>
        <w:r>
          <w:rPr>
            <w:rStyle w:val="Hyperlink"/>
            <w:rtl w:val="true"/>
          </w:rPr>
          <w:t>(</w:t>
        </w:r>
        <w:r>
          <w:rPr>
            <w:rStyle w:val="Hyperlink"/>
            <w:rtl w:val="true"/>
          </w:rPr>
          <w:t>א</w:t>
        </w:r>
        <w:r>
          <w:rPr>
            <w:rStyle w:val="Hyperlink"/>
            <w:rtl w:val="true"/>
          </w:rPr>
          <w:t>)(</w:t>
        </w:r>
        <w:r>
          <w:rPr>
            <w:rStyle w:val="Hyperlink"/>
          </w:rPr>
          <w:t>1</w:t>
        </w:r>
        <w:r>
          <w:rPr>
            <w:rStyle w:val="Hyperlink"/>
            <w:rtl w:val="true"/>
          </w:rPr>
          <w:t>)</w:t>
        </w:r>
      </w:hyperlink>
      <w:r>
        <w:rPr>
          <w:rtl w:val="true"/>
        </w:rPr>
        <w:t xml:space="preserve"> </w:t>
      </w:r>
      <w:r>
        <w:rPr>
          <w:rtl w:val="true"/>
        </w:rPr>
        <w:t>לחוק העונשין</w:t>
      </w:r>
      <w:r>
        <w:rPr>
          <w:rtl w:val="true"/>
        </w:rPr>
        <w:t xml:space="preserve">); </w:t>
      </w:r>
      <w:r>
        <w:rPr>
          <w:rtl w:val="true"/>
        </w:rPr>
        <w:t xml:space="preserve">ניסיון לסחר בנשק </w:t>
      </w:r>
      <w:r>
        <w:rPr>
          <w:rtl w:val="true"/>
        </w:rPr>
        <w:t>(</w:t>
      </w:r>
      <w:r>
        <w:rPr>
          <w:rtl w:val="true"/>
        </w:rPr>
        <w:t xml:space="preserve">לפי </w:t>
      </w:r>
      <w:hyperlink r:id="rId22">
        <w:r>
          <w:rPr>
            <w:rStyle w:val="Hyperlink"/>
            <w:rtl w:val="true"/>
          </w:rPr>
          <w:t>סעיפים</w:t>
        </w:r>
        <w:r>
          <w:rPr>
            <w:rStyle w:val="Hyperlink"/>
            <w:rtl w:val="true"/>
          </w:rPr>
          <w:t xml:space="preserve"> </w:t>
        </w:r>
        <w:r>
          <w:rPr>
            <w:rStyle w:val="Hyperlink"/>
          </w:rPr>
          <w:t>144</w:t>
        </w:r>
        <w:r>
          <w:rPr>
            <w:rStyle w:val="Hyperlink"/>
            <w:rtl w:val="true"/>
          </w:rPr>
          <w:t>(</w:t>
        </w:r>
        <w:r>
          <w:rPr>
            <w:rStyle w:val="Hyperlink"/>
            <w:rtl w:val="true"/>
          </w:rPr>
          <w:t>ב</w:t>
        </w:r>
        <w:r>
          <w:rPr>
            <w:rStyle w:val="Hyperlink"/>
          </w:rPr>
          <w:t>2</w:t>
        </w:r>
        <w:r>
          <w:rPr>
            <w:rStyle w:val="Hyperlink"/>
            <w:rtl w:val="true"/>
          </w:rPr>
          <w:t>)</w:t>
        </w:r>
      </w:hyperlink>
      <w:r>
        <w:rPr>
          <w:rtl w:val="true"/>
        </w:rPr>
        <w:t xml:space="preserve">, </w:t>
      </w:r>
      <w:hyperlink r:id="rId23">
        <w:r>
          <w:rPr>
            <w:rStyle w:val="Hyperlink"/>
            <w:color w:val="0000FF"/>
            <w:u w:val="single"/>
          </w:rPr>
          <w:t>25</w:t>
        </w:r>
      </w:hyperlink>
      <w:r>
        <w:rPr>
          <w:rtl w:val="true"/>
        </w:rPr>
        <w:t xml:space="preserve"> </w:t>
      </w:r>
      <w:r>
        <w:rPr>
          <w:rtl w:val="true"/>
        </w:rPr>
        <w:t>ו</w:t>
      </w:r>
      <w:r>
        <w:rPr>
          <w:rtl w:val="true"/>
        </w:rPr>
        <w:t>-</w:t>
      </w:r>
      <w:hyperlink r:id="rId24">
        <w:r>
          <w:rPr>
            <w:rStyle w:val="Hyperlink"/>
            <w:color w:val="0000FF"/>
            <w:u w:val="single"/>
          </w:rPr>
          <w:t>29</w:t>
        </w:r>
      </w:hyperlink>
      <w:r>
        <w:rPr>
          <w:rtl w:val="true"/>
        </w:rPr>
        <w:t xml:space="preserve"> </w:t>
      </w:r>
      <w:r>
        <w:rPr>
          <w:rtl w:val="true"/>
        </w:rPr>
        <w:t>לחוק העונשין</w:t>
      </w:r>
      <w:r>
        <w:rPr>
          <w:rtl w:val="true"/>
        </w:rPr>
        <w:t xml:space="preserve">); </w:t>
      </w:r>
      <w:r>
        <w:rPr>
          <w:rtl w:val="true"/>
        </w:rPr>
        <w:t xml:space="preserve">וסיוע לסחר בנשק </w:t>
      </w:r>
      <w:r>
        <w:rPr>
          <w:rtl w:val="true"/>
        </w:rPr>
        <w:t>(</w:t>
      </w:r>
      <w:r>
        <w:rPr>
          <w:rtl w:val="true"/>
        </w:rPr>
        <w:t xml:space="preserve">לפי </w:t>
      </w:r>
      <w:hyperlink r:id="rId25">
        <w:r>
          <w:rPr>
            <w:rStyle w:val="Hyperlink"/>
            <w:color w:val="0000FF"/>
            <w:u w:val="single"/>
            <w:rtl w:val="true"/>
          </w:rPr>
          <w:t>סעיפים</w:t>
        </w:r>
        <w:r>
          <w:rPr>
            <w:rStyle w:val="Hyperlink"/>
            <w:color w:val="0000FF"/>
            <w:u w:val="single"/>
            <w:rtl w:val="true"/>
          </w:rPr>
          <w:t xml:space="preserve"> </w:t>
        </w:r>
        <w:r>
          <w:rPr>
            <w:rStyle w:val="Hyperlink"/>
            <w:color w:val="0000FF"/>
            <w:u w:val="single"/>
          </w:rPr>
          <w:t>144</w:t>
        </w:r>
        <w:r>
          <w:rPr>
            <w:rStyle w:val="Hyperlink"/>
            <w:color w:val="0000FF"/>
            <w:u w:val="single"/>
            <w:rtl w:val="true"/>
          </w:rPr>
          <w:t>(</w:t>
        </w:r>
        <w:r>
          <w:rPr>
            <w:rStyle w:val="Hyperlink"/>
            <w:color w:val="0000FF"/>
            <w:u w:val="single"/>
            <w:rtl w:val="true"/>
          </w:rPr>
          <w:t>ב</w:t>
        </w:r>
        <w:r>
          <w:rPr>
            <w:rStyle w:val="Hyperlink"/>
            <w:color w:val="0000FF"/>
            <w:u w:val="single"/>
          </w:rPr>
          <w:t>2</w:t>
        </w:r>
        <w:r>
          <w:rPr>
            <w:rStyle w:val="Hyperlink"/>
            <w:color w:val="0000FF"/>
            <w:u w:val="single"/>
            <w:rtl w:val="true"/>
          </w:rPr>
          <w:t>)</w:t>
        </w:r>
      </w:hyperlink>
      <w:r>
        <w:rPr>
          <w:rtl w:val="true"/>
        </w:rPr>
        <w:t xml:space="preserve"> </w:t>
      </w:r>
      <w:r>
        <w:rPr>
          <w:rtl w:val="true"/>
        </w:rPr>
        <w:t>ו</w:t>
      </w:r>
      <w:r>
        <w:rPr>
          <w:rtl w:val="true"/>
        </w:rPr>
        <w:t>-</w:t>
      </w:r>
      <w:hyperlink r:id="rId26">
        <w:r>
          <w:rPr>
            <w:rStyle w:val="Hyperlink"/>
            <w:color w:val="0000FF"/>
            <w:u w:val="single"/>
          </w:rPr>
          <w:t>31</w:t>
        </w:r>
      </w:hyperlink>
      <w:r>
        <w:rPr>
          <w:rtl w:val="true"/>
        </w:rPr>
        <w:t xml:space="preserve"> </w:t>
      </w:r>
      <w:r>
        <w:rPr>
          <w:rtl w:val="true"/>
        </w:rPr>
        <w:t>לחוק העונשין</w:t>
      </w:r>
      <w:r>
        <w:rPr>
          <w:rtl w:val="true"/>
        </w:rPr>
        <w:t xml:space="preserve">). </w:t>
      </w:r>
      <w:r>
        <w:rPr>
          <w:rtl w:val="true"/>
        </w:rPr>
        <w:t>לצד עבירות אלו</w:t>
      </w:r>
      <w:r>
        <w:rPr>
          <w:rtl w:val="true"/>
        </w:rPr>
        <w:t xml:space="preserve">, </w:t>
      </w:r>
      <w:r>
        <w:rPr>
          <w:rtl w:val="true"/>
        </w:rPr>
        <w:t xml:space="preserve">חלק מהנאשמים הורשעו גם בעבירות של ירי באזור מגורים </w:t>
      </w:r>
      <w:r>
        <w:rPr>
          <w:rtl w:val="true"/>
        </w:rPr>
        <w:t>(</w:t>
      </w:r>
      <w:r>
        <w:rPr>
          <w:rtl w:val="true"/>
        </w:rPr>
        <w:t xml:space="preserve">לפי </w:t>
      </w:r>
      <w:hyperlink r:id="rId27">
        <w:r>
          <w:rPr>
            <w:rStyle w:val="Hyperlink"/>
            <w:color w:val="0000FF"/>
            <w:u w:val="single"/>
            <w:rtl w:val="true"/>
          </w:rPr>
          <w:t>סעיף</w:t>
        </w:r>
        <w:r>
          <w:rPr>
            <w:rStyle w:val="Hyperlink"/>
            <w:color w:val="0000FF"/>
            <w:u w:val="single"/>
            <w:rtl w:val="true"/>
          </w:rPr>
          <w:t xml:space="preserve"> </w:t>
        </w:r>
        <w:r>
          <w:rPr>
            <w:rStyle w:val="Hyperlink"/>
            <w:color w:val="0000FF"/>
            <w:u w:val="single"/>
          </w:rPr>
          <w:t>340</w:t>
        </w:r>
        <w:r>
          <w:rPr>
            <w:rStyle w:val="Hyperlink"/>
            <w:color w:val="0000FF"/>
            <w:u w:val="single"/>
            <w:rtl w:val="true"/>
          </w:rPr>
          <w:t>א</w:t>
        </w:r>
      </w:hyperlink>
      <w:r>
        <w:rPr>
          <w:rtl w:val="true"/>
        </w:rPr>
        <w:t xml:space="preserve"> ל</w:t>
      </w:r>
      <w:hyperlink r:id="rId28">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 xml:space="preserve">סחר בסם מסוכן בצוותא </w:t>
      </w:r>
      <w:r>
        <w:rPr>
          <w:rtl w:val="true"/>
        </w:rPr>
        <w:t>(</w:t>
      </w:r>
      <w:r>
        <w:rPr>
          <w:rtl w:val="true"/>
        </w:rPr>
        <w:t xml:space="preserve">לפי </w:t>
      </w:r>
      <w:hyperlink r:id="rId29">
        <w:r>
          <w:rPr>
            <w:rStyle w:val="Hyperlink"/>
            <w:color w:val="0000FF"/>
            <w:u w:val="single"/>
            <w:rtl w:val="true"/>
          </w:rPr>
          <w:t>סעיפים</w:t>
        </w:r>
        <w:r>
          <w:rPr>
            <w:rStyle w:val="Hyperlink"/>
            <w:color w:val="0000FF"/>
            <w:u w:val="single"/>
            <w:rtl w:val="true"/>
          </w:rPr>
          <w:t xml:space="preserve"> </w:t>
        </w:r>
        <w:r>
          <w:rPr>
            <w:rStyle w:val="Hyperlink"/>
            <w:color w:val="0000FF"/>
            <w:u w:val="single"/>
          </w:rPr>
          <w:t>13</w:t>
        </w:r>
      </w:hyperlink>
      <w:r>
        <w:rPr>
          <w:rtl w:val="true"/>
        </w:rPr>
        <w:t xml:space="preserve"> </w:t>
      </w:r>
      <w:r>
        <w:rPr>
          <w:rtl w:val="true"/>
        </w:rPr>
        <w:t>ו</w:t>
      </w:r>
      <w:r>
        <w:rPr>
          <w:rtl w:val="true"/>
        </w:rPr>
        <w:t>-</w:t>
      </w:r>
      <w:hyperlink r:id="rId30">
        <w:r>
          <w:rPr>
            <w:rStyle w:val="Hyperlink"/>
            <w:color w:val="0000FF"/>
            <w:u w:val="single"/>
          </w:rPr>
          <w:t>19</w:t>
        </w:r>
        <w:r>
          <w:rPr>
            <w:rStyle w:val="Hyperlink"/>
            <w:color w:val="0000FF"/>
            <w:u w:val="single"/>
            <w:rtl w:val="true"/>
          </w:rPr>
          <w:t>א</w:t>
        </w:r>
      </w:hyperlink>
      <w:r>
        <w:rPr>
          <w:rtl w:val="true"/>
        </w:rPr>
        <w:t xml:space="preserve"> ל</w:t>
      </w:r>
      <w:hyperlink r:id="rId31">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הסמים</w:t>
        </w:r>
        <w:r>
          <w:rPr>
            <w:rStyle w:val="Hyperlink"/>
            <w:color w:val="0000FF"/>
            <w:u w:val="single"/>
            <w:rtl w:val="true"/>
          </w:rPr>
          <w:t xml:space="preserve"> </w:t>
        </w:r>
        <w:r>
          <w:rPr>
            <w:rStyle w:val="Hyperlink"/>
            <w:color w:val="0000FF"/>
            <w:u w:val="single"/>
            <w:rtl w:val="true"/>
          </w:rPr>
          <w:t>המסוכנים</w:t>
        </w:r>
      </w:hyperlink>
      <w:r>
        <w:rPr>
          <w:rtl w:val="true"/>
        </w:rPr>
        <w:t xml:space="preserve"> </w:t>
      </w:r>
      <w:r>
        <w:rPr>
          <w:rtl w:val="true"/>
        </w:rPr>
        <w:t>[</w:t>
      </w:r>
      <w:r>
        <w:rPr>
          <w:rtl w:val="true"/>
        </w:rPr>
        <w:t>נוסח חדש</w:t>
      </w:r>
      <w:r>
        <w:rPr>
          <w:rtl w:val="true"/>
        </w:rPr>
        <w:t xml:space="preserve">], </w:t>
      </w:r>
      <w:r>
        <w:rPr>
          <w:rtl w:val="true"/>
        </w:rPr>
        <w:t>התשל</w:t>
      </w:r>
      <w:r>
        <w:rPr>
          <w:rtl w:val="true"/>
        </w:rPr>
        <w:t>"</w:t>
      </w:r>
      <w:r>
        <w:rPr>
          <w:rtl w:val="true"/>
        </w:rPr>
        <w:t>ג</w:t>
      </w:r>
      <w:r>
        <w:rPr>
          <w:rtl w:val="true"/>
        </w:rPr>
        <w:t>-</w:t>
      </w:r>
      <w:r>
        <w:rPr/>
        <w:t>1973</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פקודת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הסמים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המסוכנים</w:t>
      </w:r>
      <w:r>
        <w:rPr>
          <w:rtl w:val="true"/>
        </w:rPr>
        <w:t xml:space="preserve">) </w:t>
      </w:r>
      <w:hyperlink r:id="rId32">
        <w:r>
          <w:rPr>
            <w:rStyle w:val="Hyperlink"/>
            <w:color w:val="0000FF"/>
            <w:u w:val="single"/>
            <w:rtl w:val="true"/>
          </w:rPr>
          <w:t>וסעיף</w:t>
        </w:r>
        <w:r>
          <w:rPr>
            <w:rStyle w:val="Hyperlink"/>
            <w:color w:val="0000FF"/>
            <w:u w:val="single"/>
            <w:rtl w:val="true"/>
          </w:rPr>
          <w:t xml:space="preserve"> </w:t>
        </w:r>
        <w:r>
          <w:rPr>
            <w:rStyle w:val="Hyperlink"/>
            <w:color w:val="0000FF"/>
            <w:u w:val="single"/>
          </w:rPr>
          <w:t>29</w:t>
        </w:r>
      </w:hyperlink>
      <w:r>
        <w:rPr>
          <w:rtl w:val="true"/>
        </w:rPr>
        <w:t xml:space="preserve"> </w:t>
      </w:r>
      <w:r>
        <w:rPr>
          <w:rtl w:val="true"/>
        </w:rPr>
        <w:t>לחוק העונשין</w:t>
      </w:r>
      <w:r>
        <w:rPr>
          <w:rtl w:val="true"/>
        </w:rPr>
        <w:t xml:space="preserve">); </w:t>
      </w:r>
      <w:r>
        <w:rPr>
          <w:rtl w:val="true"/>
        </w:rPr>
        <w:t xml:space="preserve">סיוע לסחר בסם מסוכן </w:t>
      </w:r>
      <w:r>
        <w:rPr>
          <w:rtl w:val="true"/>
        </w:rPr>
        <w:t>(</w:t>
      </w:r>
      <w:r>
        <w:rPr>
          <w:rtl w:val="true"/>
        </w:rPr>
        <w:t xml:space="preserve">לפי </w:t>
      </w:r>
      <w:hyperlink r:id="rId33">
        <w:r>
          <w:rPr>
            <w:rStyle w:val="Hyperlink"/>
            <w:color w:val="0000FF"/>
            <w:u w:val="single"/>
            <w:rtl w:val="true"/>
          </w:rPr>
          <w:t>סעיפים</w:t>
        </w:r>
        <w:r>
          <w:rPr>
            <w:rStyle w:val="Hyperlink"/>
            <w:color w:val="0000FF"/>
            <w:u w:val="single"/>
            <w:rtl w:val="true"/>
          </w:rPr>
          <w:t xml:space="preserve"> </w:t>
        </w:r>
        <w:r>
          <w:rPr>
            <w:rStyle w:val="Hyperlink"/>
            <w:color w:val="0000FF"/>
            <w:u w:val="single"/>
          </w:rPr>
          <w:t>13</w:t>
        </w:r>
      </w:hyperlink>
      <w:r>
        <w:rPr>
          <w:rtl w:val="true"/>
        </w:rPr>
        <w:t xml:space="preserve"> </w:t>
      </w:r>
      <w:r>
        <w:rPr>
          <w:rtl w:val="true"/>
        </w:rPr>
        <w:t>ו</w:t>
      </w:r>
      <w:r>
        <w:rPr>
          <w:rtl w:val="true"/>
        </w:rPr>
        <w:t>-</w:t>
      </w:r>
      <w:hyperlink r:id="rId34">
        <w:r>
          <w:rPr>
            <w:rStyle w:val="Hyperlink"/>
            <w:color w:val="0000FF"/>
            <w:u w:val="single"/>
          </w:rPr>
          <w:t>19</w:t>
        </w:r>
        <w:r>
          <w:rPr>
            <w:rStyle w:val="Hyperlink"/>
            <w:color w:val="0000FF"/>
            <w:u w:val="single"/>
            <w:rtl w:val="true"/>
          </w:rPr>
          <w:t>א</w:t>
        </w:r>
      </w:hyperlink>
      <w:r>
        <w:rPr>
          <w:rtl w:val="true"/>
        </w:rPr>
        <w:t xml:space="preserve"> לפקודת הסמים המסוכנים </w:t>
      </w:r>
      <w:hyperlink r:id="rId35">
        <w:r>
          <w:rPr>
            <w:rStyle w:val="Hyperlink"/>
            <w:color w:val="0000FF"/>
            <w:u w:val="single"/>
            <w:rtl w:val="true"/>
          </w:rPr>
          <w:t>וסעיף</w:t>
        </w:r>
        <w:r>
          <w:rPr>
            <w:rStyle w:val="Hyperlink"/>
            <w:color w:val="0000FF"/>
            <w:u w:val="single"/>
            <w:rtl w:val="true"/>
          </w:rPr>
          <w:t xml:space="preserve"> </w:t>
        </w:r>
        <w:r>
          <w:rPr>
            <w:rStyle w:val="Hyperlink"/>
            <w:color w:val="0000FF"/>
            <w:u w:val="single"/>
          </w:rPr>
          <w:t>31</w:t>
        </w:r>
      </w:hyperlink>
      <w:r>
        <w:rPr>
          <w:rtl w:val="true"/>
        </w:rPr>
        <w:t xml:space="preserve"> </w:t>
      </w:r>
      <w:r>
        <w:rPr>
          <w:rtl w:val="true"/>
        </w:rPr>
        <w:t>לחוק העונשין</w:t>
      </w:r>
      <w:r>
        <w:rPr>
          <w:rtl w:val="true"/>
        </w:rPr>
        <w:t xml:space="preserve">); </w:t>
      </w:r>
      <w:r>
        <w:rPr>
          <w:rtl w:val="true"/>
        </w:rPr>
        <w:t xml:space="preserve">ותיווך בסם מסוכן </w:t>
      </w:r>
      <w:r>
        <w:rPr>
          <w:rtl w:val="true"/>
        </w:rPr>
        <w:t>(</w:t>
      </w:r>
      <w:r>
        <w:rPr>
          <w:rtl w:val="true"/>
        </w:rPr>
        <w:t xml:space="preserve">לפי </w:t>
      </w:r>
      <w:hyperlink r:id="rId36">
        <w:r>
          <w:rPr>
            <w:rStyle w:val="Hyperlink"/>
            <w:color w:val="0000FF"/>
            <w:u w:val="single"/>
            <w:rtl w:val="true"/>
          </w:rPr>
          <w:t>סעיפים</w:t>
        </w:r>
        <w:r>
          <w:rPr>
            <w:rStyle w:val="Hyperlink"/>
            <w:color w:val="0000FF"/>
            <w:u w:val="single"/>
            <w:rtl w:val="true"/>
          </w:rPr>
          <w:t xml:space="preserve"> </w:t>
        </w:r>
        <w:r>
          <w:rPr>
            <w:rStyle w:val="Hyperlink"/>
            <w:color w:val="0000FF"/>
            <w:u w:val="single"/>
          </w:rPr>
          <w:t>14</w:t>
        </w:r>
      </w:hyperlink>
      <w:r>
        <w:rPr>
          <w:rtl w:val="true"/>
        </w:rPr>
        <w:t xml:space="preserve"> </w:t>
      </w:r>
      <w:r>
        <w:rPr>
          <w:rtl w:val="true"/>
        </w:rPr>
        <w:t>ו</w:t>
      </w:r>
      <w:r>
        <w:rPr>
          <w:rtl w:val="true"/>
        </w:rPr>
        <w:t>-</w:t>
      </w:r>
      <w:hyperlink r:id="rId37">
        <w:r>
          <w:rPr>
            <w:rStyle w:val="Hyperlink"/>
            <w:color w:val="0000FF"/>
            <w:u w:val="single"/>
          </w:rPr>
          <w:t>19</w:t>
        </w:r>
        <w:r>
          <w:rPr>
            <w:rStyle w:val="Hyperlink"/>
            <w:color w:val="0000FF"/>
            <w:u w:val="single"/>
            <w:rtl w:val="true"/>
          </w:rPr>
          <w:t>א</w:t>
        </w:r>
      </w:hyperlink>
      <w:r>
        <w:rPr>
          <w:rtl w:val="true"/>
        </w:rPr>
        <w:t xml:space="preserve"> לפקודת הסמים המסוכנים</w:t>
      </w:r>
      <w:r>
        <w:rPr>
          <w:rtl w:val="true"/>
        </w:rPr>
        <w:t xml:space="preserve">). </w:t>
      </w:r>
    </w:p>
    <w:p>
      <w:pPr>
        <w:pStyle w:val="Ruller43"/>
        <w:numPr>
          <w:ilvl w:val="0"/>
          <w:numId w:val="0"/>
        </w:numPr>
        <w:ind w:hanging="0" w:start="0" w:end="0"/>
        <w:jc w:val="both"/>
        <w:rPr/>
      </w:pPr>
      <w:r>
        <w:rPr>
          <w:rtl w:val="true"/>
        </w:rPr>
      </w:r>
    </w:p>
    <w:p>
      <w:pPr>
        <w:pStyle w:val="Ruller43"/>
        <w:numPr>
          <w:ilvl w:val="0"/>
          <w:numId w:val="1"/>
        </w:numPr>
        <w:ind w:end="0"/>
        <w:jc w:val="both"/>
        <w:rPr/>
      </w:pPr>
      <w:r>
        <w:rPr>
          <w:rtl w:val="true"/>
        </w:rPr>
        <w:t>המסכת העובדתית המרכזית העומדת ביסוד הרשעת הנאשמים כולם</w:t>
      </w:r>
      <w:r>
        <w:rPr>
          <w:rtl w:val="true"/>
        </w:rPr>
        <w:t xml:space="preserve">, </w:t>
      </w:r>
      <w:r>
        <w:rPr>
          <w:rtl w:val="true"/>
        </w:rPr>
        <w:t>כוללת כאמור מכירת כלי נשק מסוגים שונים ותחמושת לסוכן משטרתי</w:t>
      </w:r>
      <w:r>
        <w:rPr>
          <w:rtl w:val="true"/>
        </w:rPr>
        <w:t xml:space="preserve">, </w:t>
      </w:r>
      <w:r>
        <w:rPr>
          <w:rtl w:val="true"/>
        </w:rPr>
        <w:t>באמצעות שיתוף פעולה משתנה בין כל אחד מהנאשמים</w:t>
      </w:r>
      <w:r>
        <w:rPr>
          <w:rtl w:val="true"/>
        </w:rPr>
        <w:t xml:space="preserve">. </w:t>
      </w:r>
      <w:r>
        <w:rPr>
          <w:rtl w:val="true"/>
        </w:rPr>
        <w:t>במסגרת העסקאות נוצר קשר עם הסוכן</w:t>
      </w:r>
      <w:r>
        <w:rPr>
          <w:rtl w:val="true"/>
        </w:rPr>
        <w:t xml:space="preserve">, </w:t>
      </w:r>
      <w:r>
        <w:rPr>
          <w:rtl w:val="true"/>
        </w:rPr>
        <w:t>נוהל משא ומתן על גובה התמורה שתתקבל ועל סוג הנשק שיימכר</w:t>
      </w:r>
      <w:r>
        <w:rPr>
          <w:rtl w:val="true"/>
        </w:rPr>
        <w:t xml:space="preserve">, </w:t>
      </w:r>
      <w:r>
        <w:rPr>
          <w:rtl w:val="true"/>
        </w:rPr>
        <w:t>ולאחר שנקבעה פגישה עם הסוכן</w:t>
      </w:r>
      <w:r>
        <w:rPr>
          <w:rtl w:val="true"/>
        </w:rPr>
        <w:t xml:space="preserve">, </w:t>
      </w:r>
      <w:r>
        <w:rPr>
          <w:rtl w:val="true"/>
        </w:rPr>
        <w:t>נפגש הסוכן עם מי מהנאשמים</w:t>
      </w:r>
      <w:r>
        <w:rPr>
          <w:rtl w:val="true"/>
        </w:rPr>
        <w:t xml:space="preserve">, </w:t>
      </w:r>
      <w:r>
        <w:rPr>
          <w:rtl w:val="true"/>
        </w:rPr>
        <w:t>קיבל לידיו את הנשק ומסר את תמורתו</w:t>
      </w:r>
      <w:r>
        <w:rPr>
          <w:rtl w:val="true"/>
        </w:rPr>
        <w:t xml:space="preserve">. </w:t>
      </w:r>
      <w:r>
        <w:rPr>
          <w:rtl w:val="true"/>
        </w:rPr>
        <w:t>לעתים נעשה שימוש בכלי הנשק על ידי הנאשם שמסר את הנשק</w:t>
      </w:r>
      <w:r>
        <w:rPr>
          <w:rtl w:val="true"/>
        </w:rPr>
        <w:t xml:space="preserve">, </w:t>
      </w:r>
      <w:r>
        <w:rPr>
          <w:rtl w:val="true"/>
        </w:rPr>
        <w:t>על מנת לוודא את תקינותו</w:t>
      </w:r>
      <w:r>
        <w:rPr>
          <w:rtl w:val="true"/>
        </w:rPr>
        <w:t xml:space="preserve">. </w:t>
      </w:r>
    </w:p>
    <w:p>
      <w:pPr>
        <w:pStyle w:val="Ruller43"/>
        <w:numPr>
          <w:ilvl w:val="0"/>
          <w:numId w:val="0"/>
        </w:numPr>
        <w:ind w:hanging="0" w:start="0" w:end="0"/>
        <w:jc w:val="both"/>
        <w:rPr/>
      </w:pPr>
      <w:r>
        <w:rPr>
          <w:rtl w:val="true"/>
        </w:rPr>
      </w:r>
    </w:p>
    <w:p>
      <w:pPr>
        <w:pStyle w:val="Ruller43"/>
        <w:numPr>
          <w:ilvl w:val="0"/>
          <w:numId w:val="1"/>
        </w:numPr>
        <w:ind w:end="0"/>
        <w:jc w:val="both"/>
        <w:rPr/>
      </w:pPr>
      <w:r>
        <w:rPr>
          <w:rtl w:val="true"/>
        </w:rPr>
        <w:t xml:space="preserve">בגזרי דין מפורטים </w:t>
      </w:r>
      <w:r>
        <w:rPr>
          <w:rtl w:val="true"/>
        </w:rPr>
        <w:t>–</w:t>
      </w:r>
      <w:r>
        <w:rPr>
          <w:rtl w:val="true"/>
        </w:rPr>
        <w:t xml:space="preserve"> גזר הדין מיום </w:t>
      </w:r>
      <w:r>
        <w:rPr/>
        <w:t>11.9.2017</w:t>
      </w:r>
      <w:r>
        <w:rPr>
          <w:rtl w:val="true"/>
        </w:rPr>
        <w:t xml:space="preserve"> </w:t>
      </w:r>
      <w:r>
        <w:rPr>
          <w:rtl w:val="true"/>
        </w:rPr>
        <w:t xml:space="preserve">בעניינם של נאשמים </w:t>
      </w:r>
      <w:r>
        <w:rPr/>
        <w:t>2</w:t>
      </w:r>
      <w:r>
        <w:rPr>
          <w:rtl w:val="true"/>
        </w:rPr>
        <w:t xml:space="preserve">, </w:t>
      </w:r>
      <w:r>
        <w:rPr/>
        <w:t>3</w:t>
      </w:r>
      <w:r>
        <w:rPr>
          <w:rtl w:val="true"/>
        </w:rPr>
        <w:t xml:space="preserve">, </w:t>
      </w:r>
      <w:r>
        <w:rPr/>
        <w:t>6</w:t>
      </w:r>
      <w:r>
        <w:rPr>
          <w:rtl w:val="true"/>
        </w:rPr>
        <w:t xml:space="preserve">, </w:t>
      </w:r>
      <w:r>
        <w:rPr>
          <w:rtl w:val="true"/>
        </w:rPr>
        <w:t>ו</w:t>
      </w:r>
      <w:r>
        <w:rPr>
          <w:rtl w:val="true"/>
        </w:rPr>
        <w:t>-</w:t>
      </w:r>
      <w:r>
        <w:rPr/>
        <w:t>8</w:t>
      </w:r>
      <w:r>
        <w:rPr>
          <w:rtl w:val="true"/>
        </w:rPr>
        <w:t xml:space="preserve">; </w:t>
      </w:r>
      <w:r>
        <w:rPr>
          <w:rtl w:val="true"/>
        </w:rPr>
        <w:t xml:space="preserve">גזר הדין מיום </w:t>
      </w:r>
      <w:r>
        <w:rPr/>
        <w:t>19.9.2017</w:t>
      </w:r>
      <w:r>
        <w:rPr>
          <w:rtl w:val="true"/>
        </w:rPr>
        <w:t xml:space="preserve"> </w:t>
      </w:r>
      <w:r>
        <w:rPr>
          <w:rtl w:val="true"/>
        </w:rPr>
        <w:t xml:space="preserve">בעניינו של נאשם </w:t>
      </w:r>
      <w:r>
        <w:rPr/>
        <w:t>6</w:t>
      </w:r>
      <w:r>
        <w:rPr>
          <w:rtl w:val="true"/>
        </w:rPr>
        <w:t xml:space="preserve">; </w:t>
      </w:r>
      <w:r>
        <w:rPr>
          <w:rtl w:val="true"/>
        </w:rPr>
        <w:t xml:space="preserve">גזר הדין מיום </w:t>
      </w:r>
      <w:r>
        <w:rPr/>
        <w:t>21.12.2017</w:t>
      </w:r>
      <w:r>
        <w:rPr>
          <w:rtl w:val="true"/>
        </w:rPr>
        <w:t xml:space="preserve"> </w:t>
      </w:r>
      <w:r>
        <w:rPr>
          <w:rtl w:val="true"/>
        </w:rPr>
        <w:t xml:space="preserve">בעניינם של נאשמים </w:t>
      </w:r>
      <w:r>
        <w:rPr/>
        <w:t>1</w:t>
      </w:r>
      <w:r>
        <w:rPr>
          <w:rtl w:val="true"/>
        </w:rPr>
        <w:t xml:space="preserve">, </w:t>
      </w:r>
      <w:r>
        <w:rPr/>
        <w:t>5</w:t>
      </w:r>
      <w:r>
        <w:rPr>
          <w:rtl w:val="true"/>
        </w:rPr>
        <w:t xml:space="preserve">, </w:t>
      </w:r>
      <w:r>
        <w:rPr/>
        <w:t>13</w:t>
      </w:r>
      <w:r>
        <w:rPr>
          <w:rtl w:val="true"/>
        </w:rPr>
        <w:t xml:space="preserve">, </w:t>
      </w:r>
      <w:r>
        <w:rPr/>
        <w:t>15</w:t>
      </w:r>
      <w:r>
        <w:rPr>
          <w:rtl w:val="true"/>
        </w:rPr>
        <w:t xml:space="preserve">, </w:t>
      </w:r>
      <w:r>
        <w:rPr/>
        <w:t>17</w:t>
      </w:r>
      <w:r>
        <w:rPr>
          <w:rtl w:val="true"/>
        </w:rPr>
        <w:t xml:space="preserve">, </w:t>
      </w:r>
      <w:r>
        <w:rPr>
          <w:rtl w:val="true"/>
        </w:rPr>
        <w:t>ו</w:t>
      </w:r>
      <w:r>
        <w:rPr>
          <w:rtl w:val="true"/>
        </w:rPr>
        <w:t>-</w:t>
      </w:r>
      <w:r>
        <w:rPr/>
        <w:t>19</w:t>
      </w:r>
      <w:r>
        <w:rPr>
          <w:rtl w:val="true"/>
        </w:rPr>
        <w:t xml:space="preserve">; </w:t>
      </w:r>
      <w:r>
        <w:rPr>
          <w:rtl w:val="true"/>
        </w:rPr>
        <w:t xml:space="preserve">וגזר הדין מיום </w:t>
      </w:r>
      <w:r>
        <w:rPr/>
        <w:t>8.3.2018</w:t>
      </w:r>
      <w:r>
        <w:rPr>
          <w:rtl w:val="true"/>
        </w:rPr>
        <w:t xml:space="preserve"> </w:t>
      </w:r>
      <w:r>
        <w:rPr>
          <w:rtl w:val="true"/>
        </w:rPr>
        <w:t xml:space="preserve">בעניינו של נאשם </w:t>
      </w:r>
      <w:r>
        <w:rPr/>
        <w:t>9</w:t>
      </w:r>
      <w:r>
        <w:rPr>
          <w:rtl w:val="true"/>
        </w:rPr>
        <w:t xml:space="preserve"> </w:t>
      </w:r>
      <w:r>
        <w:rPr>
          <w:rtl w:val="true"/>
        </w:rPr>
        <w:t>–</w:t>
      </w:r>
      <w:r>
        <w:rPr>
          <w:rtl w:val="true"/>
        </w:rPr>
        <w:t xml:space="preserve"> </w:t>
      </w:r>
      <w:r>
        <w:rPr>
          <w:rtl w:val="true"/>
        </w:rPr>
        <w:t>נדרש בית המשפט לעניינו של כל אחד מהנאשמים</w:t>
      </w:r>
      <w:r>
        <w:rPr>
          <w:rtl w:val="true"/>
        </w:rPr>
        <w:t xml:space="preserve">, </w:t>
      </w:r>
      <w:r>
        <w:rPr>
          <w:rtl w:val="true"/>
        </w:rPr>
        <w:t>ובכלל זה גם לעניינם של המערערים והמשיבים שבענייננו</w:t>
      </w:r>
      <w:r>
        <w:rPr>
          <w:rtl w:val="true"/>
        </w:rPr>
        <w:t xml:space="preserve">. </w:t>
      </w:r>
    </w:p>
    <w:p>
      <w:pPr>
        <w:pStyle w:val="Ruller43"/>
        <w:numPr>
          <w:ilvl w:val="0"/>
          <w:numId w:val="0"/>
        </w:numPr>
        <w:ind w:hanging="0" w:start="0" w:end="0"/>
        <w:jc w:val="both"/>
        <w:rPr/>
      </w:pPr>
      <w:r>
        <w:rPr>
          <w:rtl w:val="true"/>
        </w:rPr>
      </w:r>
    </w:p>
    <w:p>
      <w:pPr>
        <w:pStyle w:val="Ruller43"/>
        <w:numPr>
          <w:ilvl w:val="0"/>
          <w:numId w:val="1"/>
        </w:numPr>
        <w:ind w:end="0"/>
        <w:jc w:val="both"/>
        <w:rPr/>
      </w:pPr>
      <w:r>
        <w:rPr>
          <w:rtl w:val="true"/>
        </w:rPr>
        <w:t>בפתח גזרי הדין</w:t>
      </w:r>
      <w:r>
        <w:rPr>
          <w:rtl w:val="true"/>
        </w:rPr>
        <w:t xml:space="preserve">, </w:t>
      </w:r>
      <w:r>
        <w:rPr>
          <w:rtl w:val="true"/>
        </w:rPr>
        <w:t>תיאר בית המשפט באופן כללי את היסודות שיעמדו בבסיס גזירת הדין הפרטנית בעניינו של כל נאשם ונאשם</w:t>
      </w:r>
      <w:r>
        <w:rPr>
          <w:rtl w:val="true"/>
        </w:rPr>
        <w:t xml:space="preserve">. </w:t>
      </w:r>
      <w:r>
        <w:rPr>
          <w:rtl w:val="true"/>
        </w:rPr>
        <w:t>כך</w:t>
      </w:r>
      <w:r>
        <w:rPr>
          <w:rtl w:val="true"/>
        </w:rPr>
        <w:t xml:space="preserve">, </w:t>
      </w:r>
      <w:r>
        <w:rPr>
          <w:rtl w:val="true"/>
        </w:rPr>
        <w:t>בית המשפט עמד על הערכים החברתיים שנפגעו כתוצאה מביצוע העבירות</w:t>
      </w:r>
      <w:r>
        <w:rPr>
          <w:rtl w:val="true"/>
        </w:rPr>
        <w:t xml:space="preserve">, </w:t>
      </w:r>
      <w:r>
        <w:rPr>
          <w:rtl w:val="true"/>
        </w:rPr>
        <w:t>על הפגיעה בשלום הציבור ועל הסיכון הפוטנציאלי הרב הנשקף לציבור כתוצאה מהמעשים</w:t>
      </w:r>
      <w:r>
        <w:rPr>
          <w:rtl w:val="true"/>
        </w:rPr>
        <w:t xml:space="preserve">, </w:t>
      </w:r>
      <w:r>
        <w:rPr>
          <w:rtl w:val="true"/>
        </w:rPr>
        <w:t>סיכון אשר בא לידי ביטוי באופן שונה אצל כל אחד מהנאשמים</w:t>
      </w:r>
      <w:r>
        <w:rPr>
          <w:rtl w:val="true"/>
        </w:rPr>
        <w:t xml:space="preserve">, </w:t>
      </w:r>
      <w:r>
        <w:rPr>
          <w:rtl w:val="true"/>
        </w:rPr>
        <w:t>בהתאם לסוג הנשק שנמכר בעניינו</w:t>
      </w:r>
      <w:r>
        <w:rPr>
          <w:rtl w:val="true"/>
        </w:rPr>
        <w:t xml:space="preserve">. </w:t>
      </w:r>
      <w:r>
        <w:rPr>
          <w:rtl w:val="true"/>
        </w:rPr>
        <w:t>בית המשפט גם עמד על מגמת ההחמרה בענישה בעבירות נשק</w:t>
      </w:r>
      <w:r>
        <w:rPr>
          <w:rtl w:val="true"/>
        </w:rPr>
        <w:t xml:space="preserve">, </w:t>
      </w:r>
      <w:r>
        <w:rPr>
          <w:rtl w:val="true"/>
        </w:rPr>
        <w:t>ועל כך שעבירת הסחר מצויה ברף העליון של עבירות מסוג זה</w:t>
      </w:r>
      <w:r>
        <w:rPr>
          <w:rtl w:val="true"/>
        </w:rPr>
        <w:t xml:space="preserve">. </w:t>
      </w:r>
      <w:r>
        <w:rPr>
          <w:rtl w:val="true"/>
        </w:rPr>
        <w:t>צוין כי יש להעניש בחומרה כל אחד מחברי שרשרת הסחר הבלתי חוקי בנשק</w:t>
      </w:r>
      <w:r>
        <w:rPr>
          <w:rtl w:val="true"/>
        </w:rPr>
        <w:t xml:space="preserve">. </w:t>
      </w:r>
      <w:r>
        <w:rPr>
          <w:rtl w:val="true"/>
        </w:rPr>
        <w:t xml:space="preserve">כן עמד בית המשפט על כך שנוכח היותן של עבירות הנשק </w:t>
      </w:r>
      <w:r>
        <w:rPr>
          <w:rtl w:val="true"/>
        </w:rPr>
        <w:t>"</w:t>
      </w:r>
      <w:r>
        <w:rPr>
          <w:rtl w:val="true"/>
        </w:rPr>
        <w:t>מכת מדינה</w:t>
      </w:r>
      <w:r>
        <w:rPr>
          <w:rtl w:val="true"/>
        </w:rPr>
        <w:t xml:space="preserve">", </w:t>
      </w:r>
      <w:r>
        <w:rPr>
          <w:rtl w:val="true"/>
        </w:rPr>
        <w:t>יש ליתן ביטוי נוסף לצורך בהחמרה בענישה</w:t>
      </w:r>
      <w:r>
        <w:rPr>
          <w:rtl w:val="true"/>
        </w:rPr>
        <w:t xml:space="preserve">. </w:t>
      </w:r>
      <w:r>
        <w:rPr>
          <w:rtl w:val="true"/>
        </w:rPr>
        <w:t>מנגד</w:t>
      </w:r>
      <w:r>
        <w:rPr>
          <w:rtl w:val="true"/>
        </w:rPr>
        <w:t xml:space="preserve">, </w:t>
      </w:r>
      <w:r>
        <w:rPr>
          <w:rtl w:val="true"/>
        </w:rPr>
        <w:t>צוין כי בעת גזירת העונש יש גם לקחת בחשבון את העובדה שהנאשמים הודו בביצוע העבירות</w:t>
      </w:r>
      <w:r>
        <w:rPr>
          <w:rtl w:val="true"/>
        </w:rPr>
        <w:t>.</w:t>
      </w:r>
    </w:p>
    <w:p>
      <w:pPr>
        <w:pStyle w:val="Ruller43"/>
        <w:numPr>
          <w:ilvl w:val="0"/>
          <w:numId w:val="0"/>
        </w:numPr>
        <w:ind w:hanging="0" w:start="0" w:end="0"/>
        <w:jc w:val="both"/>
        <w:rPr/>
      </w:pPr>
      <w:r>
        <w:rPr>
          <w:rtl w:val="true"/>
        </w:rPr>
      </w:r>
    </w:p>
    <w:p>
      <w:pPr>
        <w:pStyle w:val="Ruller43"/>
        <w:numPr>
          <w:ilvl w:val="0"/>
          <w:numId w:val="1"/>
        </w:numPr>
        <w:ind w:end="0"/>
        <w:jc w:val="both"/>
        <w:rPr/>
      </w:pPr>
      <w:r>
        <w:rPr>
          <w:rtl w:val="true"/>
        </w:rPr>
        <w:t>באשר לשאלה אם מעשיהם של הנאשמים היו בגדר אירוע אחד או מספר אירועים</w:t>
      </w:r>
      <w:r>
        <w:rPr>
          <w:rtl w:val="true"/>
        </w:rPr>
        <w:t xml:space="preserve">, </w:t>
      </w:r>
      <w:r>
        <w:rPr>
          <w:rtl w:val="true"/>
        </w:rPr>
        <w:t xml:space="preserve">צוין כי בהתאם למבחן </w:t>
      </w:r>
      <w:r>
        <w:rPr>
          <w:rtl w:val="true"/>
        </w:rPr>
        <w:t>"</w:t>
      </w:r>
      <w:r>
        <w:rPr>
          <w:rtl w:val="true"/>
        </w:rPr>
        <w:t>הקשר ההדוק</w:t>
      </w:r>
      <w:r>
        <w:rPr>
          <w:rtl w:val="true"/>
        </w:rPr>
        <w:t xml:space="preserve">", </w:t>
      </w:r>
      <w:r>
        <w:rPr>
          <w:rtl w:val="true"/>
        </w:rPr>
        <w:t>ייבחנו נסיבותיו של כל נאשם</w:t>
      </w:r>
      <w:r>
        <w:rPr>
          <w:rtl w:val="true"/>
        </w:rPr>
        <w:t xml:space="preserve">, </w:t>
      </w:r>
      <w:r>
        <w:rPr>
          <w:rtl w:val="true"/>
        </w:rPr>
        <w:t>פערי הזמנים בין העסקאות בהן היה מעורב</w:t>
      </w:r>
      <w:r>
        <w:rPr>
          <w:rtl w:val="true"/>
        </w:rPr>
        <w:t xml:space="preserve">, </w:t>
      </w:r>
      <w:r>
        <w:rPr>
          <w:rtl w:val="true"/>
        </w:rPr>
        <w:t>זהות השותפים לביצוע העבירות ואופן המעורבות בכל אחת מהעסקאות</w:t>
      </w:r>
      <w:r>
        <w:rPr>
          <w:rtl w:val="true"/>
        </w:rPr>
        <w:t xml:space="preserve">. </w:t>
      </w:r>
      <w:r>
        <w:rPr>
          <w:rtl w:val="true"/>
        </w:rPr>
        <w:t>לאחר מכן סקר בית המשפט את עניינו של כל נאשם ונאשם</w:t>
      </w:r>
      <w:r>
        <w:rPr>
          <w:rtl w:val="true"/>
        </w:rPr>
        <w:t xml:space="preserve">, </w:t>
      </w:r>
      <w:r>
        <w:rPr>
          <w:rtl w:val="true"/>
        </w:rPr>
        <w:t>בהתאם לחלקו באירועים ונסיבותיו האישיות</w:t>
      </w:r>
      <w:r>
        <w:rPr>
          <w:rtl w:val="true"/>
        </w:rPr>
        <w:t xml:space="preserve">, </w:t>
      </w:r>
      <w:r>
        <w:rPr>
          <w:rtl w:val="true"/>
        </w:rPr>
        <w:t>ונדרש לקביעת מתחמי העונש ההולמים וגזירת דינו של כל נאשם</w:t>
      </w:r>
      <w:r>
        <w:rPr>
          <w:rtl w:val="true"/>
        </w:rPr>
        <w:t>.</w:t>
      </w:r>
    </w:p>
    <w:p>
      <w:pPr>
        <w:pStyle w:val="Ruller43"/>
        <w:numPr>
          <w:ilvl w:val="0"/>
          <w:numId w:val="0"/>
        </w:numPr>
        <w:ind w:hanging="0" w:start="0" w:end="0"/>
        <w:jc w:val="both"/>
        <w:rPr>
          <w:rFonts w:ascii="Century" w:hAnsi="Century" w:cs="Century"/>
        </w:rPr>
      </w:pPr>
      <w:r>
        <w:rPr>
          <w:rFonts w:cs="Century" w:ascii="Century" w:hAnsi="Century"/>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הערעורים</w:t>
      </w:r>
    </w:p>
    <w:p>
      <w:pPr>
        <w:pStyle w:val="Ruller43"/>
        <w:numPr>
          <w:ilvl w:val="0"/>
          <w:numId w:val="1"/>
        </w:numPr>
        <w:ind w:end="0"/>
        <w:jc w:val="both"/>
        <w:rPr/>
      </w:pPr>
      <w:r>
        <w:rPr>
          <w:rtl w:val="true"/>
        </w:rPr>
        <w:t xml:space="preserve">כעת מונחים לפנינו שישה ערעורים על חומרת העונש </w:t>
      </w:r>
      <w:r>
        <w:rPr>
          <w:rtl w:val="true"/>
        </w:rPr>
        <w:t>(</w:t>
      </w:r>
      <w:r>
        <w:rPr>
          <w:rtl w:val="true"/>
        </w:rPr>
        <w:t>ע</w:t>
      </w:r>
      <w:r>
        <w:rPr>
          <w:rtl w:val="true"/>
        </w:rPr>
        <w:t>"</w:t>
      </w:r>
      <w:r>
        <w:rPr>
          <w:rtl w:val="true"/>
        </w:rPr>
        <w:t>פ</w:t>
      </w:r>
      <w:r>
        <w:rPr>
          <w:rtl w:val="true"/>
        </w:rPr>
        <w:t xml:space="preserve"> </w:t>
      </w:r>
      <w:r>
        <w:rPr/>
        <w:t>8045/17</w:t>
      </w:r>
      <w:r>
        <w:rPr>
          <w:rtl w:val="true"/>
        </w:rPr>
        <w:t xml:space="preserve">, </w:t>
      </w:r>
      <w:r>
        <w:rPr>
          <w:rtl w:val="true"/>
        </w:rPr>
        <w:t>ע</w:t>
      </w:r>
      <w:r>
        <w:rPr>
          <w:rtl w:val="true"/>
        </w:rPr>
        <w:t>"</w:t>
      </w:r>
      <w:r>
        <w:rPr>
          <w:rtl w:val="true"/>
        </w:rPr>
        <w:t>פ</w:t>
      </w:r>
      <w:r>
        <w:rPr>
          <w:rtl w:val="true"/>
        </w:rPr>
        <w:t xml:space="preserve"> </w:t>
      </w:r>
      <w:r>
        <w:rPr/>
        <w:t>8341/17</w:t>
      </w:r>
      <w:r>
        <w:rPr>
          <w:rtl w:val="true"/>
        </w:rPr>
        <w:t xml:space="preserve">, </w:t>
      </w:r>
      <w:r>
        <w:rPr>
          <w:rtl w:val="true"/>
        </w:rPr>
        <w:t>ע</w:t>
      </w:r>
      <w:r>
        <w:rPr>
          <w:rtl w:val="true"/>
        </w:rPr>
        <w:t>"</w:t>
      </w:r>
      <w:r>
        <w:rPr>
          <w:rtl w:val="true"/>
        </w:rPr>
        <w:t>פ</w:t>
      </w:r>
      <w:r>
        <w:rPr>
          <w:rtl w:val="true"/>
        </w:rPr>
        <w:t xml:space="preserve"> </w:t>
      </w:r>
      <w:r>
        <w:rPr/>
        <w:t>1010/18</w:t>
      </w:r>
      <w:r>
        <w:rPr>
          <w:rtl w:val="true"/>
        </w:rPr>
        <w:t xml:space="preserve">, </w:t>
      </w:r>
      <w:r>
        <w:rPr>
          <w:rtl w:val="true"/>
        </w:rPr>
        <w:t>ע</w:t>
      </w:r>
      <w:r>
        <w:rPr>
          <w:rtl w:val="true"/>
        </w:rPr>
        <w:t>"</w:t>
      </w:r>
      <w:r>
        <w:rPr>
          <w:rtl w:val="true"/>
        </w:rPr>
        <w:t>פ</w:t>
      </w:r>
      <w:r>
        <w:rPr>
          <w:rtl w:val="true"/>
        </w:rPr>
        <w:t xml:space="preserve"> </w:t>
      </w:r>
      <w:r>
        <w:rPr/>
        <w:t>1060/18</w:t>
      </w:r>
      <w:r>
        <w:rPr>
          <w:rtl w:val="true"/>
        </w:rPr>
        <w:t xml:space="preserve">, </w:t>
      </w:r>
      <w:r>
        <w:rPr>
          <w:rtl w:val="true"/>
        </w:rPr>
        <w:t>ע</w:t>
      </w:r>
      <w:r>
        <w:rPr>
          <w:rtl w:val="true"/>
        </w:rPr>
        <w:t>"</w:t>
      </w:r>
      <w:r>
        <w:rPr>
          <w:rtl w:val="true"/>
        </w:rPr>
        <w:t>פ</w:t>
      </w:r>
      <w:r>
        <w:rPr>
          <w:rtl w:val="true"/>
        </w:rPr>
        <w:t xml:space="preserve"> </w:t>
      </w:r>
      <w:r>
        <w:rPr/>
        <w:t>1175/18</w:t>
      </w:r>
      <w:r>
        <w:rPr>
          <w:rtl w:val="true"/>
        </w:rPr>
        <w:t xml:space="preserve"> </w:t>
      </w:r>
      <w:r>
        <w:rPr>
          <w:rtl w:val="true"/>
        </w:rPr>
        <w:t>ו</w:t>
      </w:r>
      <w:r>
        <w:rPr>
          <w:rtl w:val="true"/>
        </w:rPr>
        <w:t>ע</w:t>
      </w:r>
      <w:r>
        <w:rPr>
          <w:rtl w:val="true"/>
        </w:rPr>
        <w:t>"</w:t>
      </w:r>
      <w:r>
        <w:rPr>
          <w:rtl w:val="true"/>
        </w:rPr>
        <w:t>פ</w:t>
      </w:r>
      <w:r>
        <w:rPr>
          <w:rtl w:val="true"/>
        </w:rPr>
        <w:t xml:space="preserve"> </w:t>
      </w:r>
      <w:r>
        <w:rPr/>
        <w:t>2732/18</w:t>
      </w:r>
      <w:r>
        <w:rPr>
          <w:rtl w:val="true"/>
        </w:rPr>
        <w:t xml:space="preserve">, </w:t>
      </w:r>
      <w:r>
        <w:rPr>
          <w:rtl w:val="true"/>
        </w:rPr>
        <w:t xml:space="preserve">בעניינם של נאשמים </w:t>
      </w:r>
      <w:r>
        <w:rPr/>
        <w:t>1</w:t>
      </w:r>
      <w:r>
        <w:rPr>
          <w:rtl w:val="true"/>
        </w:rPr>
        <w:t xml:space="preserve">, </w:t>
      </w:r>
      <w:r>
        <w:rPr/>
        <w:t>2</w:t>
      </w:r>
      <w:r>
        <w:rPr>
          <w:rtl w:val="true"/>
        </w:rPr>
        <w:t xml:space="preserve">, </w:t>
      </w:r>
      <w:r>
        <w:rPr/>
        <w:t>3</w:t>
      </w:r>
      <w:r>
        <w:rPr>
          <w:rtl w:val="true"/>
        </w:rPr>
        <w:t xml:space="preserve">, </w:t>
      </w:r>
      <w:r>
        <w:rPr/>
        <w:t>5</w:t>
      </w:r>
      <w:r>
        <w:rPr>
          <w:rtl w:val="true"/>
        </w:rPr>
        <w:t xml:space="preserve">, </w:t>
      </w:r>
      <w:r>
        <w:rPr/>
        <w:t>9</w:t>
      </w:r>
      <w:r>
        <w:rPr>
          <w:rtl w:val="true"/>
        </w:rPr>
        <w:t xml:space="preserve"> </w:t>
      </w:r>
      <w:r>
        <w:rPr>
          <w:rtl w:val="true"/>
        </w:rPr>
        <w:t>ו</w:t>
      </w:r>
      <w:r>
        <w:rPr>
          <w:rtl w:val="true"/>
        </w:rPr>
        <w:t>-</w:t>
      </w:r>
      <w:r>
        <w:rPr/>
        <w:t>19</w:t>
      </w:r>
      <w:r>
        <w:rPr>
          <w:rtl w:val="true"/>
        </w:rPr>
        <w:t xml:space="preserve">) </w:t>
      </w:r>
      <w:r>
        <w:rPr>
          <w:rtl w:val="true"/>
        </w:rPr>
        <w:t xml:space="preserve">ושני ערעורים על קולת העונש </w:t>
      </w:r>
      <w:r>
        <w:rPr>
          <w:rtl w:val="true"/>
        </w:rPr>
        <w:t>(</w:t>
      </w:r>
      <w:r>
        <w:rPr>
          <w:rFonts w:ascii="Century" w:hAnsi="Century" w:cs="Century"/>
          <w:sz w:val="22"/>
          <w:sz w:val="22"/>
          <w:rtl w:val="true"/>
        </w:rPr>
        <w:t>ע</w:t>
      </w:r>
      <w:r>
        <w:rPr>
          <w:rFonts w:cs="Century" w:ascii="Century" w:hAnsi="Century"/>
          <w:sz w:val="22"/>
          <w:rtl w:val="true"/>
        </w:rPr>
        <w:t>"</w:t>
      </w:r>
      <w:r>
        <w:rPr>
          <w:rFonts w:ascii="Century" w:hAnsi="Century" w:cs="Century"/>
          <w:sz w:val="22"/>
          <w:sz w:val="22"/>
          <w:rtl w:val="true"/>
        </w:rPr>
        <w:t>פ</w:t>
      </w:r>
      <w:r>
        <w:rPr>
          <w:rFonts w:ascii="Century" w:hAnsi="Century" w:cs="Century"/>
          <w:sz w:val="22"/>
          <w:sz w:val="22"/>
          <w:rtl w:val="true"/>
        </w:rPr>
        <w:t xml:space="preserve"> </w:t>
      </w:r>
      <w:r>
        <w:rPr>
          <w:rFonts w:cs="Century" w:ascii="Century" w:hAnsi="Century"/>
          <w:sz w:val="22"/>
        </w:rPr>
        <w:t>999/18</w:t>
      </w:r>
      <w:r>
        <w:rPr>
          <w:rFonts w:cs="Century" w:ascii="Century" w:hAnsi="Century"/>
          <w:sz w:val="22"/>
          <w:rtl w:val="true"/>
        </w:rPr>
        <w:t xml:space="preserve"> </w:t>
      </w:r>
      <w:r>
        <w:rPr>
          <w:rFonts w:ascii="Century" w:hAnsi="Century" w:cs="Century"/>
          <w:sz w:val="22"/>
          <w:sz w:val="22"/>
          <w:rtl w:val="true"/>
        </w:rPr>
        <w:t>ו</w:t>
      </w:r>
      <w:r>
        <w:rPr>
          <w:rFonts w:ascii="Century" w:hAnsi="Century" w:cs="Century"/>
          <w:sz w:val="22"/>
          <w:sz w:val="22"/>
          <w:rtl w:val="true"/>
        </w:rPr>
        <w:t>ע</w:t>
      </w:r>
      <w:r>
        <w:rPr>
          <w:rFonts w:cs="Century" w:ascii="Century" w:hAnsi="Century"/>
          <w:sz w:val="22"/>
          <w:rtl w:val="true"/>
        </w:rPr>
        <w:t>"</w:t>
      </w:r>
      <w:r>
        <w:rPr>
          <w:rFonts w:ascii="Century" w:hAnsi="Century" w:cs="Century"/>
          <w:sz w:val="22"/>
          <w:sz w:val="22"/>
          <w:rtl w:val="true"/>
        </w:rPr>
        <w:t>פ</w:t>
      </w:r>
      <w:r>
        <w:rPr>
          <w:rFonts w:ascii="Century" w:hAnsi="Century" w:cs="Century"/>
          <w:sz w:val="22"/>
          <w:sz w:val="22"/>
          <w:rtl w:val="true"/>
        </w:rPr>
        <w:t xml:space="preserve"> </w:t>
      </w:r>
      <w:r>
        <w:rPr>
          <w:rFonts w:cs="Century" w:ascii="Century" w:hAnsi="Century"/>
          <w:sz w:val="22"/>
        </w:rPr>
        <w:t>8347/17</w:t>
      </w:r>
      <w:r>
        <w:rPr>
          <w:rtl w:val="true"/>
        </w:rPr>
        <w:t xml:space="preserve">), </w:t>
      </w:r>
      <w:r>
        <w:rPr>
          <w:rtl w:val="true"/>
        </w:rPr>
        <w:t xml:space="preserve">המתייחסים לגזר דינם של שישה נאשמים </w:t>
      </w:r>
      <w:r>
        <w:rPr>
          <w:rtl w:val="true"/>
        </w:rPr>
        <w:t>(</w:t>
      </w:r>
      <w:r>
        <w:rPr>
          <w:rtl w:val="true"/>
        </w:rPr>
        <w:t xml:space="preserve">נאשמים </w:t>
      </w:r>
      <w:r>
        <w:rPr/>
        <w:t>5</w:t>
      </w:r>
      <w:r>
        <w:rPr>
          <w:rtl w:val="true"/>
        </w:rPr>
        <w:t xml:space="preserve">, </w:t>
      </w:r>
      <w:r>
        <w:rPr/>
        <w:t>6</w:t>
      </w:r>
      <w:r>
        <w:rPr>
          <w:rtl w:val="true"/>
        </w:rPr>
        <w:t xml:space="preserve">, </w:t>
      </w:r>
      <w:r>
        <w:rPr/>
        <w:t>8</w:t>
      </w:r>
      <w:r>
        <w:rPr>
          <w:rtl w:val="true"/>
        </w:rPr>
        <w:t xml:space="preserve">, </w:t>
      </w:r>
      <w:r>
        <w:rPr/>
        <w:t>13</w:t>
      </w:r>
      <w:r>
        <w:rPr>
          <w:rtl w:val="true"/>
        </w:rPr>
        <w:t xml:space="preserve">, </w:t>
      </w:r>
      <w:r>
        <w:rPr/>
        <w:t>15</w:t>
      </w:r>
      <w:r>
        <w:rPr>
          <w:rtl w:val="true"/>
        </w:rPr>
        <w:t xml:space="preserve"> </w:t>
      </w:r>
      <w:r>
        <w:rPr>
          <w:rtl w:val="true"/>
        </w:rPr>
        <w:t>ו</w:t>
      </w:r>
      <w:r>
        <w:rPr>
          <w:rtl w:val="true"/>
        </w:rPr>
        <w:t>-</w:t>
      </w:r>
      <w:r>
        <w:rPr/>
        <w:t>17</w:t>
      </w:r>
      <w:r>
        <w:rPr>
          <w:rtl w:val="true"/>
        </w:rPr>
        <w:t xml:space="preserve">). </w:t>
      </w:r>
      <w:r>
        <w:rPr>
          <w:rtl w:val="true"/>
        </w:rPr>
        <w:t>כפי שניתן לראות</w:t>
      </w:r>
      <w:r>
        <w:rPr>
          <w:rtl w:val="true"/>
        </w:rPr>
        <w:t xml:space="preserve">, </w:t>
      </w:r>
      <w:r>
        <w:rPr>
          <w:rtl w:val="true"/>
        </w:rPr>
        <w:t xml:space="preserve">נאשם </w:t>
      </w:r>
      <w:r>
        <w:rPr/>
        <w:t>5</w:t>
      </w:r>
      <w:r>
        <w:rPr>
          <w:rtl w:val="true"/>
        </w:rPr>
        <w:t xml:space="preserve"> </w:t>
      </w:r>
      <w:r>
        <w:rPr>
          <w:rtl w:val="true"/>
        </w:rPr>
        <w:t>הגיש גם ערעור משלו וגם נמנה כמשיב בערעור המדינה</w:t>
      </w:r>
      <w:r>
        <w:rPr>
          <w:rtl w:val="true"/>
        </w:rPr>
        <w:t>.</w:t>
      </w:r>
    </w:p>
    <w:p>
      <w:pPr>
        <w:pStyle w:val="Ruller43"/>
        <w:numPr>
          <w:ilvl w:val="0"/>
          <w:numId w:val="0"/>
        </w:numPr>
        <w:ind w:hanging="0" w:start="0" w:end="0"/>
        <w:jc w:val="both"/>
        <w:rPr/>
      </w:pPr>
      <w:r>
        <w:rPr>
          <w:rFonts w:eastAsia="Garamond"/>
          <w:rtl w:val="true"/>
        </w:rPr>
        <w:t xml:space="preserve"> </w:t>
      </w:r>
    </w:p>
    <w:p>
      <w:pPr>
        <w:pStyle w:val="Ruller43"/>
        <w:numPr>
          <w:ilvl w:val="0"/>
          <w:numId w:val="1"/>
        </w:numPr>
        <w:ind w:end="0"/>
        <w:jc w:val="both"/>
        <w:rPr/>
      </w:pPr>
      <w:r>
        <w:rPr>
          <w:rtl w:val="true"/>
        </w:rPr>
        <w:t>עיקר טענות המערערים על חומרת העונש הינו כי בית המשפט החמיר בדינם יתר על המידה</w:t>
      </w:r>
      <w:r>
        <w:rPr>
          <w:rtl w:val="true"/>
        </w:rPr>
        <w:t xml:space="preserve">. </w:t>
      </w:r>
      <w:r>
        <w:rPr>
          <w:rtl w:val="true"/>
        </w:rPr>
        <w:t>חלק מהמערערים הלינו על כך שעונשם חמור ביחס למעורבים אחרים באותן עסקאות</w:t>
      </w:r>
      <w:r>
        <w:rPr>
          <w:rtl w:val="true"/>
        </w:rPr>
        <w:t xml:space="preserve">; </w:t>
      </w:r>
      <w:r>
        <w:rPr>
          <w:rtl w:val="true"/>
        </w:rPr>
        <w:t>חלק הלינו על כך שהמסכת העובדתית הופרדה לאירועים שונים זה מזה לצורך קביעת מתחם העונש ההולם</w:t>
      </w:r>
      <w:r>
        <w:rPr>
          <w:rtl w:val="true"/>
        </w:rPr>
        <w:t xml:space="preserve">, </w:t>
      </w:r>
      <w:r>
        <w:rPr>
          <w:rtl w:val="true"/>
        </w:rPr>
        <w:t>חלף התייחסות אליה כאל אירוע עברייני אחד</w:t>
      </w:r>
      <w:r>
        <w:rPr>
          <w:rtl w:val="true"/>
        </w:rPr>
        <w:t xml:space="preserve">; </w:t>
      </w:r>
      <w:r>
        <w:rPr>
          <w:rtl w:val="true"/>
        </w:rPr>
        <w:t>וחלק הדגישו את נסיבות חייהם האישיות כמצדיקות הקלה בעונשם</w:t>
      </w:r>
      <w:r>
        <w:rPr>
          <w:rtl w:val="true"/>
        </w:rPr>
        <w:t xml:space="preserve">. </w:t>
      </w:r>
      <w:r>
        <w:rPr>
          <w:rtl w:val="true"/>
        </w:rPr>
        <w:t>מנגד</w:t>
      </w:r>
      <w:r>
        <w:rPr>
          <w:rtl w:val="true"/>
        </w:rPr>
        <w:t xml:space="preserve">, </w:t>
      </w:r>
      <w:r>
        <w:rPr>
          <w:rtl w:val="true"/>
        </w:rPr>
        <w:t>עיקר טענות המדינה בערעורים שהוגשו על ידה הוא כי בית המשפט זקף לקולא נסיבות שלא היה מקום לסווגן כמצדיקות הקלה בעונש</w:t>
      </w:r>
      <w:r>
        <w:rPr>
          <w:rtl w:val="true"/>
        </w:rPr>
        <w:t xml:space="preserve">, </w:t>
      </w:r>
      <w:r>
        <w:rPr>
          <w:rtl w:val="true"/>
        </w:rPr>
        <w:t>על אחת כמה וכמה בהתחשב בהרתעה הנדרשת בעבירות מעין אלו</w:t>
      </w:r>
      <w:r>
        <w:rPr>
          <w:rtl w:val="true"/>
        </w:rPr>
        <w:t>.</w:t>
      </w:r>
    </w:p>
    <w:p>
      <w:pPr>
        <w:pStyle w:val="Ruller43"/>
        <w:numPr>
          <w:ilvl w:val="0"/>
          <w:numId w:val="0"/>
        </w:numPr>
        <w:ind w:hanging="0" w:start="0" w:end="0"/>
        <w:jc w:val="both"/>
        <w:rPr/>
      </w:pPr>
      <w:r>
        <w:rPr>
          <w:rtl w:val="true"/>
        </w:rPr>
      </w:r>
    </w:p>
    <w:p>
      <w:pPr>
        <w:pStyle w:val="Ruller43"/>
        <w:numPr>
          <w:ilvl w:val="0"/>
          <w:numId w:val="0"/>
        </w:numPr>
        <w:ind w:hanging="0" w:start="0" w:end="0"/>
        <w:jc w:val="both"/>
        <w:rPr/>
      </w:pPr>
      <w:r>
        <w:rPr>
          <w:rtl w:val="true"/>
        </w:rPr>
        <w:tab/>
      </w:r>
      <w:r>
        <w:rPr>
          <w:rtl w:val="true"/>
        </w:rPr>
        <w:t>אל טענותיהם המבוררות של כל מערער ואל טענות המדינה לגבי כל אחד מהמשיבים</w:t>
      </w:r>
      <w:r>
        <w:rPr>
          <w:rtl w:val="true"/>
        </w:rPr>
        <w:t xml:space="preserve">, </w:t>
      </w:r>
      <w:r>
        <w:rPr>
          <w:rtl w:val="true"/>
        </w:rPr>
        <w:t>אדרש בקצרה במסגרת שלב הדיון וההכרעה לגבי כל אחד מהם</w:t>
      </w:r>
      <w:r>
        <w:rPr>
          <w:rtl w:val="true"/>
        </w:rPr>
        <w:t>.</w:t>
      </w:r>
    </w:p>
    <w:p>
      <w:pPr>
        <w:pStyle w:val="Ruller43"/>
        <w:numPr>
          <w:ilvl w:val="0"/>
          <w:numId w:val="0"/>
        </w:numPr>
        <w:ind w:hanging="0" w:start="0" w:end="0"/>
        <w:jc w:val="both"/>
        <w:rPr>
          <w:sz w:val="28"/>
        </w:rPr>
      </w:pPr>
      <w:r>
        <w:rPr>
          <w:sz w:val="28"/>
          <w:rtl w:val="true"/>
        </w:rPr>
      </w:r>
    </w:p>
    <w:p>
      <w:pPr>
        <w:pStyle w:val="Ruller43"/>
        <w:numPr>
          <w:ilvl w:val="0"/>
          <w:numId w:val="0"/>
        </w:numPr>
        <w:ind w:hanging="0" w:start="0" w:end="0"/>
        <w:jc w:val="both"/>
        <w:rPr>
          <w:rFonts w:ascii="Century" w:hAnsi="Century" w:cs="Miriam"/>
          <w:b/>
          <w:spacing w:val="0"/>
          <w:sz w:val="22"/>
          <w:szCs w:val="24"/>
        </w:rPr>
      </w:pPr>
      <w:r>
        <w:rPr>
          <w:rFonts w:ascii="Century" w:hAnsi="Century" w:cs="Miriam"/>
          <w:b/>
          <w:b/>
          <w:spacing w:val="0"/>
          <w:sz w:val="22"/>
          <w:sz w:val="22"/>
          <w:szCs w:val="24"/>
          <w:rtl w:val="true"/>
        </w:rPr>
        <w:t>עבירות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נשק</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 xml:space="preserve">- </w:t>
      </w:r>
      <w:r>
        <w:rPr>
          <w:rFonts w:ascii="Century" w:hAnsi="Century" w:cs="Miriam"/>
          <w:b/>
          <w:b/>
          <w:spacing w:val="0"/>
          <w:sz w:val="22"/>
          <w:sz w:val="22"/>
          <w:szCs w:val="24"/>
          <w:rtl w:val="true"/>
        </w:rPr>
        <w:t>כללי</w:t>
      </w:r>
    </w:p>
    <w:p>
      <w:pPr>
        <w:pStyle w:val="Ruller43"/>
        <w:numPr>
          <w:ilvl w:val="0"/>
          <w:numId w:val="1"/>
        </w:numPr>
        <w:ind w:end="0"/>
        <w:jc w:val="both"/>
        <w:rPr/>
      </w:pPr>
      <w:r>
        <w:rPr>
          <w:sz w:val="28"/>
          <w:sz w:val="28"/>
          <w:rtl w:val="true"/>
        </w:rPr>
        <w:t>טרם שאדון בעניינו של כל אחד ואחד מן המערערים</w:t>
      </w:r>
      <w:r>
        <w:rPr>
          <w:sz w:val="28"/>
          <w:rtl w:val="true"/>
        </w:rPr>
        <w:t xml:space="preserve">, </w:t>
      </w:r>
      <w:r>
        <w:rPr>
          <w:sz w:val="28"/>
          <w:sz w:val="28"/>
          <w:rtl w:val="true"/>
        </w:rPr>
        <w:t>מן הראוי להתייחס לפרשה בכללותה</w:t>
      </w:r>
      <w:r>
        <w:rPr>
          <w:sz w:val="28"/>
          <w:rtl w:val="true"/>
        </w:rPr>
        <w:t xml:space="preserve">. </w:t>
      </w:r>
      <w:r>
        <w:rPr>
          <w:rFonts w:ascii="Century" w:hAnsi="Century" w:cs="Century"/>
          <w:sz w:val="22"/>
          <w:sz w:val="22"/>
          <w:rtl w:val="true"/>
        </w:rPr>
        <w:t>ה</w:t>
      </w:r>
      <w:r>
        <w:rPr>
          <w:rtl w:val="true"/>
        </w:rPr>
        <w:t>מדובר בפרשת סחר בנשק חמורה מאוד מבחינת היקפה</w:t>
      </w:r>
      <w:r>
        <w:rPr>
          <w:rtl w:val="true"/>
        </w:rPr>
        <w:t xml:space="preserve">, </w:t>
      </w:r>
      <w:r>
        <w:rPr>
          <w:rtl w:val="true"/>
        </w:rPr>
        <w:t>במסגרתה נמכרו לידי סוכן משטרתי מספר רב של כלי נשק</w:t>
      </w:r>
      <w:r>
        <w:rPr>
          <w:rtl w:val="true"/>
        </w:rPr>
        <w:t xml:space="preserve">, </w:t>
      </w:r>
      <w:r>
        <w:rPr>
          <w:rtl w:val="true"/>
        </w:rPr>
        <w:t>לרבות רובי סער ותתי</w:t>
      </w:r>
      <w:r>
        <w:rPr>
          <w:rtl w:val="true"/>
        </w:rPr>
        <w:t>-</w:t>
      </w:r>
      <w:r>
        <w:rPr>
          <w:rtl w:val="true"/>
        </w:rPr>
        <w:t>מקלע</w:t>
      </w:r>
      <w:r>
        <w:rPr>
          <w:rtl w:val="true"/>
        </w:rPr>
        <w:t xml:space="preserve">, </w:t>
      </w:r>
      <w:r>
        <w:rPr>
          <w:rtl w:val="true"/>
        </w:rPr>
        <w:t>בהיקף כספי כולל של מאות אלפי שקלים</w:t>
      </w:r>
      <w:r>
        <w:rPr>
          <w:rtl w:val="true"/>
        </w:rPr>
        <w:t xml:space="preserve">. </w:t>
      </w:r>
      <w:r>
        <w:rPr>
          <w:rtl w:val="true"/>
        </w:rPr>
        <w:t xml:space="preserve">בית משפט זה עמד לא אחת על חומרתן הרבה של עבירות אלו ועל הפגיעה הנלווית להן בערכים החברתיים המוגנים שביסודן </w:t>
      </w:r>
      <w:r>
        <w:rPr>
          <w:rtl w:val="true"/>
        </w:rPr>
        <w:t>(</w:t>
      </w:r>
      <w:r>
        <w:rPr>
          <w:rtl w:val="true"/>
        </w:rPr>
        <w:t>ראו</w:t>
      </w:r>
      <w:r>
        <w:rPr>
          <w:rtl w:val="true"/>
        </w:rPr>
        <w:t xml:space="preserve">: </w:t>
      </w:r>
      <w:hyperlink r:id="rId3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536/17</w:t>
        </w:r>
      </w:hyperlink>
      <w:r>
        <w:rPr>
          <w:rtl w:val="true"/>
        </w:rPr>
        <w:t xml:space="preserve"> </w:t>
      </w:r>
      <w:r>
        <w:rPr>
          <w:rFonts w:ascii="Century" w:hAnsi="Century" w:cs="Miriam"/>
          <w:b/>
          <w:b/>
          <w:spacing w:val="0"/>
          <w:sz w:val="22"/>
          <w:sz w:val="22"/>
          <w:szCs w:val="24"/>
          <w:rtl w:val="true"/>
        </w:rPr>
        <w:t>שלאלדה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Century"/>
          <w:sz w:val="22"/>
          <w:sz w:val="22"/>
          <w:rtl w:val="true"/>
        </w:rPr>
        <w:t xml:space="preserve">פסקה </w:t>
      </w:r>
      <w:r>
        <w:rPr>
          <w:rFonts w:cs="Century" w:ascii="Century" w:hAnsi="Century"/>
          <w:sz w:val="22"/>
        </w:rPr>
        <w:t>14</w:t>
      </w:r>
      <w:r>
        <w:rPr>
          <w:rFonts w:cs="Century" w:ascii="Century" w:hAnsi="Century"/>
          <w:sz w:val="22"/>
          <w:rtl w:val="true"/>
        </w:rPr>
        <w:t xml:space="preserve"> (</w:t>
      </w:r>
      <w:r>
        <w:rPr>
          <w:rFonts w:cs="Century" w:ascii="Century" w:hAnsi="Century"/>
          <w:sz w:val="22"/>
        </w:rPr>
        <w:t>10.8.2017</w:t>
      </w:r>
      <w:r>
        <w:rPr>
          <w:rFonts w:cs="Century" w:ascii="Century" w:hAnsi="Century"/>
          <w:sz w:val="22"/>
          <w:rtl w:val="true"/>
        </w:rPr>
        <w:t xml:space="preserve">); </w:t>
      </w:r>
      <w:hyperlink r:id="rId39">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4154/16</w:t>
        </w:r>
      </w:hyperlink>
      <w:r>
        <w:rPr>
          <w:rFonts w:cs="Century" w:ascii="Century" w:hAnsi="Century"/>
          <w:sz w:val="22"/>
          <w:rtl w:val="true"/>
        </w:rPr>
        <w:t xml:space="preserve"> </w:t>
      </w:r>
      <w:r>
        <w:rPr>
          <w:rFonts w:ascii="Century" w:hAnsi="Century" w:cs="Miriam"/>
          <w:b/>
          <w:b/>
          <w:spacing w:val="0"/>
          <w:sz w:val="22"/>
          <w:sz w:val="22"/>
          <w:szCs w:val="24"/>
          <w:rtl w:val="true"/>
        </w:rPr>
        <w:t>דהוד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Century"/>
          <w:sz w:val="22"/>
          <w:sz w:val="22"/>
          <w:rtl w:val="true"/>
        </w:rPr>
        <w:t xml:space="preserve">פסקה </w:t>
      </w:r>
      <w:r>
        <w:rPr>
          <w:rFonts w:cs="Century" w:ascii="Century" w:hAnsi="Century"/>
          <w:sz w:val="22"/>
        </w:rPr>
        <w:t>11</w:t>
      </w:r>
      <w:r>
        <w:rPr>
          <w:rFonts w:cs="Century" w:ascii="Century" w:hAnsi="Century"/>
          <w:sz w:val="22"/>
          <w:rtl w:val="true"/>
        </w:rPr>
        <w:t xml:space="preserve"> (</w:t>
      </w:r>
      <w:r>
        <w:rPr>
          <w:rFonts w:cs="Century" w:ascii="Century" w:hAnsi="Century"/>
          <w:sz w:val="22"/>
        </w:rPr>
        <w:t>19.1.2017</w:t>
      </w:r>
      <w:r>
        <w:rPr>
          <w:rFonts w:cs="Century" w:ascii="Century" w:hAnsi="Century"/>
          <w:sz w:val="22"/>
          <w:rtl w:val="true"/>
        </w:rPr>
        <w:t>) (</w:t>
      </w:r>
      <w:r>
        <w:rPr>
          <w:rFonts w:ascii="Century" w:hAnsi="Century" w:cs="Century"/>
          <w:sz w:val="22"/>
          <w:sz w:val="22"/>
          <w:rtl w:val="true"/>
        </w:rPr>
        <w:t>להלן</w:t>
      </w:r>
      <w:r>
        <w:rPr>
          <w:rFonts w:cs="Century" w:ascii="Century" w:hAnsi="Century"/>
          <w:sz w:val="22"/>
          <w:rtl w:val="true"/>
        </w:rPr>
        <w:t xml:space="preserve">: </w:t>
      </w:r>
      <w:r>
        <w:rPr>
          <w:rFonts w:ascii="Century" w:hAnsi="Century" w:cs="Century"/>
          <w:sz w:val="22"/>
          <w:sz w:val="22"/>
          <w:rtl w:val="true"/>
        </w:rPr>
        <w:t xml:space="preserve">עניין </w:t>
      </w:r>
      <w:r>
        <w:rPr>
          <w:rFonts w:ascii="Century" w:hAnsi="Century" w:cs="Miriam"/>
          <w:b/>
          <w:b/>
          <w:spacing w:val="0"/>
          <w:sz w:val="22"/>
          <w:sz w:val="22"/>
          <w:szCs w:val="24"/>
          <w:rtl w:val="true"/>
        </w:rPr>
        <w:t>דהוד</w:t>
      </w:r>
      <w:r>
        <w:rPr>
          <w:rFonts w:cs="Century" w:ascii="Century" w:hAnsi="Century"/>
          <w:sz w:val="22"/>
          <w:rtl w:val="true"/>
        </w:rPr>
        <w:t xml:space="preserve">); </w:t>
      </w:r>
      <w:hyperlink r:id="rId40">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5080/15</w:t>
        </w:r>
      </w:hyperlink>
      <w:r>
        <w:rPr>
          <w:rFonts w:cs="Century" w:ascii="Century" w:hAnsi="Century"/>
          <w:sz w:val="22"/>
          <w:rtl w:val="true"/>
        </w:rPr>
        <w:t xml:space="preserve"> </w:t>
      </w:r>
      <w:r>
        <w:rPr>
          <w:rFonts w:ascii="Century" w:hAnsi="Century" w:cs="Miriam"/>
          <w:b/>
          <w:b/>
          <w:spacing w:val="0"/>
          <w:sz w:val="22"/>
          <w:sz w:val="22"/>
          <w:szCs w:val="24"/>
          <w:rtl w:val="true"/>
        </w:rPr>
        <w:t>עביד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Century"/>
          <w:sz w:val="22"/>
          <w:sz w:val="22"/>
          <w:rtl w:val="true"/>
        </w:rPr>
        <w:t xml:space="preserve">פסקה </w:t>
      </w:r>
      <w:r>
        <w:rPr>
          <w:rFonts w:cs="Century" w:ascii="Century" w:hAnsi="Century"/>
          <w:sz w:val="22"/>
        </w:rPr>
        <w:t>12</w:t>
      </w:r>
      <w:r>
        <w:rPr>
          <w:rFonts w:cs="Century" w:ascii="Century" w:hAnsi="Century"/>
          <w:sz w:val="22"/>
          <w:rtl w:val="true"/>
        </w:rPr>
        <w:t xml:space="preserve"> (</w:t>
      </w:r>
      <w:r>
        <w:rPr>
          <w:rFonts w:cs="Century" w:ascii="Century" w:hAnsi="Century"/>
          <w:sz w:val="22"/>
        </w:rPr>
        <w:t>10.3.2016</w:t>
      </w:r>
      <w:r>
        <w:rPr>
          <w:rFonts w:cs="Century" w:ascii="Century" w:hAnsi="Century"/>
          <w:sz w:val="22"/>
          <w:rtl w:val="true"/>
        </w:rPr>
        <w:t>) (</w:t>
      </w:r>
      <w:r>
        <w:rPr>
          <w:rFonts w:ascii="Century" w:hAnsi="Century" w:cs="Century"/>
          <w:sz w:val="22"/>
          <w:sz w:val="22"/>
          <w:rtl w:val="true"/>
        </w:rPr>
        <w:t>להלן</w:t>
      </w:r>
      <w:r>
        <w:rPr>
          <w:rFonts w:cs="Century" w:ascii="Century" w:hAnsi="Century"/>
          <w:sz w:val="22"/>
          <w:rtl w:val="true"/>
        </w:rPr>
        <w:t xml:space="preserve">: </w:t>
      </w:r>
      <w:r>
        <w:rPr>
          <w:rFonts w:ascii="Century" w:hAnsi="Century" w:cs="Century"/>
          <w:sz w:val="22"/>
          <w:sz w:val="22"/>
          <w:rtl w:val="true"/>
        </w:rPr>
        <w:t xml:space="preserve">עניין </w:t>
      </w:r>
      <w:r>
        <w:rPr>
          <w:rFonts w:ascii="Century" w:hAnsi="Century" w:cs="Miriam"/>
          <w:b/>
          <w:b/>
          <w:spacing w:val="0"/>
          <w:sz w:val="22"/>
          <w:sz w:val="22"/>
          <w:szCs w:val="24"/>
          <w:rtl w:val="true"/>
        </w:rPr>
        <w:t>עביד</w:t>
      </w:r>
      <w:r>
        <w:rPr>
          <w:rFonts w:cs="Century" w:ascii="Century" w:hAnsi="Century"/>
          <w:sz w:val="22"/>
          <w:rtl w:val="true"/>
        </w:rPr>
        <w:t xml:space="preserve">); </w:t>
      </w:r>
      <w:hyperlink r:id="rId41">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1323/13</w:t>
        </w:r>
      </w:hyperlink>
      <w:r>
        <w:rPr>
          <w:rFonts w:cs="Century" w:ascii="Century" w:hAnsi="Century"/>
          <w:sz w:val="22"/>
          <w:rtl w:val="true"/>
        </w:rPr>
        <w:t xml:space="preserve"> </w:t>
      </w:r>
      <w:r>
        <w:rPr>
          <w:rFonts w:ascii="Century" w:hAnsi="Century" w:cs="Miriam"/>
          <w:b/>
          <w:b/>
          <w:spacing w:val="0"/>
          <w:sz w:val="22"/>
          <w:sz w:val="22"/>
          <w:szCs w:val="24"/>
          <w:rtl w:val="true"/>
        </w:rPr>
        <w:t>חסן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Century"/>
          <w:sz w:val="22"/>
          <w:sz w:val="22"/>
          <w:rtl w:val="true"/>
        </w:rPr>
        <w:t xml:space="preserve">פסקה </w:t>
      </w:r>
      <w:r>
        <w:rPr>
          <w:rFonts w:cs="Century" w:ascii="Century" w:hAnsi="Century"/>
          <w:sz w:val="22"/>
        </w:rPr>
        <w:t>10</w:t>
      </w:r>
      <w:r>
        <w:rPr>
          <w:rFonts w:cs="Century" w:ascii="Century" w:hAnsi="Century"/>
          <w:sz w:val="22"/>
          <w:rtl w:val="true"/>
        </w:rPr>
        <w:t xml:space="preserve"> (</w:t>
      </w:r>
      <w:r>
        <w:rPr>
          <w:rFonts w:cs="Century" w:ascii="Century" w:hAnsi="Century"/>
          <w:sz w:val="22"/>
        </w:rPr>
        <w:t>5.6.2013</w:t>
      </w:r>
      <w:r>
        <w:rPr>
          <w:rFonts w:cs="Century" w:ascii="Century" w:hAnsi="Century"/>
          <w:sz w:val="22"/>
          <w:rtl w:val="true"/>
        </w:rPr>
        <w:t>)</w:t>
      </w:r>
      <w:r>
        <w:rPr>
          <w:rtl w:val="true"/>
        </w:rPr>
        <w:t xml:space="preserve"> (</w:t>
      </w:r>
      <w:r>
        <w:rPr>
          <w:rtl w:val="true"/>
        </w:rPr>
        <w:t>להלן</w:t>
      </w:r>
      <w:r>
        <w:rPr>
          <w:rtl w:val="true"/>
        </w:rPr>
        <w:t xml:space="preserve">: </w:t>
      </w:r>
      <w:r>
        <w:rPr>
          <w:rtl w:val="true"/>
        </w:rPr>
        <w:t xml:space="preserve">עניין </w:t>
      </w:r>
      <w:r>
        <w:rPr>
          <w:rFonts w:ascii="Century" w:hAnsi="Century" w:cs="Miriam"/>
          <w:b/>
          <w:b/>
          <w:spacing w:val="0"/>
          <w:sz w:val="22"/>
          <w:sz w:val="22"/>
          <w:szCs w:val="24"/>
          <w:rtl w:val="true"/>
        </w:rPr>
        <w:t>חסן</w:t>
      </w:r>
      <w:r>
        <w:rPr>
          <w:rtl w:val="true"/>
        </w:rPr>
        <w:t xml:space="preserve">); </w:t>
      </w:r>
      <w:hyperlink r:id="rId4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4450/11</w:t>
        </w:r>
      </w:hyperlink>
      <w:r>
        <w:rPr>
          <w:rtl w:val="true"/>
        </w:rPr>
        <w:t xml:space="preserve"> </w:t>
      </w:r>
      <w:r>
        <w:rPr>
          <w:rFonts w:ascii="Century" w:hAnsi="Century" w:cs="Miriam"/>
          <w:b/>
          <w:b/>
          <w:spacing w:val="0"/>
          <w:sz w:val="22"/>
          <w:sz w:val="22"/>
          <w:szCs w:val="24"/>
          <w:rtl w:val="true"/>
        </w:rPr>
        <w:t>עספור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7</w:t>
      </w:r>
      <w:r>
        <w:rPr>
          <w:rtl w:val="true"/>
        </w:rPr>
        <w:t xml:space="preserve"> (</w:t>
      </w:r>
      <w:r>
        <w:rPr/>
        <w:t>8.2.2012</w:t>
      </w:r>
      <w:r>
        <w:rPr>
          <w:rtl w:val="true"/>
        </w:rPr>
        <w:t>) (</w:t>
      </w:r>
      <w:r>
        <w:rPr>
          <w:rtl w:val="true"/>
        </w:rPr>
        <w:t>להלן</w:t>
      </w:r>
      <w:r>
        <w:rPr>
          <w:rtl w:val="true"/>
        </w:rPr>
        <w:t xml:space="preserve">: </w:t>
      </w:r>
      <w:r>
        <w:rPr>
          <w:rtl w:val="true"/>
        </w:rPr>
        <w:t xml:space="preserve">עניין </w:t>
      </w:r>
      <w:r>
        <w:rPr>
          <w:rFonts w:ascii="Century" w:hAnsi="Century" w:cs="Miriam"/>
          <w:b/>
          <w:b/>
          <w:spacing w:val="0"/>
          <w:sz w:val="22"/>
          <w:sz w:val="22"/>
          <w:szCs w:val="24"/>
          <w:rtl w:val="true"/>
        </w:rPr>
        <w:t>עספור</w:t>
      </w:r>
      <w:r>
        <w:rPr>
          <w:rtl w:val="true"/>
        </w:rPr>
        <w:t xml:space="preserve">); </w:t>
      </w:r>
      <w:hyperlink r:id="rId4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2251/11</w:t>
        </w:r>
      </w:hyperlink>
      <w:r>
        <w:rPr>
          <w:rtl w:val="true"/>
        </w:rPr>
        <w:t xml:space="preserve"> </w:t>
      </w:r>
      <w:r>
        <w:rPr>
          <w:rFonts w:ascii="Century" w:hAnsi="Century" w:cs="Miriam"/>
          <w:b/>
          <w:b/>
          <w:spacing w:val="0"/>
          <w:sz w:val="22"/>
          <w:sz w:val="22"/>
          <w:szCs w:val="24"/>
          <w:rtl w:val="true"/>
        </w:rPr>
        <w:t>נפאע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Century"/>
          <w:sz w:val="22"/>
          <w:sz w:val="22"/>
          <w:rtl w:val="true"/>
        </w:rPr>
        <w:t xml:space="preserve">פסקה </w:t>
      </w:r>
      <w:r>
        <w:rPr>
          <w:rFonts w:cs="Century" w:ascii="Century" w:hAnsi="Century"/>
          <w:sz w:val="22"/>
        </w:rPr>
        <w:t>5</w:t>
      </w:r>
      <w:r>
        <w:rPr>
          <w:rFonts w:cs="Century" w:ascii="Century" w:hAnsi="Century"/>
          <w:sz w:val="22"/>
          <w:rtl w:val="true"/>
        </w:rPr>
        <w:t xml:space="preserve"> (</w:t>
      </w:r>
      <w:r>
        <w:rPr>
          <w:rFonts w:cs="Century" w:ascii="Century" w:hAnsi="Century"/>
          <w:sz w:val="22"/>
        </w:rPr>
        <w:t>4.12.2011</w:t>
      </w:r>
      <w:r>
        <w:rPr>
          <w:rFonts w:cs="Century" w:ascii="Century" w:hAnsi="Century"/>
          <w:sz w:val="22"/>
          <w:rtl w:val="true"/>
        </w:rPr>
        <w:t>)</w:t>
      </w:r>
      <w:r>
        <w:rPr>
          <w:rtl w:val="true"/>
        </w:rPr>
        <w:t xml:space="preserve"> (</w:t>
      </w:r>
      <w:r>
        <w:rPr>
          <w:rtl w:val="true"/>
        </w:rPr>
        <w:t>להלן</w:t>
      </w:r>
      <w:r>
        <w:rPr>
          <w:rtl w:val="true"/>
        </w:rPr>
        <w:t xml:space="preserve">: </w:t>
      </w:r>
      <w:r>
        <w:rPr>
          <w:rtl w:val="true"/>
        </w:rPr>
        <w:t xml:space="preserve">עניין </w:t>
      </w:r>
      <w:r>
        <w:rPr>
          <w:rFonts w:ascii="Century" w:hAnsi="Century" w:cs="Miriam"/>
          <w:b/>
          <w:b/>
          <w:spacing w:val="0"/>
          <w:sz w:val="22"/>
          <w:sz w:val="22"/>
          <w:szCs w:val="24"/>
          <w:rtl w:val="true"/>
        </w:rPr>
        <w:t>נפאע</w:t>
      </w:r>
      <w:r>
        <w:rPr>
          <w:rtl w:val="true"/>
        </w:rPr>
        <w:t xml:space="preserve">)). </w:t>
      </w:r>
    </w:p>
    <w:p>
      <w:pPr>
        <w:pStyle w:val="Ruller43"/>
        <w:numPr>
          <w:ilvl w:val="0"/>
          <w:numId w:val="0"/>
        </w:numPr>
        <w:ind w:hanging="0" w:start="0" w:end="0"/>
        <w:jc w:val="both"/>
        <w:rPr/>
      </w:pPr>
      <w:r>
        <w:rPr>
          <w:rtl w:val="true"/>
        </w:rPr>
      </w:r>
    </w:p>
    <w:p>
      <w:pPr>
        <w:pStyle w:val="Ruller43"/>
        <w:numPr>
          <w:ilvl w:val="0"/>
          <w:numId w:val="1"/>
        </w:numPr>
        <w:ind w:end="0"/>
        <w:jc w:val="both"/>
        <w:rPr/>
      </w:pPr>
      <w:r>
        <w:rPr>
          <w:rtl w:val="true"/>
        </w:rPr>
        <w:t>פעילות של סחר בלתי חוקי בנשק אוצרת בחובה פגיעה בערכים חברתיים בעלי חשיבות רבה</w:t>
      </w:r>
      <w:r>
        <w:rPr>
          <w:rtl w:val="true"/>
        </w:rPr>
        <w:t xml:space="preserve">, </w:t>
      </w:r>
      <w:r>
        <w:rPr>
          <w:rtl w:val="true"/>
        </w:rPr>
        <w:t>בהם שלמות הגוף</w:t>
      </w:r>
      <w:r>
        <w:rPr>
          <w:rtl w:val="true"/>
        </w:rPr>
        <w:t xml:space="preserve">, </w:t>
      </w:r>
      <w:r>
        <w:rPr>
          <w:rtl w:val="true"/>
        </w:rPr>
        <w:t>חיי אדם ושלום הציבור וביטחונו</w:t>
      </w:r>
      <w:r>
        <w:rPr>
          <w:rtl w:val="true"/>
        </w:rPr>
        <w:t xml:space="preserve">. </w:t>
      </w:r>
      <w:r>
        <w:rPr>
          <w:rtl w:val="true"/>
        </w:rPr>
        <w:t>כלי הנשק שנמכרו במסגרת האישומים הם על פי טיבם כאלה שבאמצעותם ניתן בנקל לפגוע בשלמות הגוף ולגדוע חיי אדם</w:t>
      </w:r>
      <w:r>
        <w:rPr>
          <w:rtl w:val="true"/>
        </w:rPr>
        <w:t xml:space="preserve">. </w:t>
      </w:r>
      <w:r>
        <w:rPr>
          <w:rtl w:val="true"/>
        </w:rPr>
        <w:t>חומרת הנזק הנגרם בעקבות ביצוע עבירות כגון אלו מתעצמת במקרים כבענייננו</w:t>
      </w:r>
      <w:r>
        <w:rPr>
          <w:rtl w:val="true"/>
        </w:rPr>
        <w:t xml:space="preserve">, </w:t>
      </w:r>
      <w:r>
        <w:rPr>
          <w:rtl w:val="true"/>
        </w:rPr>
        <w:t>שבהם נמכרים כלי נשק בעלי פוטנציאל פגיעה ממשי</w:t>
      </w:r>
      <w:r>
        <w:rPr>
          <w:rtl w:val="true"/>
        </w:rPr>
        <w:t xml:space="preserve">, </w:t>
      </w:r>
      <w:r>
        <w:rPr>
          <w:rtl w:val="true"/>
        </w:rPr>
        <w:t>שהרי דין סחר ברובה סער</w:t>
      </w:r>
      <w:r>
        <w:rPr>
          <w:rtl w:val="true"/>
        </w:rPr>
        <w:t xml:space="preserve">, </w:t>
      </w:r>
      <w:r>
        <w:rPr>
          <w:rtl w:val="true"/>
        </w:rPr>
        <w:t>בתת</w:t>
      </w:r>
      <w:r>
        <w:rPr>
          <w:rtl w:val="true"/>
        </w:rPr>
        <w:t>-</w:t>
      </w:r>
      <w:r>
        <w:rPr>
          <w:rtl w:val="true"/>
        </w:rPr>
        <w:t>מקלע או באקדח אמין ואיכותי</w:t>
      </w:r>
      <w:r>
        <w:rPr>
          <w:rtl w:val="true"/>
        </w:rPr>
        <w:t xml:space="preserve">, </w:t>
      </w:r>
      <w:r>
        <w:rPr>
          <w:rtl w:val="true"/>
        </w:rPr>
        <w:t xml:space="preserve">אינו כדין סחר באקדח מאולתר </w:t>
      </w:r>
      <w:r>
        <w:rPr>
          <w:rtl w:val="true"/>
        </w:rPr>
        <w:t>(</w:t>
      </w:r>
      <w:r>
        <w:rPr>
          <w:rtl w:val="true"/>
        </w:rPr>
        <w:t>ראו למשל</w:t>
      </w:r>
      <w:r>
        <w:rPr>
          <w:rtl w:val="true"/>
        </w:rPr>
        <w:t xml:space="preserve">: </w:t>
      </w:r>
      <w:hyperlink r:id="rId4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1397/16</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חמאיל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13</w:t>
      </w:r>
      <w:r>
        <w:rPr>
          <w:rtl w:val="true"/>
        </w:rPr>
        <w:t xml:space="preserve"> (</w:t>
      </w:r>
      <w:r>
        <w:rPr/>
        <w:t>12.9.2016</w:t>
      </w:r>
      <w:r>
        <w:rPr>
          <w:rtl w:val="true"/>
        </w:rPr>
        <w:t>) (</w:t>
      </w:r>
      <w:r>
        <w:rPr>
          <w:rtl w:val="true"/>
        </w:rPr>
        <w:t>להלן</w:t>
      </w:r>
      <w:r>
        <w:rPr>
          <w:rtl w:val="true"/>
        </w:rPr>
        <w:t xml:space="preserve">: </w:t>
      </w:r>
      <w:r>
        <w:rPr>
          <w:rtl w:val="true"/>
        </w:rPr>
        <w:t xml:space="preserve">עניין </w:t>
      </w:r>
      <w:r>
        <w:rPr>
          <w:rFonts w:ascii="Century" w:hAnsi="Century" w:cs="Miriam"/>
          <w:b/>
          <w:b/>
          <w:spacing w:val="0"/>
          <w:sz w:val="22"/>
          <w:sz w:val="22"/>
          <w:szCs w:val="24"/>
          <w:rtl w:val="true"/>
        </w:rPr>
        <w:t>חמאיל</w:t>
      </w:r>
      <w:r>
        <w:rPr>
          <w:rtl w:val="true"/>
        </w:rPr>
        <w:t xml:space="preserve">); </w:t>
      </w:r>
      <w:r>
        <w:rPr>
          <w:rtl w:val="true"/>
        </w:rPr>
        <w:t xml:space="preserve">עניין </w:t>
      </w:r>
      <w:r>
        <w:rPr>
          <w:rFonts w:ascii="Century" w:hAnsi="Century" w:cs="Miriam"/>
          <w:b/>
          <w:b/>
          <w:spacing w:val="0"/>
          <w:sz w:val="22"/>
          <w:sz w:val="22"/>
          <w:szCs w:val="24"/>
          <w:rtl w:val="true"/>
        </w:rPr>
        <w:t>חסן</w:t>
      </w:r>
      <w:r>
        <w:rPr>
          <w:rtl w:val="true"/>
        </w:rPr>
        <w:t xml:space="preserve">, </w:t>
      </w:r>
      <w:r>
        <w:rPr>
          <w:rtl w:val="true"/>
        </w:rPr>
        <w:t xml:space="preserve">פסקה </w:t>
      </w:r>
      <w:r>
        <w:rPr/>
        <w:t>10</w:t>
      </w:r>
      <w:r>
        <w:rPr>
          <w:rtl w:val="true"/>
        </w:rPr>
        <w:t>).</w:t>
      </w:r>
    </w:p>
    <w:p>
      <w:pPr>
        <w:pStyle w:val="Ruller42"/>
        <w:ind w:end="0"/>
        <w:jc w:val="both"/>
        <w:rPr/>
      </w:pPr>
      <w:r>
        <w:rPr>
          <w:rtl w:val="true"/>
        </w:rPr>
      </w:r>
    </w:p>
    <w:p>
      <w:pPr>
        <w:pStyle w:val="Ruller43"/>
        <w:numPr>
          <w:ilvl w:val="0"/>
          <w:numId w:val="1"/>
        </w:numPr>
        <w:ind w:end="0"/>
        <w:jc w:val="both"/>
        <w:rPr/>
      </w:pPr>
      <w:r>
        <w:rPr>
          <w:rtl w:val="true"/>
        </w:rPr>
        <w:t>החומרה היתרה הכרוכה בעבירות נשק והסיכון הנשקף מביצוען לציבור</w:t>
      </w:r>
      <w:r>
        <w:rPr>
          <w:rtl w:val="true"/>
        </w:rPr>
        <w:t xml:space="preserve">, </w:t>
      </w:r>
      <w:r>
        <w:rPr>
          <w:rtl w:val="true"/>
        </w:rPr>
        <w:t>מקבלים משנה תוקף בשים לב להיקפיה של התופעה ואופן התפשטותה</w:t>
      </w:r>
      <w:r>
        <w:rPr>
          <w:rtl w:val="true"/>
        </w:rPr>
        <w:t xml:space="preserve">. </w:t>
      </w:r>
      <w:r>
        <w:rPr>
          <w:rtl w:val="true"/>
        </w:rPr>
        <w:t>כמענה לכך</w:t>
      </w:r>
      <w:r>
        <w:rPr>
          <w:rtl w:val="true"/>
        </w:rPr>
        <w:t xml:space="preserve">, </w:t>
      </w:r>
      <w:r>
        <w:rPr>
          <w:rtl w:val="true"/>
        </w:rPr>
        <w:t>מסתמנת בפסיקה מגמה עקבית להחמיר את הענישה בגין עבירות אלו</w:t>
      </w:r>
      <w:r>
        <w:rPr>
          <w:rtl w:val="true"/>
        </w:rPr>
        <w:t xml:space="preserve">, </w:t>
      </w:r>
      <w:r>
        <w:rPr>
          <w:rtl w:val="true"/>
        </w:rPr>
        <w:t xml:space="preserve">באופן שיהלום את מידת פגיעתן בערכים המוגנים ויקדם את מיגור התופעה </w:t>
      </w:r>
      <w:r>
        <w:rPr>
          <w:rtl w:val="true"/>
        </w:rPr>
        <w:t>(</w:t>
      </w:r>
      <w:r>
        <w:rPr>
          <w:rtl w:val="true"/>
        </w:rPr>
        <w:t xml:space="preserve">עניין </w:t>
      </w:r>
      <w:r>
        <w:rPr>
          <w:rFonts w:ascii="Century" w:hAnsi="Century" w:cs="Miriam"/>
          <w:b/>
          <w:b/>
          <w:spacing w:val="0"/>
          <w:szCs w:val="24"/>
          <w:rtl w:val="true"/>
        </w:rPr>
        <w:t>דהוד</w:t>
      </w:r>
      <w:r>
        <w:rPr>
          <w:rFonts w:cs="Century" w:ascii="Century" w:hAnsi="Century"/>
          <w:rtl w:val="true"/>
        </w:rPr>
        <w:t xml:space="preserve">, </w:t>
      </w:r>
      <w:r>
        <w:rPr>
          <w:rFonts w:ascii="Century" w:hAnsi="Century" w:cs="Century"/>
          <w:rtl w:val="true"/>
        </w:rPr>
        <w:t xml:space="preserve">פסקה </w:t>
      </w:r>
      <w:r>
        <w:rPr>
          <w:rFonts w:cs="Century" w:ascii="Century" w:hAnsi="Century"/>
        </w:rPr>
        <w:t>11</w:t>
      </w:r>
      <w:r>
        <w:rPr>
          <w:rFonts w:cs="Century" w:ascii="Century" w:hAnsi="Century"/>
          <w:rtl w:val="true"/>
        </w:rPr>
        <w:t xml:space="preserve">; </w:t>
      </w:r>
      <w:r>
        <w:rPr>
          <w:rFonts w:ascii="Century" w:hAnsi="Century" w:cs="Century"/>
          <w:rtl w:val="true"/>
        </w:rPr>
        <w:t xml:space="preserve">עניין </w:t>
      </w:r>
      <w:r>
        <w:rPr>
          <w:rFonts w:ascii="Century" w:hAnsi="Century" w:cs="Miriam"/>
          <w:b/>
          <w:b/>
          <w:spacing w:val="0"/>
          <w:szCs w:val="24"/>
          <w:rtl w:val="true"/>
        </w:rPr>
        <w:t>חסן</w:t>
      </w:r>
      <w:r>
        <w:rPr>
          <w:rFonts w:cs="Century" w:ascii="Century" w:hAnsi="Century"/>
          <w:rtl w:val="true"/>
        </w:rPr>
        <w:t xml:space="preserve">, </w:t>
      </w:r>
      <w:r>
        <w:rPr>
          <w:rFonts w:ascii="Century" w:hAnsi="Century" w:cs="Century"/>
          <w:rtl w:val="true"/>
        </w:rPr>
        <w:t xml:space="preserve">פסקה </w:t>
      </w:r>
      <w:r>
        <w:rPr>
          <w:rFonts w:cs="Century" w:ascii="Century" w:hAnsi="Century"/>
        </w:rPr>
        <w:t>12</w:t>
      </w:r>
      <w:r>
        <w:rPr>
          <w:rtl w:val="true"/>
        </w:rPr>
        <w:t xml:space="preserve">; </w:t>
      </w:r>
      <w:r>
        <w:rPr>
          <w:rtl w:val="true"/>
        </w:rPr>
        <w:t xml:space="preserve">עניין </w:t>
      </w:r>
      <w:r>
        <w:rPr>
          <w:rFonts w:ascii="Century" w:hAnsi="Century" w:cs="Miriam"/>
          <w:b/>
          <w:b/>
          <w:spacing w:val="0"/>
          <w:szCs w:val="24"/>
          <w:rtl w:val="true"/>
        </w:rPr>
        <w:t>עספור</w:t>
      </w:r>
      <w:r>
        <w:rPr>
          <w:rFonts w:cs="Century" w:ascii="Century" w:hAnsi="Century"/>
          <w:rtl w:val="true"/>
        </w:rPr>
        <w:t xml:space="preserve">, </w:t>
      </w:r>
      <w:r>
        <w:rPr>
          <w:rFonts w:ascii="Century" w:hAnsi="Century" w:cs="Century"/>
          <w:rtl w:val="true"/>
        </w:rPr>
        <w:t xml:space="preserve">פסקה </w:t>
      </w:r>
      <w:r>
        <w:rPr>
          <w:rFonts w:cs="Century" w:ascii="Century" w:hAnsi="Century"/>
        </w:rPr>
        <w:t>7</w:t>
      </w:r>
      <w:r>
        <w:rPr>
          <w:rtl w:val="true"/>
        </w:rPr>
        <w:t xml:space="preserve">). </w:t>
      </w:r>
      <w:r>
        <w:rPr>
          <w:rtl w:val="true"/>
        </w:rPr>
        <w:t>משכך</w:t>
      </w:r>
      <w:r>
        <w:rPr>
          <w:rtl w:val="true"/>
        </w:rPr>
        <w:t xml:space="preserve">, </w:t>
      </w:r>
      <w:r>
        <w:rPr>
          <w:rtl w:val="true"/>
        </w:rPr>
        <w:t>חרף עיקרון הענישה האינדיבידואלית והמשקל שיש ליתן לנסיבותיו האישיות של כל נאשם לגופו</w:t>
      </w:r>
      <w:r>
        <w:rPr>
          <w:rtl w:val="true"/>
        </w:rPr>
        <w:t xml:space="preserve">, </w:t>
      </w:r>
      <w:r>
        <w:rPr>
          <w:rtl w:val="true"/>
        </w:rPr>
        <w:t>בבואו לגזור את דינו של מי שהורשע בביצוע עבירות חמורות אלו</w:t>
      </w:r>
      <w:r>
        <w:rPr>
          <w:rtl w:val="true"/>
        </w:rPr>
        <w:t xml:space="preserve">, </w:t>
      </w:r>
      <w:r>
        <w:rPr>
          <w:rtl w:val="true"/>
        </w:rPr>
        <w:t xml:space="preserve">על בית המשפט לתת בכורה לשיקולי ההרתעה והאינטרס הציבורי </w:t>
      </w:r>
      <w:r>
        <w:rPr>
          <w:rtl w:val="true"/>
        </w:rPr>
        <w:t>(</w:t>
      </w:r>
      <w:hyperlink r:id="rId45">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5643/14</w:t>
        </w:r>
      </w:hyperlink>
      <w:r>
        <w:rPr>
          <w:rFonts w:cs="Century" w:ascii="Century" w:hAnsi="Century"/>
          <w:sz w:val="22"/>
          <w:rtl w:val="true"/>
        </w:rPr>
        <w:t xml:space="preserve"> </w:t>
      </w:r>
      <w:r>
        <w:rPr>
          <w:rFonts w:ascii="Century" w:hAnsi="Century" w:cs="Miriam"/>
          <w:b/>
          <w:b/>
          <w:spacing w:val="0"/>
          <w:sz w:val="22"/>
          <w:sz w:val="22"/>
          <w:szCs w:val="24"/>
          <w:rtl w:val="true"/>
        </w:rPr>
        <w:t>עיסא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cs="Century"/>
          <w:sz w:val="22"/>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Century" w:ascii="Century" w:hAnsi="Century"/>
          <w:sz w:val="22"/>
          <w:rtl w:val="true"/>
        </w:rPr>
        <w:t>(</w:t>
      </w:r>
      <w:r>
        <w:rPr>
          <w:rFonts w:cs="Century" w:ascii="Century" w:hAnsi="Century"/>
          <w:sz w:val="22"/>
        </w:rPr>
        <w:t>23.6.2015</w:t>
      </w:r>
      <w:r>
        <w:rPr>
          <w:rFonts w:cs="Century" w:ascii="Century" w:hAnsi="Century"/>
          <w:sz w:val="22"/>
          <w:rtl w:val="true"/>
        </w:rPr>
        <w:t>) (</w:t>
      </w:r>
      <w:r>
        <w:rPr>
          <w:rFonts w:ascii="Century" w:hAnsi="Century" w:cs="Century"/>
          <w:sz w:val="22"/>
          <w:sz w:val="22"/>
          <w:rtl w:val="true"/>
        </w:rPr>
        <w:t>להלן</w:t>
      </w:r>
      <w:r>
        <w:rPr>
          <w:rFonts w:cs="Century" w:ascii="Century" w:hAnsi="Century"/>
          <w:sz w:val="22"/>
          <w:rtl w:val="true"/>
        </w:rPr>
        <w:t xml:space="preserve">: </w:t>
      </w:r>
      <w:r>
        <w:rPr>
          <w:rFonts w:ascii="Century" w:hAnsi="Century" w:cs="Century"/>
          <w:sz w:val="22"/>
          <w:sz w:val="22"/>
          <w:rtl w:val="true"/>
        </w:rPr>
        <w:t xml:space="preserve">עניין </w:t>
      </w:r>
      <w:r>
        <w:rPr>
          <w:rFonts w:ascii="Century" w:hAnsi="Century" w:cs="Miriam"/>
          <w:b/>
          <w:b/>
          <w:spacing w:val="0"/>
          <w:sz w:val="22"/>
          <w:sz w:val="22"/>
          <w:szCs w:val="24"/>
          <w:rtl w:val="true"/>
        </w:rPr>
        <w:t>עיסא</w:t>
      </w:r>
      <w:r>
        <w:rPr>
          <w:rFonts w:cs="Century" w:ascii="Century" w:hAnsi="Century"/>
          <w:sz w:val="22"/>
          <w:rtl w:val="true"/>
        </w:rPr>
        <w:t>)</w:t>
      </w:r>
      <w:r>
        <w:rPr>
          <w:rFonts w:cs="Century" w:ascii="Century" w:hAnsi="Century"/>
          <w:rtl w:val="true"/>
        </w:rPr>
        <w:t xml:space="preserve">, </w:t>
      </w:r>
      <w:r>
        <w:rPr>
          <w:rFonts w:ascii="Century" w:hAnsi="Century" w:cs="Century"/>
          <w:rtl w:val="true"/>
        </w:rPr>
        <w:t xml:space="preserve">פסקה </w:t>
      </w:r>
      <w:r>
        <w:rPr>
          <w:rFonts w:cs="Century" w:ascii="Century" w:hAnsi="Century"/>
        </w:rPr>
        <w:t>13</w:t>
      </w:r>
      <w:r>
        <w:rPr>
          <w:rFonts w:cs="Century" w:ascii="Century" w:hAnsi="Century"/>
          <w:rtl w:val="true"/>
        </w:rPr>
        <w:t xml:space="preserve">; </w:t>
      </w:r>
      <w:r>
        <w:rPr>
          <w:rFonts w:ascii="Century" w:hAnsi="Century" w:cs="Century"/>
          <w:rtl w:val="true"/>
        </w:rPr>
        <w:t xml:space="preserve">עניין </w:t>
      </w:r>
      <w:r>
        <w:rPr>
          <w:rFonts w:ascii="Century" w:hAnsi="Century" w:cs="Miriam"/>
          <w:b/>
          <w:b/>
          <w:spacing w:val="0"/>
          <w:szCs w:val="24"/>
          <w:rtl w:val="true"/>
        </w:rPr>
        <w:t>נפאע</w:t>
      </w:r>
      <w:r>
        <w:rPr>
          <w:rFonts w:cs="Century" w:ascii="Century" w:hAnsi="Century"/>
          <w:rtl w:val="true"/>
        </w:rPr>
        <w:t xml:space="preserve">, </w:t>
      </w:r>
      <w:r>
        <w:rPr>
          <w:rFonts w:ascii="Century" w:hAnsi="Century" w:cs="Century"/>
          <w:rtl w:val="true"/>
        </w:rPr>
        <w:t xml:space="preserve">פסקה </w:t>
      </w:r>
      <w:r>
        <w:rPr>
          <w:rFonts w:cs="Century" w:ascii="Century" w:hAnsi="Century"/>
        </w:rPr>
        <w:t>5</w:t>
      </w:r>
      <w:r>
        <w:rPr>
          <w:rtl w:val="true"/>
        </w:rPr>
        <w:t xml:space="preserve">). </w:t>
      </w:r>
      <w:r>
        <w:rPr>
          <w:rtl w:val="true"/>
        </w:rPr>
        <w:t>כן יודגש</w:t>
      </w:r>
      <w:r>
        <w:rPr>
          <w:rtl w:val="true"/>
        </w:rPr>
        <w:t xml:space="preserve">, </w:t>
      </w:r>
      <w:r>
        <w:rPr>
          <w:rtl w:val="true"/>
        </w:rPr>
        <w:t>הגם שעסקאות סחר בנשק מערבות מטבע הדברים גורמים שונים שחלקו של כל אחד מהם בעסקה הוא משתנה</w:t>
      </w:r>
      <w:r>
        <w:rPr>
          <w:rtl w:val="true"/>
        </w:rPr>
        <w:t xml:space="preserve">, </w:t>
      </w:r>
      <w:r>
        <w:rPr>
          <w:rtl w:val="true"/>
        </w:rPr>
        <w:t>יש חשיבות בענישה מוחשית של כל אחת ואחת מהחוליות בשרשרת הסחר</w:t>
      </w:r>
      <w:r>
        <w:rPr>
          <w:rtl w:val="true"/>
        </w:rPr>
        <w:t xml:space="preserve">. </w:t>
      </w:r>
      <w:r>
        <w:rPr>
          <w:rtl w:val="true"/>
        </w:rPr>
        <w:t xml:space="preserve">כל אחת מאותן חוליות </w:t>
      </w:r>
      <w:r>
        <w:rPr>
          <w:rtl w:val="true"/>
        </w:rPr>
        <w:t>"</w:t>
      </w:r>
      <w:r>
        <w:rPr>
          <w:rtl w:val="true"/>
        </w:rPr>
        <w:t xml:space="preserve">מוחזקת כמי שמודעת לתוצאות האפשריות הקשות העלולות לנבוע מהשימוש שייעשה בנשק לאחר שיגיע אל </w:t>
      </w:r>
      <w:r>
        <w:rPr>
          <w:rtl w:val="true"/>
        </w:rPr>
        <w:t>'</w:t>
      </w:r>
      <w:r>
        <w:rPr>
          <w:rtl w:val="true"/>
        </w:rPr>
        <w:t>הצרכן הסופי</w:t>
      </w:r>
      <w:r>
        <w:rPr>
          <w:rtl w:val="true"/>
        </w:rPr>
        <w:t xml:space="preserve">' </w:t>
      </w:r>
      <w:r>
        <w:rPr>
          <w:rtl w:val="true"/>
        </w:rPr>
        <w:t>בקצה השרשרת</w:t>
      </w:r>
      <w:r>
        <w:rPr>
          <w:rtl w:val="true"/>
        </w:rPr>
        <w:t>" (</w:t>
      </w:r>
      <w:hyperlink r:id="rId4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7268/11</w:t>
        </w:r>
      </w:hyperlink>
      <w:r>
        <w:rPr>
          <w:rtl w:val="true"/>
        </w:rPr>
        <w:t xml:space="preserve"> </w:t>
      </w:r>
      <w:r>
        <w:rPr>
          <w:rFonts w:ascii="Century" w:hAnsi="Century" w:cs="Miriam"/>
          <w:b/>
          <w:b/>
          <w:spacing w:val="0"/>
          <w:szCs w:val="24"/>
          <w:rtl w:val="true"/>
        </w:rPr>
        <w:t>גרבאן</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7</w:t>
      </w:r>
      <w:r>
        <w:rPr>
          <w:rtl w:val="true"/>
        </w:rPr>
        <w:t xml:space="preserve"> (</w:t>
      </w:r>
      <w:r>
        <w:rPr/>
        <w:t>8.8.2012</w:t>
      </w:r>
      <w:r>
        <w:rPr>
          <w:rtl w:val="true"/>
        </w:rPr>
        <w:t xml:space="preserve">)). </w:t>
      </w:r>
      <w:r>
        <w:rPr>
          <w:rtl w:val="true"/>
        </w:rPr>
        <w:t xml:space="preserve">לעניין הצורך בהחמרה בענישה ציינה השופטת </w:t>
      </w:r>
      <w:r>
        <w:rPr>
          <w:rtl w:val="true"/>
        </w:rPr>
        <w:t>(</w:t>
      </w:r>
      <w:r>
        <w:rPr>
          <w:rtl w:val="true"/>
        </w:rPr>
        <w:t>כתוארה אז</w:t>
      </w:r>
      <w:r>
        <w:rPr>
          <w:rtl w:val="true"/>
        </w:rPr>
        <w:t xml:space="preserve">)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חיות</w:t>
      </w:r>
      <w:r>
        <w:rPr>
          <w:rtl w:val="true"/>
        </w:rPr>
        <w:t xml:space="preserve"> בפסק הדין בעניין </w:t>
      </w:r>
      <w:r>
        <w:rPr>
          <w:rFonts w:ascii="Century" w:hAnsi="Century" w:cs="Miriam"/>
          <w:b/>
          <w:b/>
          <w:spacing w:val="0"/>
          <w:sz w:val="22"/>
          <w:sz w:val="22"/>
          <w:szCs w:val="24"/>
          <w:rtl w:val="true"/>
        </w:rPr>
        <w:t>נפאע</w:t>
      </w:r>
      <w:r>
        <w:rPr>
          <w:rtl w:val="true"/>
        </w:rPr>
        <w:t>:</w:t>
      </w:r>
    </w:p>
    <w:p>
      <w:pPr>
        <w:pStyle w:val="Ruller51"/>
        <w:ind w:end="1282"/>
        <w:jc w:val="both"/>
        <w:rPr/>
      </w:pPr>
      <w:r>
        <w:rPr>
          <w:rtl w:val="true"/>
        </w:rPr>
      </w:r>
    </w:p>
    <w:p>
      <w:pPr>
        <w:pStyle w:val="Ruller51"/>
        <w:ind w:end="1282"/>
        <w:jc w:val="both"/>
        <w:rPr/>
      </w:pPr>
      <w:r>
        <w:rPr>
          <w:rtl w:val="true"/>
        </w:rPr>
        <w:t>"</w:t>
      </w:r>
      <w:r>
        <w:rPr>
          <w:rtl w:val="true"/>
        </w:rPr>
        <w:t>נוכח</w:t>
      </w:r>
      <w:r>
        <w:rPr>
          <w:rFonts w:eastAsia="Arial TUR;Arial" w:cs="Arial TUR;Arial"/>
          <w:rtl w:val="true"/>
        </w:rPr>
        <w:t xml:space="preserve"> </w:t>
      </w:r>
      <w:r>
        <w:rPr>
          <w:rtl w:val="true"/>
        </w:rPr>
        <w:t>מימדיה</w:t>
      </w:r>
      <w:r>
        <w:rPr>
          <w:rFonts w:eastAsia="Arial TUR;Arial" w:cs="Arial TUR;Arial"/>
          <w:rtl w:val="true"/>
        </w:rPr>
        <w:t xml:space="preserve"> </w:t>
      </w:r>
      <w:r>
        <w:rPr>
          <w:rtl w:val="true"/>
        </w:rPr>
        <w:t>המדאיגים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תופעת</w:t>
      </w:r>
      <w:r>
        <w:rPr>
          <w:rFonts w:eastAsia="Arial TUR;Arial" w:cs="Arial TUR;Arial"/>
          <w:rtl w:val="true"/>
        </w:rPr>
        <w:t xml:space="preserve"> </w:t>
      </w:r>
      <w:r>
        <w:rPr>
          <w:rtl w:val="true"/>
        </w:rPr>
        <w:t>הסחר</w:t>
      </w:r>
      <w:r>
        <w:rPr>
          <w:rFonts w:eastAsia="Arial TUR;Arial" w:cs="Arial TUR;Arial"/>
          <w:rtl w:val="true"/>
        </w:rPr>
        <w:t xml:space="preserve"> </w:t>
      </w:r>
      <w:r>
        <w:rPr>
          <w:rtl w:val="true"/>
        </w:rPr>
        <w:t>הבלתי</w:t>
      </w:r>
      <w:r>
        <w:rPr>
          <w:rFonts w:eastAsia="Arial TUR;Arial" w:cs="Arial TUR;Arial"/>
          <w:rtl w:val="true"/>
        </w:rPr>
        <w:t xml:space="preserve"> </w:t>
      </w:r>
      <w:r>
        <w:rPr>
          <w:rtl w:val="true"/>
        </w:rPr>
        <w:t>חוקי</w:t>
      </w:r>
      <w:r>
        <w:rPr>
          <w:rFonts w:eastAsia="Arial TUR;Arial" w:cs="Arial TUR;Arial"/>
          <w:rtl w:val="true"/>
        </w:rPr>
        <w:t xml:space="preserve"> </w:t>
      </w:r>
      <w:r>
        <w:rPr>
          <w:rtl w:val="true"/>
        </w:rPr>
        <w:t>בנשק</w:t>
      </w:r>
      <w:r>
        <w:rPr>
          <w:rtl w:val="true"/>
        </w:rPr>
        <w:t xml:space="preserve">, </w:t>
      </w:r>
      <w:r>
        <w:rPr>
          <w:rtl w:val="true"/>
        </w:rPr>
        <w:t>הסכנות</w:t>
      </w:r>
      <w:r>
        <w:rPr>
          <w:rFonts w:eastAsia="Arial TUR;Arial" w:cs="Arial TUR;Arial"/>
          <w:rtl w:val="true"/>
        </w:rPr>
        <w:t xml:space="preserve"> </w:t>
      </w:r>
      <w:r>
        <w:rPr>
          <w:rtl w:val="true"/>
        </w:rPr>
        <w:t>הנשקפות</w:t>
      </w:r>
      <w:r>
        <w:rPr>
          <w:rFonts w:eastAsia="Arial TUR;Arial" w:cs="Arial TUR;Arial"/>
          <w:rtl w:val="true"/>
        </w:rPr>
        <w:t xml:space="preserve"> </w:t>
      </w:r>
      <w:r>
        <w:rPr>
          <w:rtl w:val="true"/>
        </w:rPr>
        <w:t>ממנה</w:t>
      </w:r>
      <w:r>
        <w:rPr>
          <w:rFonts w:eastAsia="Arial TUR;Arial" w:cs="Arial TUR;Arial"/>
          <w:rtl w:val="true"/>
        </w:rPr>
        <w:t xml:space="preserve"> </w:t>
      </w:r>
      <w:r>
        <w:rPr>
          <w:rtl w:val="true"/>
        </w:rPr>
        <w:t>והקלות</w:t>
      </w:r>
      <w:r>
        <w:rPr>
          <w:rFonts w:eastAsia="Arial TUR;Arial" w:cs="Arial TUR;Arial"/>
          <w:rtl w:val="true"/>
        </w:rPr>
        <w:t xml:space="preserve"> </w:t>
      </w:r>
      <w:r>
        <w:rPr>
          <w:rtl w:val="true"/>
        </w:rPr>
        <w:t>היחסית</w:t>
      </w:r>
      <w:r>
        <w:rPr>
          <w:rFonts w:eastAsia="Arial TUR;Arial" w:cs="Arial TUR;Arial"/>
          <w:rtl w:val="true"/>
        </w:rPr>
        <w:t xml:space="preserve"> </w:t>
      </w:r>
      <w:r>
        <w:rPr>
          <w:rtl w:val="true"/>
        </w:rPr>
        <w:t>שבה</w:t>
      </w: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לבצען</w:t>
      </w:r>
      <w:r>
        <w:rPr>
          <w:rtl w:val="true"/>
        </w:rPr>
        <w:t xml:space="preserve">, </w:t>
      </w:r>
      <w:r>
        <w:rPr>
          <w:rtl w:val="true"/>
        </w:rPr>
        <w:t>אכן</w:t>
      </w:r>
      <w:r>
        <w:rPr>
          <w:rFonts w:eastAsia="Arial TUR;Arial" w:cs="Arial TUR;Arial"/>
          <w:rtl w:val="true"/>
        </w:rPr>
        <w:t xml:space="preserve"> </w:t>
      </w:r>
      <w:r>
        <w:rPr>
          <w:rtl w:val="true"/>
        </w:rPr>
        <w:t>הגיעה</w:t>
      </w:r>
      <w:r>
        <w:rPr>
          <w:rFonts w:eastAsia="Arial TUR;Arial" w:cs="Arial TUR;Arial"/>
          <w:rtl w:val="true"/>
        </w:rPr>
        <w:t xml:space="preserve"> </w:t>
      </w:r>
      <w:r>
        <w:rPr>
          <w:rtl w:val="true"/>
        </w:rPr>
        <w:t>השעה</w:t>
      </w:r>
      <w:r>
        <w:rPr>
          <w:rFonts w:eastAsia="Arial TUR;Arial" w:cs="Arial TUR;Arial"/>
          <w:rtl w:val="true"/>
        </w:rPr>
        <w:t xml:space="preserve"> </w:t>
      </w:r>
      <w:r>
        <w:rPr>
          <w:rtl w:val="true"/>
        </w:rPr>
        <w:t>–</w:t>
      </w:r>
      <w:r>
        <w:rPr>
          <w:rFonts w:eastAsia="Arial TUR;Arial" w:cs="Arial TUR;Arial"/>
          <w:rtl w:val="true"/>
        </w:rPr>
        <w:t xml:space="preserve"> </w:t>
      </w:r>
      <w:r>
        <w:rPr>
          <w:rtl w:val="true"/>
        </w:rPr>
        <w:t>בכפוף</w:t>
      </w:r>
      <w:r>
        <w:rPr>
          <w:rFonts w:eastAsia="Arial TUR;Arial" w:cs="Arial TUR;Arial"/>
          <w:rtl w:val="true"/>
        </w:rPr>
        <w:t xml:space="preserve"> </w:t>
      </w:r>
      <w:r>
        <w:rPr>
          <w:rtl w:val="true"/>
        </w:rPr>
        <w:t>לנסיבותיו</w:t>
      </w:r>
      <w:r>
        <w:rPr>
          <w:rFonts w:eastAsia="Arial TUR;Arial" w:cs="Arial TUR;Arial"/>
          <w:rtl w:val="true"/>
        </w:rPr>
        <w:t xml:space="preserve"> </w:t>
      </w:r>
      <w:r>
        <w:rPr>
          <w:rtl w:val="true"/>
        </w:rPr>
        <w:t>הקונקרטיות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מקרה</w:t>
      </w:r>
      <w:r>
        <w:rPr>
          <w:rFonts w:eastAsia="Arial TUR;Arial" w:cs="Arial TUR;Arial"/>
          <w:rtl w:val="true"/>
        </w:rPr>
        <w:t xml:space="preserve"> </w:t>
      </w:r>
      <w:r>
        <w:rPr>
          <w:rtl w:val="true"/>
        </w:rPr>
        <w:t>ומקרה</w:t>
      </w:r>
      <w:r>
        <w:rPr>
          <w:rFonts w:eastAsia="Arial TUR;Arial" w:cs="Arial TUR;Arial"/>
          <w:rtl w:val="true"/>
        </w:rPr>
        <w:t xml:space="preserve"> </w:t>
      </w:r>
      <w:r>
        <w:rPr>
          <w:rtl w:val="true"/>
        </w:rPr>
        <w:t>–</w:t>
      </w:r>
      <w:r>
        <w:rPr>
          <w:rFonts w:eastAsia="Arial TUR;Arial" w:cs="Arial TUR;Arial"/>
          <w:rtl w:val="true"/>
        </w:rPr>
        <w:t xml:space="preserve"> </w:t>
      </w:r>
      <w:r>
        <w:rPr>
          <w:rtl w:val="true"/>
        </w:rPr>
        <w:t>להחמיר</w:t>
      </w:r>
      <w:r>
        <w:rPr>
          <w:rFonts w:eastAsia="Arial TUR;Arial" w:cs="Arial TUR;Arial"/>
          <w:rtl w:val="true"/>
        </w:rPr>
        <w:t xml:space="preserve"> </w:t>
      </w:r>
      <w:r>
        <w:rPr>
          <w:rtl w:val="true"/>
        </w:rPr>
        <w:t>בעונשי</w:t>
      </w:r>
      <w:r>
        <w:rPr>
          <w:rFonts w:eastAsia="Arial TUR;Arial" w:cs="Arial TUR;Arial"/>
          <w:rtl w:val="true"/>
        </w:rPr>
        <w:t xml:space="preserve"> </w:t>
      </w:r>
      <w:r>
        <w:rPr>
          <w:rtl w:val="true"/>
        </w:rPr>
        <w:t>המאסר</w:t>
      </w:r>
      <w:r>
        <w:rPr>
          <w:rFonts w:eastAsia="Arial TUR;Arial" w:cs="Arial TUR;Arial"/>
          <w:rtl w:val="true"/>
        </w:rPr>
        <w:t xml:space="preserve"> </w:t>
      </w:r>
      <w:r>
        <w:rPr>
          <w:rtl w:val="true"/>
        </w:rPr>
        <w:t>הנגזרים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נאשמים</w:t>
      </w:r>
      <w:r>
        <w:rPr>
          <w:rFonts w:eastAsia="Arial TUR;Arial" w:cs="Arial TUR;Arial"/>
          <w:rtl w:val="true"/>
        </w:rPr>
        <w:t xml:space="preserve"> </w:t>
      </w:r>
      <w:r>
        <w:rPr>
          <w:rtl w:val="true"/>
        </w:rPr>
        <w:t>בעבירות</w:t>
      </w:r>
      <w:r>
        <w:rPr>
          <w:rFonts w:eastAsia="Arial TUR;Arial" w:cs="Arial TUR;Arial"/>
          <w:rtl w:val="true"/>
        </w:rPr>
        <w:t xml:space="preserve"> </w:t>
      </w:r>
      <w:r>
        <w:rPr>
          <w:rtl w:val="true"/>
        </w:rPr>
        <w:t>אלו</w:t>
      </w:r>
      <w:r>
        <w:rPr>
          <w:rFonts w:eastAsia="Arial TUR;Arial" w:cs="Arial TUR;Arial"/>
          <w:rtl w:val="true"/>
        </w:rPr>
        <w:t xml:space="preserve"> </w:t>
      </w:r>
      <w:r>
        <w:rPr>
          <w:rtl w:val="true"/>
        </w:rPr>
        <w:t>לעומת</w:t>
      </w:r>
      <w:r>
        <w:rPr>
          <w:rFonts w:eastAsia="Arial TUR;Arial" w:cs="Arial TUR;Arial"/>
          <w:rtl w:val="true"/>
        </w:rPr>
        <w:t xml:space="preserve"> </w:t>
      </w:r>
      <w:r>
        <w:rPr>
          <w:rtl w:val="true"/>
        </w:rPr>
        <w:t>העונשים</w:t>
      </w:r>
      <w:r>
        <w:rPr>
          <w:rFonts w:eastAsia="Arial TUR;Arial" w:cs="Arial TUR;Arial"/>
          <w:rtl w:val="true"/>
        </w:rPr>
        <w:t xml:space="preserve"> </w:t>
      </w:r>
      <w:r>
        <w:rPr>
          <w:rtl w:val="true"/>
        </w:rPr>
        <w:t>הנגזרים</w:t>
      </w:r>
      <w:r>
        <w:rPr>
          <w:rFonts w:eastAsia="Arial TUR;Arial" w:cs="Arial TUR;Arial"/>
          <w:rtl w:val="true"/>
        </w:rPr>
        <w:t xml:space="preserve"> </w:t>
      </w:r>
      <w:r>
        <w:rPr>
          <w:rtl w:val="true"/>
        </w:rPr>
        <w:t>כיום</w:t>
      </w:r>
      <w:r>
        <w:rPr>
          <w:rtl w:val="true"/>
        </w:rPr>
        <w:t>" (</w:t>
      </w:r>
      <w:r>
        <w:rPr>
          <w:rtl w:val="true"/>
        </w:rPr>
        <w:t>שם</w:t>
      </w:r>
      <w:r>
        <w:rPr>
          <w:rtl w:val="true"/>
        </w:rPr>
        <w:t xml:space="preserve">, </w:t>
      </w:r>
      <w:r>
        <w:rPr>
          <w:rtl w:val="true"/>
        </w:rPr>
        <w:t>פסקה</w:t>
      </w:r>
      <w:r>
        <w:rPr>
          <w:rFonts w:eastAsia="Arial TUR;Arial" w:cs="Arial TUR;Arial"/>
          <w:rtl w:val="true"/>
        </w:rPr>
        <w:t xml:space="preserve"> </w:t>
      </w:r>
      <w:r>
        <w:rPr/>
        <w:t>7</w:t>
      </w:r>
      <w:r>
        <w:rPr>
          <w:rtl w:val="true"/>
        </w:rPr>
        <w:t>).</w:t>
      </w:r>
    </w:p>
    <w:p>
      <w:pPr>
        <w:pStyle w:val="Ruller43"/>
        <w:numPr>
          <w:ilvl w:val="0"/>
          <w:numId w:val="0"/>
        </w:numPr>
        <w:ind w:hanging="0" w:start="0" w:end="0"/>
        <w:jc w:val="both"/>
        <w:rPr/>
      </w:pPr>
      <w:r>
        <w:rPr>
          <w:rtl w:val="true"/>
        </w:rPr>
      </w:r>
    </w:p>
    <w:p>
      <w:pPr>
        <w:pStyle w:val="Ruller43"/>
        <w:numPr>
          <w:ilvl w:val="0"/>
          <w:numId w:val="1"/>
        </w:numPr>
        <w:ind w:end="0"/>
        <w:jc w:val="both"/>
        <w:rPr/>
      </w:pPr>
      <w:r>
        <w:rPr>
          <w:rtl w:val="true"/>
        </w:rPr>
        <w:t>המערערים בערעורם האריכו בטענות שהופנו כלפי קביעת מתחם העונש ההולם על ידי בית המשפט המחוזי</w:t>
      </w:r>
      <w:r>
        <w:rPr>
          <w:rtl w:val="true"/>
        </w:rPr>
        <w:t xml:space="preserve">, </w:t>
      </w:r>
      <w:r>
        <w:rPr>
          <w:rtl w:val="true"/>
        </w:rPr>
        <w:t>וגם לכך יש לייחד מספר מילים כלליות</w:t>
      </w:r>
      <w:r>
        <w:rPr>
          <w:rtl w:val="true"/>
        </w:rPr>
        <w:t xml:space="preserve">. </w:t>
      </w:r>
      <w:r>
        <w:rPr>
          <w:rtl w:val="true"/>
        </w:rPr>
        <w:t>כידוע</w:t>
      </w:r>
      <w:r>
        <w:rPr>
          <w:rtl w:val="true"/>
        </w:rPr>
        <w:t xml:space="preserve">, </w:t>
      </w:r>
      <w:r>
        <w:rPr>
          <w:rtl w:val="true"/>
        </w:rPr>
        <w:t>קביעת מתחם העונש ההולם היא על פי טיבה מלאכה קשה המביאה בחשבון מכלול של שיקולים ונתונים</w:t>
      </w:r>
      <w:r>
        <w:rPr>
          <w:rtl w:val="true"/>
        </w:rPr>
        <w:t xml:space="preserve">. </w:t>
      </w:r>
      <w:r>
        <w:rPr>
          <w:rtl w:val="true"/>
        </w:rPr>
        <w:t>אין המדובר בטכנאות משפט או אריתמטיקה</w:t>
      </w:r>
      <w:r>
        <w:rPr>
          <w:rtl w:val="true"/>
        </w:rPr>
        <w:t xml:space="preserve">, </w:t>
      </w:r>
      <w:r>
        <w:rPr>
          <w:rtl w:val="true"/>
        </w:rPr>
        <w:t xml:space="preserve">לערכאה הדיונית נתון שיקול דעת רחב בעניין זה וערכאת הערעור לא תתערב בו בנקל </w:t>
      </w:r>
      <w:r>
        <w:rPr>
          <w:rtl w:val="true"/>
        </w:rPr>
        <w:t>(</w:t>
      </w:r>
      <w:hyperlink r:id="rId4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2599/16</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Century"/>
          <w:sz w:val="22"/>
          <w:sz w:val="22"/>
          <w:rtl w:val="true"/>
        </w:rPr>
        <w:t xml:space="preserve">פסקה </w:t>
      </w:r>
      <w:r>
        <w:rPr>
          <w:rFonts w:cs="Century" w:ascii="Century" w:hAnsi="Century"/>
          <w:sz w:val="22"/>
        </w:rPr>
        <w:t>20</w:t>
      </w:r>
      <w:r>
        <w:rPr>
          <w:rFonts w:cs="Century" w:ascii="Century" w:hAnsi="Century"/>
          <w:sz w:val="22"/>
          <w:rtl w:val="true"/>
        </w:rPr>
        <w:t xml:space="preserve"> (</w:t>
      </w:r>
      <w:r>
        <w:rPr>
          <w:rFonts w:cs="Century" w:ascii="Century" w:hAnsi="Century"/>
          <w:sz w:val="22"/>
        </w:rPr>
        <w:t>14.1.2018</w:t>
      </w:r>
      <w:r>
        <w:rPr>
          <w:rFonts w:cs="Century" w:ascii="Century" w:hAnsi="Century"/>
          <w:sz w:val="22"/>
          <w:rtl w:val="true"/>
        </w:rPr>
        <w:t xml:space="preserve">)). </w:t>
      </w:r>
      <w:r>
        <w:rPr>
          <w:rtl w:val="true"/>
        </w:rPr>
        <w:t>בחינת מתחמי העונש ההולם שנקבעו על ידי בית המשפט המחוזי תיעשה בהתאם לעקרונות אלה</w:t>
      </w:r>
      <w:r>
        <w:rPr>
          <w:rtl w:val="true"/>
        </w:rPr>
        <w:t>.</w:t>
      </w:r>
    </w:p>
    <w:p>
      <w:pPr>
        <w:pStyle w:val="Ruller43"/>
        <w:numPr>
          <w:ilvl w:val="0"/>
          <w:numId w:val="0"/>
        </w:numPr>
        <w:ind w:hanging="0" w:start="0" w:end="0"/>
        <w:jc w:val="both"/>
        <w:rPr/>
      </w:pPr>
      <w:r>
        <w:rPr>
          <w:rtl w:val="true"/>
        </w:rPr>
      </w:r>
    </w:p>
    <w:p>
      <w:pPr>
        <w:pStyle w:val="Ruller43"/>
        <w:numPr>
          <w:ilvl w:val="0"/>
          <w:numId w:val="1"/>
        </w:numPr>
        <w:ind w:end="0"/>
        <w:jc w:val="both"/>
        <w:rPr/>
      </w:pPr>
      <w:r>
        <w:rPr>
          <w:rtl w:val="true"/>
        </w:rPr>
        <w:t>בנוסף</w:t>
      </w:r>
      <w:r>
        <w:rPr>
          <w:rtl w:val="true"/>
        </w:rPr>
        <w:t xml:space="preserve">, </w:t>
      </w:r>
      <w:r>
        <w:rPr>
          <w:rtl w:val="true"/>
        </w:rPr>
        <w:t>יצוין כי חלק מהמערערים ביקשו להסתמך על גזר הדין שניתן בעניין נאשמים אחרים בטענה כי בית המשפט המחוזי החמיר דווקא עמהם</w:t>
      </w:r>
      <w:r>
        <w:rPr>
          <w:rtl w:val="true"/>
        </w:rPr>
        <w:t xml:space="preserve">. </w:t>
      </w:r>
      <w:r>
        <w:rPr>
          <w:rtl w:val="true"/>
        </w:rPr>
        <w:t>ואכן</w:t>
      </w:r>
      <w:r>
        <w:rPr>
          <w:rtl w:val="true"/>
        </w:rPr>
        <w:t xml:space="preserve">, </w:t>
      </w:r>
      <w:r>
        <w:rPr>
          <w:rtl w:val="true"/>
        </w:rPr>
        <w:t>כאשר מורשעים מספר רב של נאשמים בעבירות דומות שהן חלק מפרשה אחת אשר נחשפו כולן על ידי פעילותו של סוכן משטרתי</w:t>
      </w:r>
      <w:r>
        <w:rPr>
          <w:rtl w:val="true"/>
        </w:rPr>
        <w:t xml:space="preserve">, </w:t>
      </w:r>
      <w:r>
        <w:rPr>
          <w:rtl w:val="true"/>
        </w:rPr>
        <w:t xml:space="preserve">קיימת חשיבות מוגברת לעיקרון אחידות הענישה </w:t>
      </w:r>
      <w:r>
        <w:rPr>
          <w:rtl w:val="true"/>
        </w:rPr>
        <w:t>(</w:t>
      </w:r>
      <w:hyperlink r:id="rId4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5814/14</w:t>
        </w:r>
      </w:hyperlink>
      <w:r>
        <w:rPr>
          <w:rtl w:val="true"/>
        </w:rPr>
        <w:t xml:space="preserve"> </w:t>
      </w:r>
      <w:r>
        <w:rPr>
          <w:rFonts w:ascii="Century" w:hAnsi="Century" w:cs="Miriam"/>
          <w:b/>
          <w:b/>
          <w:spacing w:val="0"/>
          <w:sz w:val="22"/>
          <w:sz w:val="22"/>
          <w:szCs w:val="24"/>
          <w:rtl w:val="true"/>
        </w:rPr>
        <w:t>עספור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7</w:t>
      </w:r>
      <w:r>
        <w:rPr>
          <w:rtl w:val="true"/>
        </w:rPr>
        <w:t xml:space="preserve"> (</w:t>
      </w:r>
      <w:r>
        <w:rPr/>
        <w:t>14.6.2015</w:t>
      </w:r>
      <w:r>
        <w:rPr>
          <w:rtl w:val="true"/>
        </w:rPr>
        <w:t xml:space="preserve">)). </w:t>
      </w:r>
      <w:r>
        <w:rPr>
          <w:rtl w:val="true"/>
        </w:rPr>
        <w:t>עם זאת</w:t>
      </w:r>
      <w:r>
        <w:rPr>
          <w:rtl w:val="true"/>
        </w:rPr>
        <w:t xml:space="preserve">, </w:t>
      </w:r>
      <w:r>
        <w:rPr>
          <w:rtl w:val="true"/>
        </w:rPr>
        <w:t>מלאכת גזירת העונש אינה בגדר מדע מדויק</w:t>
      </w:r>
      <w:r>
        <w:rPr>
          <w:rtl w:val="true"/>
        </w:rPr>
        <w:t xml:space="preserve">, </w:t>
      </w:r>
      <w:r>
        <w:rPr>
          <w:rtl w:val="true"/>
        </w:rPr>
        <w:t xml:space="preserve">ויש לקחת בחשבון גם את המסכת העובדתית הרלוונטית לכל נאשם </w:t>
      </w:r>
      <w:r>
        <w:rPr>
          <w:rtl w:val="true"/>
        </w:rPr>
        <w:t>–</w:t>
      </w:r>
      <w:r>
        <w:rPr>
          <w:rtl w:val="true"/>
        </w:rPr>
        <w:t xml:space="preserve"> כמות כלי הנשק שנמכרה</w:t>
      </w:r>
      <w:r>
        <w:rPr>
          <w:rtl w:val="true"/>
        </w:rPr>
        <w:t xml:space="preserve">, </w:t>
      </w:r>
      <w:r>
        <w:rPr>
          <w:rtl w:val="true"/>
        </w:rPr>
        <w:t>מספר העסקאות שבוצעו</w:t>
      </w:r>
      <w:r>
        <w:rPr>
          <w:rtl w:val="true"/>
        </w:rPr>
        <w:t xml:space="preserve">, </w:t>
      </w:r>
      <w:r>
        <w:rPr>
          <w:rtl w:val="true"/>
        </w:rPr>
        <w:t xml:space="preserve">חלקו של כל נאשם באירועים מושא כתב האישום </w:t>
      </w:r>
      <w:r>
        <w:rPr>
          <w:rtl w:val="true"/>
        </w:rPr>
        <w:t>–</w:t>
      </w:r>
      <w:r>
        <w:rPr>
          <w:rtl w:val="true"/>
        </w:rPr>
        <w:t xml:space="preserve"> ואת נסיבותיהם האישיות של כל אחד מהם</w:t>
      </w:r>
      <w:r>
        <w:rPr>
          <w:rtl w:val="true"/>
        </w:rPr>
        <w:t xml:space="preserve">. </w:t>
      </w:r>
      <w:r>
        <w:rPr>
          <w:rtl w:val="true"/>
        </w:rPr>
        <w:t xml:space="preserve">שוני רלוונטי בכל אלה מצדיק הבחנה גם בין נאשמים שהורשעו במסגרת אותו כתב אישום </w:t>
      </w:r>
      <w:r>
        <w:rPr>
          <w:rtl w:val="true"/>
        </w:rPr>
        <w:t>(</w:t>
      </w:r>
      <w:r>
        <w:rPr>
          <w:rtl w:val="true"/>
        </w:rPr>
        <w:t>ראו גם</w:t>
      </w:r>
      <w:r>
        <w:rPr>
          <w:rtl w:val="true"/>
        </w:rPr>
        <w:t xml:space="preserve">: </w:t>
      </w:r>
      <w:hyperlink r:id="rId4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1307/15</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1.4.2015</w:t>
      </w:r>
      <w:r>
        <w:rPr>
          <w:rtl w:val="true"/>
        </w:rPr>
        <w:t xml:space="preserve">)). </w:t>
      </w:r>
      <w:r>
        <w:rPr>
          <w:rtl w:val="true"/>
        </w:rPr>
        <w:t>כמו כן</w:t>
      </w:r>
      <w:r>
        <w:rPr>
          <w:rtl w:val="true"/>
        </w:rPr>
        <w:t xml:space="preserve">, </w:t>
      </w:r>
      <w:r>
        <w:rPr>
          <w:rtl w:val="true"/>
        </w:rPr>
        <w:t>תיתכן חריגה מעקרון אחידות הענישה אף כאשר קיימת זהות בנסיבותיהם האישיות של נאשמים</w:t>
      </w:r>
      <w:r>
        <w:rPr>
          <w:rtl w:val="true"/>
        </w:rPr>
        <w:t xml:space="preserve">, </w:t>
      </w:r>
      <w:r>
        <w:rPr>
          <w:rtl w:val="true"/>
        </w:rPr>
        <w:t xml:space="preserve">מקום בו מצא בית המשפט כי שיקולי ענישה נוספים גוברים באותו מקרה על עיקרון זה </w:t>
      </w:r>
      <w:r>
        <w:rPr>
          <w:rtl w:val="true"/>
        </w:rPr>
        <w:t>(</w:t>
      </w:r>
      <w:r>
        <w:rPr>
          <w:rtl w:val="true"/>
        </w:rPr>
        <w:t xml:space="preserve">עניין </w:t>
      </w:r>
      <w:r>
        <w:rPr>
          <w:rFonts w:ascii="Century" w:hAnsi="Century" w:cs="Miriam"/>
          <w:b/>
          <w:b/>
          <w:spacing w:val="0"/>
          <w:sz w:val="22"/>
          <w:sz w:val="22"/>
          <w:szCs w:val="24"/>
          <w:rtl w:val="true"/>
        </w:rPr>
        <w:t>עביד</w:t>
      </w:r>
      <w:r>
        <w:rPr>
          <w:rtl w:val="true"/>
        </w:rPr>
        <w:t xml:space="preserve">, </w:t>
      </w:r>
      <w:r>
        <w:rPr>
          <w:rtl w:val="true"/>
        </w:rPr>
        <w:t xml:space="preserve">פסקה </w:t>
      </w:r>
      <w:r>
        <w:rPr/>
        <w:t>14</w:t>
      </w:r>
      <w:r>
        <w:rPr>
          <w:rtl w:val="true"/>
        </w:rPr>
        <w:t>).</w:t>
      </w:r>
    </w:p>
    <w:p>
      <w:pPr>
        <w:pStyle w:val="Ruller42"/>
        <w:ind w:end="0"/>
        <w:jc w:val="both"/>
        <w:rPr/>
      </w:pPr>
      <w:r>
        <w:rPr>
          <w:rtl w:val="true"/>
        </w:rPr>
      </w:r>
    </w:p>
    <w:p>
      <w:pPr>
        <w:pStyle w:val="Ruller43"/>
        <w:numPr>
          <w:ilvl w:val="0"/>
          <w:numId w:val="0"/>
        </w:numPr>
        <w:ind w:hanging="0" w:start="0" w:end="0"/>
        <w:jc w:val="both"/>
        <w:rPr/>
      </w:pPr>
      <w:r>
        <w:rPr>
          <w:rtl w:val="true"/>
        </w:rPr>
        <w:tab/>
      </w:r>
      <w:r>
        <w:rPr>
          <w:rtl w:val="true"/>
        </w:rPr>
        <w:t>וכעת לדיון פרטני בעניינו של כל אחד מ</w:t>
      </w:r>
      <w:r>
        <w:rPr>
          <w:rtl w:val="true"/>
        </w:rPr>
        <w:t>-</w:t>
      </w:r>
      <w:r>
        <w:rPr/>
        <w:t>11</w:t>
      </w:r>
      <w:r>
        <w:rPr>
          <w:rtl w:val="true"/>
        </w:rPr>
        <w:t xml:space="preserve"> </w:t>
      </w:r>
      <w:r>
        <w:rPr>
          <w:rtl w:val="true"/>
        </w:rPr>
        <w:t>הנאשמים</w:t>
      </w:r>
      <w:r>
        <w:rPr>
          <w:rtl w:val="true"/>
        </w:rPr>
        <w:t xml:space="preserve">. </w:t>
      </w:r>
      <w:r>
        <w:rPr>
          <w:rtl w:val="true"/>
        </w:rPr>
        <w:t xml:space="preserve">תחילה בערעורם של חמישה נאשמים על חומרת העונש </w:t>
      </w:r>
      <w:r>
        <w:rPr>
          <w:rtl w:val="true"/>
        </w:rPr>
        <w:t>(</w:t>
      </w:r>
      <w:r>
        <w:rPr>
          <w:rtl w:val="true"/>
        </w:rPr>
        <w:t xml:space="preserve">נאשמים </w:t>
      </w:r>
      <w:r>
        <w:rPr/>
        <w:t>1</w:t>
      </w:r>
      <w:r>
        <w:rPr>
          <w:rtl w:val="true"/>
        </w:rPr>
        <w:t xml:space="preserve">, </w:t>
      </w:r>
      <w:r>
        <w:rPr/>
        <w:t>2</w:t>
      </w:r>
      <w:r>
        <w:rPr>
          <w:rtl w:val="true"/>
        </w:rPr>
        <w:t xml:space="preserve">, </w:t>
      </w:r>
      <w:r>
        <w:rPr/>
        <w:t>3</w:t>
      </w:r>
      <w:r>
        <w:rPr>
          <w:rtl w:val="true"/>
        </w:rPr>
        <w:t xml:space="preserve">, </w:t>
      </w:r>
      <w:r>
        <w:rPr/>
        <w:t>9</w:t>
      </w:r>
      <w:r>
        <w:rPr>
          <w:rtl w:val="true"/>
        </w:rPr>
        <w:t xml:space="preserve"> </w:t>
      </w:r>
      <w:r>
        <w:rPr>
          <w:rtl w:val="true"/>
        </w:rPr>
        <w:t>ו</w:t>
      </w:r>
      <w:r>
        <w:rPr>
          <w:rtl w:val="true"/>
        </w:rPr>
        <w:t>-</w:t>
      </w:r>
      <w:r>
        <w:rPr/>
        <w:t>19</w:t>
      </w:r>
      <w:r>
        <w:rPr>
          <w:rtl w:val="true"/>
        </w:rPr>
        <w:t xml:space="preserve">). </w:t>
      </w:r>
      <w:r>
        <w:rPr>
          <w:rtl w:val="true"/>
        </w:rPr>
        <w:t xml:space="preserve">לאחר מכן בערעורי המדינה על קולת העונש בעניינם של חמישה נאשמים אחרים </w:t>
      </w:r>
      <w:r>
        <w:rPr>
          <w:rtl w:val="true"/>
        </w:rPr>
        <w:t>(</w:t>
      </w:r>
      <w:r>
        <w:rPr>
          <w:rtl w:val="true"/>
        </w:rPr>
        <w:t xml:space="preserve">נאשמים </w:t>
      </w:r>
      <w:r>
        <w:rPr/>
        <w:t>6</w:t>
      </w:r>
      <w:r>
        <w:rPr>
          <w:rtl w:val="true"/>
        </w:rPr>
        <w:t xml:space="preserve">, </w:t>
      </w:r>
      <w:r>
        <w:rPr/>
        <w:t>8</w:t>
      </w:r>
      <w:r>
        <w:rPr>
          <w:rtl w:val="true"/>
        </w:rPr>
        <w:t xml:space="preserve">, </w:t>
      </w:r>
      <w:r>
        <w:rPr/>
        <w:t>13</w:t>
      </w:r>
      <w:r>
        <w:rPr>
          <w:rtl w:val="true"/>
        </w:rPr>
        <w:t xml:space="preserve">, </w:t>
      </w:r>
      <w:r>
        <w:rPr/>
        <w:t>15</w:t>
      </w:r>
      <w:r>
        <w:rPr>
          <w:rtl w:val="true"/>
        </w:rPr>
        <w:t xml:space="preserve"> </w:t>
      </w:r>
      <w:r>
        <w:rPr>
          <w:rtl w:val="true"/>
        </w:rPr>
        <w:t>ו</w:t>
      </w:r>
      <w:r>
        <w:rPr>
          <w:rtl w:val="true"/>
        </w:rPr>
        <w:t>-</w:t>
      </w:r>
      <w:r>
        <w:rPr/>
        <w:t>17</w:t>
      </w:r>
      <w:r>
        <w:rPr>
          <w:rtl w:val="true"/>
        </w:rPr>
        <w:t xml:space="preserve">). </w:t>
      </w:r>
      <w:r>
        <w:rPr>
          <w:rtl w:val="true"/>
        </w:rPr>
        <w:t xml:space="preserve">לבסוף בערעור ובערעור המדינה בעניינו של אחד מהנאשמים </w:t>
      </w:r>
      <w:r>
        <w:rPr>
          <w:rtl w:val="true"/>
        </w:rPr>
        <w:t>(</w:t>
      </w:r>
      <w:r>
        <w:rPr>
          <w:rtl w:val="true"/>
        </w:rPr>
        <w:t xml:space="preserve">נאשם </w:t>
      </w:r>
      <w:r>
        <w:rPr/>
        <w:t>5</w:t>
      </w:r>
      <w:r>
        <w:rPr>
          <w:rtl w:val="true"/>
        </w:rPr>
        <w:t xml:space="preserve">). </w:t>
      </w:r>
    </w:p>
    <w:p>
      <w:pPr>
        <w:pStyle w:val="Ruller42"/>
        <w:ind w:end="0"/>
        <w:jc w:val="both"/>
        <w:rPr/>
      </w:pPr>
      <w:r>
        <w:rPr>
          <w:rtl w:val="true"/>
        </w:rPr>
      </w:r>
    </w:p>
    <w:p>
      <w:pPr>
        <w:pStyle w:val="Ruller42"/>
        <w:ind w:end="0"/>
        <w:jc w:val="both"/>
        <w:rPr>
          <w:rFonts w:ascii="Century" w:hAnsi="Century" w:cs="Miriam"/>
          <w:b/>
          <w:spacing w:val="0"/>
          <w:szCs w:val="24"/>
          <w:u w:val="single"/>
        </w:rPr>
      </w:pPr>
      <w:r>
        <w:rPr>
          <w:rFonts w:ascii="Century" w:hAnsi="Century" w:cs="Miriam"/>
          <w:b/>
          <w:b/>
          <w:spacing w:val="0"/>
          <w:szCs w:val="24"/>
          <w:u w:val="single"/>
          <w:rtl w:val="true"/>
        </w:rPr>
        <w:t>הערעורים</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על</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חומרת</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העונש</w:t>
      </w:r>
    </w:p>
    <w:p>
      <w:pPr>
        <w:pStyle w:val="Ruller42"/>
        <w:ind w:end="0"/>
        <w:jc w:val="both"/>
        <w:rPr>
          <w:rFonts w:ascii="Century" w:hAnsi="Century" w:cs="Miriam"/>
          <w:b/>
          <w:spacing w:val="0"/>
          <w:szCs w:val="24"/>
        </w:rPr>
      </w:pPr>
      <w:r>
        <w:rPr>
          <w:rFonts w:ascii="Century" w:hAnsi="Century" w:cs="Miriam"/>
          <w:b/>
          <w:b/>
          <w:spacing w:val="0"/>
          <w:szCs w:val="24"/>
          <w:rtl w:val="true"/>
        </w:rPr>
        <w:t>נאשם</w:t>
      </w:r>
      <w:r>
        <w:rPr>
          <w:rFonts w:ascii="Century" w:hAnsi="Century" w:eastAsia="Century" w:cs="Century"/>
          <w:b/>
          <w:b/>
          <w:spacing w:val="0"/>
          <w:szCs w:val="24"/>
          <w:rtl w:val="true"/>
        </w:rPr>
        <w:t xml:space="preserve"> </w:t>
      </w:r>
      <w:r>
        <w:rPr>
          <w:rFonts w:cs="Miriam" w:ascii="Century" w:hAnsi="Century"/>
          <w:b/>
          <w:spacing w:val="0"/>
          <w:szCs w:val="24"/>
        </w:rPr>
        <w:t>1</w:t>
      </w:r>
      <w:r>
        <w:rPr>
          <w:rFonts w:cs="Miriam" w:ascii="Century" w:hAnsi="Century"/>
          <w:b/>
          <w:spacing w:val="0"/>
          <w:szCs w:val="24"/>
          <w:rtl w:val="true"/>
        </w:rPr>
        <w:t xml:space="preserve"> (</w:t>
      </w:r>
      <w:r>
        <w:rPr>
          <w:rFonts w:ascii="Century" w:hAnsi="Century" w:cs="Miriam"/>
          <w:b/>
          <w:b/>
          <w:spacing w:val="0"/>
          <w:szCs w:val="24"/>
          <w:rtl w:val="true"/>
        </w:rPr>
        <w:t>המערער</w:t>
      </w:r>
      <w:r>
        <w:rPr>
          <w:rFonts w:ascii="Century" w:hAnsi="Century" w:eastAsia="Century" w:cs="Century"/>
          <w:b/>
          <w:b/>
          <w:spacing w:val="0"/>
          <w:szCs w:val="24"/>
          <w:rtl w:val="true"/>
        </w:rPr>
        <w:t xml:space="preserve"> </w:t>
      </w:r>
      <w:r>
        <w:rPr>
          <w:rFonts w:ascii="Century" w:hAnsi="Century" w:cs="Miriam"/>
          <w:b/>
          <w:b/>
          <w:spacing w:val="0"/>
          <w:szCs w:val="24"/>
          <w:rtl w:val="true"/>
        </w:rPr>
        <w:t>ב</w:t>
      </w:r>
      <w:r>
        <w:rPr>
          <w:rFonts w:ascii="Century" w:hAnsi="Century" w:cs="Miriam"/>
          <w:b/>
          <w:b/>
          <w:spacing w:val="0"/>
          <w:szCs w:val="24"/>
          <w:rtl w:val="true"/>
        </w:rPr>
        <w:t>ע</w:t>
      </w:r>
      <w:r>
        <w:rPr>
          <w:rFonts w:cs="Miriam" w:ascii="Century" w:hAnsi="Century"/>
          <w:b/>
          <w:spacing w:val="0"/>
          <w:szCs w:val="24"/>
          <w:rtl w:val="true"/>
        </w:rPr>
        <w:t>"</w:t>
      </w:r>
      <w:r>
        <w:rPr>
          <w:rFonts w:ascii="Century" w:hAnsi="Century" w:cs="Miriam"/>
          <w:b/>
          <w:b/>
          <w:spacing w:val="0"/>
          <w:szCs w:val="24"/>
          <w:rtl w:val="true"/>
        </w:rPr>
        <w:t>פ</w:t>
      </w:r>
      <w:r>
        <w:rPr>
          <w:rFonts w:ascii="Century" w:hAnsi="Century" w:eastAsia="Century" w:cs="Century"/>
          <w:b/>
          <w:b/>
          <w:spacing w:val="0"/>
          <w:szCs w:val="24"/>
          <w:rtl w:val="true"/>
        </w:rPr>
        <w:t xml:space="preserve"> </w:t>
      </w:r>
      <w:r>
        <w:rPr>
          <w:rFonts w:cs="Miriam" w:ascii="Century" w:hAnsi="Century"/>
          <w:b/>
          <w:spacing w:val="0"/>
          <w:szCs w:val="24"/>
        </w:rPr>
        <w:t>1010/18</w:t>
      </w:r>
      <w:r>
        <w:rPr>
          <w:rFonts w:cs="Miriam" w:ascii="Century" w:hAnsi="Century"/>
          <w:b/>
          <w:spacing w:val="0"/>
          <w:szCs w:val="24"/>
          <w:rtl w:val="true"/>
        </w:rPr>
        <w:t>)</w:t>
      </w:r>
    </w:p>
    <w:p>
      <w:pPr>
        <w:pStyle w:val="Ruller43"/>
        <w:numPr>
          <w:ilvl w:val="0"/>
          <w:numId w:val="0"/>
        </w:numPr>
        <w:ind w:hanging="0" w:start="0" w:end="0"/>
        <w:jc w:val="both"/>
        <w:rPr>
          <w:rFonts w:ascii="Century" w:hAnsi="Century" w:cs="Miriam"/>
          <w:b/>
          <w:spacing w:val="0"/>
          <w:sz w:val="22"/>
          <w:szCs w:val="24"/>
        </w:rPr>
      </w:pP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הרקע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לערעור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וטענות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הצדדים</w:t>
      </w:r>
    </w:p>
    <w:p>
      <w:pPr>
        <w:pStyle w:val="Ruller43"/>
        <w:numPr>
          <w:ilvl w:val="0"/>
          <w:numId w:val="1"/>
        </w:numPr>
        <w:ind w:end="0"/>
        <w:jc w:val="both"/>
        <w:rPr/>
      </w:pPr>
      <w:r>
        <w:rPr>
          <w:sz w:val="22"/>
          <w:sz w:val="22"/>
          <w:rtl w:val="true"/>
        </w:rPr>
        <w:t xml:space="preserve">מערער זה הורשע </w:t>
      </w:r>
      <w:r>
        <w:rPr>
          <w:rtl w:val="true"/>
        </w:rPr>
        <w:t>בשש עבירות של סחר בנשק</w:t>
      </w:r>
      <w:r>
        <w:rPr>
          <w:rtl w:val="true"/>
        </w:rPr>
        <w:t xml:space="preserve">, </w:t>
      </w:r>
      <w:r>
        <w:rPr>
          <w:rtl w:val="true"/>
        </w:rPr>
        <w:t>שש עבירות של קשירת קשר לסחר בנשק ועבירה אחת של ניסיון לסחר בנשק</w:t>
      </w:r>
      <w:r>
        <w:rPr>
          <w:rtl w:val="true"/>
        </w:rPr>
        <w:t xml:space="preserve">. </w:t>
      </w:r>
      <w:r>
        <w:rPr>
          <w:rtl w:val="true"/>
        </w:rPr>
        <w:t>זאת</w:t>
      </w:r>
      <w:r>
        <w:rPr>
          <w:rtl w:val="true"/>
        </w:rPr>
        <w:t xml:space="preserve">, </w:t>
      </w:r>
      <w:r>
        <w:rPr>
          <w:rtl w:val="true"/>
        </w:rPr>
        <w:t xml:space="preserve">בשל </w:t>
      </w:r>
      <w:r>
        <w:rPr>
          <w:sz w:val="22"/>
          <w:sz w:val="22"/>
          <w:rtl w:val="true"/>
        </w:rPr>
        <w:t>מעורבותו בשש עסקאות למכירת נשק</w:t>
      </w:r>
      <w:r>
        <w:rPr>
          <w:sz w:val="22"/>
          <w:rtl w:val="true"/>
        </w:rPr>
        <w:t xml:space="preserve">, </w:t>
      </w:r>
      <w:r>
        <w:rPr>
          <w:sz w:val="22"/>
          <w:sz w:val="22"/>
          <w:rtl w:val="true"/>
        </w:rPr>
        <w:t xml:space="preserve">במסגרתן </w:t>
      </w:r>
      <w:r>
        <w:rPr>
          <w:rtl w:val="true"/>
        </w:rPr>
        <w:t>נמכרו ארבעה תתי</w:t>
      </w:r>
      <w:r>
        <w:rPr>
          <w:rtl w:val="true"/>
        </w:rPr>
        <w:t>-</w:t>
      </w:r>
      <w:r>
        <w:rPr>
          <w:rtl w:val="true"/>
        </w:rPr>
        <w:t>מקלע מסוג קרלו</w:t>
      </w:r>
      <w:r>
        <w:rPr>
          <w:rtl w:val="true"/>
        </w:rPr>
        <w:t xml:space="preserve">, </w:t>
      </w:r>
      <w:r>
        <w:rPr>
          <w:sz w:val="22"/>
          <w:sz w:val="22"/>
          <w:rtl w:val="true"/>
        </w:rPr>
        <w:t xml:space="preserve">נשק דמוי </w:t>
      </w:r>
      <w:r>
        <w:rPr>
          <w:rFonts w:cs="Century" w:ascii="Century" w:hAnsi="Century"/>
          <w:sz w:val="22"/>
        </w:rPr>
        <w:t>16</w:t>
      </w:r>
      <w:r>
        <w:rPr>
          <w:rFonts w:cs="Century" w:ascii="Century" w:hAnsi="Century"/>
          <w:sz w:val="22"/>
        </w:rPr>
        <w:t>M</w:t>
      </w:r>
      <w:r>
        <w:rPr>
          <w:rtl w:val="true"/>
        </w:rPr>
        <w:t xml:space="preserve"> </w:t>
      </w:r>
      <w:r>
        <w:rPr>
          <w:rtl w:val="true"/>
        </w:rPr>
        <w:t>ואקדח מסוג גלוק</w:t>
      </w:r>
      <w:r>
        <w:rPr>
          <w:rtl w:val="true"/>
        </w:rPr>
        <w:t xml:space="preserve">, </w:t>
      </w:r>
      <w:r>
        <w:rPr>
          <w:rtl w:val="true"/>
        </w:rPr>
        <w:t xml:space="preserve">בתמורה לסך כולל של </w:t>
      </w:r>
      <w:r>
        <w:rPr/>
        <w:t>57,200</w:t>
      </w:r>
      <w:r>
        <w:rPr>
          <w:rtl w:val="true"/>
        </w:rPr>
        <w:t xml:space="preserve"> </w:t>
      </w:r>
      <w:r>
        <w:rPr>
          <w:rtl w:val="true"/>
        </w:rPr>
        <w:t>ש</w:t>
      </w:r>
      <w:r>
        <w:rPr>
          <w:rtl w:val="true"/>
        </w:rPr>
        <w:t>"</w:t>
      </w:r>
      <w:r>
        <w:rPr>
          <w:rtl w:val="true"/>
        </w:rPr>
        <w:t>ח</w:t>
      </w:r>
      <w:r>
        <w:rPr>
          <w:rtl w:val="true"/>
        </w:rPr>
        <w:t xml:space="preserve">, </w:t>
      </w:r>
      <w:r>
        <w:rPr>
          <w:rtl w:val="true"/>
        </w:rPr>
        <w:t xml:space="preserve">מתוכם </w:t>
      </w:r>
      <w:r>
        <w:rPr/>
        <w:t>2,600</w:t>
      </w:r>
      <w:r>
        <w:rPr>
          <w:rtl w:val="true"/>
        </w:rPr>
        <w:t xml:space="preserve"> </w:t>
      </w:r>
      <w:r>
        <w:rPr>
          <w:rtl w:val="true"/>
        </w:rPr>
        <w:t>ש</w:t>
      </w:r>
      <w:r>
        <w:rPr>
          <w:rtl w:val="true"/>
        </w:rPr>
        <w:t>"</w:t>
      </w:r>
      <w:r>
        <w:rPr>
          <w:rtl w:val="true"/>
        </w:rPr>
        <w:t>ח הועברו לידיו</w:t>
      </w:r>
      <w:r>
        <w:rPr>
          <w:rtl w:val="true"/>
        </w:rPr>
        <w:t xml:space="preserve">. </w:t>
      </w:r>
      <w:r>
        <w:rPr>
          <w:rtl w:val="true"/>
        </w:rPr>
        <w:t>באחת מהעסקאות תפקידו של המערער היה לשמור ולתצפת מפני הגעת כוחות משטרתיים</w:t>
      </w:r>
      <w:r>
        <w:rPr>
          <w:rtl w:val="true"/>
        </w:rPr>
        <w:t xml:space="preserve">. </w:t>
      </w:r>
      <w:r>
        <w:rPr>
          <w:rtl w:val="true"/>
        </w:rPr>
        <w:t xml:space="preserve">המערער צירף גם תיק אחר </w:t>
      </w:r>
      <w:r>
        <w:rPr>
          <w:rtl w:val="true"/>
        </w:rPr>
        <w:t>(</w:t>
      </w:r>
      <w:hyperlink r:id="rId50">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45299-07-16</w:t>
        </w:r>
      </w:hyperlink>
      <w:r>
        <w:rPr>
          <w:rtl w:val="true"/>
        </w:rPr>
        <w:t xml:space="preserve"> (</w:t>
      </w:r>
      <w:r>
        <w:rPr>
          <w:rtl w:val="true"/>
        </w:rPr>
        <w:t>שלום פ</w:t>
      </w:r>
      <w:r>
        <w:rPr>
          <w:rtl w:val="true"/>
        </w:rPr>
        <w:t>"</w:t>
      </w:r>
      <w:r>
        <w:rPr>
          <w:rtl w:val="true"/>
        </w:rPr>
        <w:t>ת</w:t>
      </w:r>
      <w:r>
        <w:rPr>
          <w:rtl w:val="true"/>
        </w:rPr>
        <w:t xml:space="preserve">)) </w:t>
      </w:r>
      <w:r>
        <w:rPr>
          <w:rtl w:val="true"/>
        </w:rPr>
        <w:t>שבו הורשע במעורבות בשלוש עסקאות סחר בסמים</w:t>
      </w:r>
      <w:r>
        <w:rPr>
          <w:rtl w:val="true"/>
        </w:rPr>
        <w:t xml:space="preserve">, </w:t>
      </w:r>
      <w:r>
        <w:rPr>
          <w:rtl w:val="true"/>
        </w:rPr>
        <w:t>בעבירות של תיווך בסם ובסחר בצוותא בסם מסוכן</w:t>
      </w:r>
      <w:r>
        <w:rPr>
          <w:rtl w:val="true"/>
        </w:rPr>
        <w:t>.</w:t>
      </w:r>
    </w:p>
    <w:p>
      <w:pPr>
        <w:pStyle w:val="Ruller43"/>
        <w:numPr>
          <w:ilvl w:val="0"/>
          <w:numId w:val="0"/>
        </w:numPr>
        <w:ind w:hanging="0" w:start="0" w:end="0"/>
        <w:jc w:val="both"/>
        <w:rPr>
          <w:rFonts w:ascii="Century" w:hAnsi="Century" w:cs="Century"/>
          <w:sz w:val="22"/>
        </w:rPr>
      </w:pPr>
      <w:r>
        <w:rPr>
          <w:rFonts w:cs="Century" w:ascii="Century" w:hAnsi="Century"/>
          <w:sz w:val="22"/>
          <w:rtl w:val="true"/>
        </w:rPr>
      </w:r>
    </w:p>
    <w:p>
      <w:pPr>
        <w:pStyle w:val="Ruller43"/>
        <w:numPr>
          <w:ilvl w:val="0"/>
          <w:numId w:val="1"/>
        </w:numPr>
        <w:ind w:end="0"/>
        <w:jc w:val="both"/>
        <w:rPr/>
      </w:pPr>
      <w:r>
        <w:rPr>
          <w:rtl w:val="true"/>
        </w:rPr>
        <w:tab/>
      </w:r>
      <w:r>
        <w:rPr>
          <w:rtl w:val="true"/>
        </w:rPr>
        <w:t xml:space="preserve">בטרם נגזר דינו של המערער הוגש לפני בית המשפט המחוזי תסקיר ביום </w:t>
      </w:r>
      <w:r>
        <w:rPr/>
        <w:t>3.9.2017</w:t>
      </w:r>
      <w:r>
        <w:rPr>
          <w:rtl w:val="true"/>
        </w:rPr>
        <w:t xml:space="preserve"> </w:t>
      </w:r>
      <w:r>
        <w:rPr>
          <w:rtl w:val="true"/>
        </w:rPr>
        <w:t>ממנו עלה כי המערער מתקשה בהפנמת המניעים שהובילו לביצוע המעשים והתנהגותו מבטאת דפוסים של הסתרה וחוסר כנות</w:t>
      </w:r>
      <w:r>
        <w:rPr>
          <w:rtl w:val="true"/>
        </w:rPr>
        <w:t xml:space="preserve">. </w:t>
      </w:r>
      <w:r>
        <w:rPr>
          <w:rtl w:val="true"/>
        </w:rPr>
        <w:t>רמת המסוכנות להישנות התנהגות אלימה הוערכה בעניינו כבינונית</w:t>
      </w:r>
      <w:r>
        <w:rPr>
          <w:rtl w:val="true"/>
        </w:rPr>
        <w:t xml:space="preserve">, </w:t>
      </w:r>
      <w:r>
        <w:rPr>
          <w:rtl w:val="true"/>
        </w:rPr>
        <w:t>ושירות המבחן לא בא לגביו בהמלצה טיפולית</w:t>
      </w:r>
      <w:r>
        <w:rPr>
          <w:rtl w:val="true"/>
        </w:rPr>
        <w:t xml:space="preserve">. </w:t>
      </w:r>
    </w:p>
    <w:p>
      <w:pPr>
        <w:pStyle w:val="Ruller43"/>
        <w:numPr>
          <w:ilvl w:val="0"/>
          <w:numId w:val="0"/>
        </w:numPr>
        <w:ind w:hanging="0" w:start="0" w:end="0"/>
        <w:jc w:val="both"/>
        <w:rPr/>
      </w:pPr>
      <w:r>
        <w:rPr>
          <w:rtl w:val="true"/>
        </w:rPr>
      </w:r>
    </w:p>
    <w:p>
      <w:pPr>
        <w:pStyle w:val="Ruller43"/>
        <w:numPr>
          <w:ilvl w:val="0"/>
          <w:numId w:val="1"/>
        </w:numPr>
        <w:ind w:end="0"/>
        <w:jc w:val="both"/>
        <w:rPr/>
      </w:pPr>
      <w:r>
        <w:rPr>
          <w:rtl w:val="true"/>
        </w:rPr>
        <w:tab/>
      </w:r>
      <w:r>
        <w:rPr>
          <w:rtl w:val="true"/>
        </w:rPr>
        <w:t>בגזר הדין נקבע כי יש להבחין בין חמש העסקאות הראשונות בהן היה מעורב המערער</w:t>
      </w:r>
      <w:r>
        <w:rPr>
          <w:rtl w:val="true"/>
        </w:rPr>
        <w:t xml:space="preserve">, </w:t>
      </w:r>
      <w:r>
        <w:rPr>
          <w:rtl w:val="true"/>
        </w:rPr>
        <w:t>לבין העסקה השישית במסגרתה לקח חלק רק בתיאום המפגש ואבטח את ביצועה</w:t>
      </w:r>
      <w:r>
        <w:rPr>
          <w:rtl w:val="true"/>
        </w:rPr>
        <w:t xml:space="preserve">. </w:t>
      </w:r>
      <w:r>
        <w:rPr>
          <w:rtl w:val="true"/>
        </w:rPr>
        <w:t>באשר לחמש העסקאות הראשונות</w:t>
      </w:r>
      <w:r>
        <w:rPr>
          <w:rtl w:val="true"/>
        </w:rPr>
        <w:t xml:space="preserve">, </w:t>
      </w:r>
      <w:r>
        <w:rPr>
          <w:rtl w:val="true"/>
        </w:rPr>
        <w:t>נלקחה בחשבון מעורבותו הפעילה בביצוען</w:t>
      </w:r>
      <w:r>
        <w:rPr>
          <w:rtl w:val="true"/>
        </w:rPr>
        <w:t xml:space="preserve">, </w:t>
      </w:r>
      <w:r>
        <w:rPr>
          <w:rtl w:val="true"/>
        </w:rPr>
        <w:t>אם כי צוין כי הוא לא ירה בנשק ולא קיבל את התמורה העיקרית עבור כלי הנשק</w:t>
      </w:r>
      <w:r>
        <w:rPr>
          <w:rtl w:val="true"/>
        </w:rPr>
        <w:t xml:space="preserve">. </w:t>
      </w:r>
      <w:r>
        <w:rPr>
          <w:rtl w:val="true"/>
        </w:rPr>
        <w:t xml:space="preserve">מתחם העונש עבור חמש העסקאות הראשונות הועמד על </w:t>
      </w:r>
      <w:r>
        <w:rPr/>
        <w:t>7-4</w:t>
      </w:r>
      <w:r>
        <w:rPr>
          <w:rtl w:val="true"/>
        </w:rPr>
        <w:t xml:space="preserve"> </w:t>
      </w:r>
      <w:r>
        <w:rPr>
          <w:rtl w:val="true"/>
        </w:rPr>
        <w:t>שנות מאסר בפועל</w:t>
      </w:r>
      <w:r>
        <w:rPr>
          <w:rtl w:val="true"/>
        </w:rPr>
        <w:t xml:space="preserve">, </w:t>
      </w:r>
      <w:r>
        <w:rPr>
          <w:rtl w:val="true"/>
        </w:rPr>
        <w:t xml:space="preserve">ומתחם העונש עבור העסקה השישית הועמד על </w:t>
      </w:r>
      <w:r>
        <w:rPr/>
        <w:t>48-18</w:t>
      </w:r>
      <w:r>
        <w:rPr>
          <w:rtl w:val="true"/>
        </w:rPr>
        <w:t xml:space="preserve"> </w:t>
      </w:r>
      <w:r>
        <w:rPr>
          <w:rtl w:val="true"/>
        </w:rPr>
        <w:t>חודשי מאסר בפועל</w:t>
      </w:r>
      <w:r>
        <w:rPr>
          <w:rtl w:val="true"/>
        </w:rPr>
        <w:t xml:space="preserve">. </w:t>
      </w:r>
      <w:r>
        <w:rPr>
          <w:rtl w:val="true"/>
        </w:rPr>
        <w:t>גם באשר לעבירות הסמים</w:t>
      </w:r>
      <w:r>
        <w:rPr>
          <w:rtl w:val="true"/>
        </w:rPr>
        <w:t xml:space="preserve">, </w:t>
      </w:r>
      <w:r>
        <w:rPr>
          <w:rtl w:val="true"/>
        </w:rPr>
        <w:t>בתיק שצורף על ידי המערער</w:t>
      </w:r>
      <w:r>
        <w:rPr>
          <w:rtl w:val="true"/>
        </w:rPr>
        <w:t xml:space="preserve">, </w:t>
      </w:r>
      <w:r>
        <w:rPr>
          <w:rtl w:val="true"/>
        </w:rPr>
        <w:t>הבחין בית המשפט המחוזי בין שני אירועים שונים</w:t>
      </w:r>
      <w:r>
        <w:rPr>
          <w:rtl w:val="true"/>
        </w:rPr>
        <w:t xml:space="preserve">, </w:t>
      </w:r>
      <w:r>
        <w:rPr>
          <w:rtl w:val="true"/>
        </w:rPr>
        <w:t xml:space="preserve">ומתחם העונש בגין כל אחד מהם הועמד על </w:t>
      </w:r>
      <w:r>
        <w:rPr/>
        <w:t>24-12</w:t>
      </w:r>
      <w:r>
        <w:rPr>
          <w:rtl w:val="true"/>
        </w:rPr>
        <w:t xml:space="preserve"> </w:t>
      </w:r>
      <w:r>
        <w:rPr>
          <w:rtl w:val="true"/>
        </w:rPr>
        <w:t>חודשי מאסר בפועל</w:t>
      </w:r>
      <w:r>
        <w:rPr>
          <w:rtl w:val="true"/>
        </w:rPr>
        <w:t xml:space="preserve">. </w:t>
      </w:r>
      <w:r>
        <w:rPr>
          <w:rtl w:val="true"/>
        </w:rPr>
        <w:t>לבסוף הוטלו על המערער העונשים הבאים</w:t>
      </w:r>
      <w:r>
        <w:rPr>
          <w:rtl w:val="true"/>
        </w:rPr>
        <w:t xml:space="preserve">: </w:t>
      </w:r>
      <w:r>
        <w:rPr/>
        <w:t>8</w:t>
      </w:r>
      <w:r>
        <w:rPr>
          <w:rtl w:val="true"/>
        </w:rPr>
        <w:t xml:space="preserve"> </w:t>
      </w:r>
      <w:r>
        <w:rPr>
          <w:rtl w:val="true"/>
        </w:rPr>
        <w:t xml:space="preserve">שנות מאסר בפועל </w:t>
      </w:r>
      <w:r>
        <w:rPr>
          <w:rtl w:val="true"/>
        </w:rPr>
        <w:t>(</w:t>
      </w:r>
      <w:r>
        <w:rPr/>
        <w:t>6</w:t>
      </w:r>
      <w:r>
        <w:rPr>
          <w:rtl w:val="true"/>
        </w:rPr>
        <w:t xml:space="preserve"> </w:t>
      </w:r>
      <w:r>
        <w:rPr>
          <w:rtl w:val="true"/>
        </w:rPr>
        <w:t>שנות מאסר בגין עבירות הנשק ו</w:t>
      </w:r>
      <w:r>
        <w:rPr>
          <w:rtl w:val="true"/>
        </w:rPr>
        <w:t>-</w:t>
      </w:r>
      <w:r>
        <w:rPr/>
        <w:t>2</w:t>
      </w:r>
      <w:r>
        <w:rPr>
          <w:rtl w:val="true"/>
        </w:rPr>
        <w:t xml:space="preserve"> </w:t>
      </w:r>
      <w:r>
        <w:rPr>
          <w:rtl w:val="true"/>
        </w:rPr>
        <w:t>שנות מאסר בגין עבירות הסמים</w:t>
      </w:r>
      <w:r>
        <w:rPr>
          <w:rtl w:val="true"/>
        </w:rPr>
        <w:t xml:space="preserve">), </w:t>
      </w:r>
      <w:r>
        <w:rPr>
          <w:rtl w:val="true"/>
        </w:rPr>
        <w:t>מאסר על תנאי</w:t>
      </w:r>
      <w:r>
        <w:rPr>
          <w:rtl w:val="true"/>
        </w:rPr>
        <w:t xml:space="preserve">, </w:t>
      </w:r>
      <w:r>
        <w:rPr>
          <w:rtl w:val="true"/>
        </w:rPr>
        <w:t xml:space="preserve">פסילה מלהחזיק רישיון נהיגה למשך תקופה של </w:t>
      </w:r>
      <w:r>
        <w:rPr/>
        <w:t>6</w:t>
      </w:r>
      <w:r>
        <w:rPr>
          <w:rtl w:val="true"/>
        </w:rPr>
        <w:t xml:space="preserve"> </w:t>
      </w:r>
      <w:r>
        <w:rPr>
          <w:rtl w:val="true"/>
        </w:rPr>
        <w:t xml:space="preserve">חודשים וקנס כספי בסך של </w:t>
      </w:r>
      <w:r>
        <w:rPr/>
        <w:t>20,000</w:t>
      </w:r>
      <w:r>
        <w:rPr>
          <w:rtl w:val="true"/>
        </w:rPr>
        <w:t xml:space="preserve"> </w:t>
      </w:r>
      <w:r>
        <w:rPr>
          <w:rtl w:val="true"/>
        </w:rPr>
        <w:t>ש</w:t>
      </w:r>
      <w:r>
        <w:rPr>
          <w:rtl w:val="true"/>
        </w:rPr>
        <w:t>"</w:t>
      </w:r>
      <w:r>
        <w:rPr>
          <w:rtl w:val="true"/>
        </w:rPr>
        <w:t>ח</w:t>
      </w:r>
      <w:r>
        <w:rPr>
          <w:rtl w:val="true"/>
        </w:rPr>
        <w:t>.</w:t>
      </w:r>
    </w:p>
    <w:p>
      <w:pPr>
        <w:pStyle w:val="Ruller42"/>
        <w:ind w:end="0"/>
        <w:jc w:val="both"/>
        <w:rPr/>
      </w:pPr>
      <w:r>
        <w:rPr>
          <w:rtl w:val="true"/>
        </w:rPr>
      </w:r>
    </w:p>
    <w:p>
      <w:pPr>
        <w:pStyle w:val="Ruller43"/>
        <w:numPr>
          <w:ilvl w:val="0"/>
          <w:numId w:val="1"/>
        </w:numPr>
        <w:ind w:end="0"/>
        <w:jc w:val="both"/>
        <w:rPr/>
      </w:pPr>
      <w:r>
        <w:rPr>
          <w:rtl w:val="true"/>
        </w:rPr>
        <w:t>עיקר טענות המערער בערעורו הוא כי בית המשפט החמיר עמו שלא לצורך</w:t>
      </w:r>
      <w:r>
        <w:rPr>
          <w:rtl w:val="true"/>
        </w:rPr>
        <w:t xml:space="preserve">, </w:t>
      </w:r>
      <w:r>
        <w:rPr>
          <w:rtl w:val="true"/>
        </w:rPr>
        <w:t>וזאת אף בהשוואה למעורבים אחרים בפרשה</w:t>
      </w:r>
      <w:r>
        <w:rPr>
          <w:rtl w:val="true"/>
        </w:rPr>
        <w:t xml:space="preserve">. </w:t>
      </w:r>
      <w:r>
        <w:rPr>
          <w:rtl w:val="true"/>
        </w:rPr>
        <w:t xml:space="preserve">עוד נטען כי לא היה מקום להפריד בין האירועים השונים והיה על בית המשפט להתייחס למכלול האירועים </w:t>
      </w:r>
      <w:r>
        <w:rPr>
          <w:rtl w:val="true"/>
        </w:rPr>
        <w:t>–</w:t>
      </w:r>
      <w:r>
        <w:rPr>
          <w:rtl w:val="true"/>
        </w:rPr>
        <w:t xml:space="preserve"> הן מעורבותו בעסקאות הנשק והן בעסקאות הסמים </w:t>
      </w:r>
      <w:r>
        <w:rPr>
          <w:rtl w:val="true"/>
        </w:rPr>
        <w:t>–</w:t>
      </w:r>
      <w:r>
        <w:rPr>
          <w:rtl w:val="true"/>
        </w:rPr>
        <w:t xml:space="preserve"> כאל אירוע אחד</w:t>
      </w:r>
      <w:r>
        <w:rPr>
          <w:rtl w:val="true"/>
        </w:rPr>
        <w:t xml:space="preserve">. </w:t>
      </w:r>
      <w:r>
        <w:rPr>
          <w:rtl w:val="true"/>
        </w:rPr>
        <w:t>כן השיג המערער על גובה הקנס שהושת עליו</w:t>
      </w:r>
      <w:r>
        <w:rPr>
          <w:rtl w:val="true"/>
        </w:rPr>
        <w:t xml:space="preserve">. </w:t>
      </w:r>
      <w:r>
        <w:rPr>
          <w:rtl w:val="true"/>
        </w:rPr>
        <w:t>מנגד לטענת המדינה</w:t>
      </w:r>
      <w:r>
        <w:rPr>
          <w:rtl w:val="true"/>
        </w:rPr>
        <w:t xml:space="preserve">, </w:t>
      </w:r>
      <w:r>
        <w:rPr>
          <w:rtl w:val="true"/>
        </w:rPr>
        <w:t>למערער היה תפקיד מרכזי ביותר בשוק הסחר בנשק</w:t>
      </w:r>
      <w:r>
        <w:rPr>
          <w:rtl w:val="true"/>
        </w:rPr>
        <w:t xml:space="preserve">, </w:t>
      </w:r>
      <w:r>
        <w:rPr>
          <w:rtl w:val="true"/>
        </w:rPr>
        <w:t>הוא זה אשר יזם פנייה לסוכן פעם אחר פעם</w:t>
      </w:r>
      <w:r>
        <w:rPr>
          <w:rtl w:val="true"/>
        </w:rPr>
        <w:t xml:space="preserve">, </w:t>
      </w:r>
      <w:r>
        <w:rPr>
          <w:rtl w:val="true"/>
        </w:rPr>
        <w:t>ניהל את המשא ומתן וגם התקשר בעסקאות חדשות במשך תקופה ארוכה</w:t>
      </w:r>
      <w:r>
        <w:rPr>
          <w:rtl w:val="true"/>
        </w:rPr>
        <w:t xml:space="preserve">, </w:t>
      </w:r>
      <w:r>
        <w:rPr>
          <w:rtl w:val="true"/>
        </w:rPr>
        <w:t>ועל כן אין להפחית בעונשו</w:t>
      </w:r>
      <w:r>
        <w:rPr>
          <w:rtl w:val="true"/>
        </w:rPr>
        <w:t>.</w:t>
      </w:r>
    </w:p>
    <w:p>
      <w:pPr>
        <w:pStyle w:val="Ruller42"/>
        <w:ind w:end="0"/>
        <w:jc w:val="both"/>
        <w:rPr/>
      </w:pPr>
      <w:r>
        <w:rPr>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ב</w:t>
      </w:r>
      <w:r>
        <w:rPr>
          <w:rFonts w:cs="Miriam" w:ascii="Century" w:hAnsi="Century"/>
          <w:b/>
          <w:spacing w:val="0"/>
          <w:szCs w:val="24"/>
          <w:rtl w:val="true"/>
        </w:rPr>
        <w:t xml:space="preserve">. </w:t>
      </w:r>
      <w:r>
        <w:rPr>
          <w:rFonts w:ascii="Century" w:hAnsi="Century" w:cs="Miriam"/>
          <w:b/>
          <w:b/>
          <w:spacing w:val="0"/>
          <w:szCs w:val="24"/>
          <w:rtl w:val="true"/>
        </w:rPr>
        <w:t>דיון</w:t>
      </w:r>
      <w:r>
        <w:rPr>
          <w:rFonts w:ascii="Century" w:hAnsi="Century" w:eastAsia="Century" w:cs="Century"/>
          <w:b/>
          <w:b/>
          <w:spacing w:val="0"/>
          <w:szCs w:val="24"/>
          <w:rtl w:val="true"/>
        </w:rPr>
        <w:t xml:space="preserve"> </w:t>
      </w:r>
      <w:r>
        <w:rPr>
          <w:rFonts w:ascii="Century" w:hAnsi="Century" w:cs="Miriam"/>
          <w:b/>
          <w:b/>
          <w:spacing w:val="0"/>
          <w:szCs w:val="24"/>
          <w:rtl w:val="true"/>
        </w:rPr>
        <w:t>והכרעה</w:t>
      </w:r>
    </w:p>
    <w:p>
      <w:pPr>
        <w:pStyle w:val="Ruller43"/>
        <w:numPr>
          <w:ilvl w:val="0"/>
          <w:numId w:val="1"/>
        </w:numPr>
        <w:ind w:end="0"/>
        <w:jc w:val="both"/>
        <w:rPr/>
      </w:pPr>
      <w:r>
        <w:rPr>
          <w:rtl w:val="true"/>
        </w:rPr>
        <w:t>המערער הורשע במעורבות בעבירות חמורות</w:t>
      </w:r>
      <w:r>
        <w:rPr>
          <w:rtl w:val="true"/>
        </w:rPr>
        <w:t xml:space="preserve">, </w:t>
      </w:r>
      <w:r>
        <w:rPr>
          <w:rtl w:val="true"/>
        </w:rPr>
        <w:t>בסדרה של עסקאות</w:t>
      </w:r>
      <w:r>
        <w:rPr>
          <w:rtl w:val="true"/>
        </w:rPr>
        <w:t xml:space="preserve">, </w:t>
      </w:r>
      <w:r>
        <w:rPr>
          <w:rtl w:val="true"/>
        </w:rPr>
        <w:t>כאשר עובדות כתב האישום המתוקן מלמדות כי מדובר בדמות מרכזית ביותר בהתנהלות הפרשה</w:t>
      </w:r>
      <w:r>
        <w:rPr>
          <w:rtl w:val="true"/>
        </w:rPr>
        <w:t xml:space="preserve">. </w:t>
      </w:r>
      <w:r>
        <w:rPr>
          <w:rtl w:val="true"/>
        </w:rPr>
        <w:t>המערער נטל חלק פעיל בשורה ארוכה של פעולות בלתי חוקיות</w:t>
      </w:r>
      <w:r>
        <w:rPr>
          <w:rtl w:val="true"/>
        </w:rPr>
        <w:t xml:space="preserve">, </w:t>
      </w:r>
      <w:r>
        <w:rPr>
          <w:rtl w:val="true"/>
        </w:rPr>
        <w:t xml:space="preserve">וגילה מעורבות גבוהה בעסקאות בהן נמכרו כלי נשק בסכום כולל של כמעט </w:t>
      </w:r>
      <w:r>
        <w:rPr/>
        <w:t>60,000</w:t>
      </w:r>
      <w:r>
        <w:rPr>
          <w:rtl w:val="true"/>
        </w:rPr>
        <w:t xml:space="preserve"> </w:t>
      </w:r>
      <w:r>
        <w:rPr>
          <w:rtl w:val="true"/>
        </w:rPr>
        <w:t>ש</w:t>
      </w:r>
      <w:r>
        <w:rPr>
          <w:rtl w:val="true"/>
        </w:rPr>
        <w:t>"</w:t>
      </w:r>
      <w:r>
        <w:rPr>
          <w:rtl w:val="true"/>
        </w:rPr>
        <w:t>ח</w:t>
      </w:r>
      <w:r>
        <w:rPr>
          <w:rtl w:val="true"/>
        </w:rPr>
        <w:t xml:space="preserve">. </w:t>
      </w:r>
      <w:r>
        <w:rPr>
          <w:rtl w:val="true"/>
        </w:rPr>
        <w:t>המערער יזם לעתים את יצירת הקשר עם הסוכן</w:t>
      </w:r>
      <w:r>
        <w:rPr>
          <w:rtl w:val="true"/>
        </w:rPr>
        <w:t xml:space="preserve">, </w:t>
      </w:r>
      <w:r>
        <w:rPr>
          <w:rtl w:val="true"/>
        </w:rPr>
        <w:t>נשא את כלי הנשק ובמרבית המקרים מסר אותם בעצמו לסוכן</w:t>
      </w:r>
      <w:r>
        <w:rPr>
          <w:rtl w:val="true"/>
        </w:rPr>
        <w:t xml:space="preserve">, </w:t>
      </w:r>
      <w:r>
        <w:rPr>
          <w:rtl w:val="true"/>
        </w:rPr>
        <w:t>תוך שהציע לו כלי נשק נוספים</w:t>
      </w:r>
      <w:r>
        <w:rPr>
          <w:rtl w:val="true"/>
        </w:rPr>
        <w:t xml:space="preserve">. </w:t>
      </w:r>
      <w:r>
        <w:rPr>
          <w:rtl w:val="true"/>
        </w:rPr>
        <w:t>דפוס פעולה דומה גילה המערער גם בעסקאות הסחר בסמים</w:t>
      </w:r>
      <w:r>
        <w:rPr>
          <w:rtl w:val="true"/>
        </w:rPr>
        <w:t xml:space="preserve">, </w:t>
      </w:r>
      <w:r>
        <w:rPr>
          <w:rtl w:val="true"/>
        </w:rPr>
        <w:t xml:space="preserve">כאשר הרשעתו בעבירות נוספות מעצימה אף היא את חומרת המעשים </w:t>
      </w:r>
      <w:r>
        <w:rPr>
          <w:rtl w:val="true"/>
        </w:rPr>
        <w:t>(</w:t>
      </w:r>
      <w:r>
        <w:rPr>
          <w:rtl w:val="true"/>
        </w:rPr>
        <w:t>וראו</w:t>
      </w:r>
      <w:r>
        <w:rPr>
          <w:rtl w:val="true"/>
        </w:rPr>
        <w:t xml:space="preserve">: </w:t>
      </w:r>
      <w:r>
        <w:rPr>
          <w:rtl w:val="true"/>
        </w:rPr>
        <w:t xml:space="preserve">עניין </w:t>
      </w:r>
      <w:r>
        <w:rPr>
          <w:rFonts w:ascii="Century" w:hAnsi="Century" w:cs="Miriam"/>
          <w:b/>
          <w:b/>
          <w:spacing w:val="0"/>
          <w:sz w:val="22"/>
          <w:sz w:val="22"/>
          <w:szCs w:val="24"/>
          <w:rtl w:val="true"/>
        </w:rPr>
        <w:t>עביד</w:t>
      </w:r>
      <w:r>
        <w:rPr>
          <w:rtl w:val="true"/>
        </w:rPr>
        <w:t xml:space="preserve">). </w:t>
      </w:r>
      <w:r>
        <w:rPr>
          <w:rtl w:val="true"/>
        </w:rPr>
        <w:t>העובדה שלידי המערער הועבר בסופו של יום סכום כסף נמוך יחסית</w:t>
      </w:r>
      <w:r>
        <w:rPr>
          <w:rtl w:val="true"/>
        </w:rPr>
        <w:t xml:space="preserve">, </w:t>
      </w:r>
      <w:r>
        <w:rPr>
          <w:rtl w:val="true"/>
        </w:rPr>
        <w:t>אין בה כדי לעמעם מחומרת מעשיו</w:t>
      </w:r>
      <w:r>
        <w:rPr>
          <w:rtl w:val="true"/>
        </w:rPr>
        <w:t xml:space="preserve">. </w:t>
      </w:r>
      <w:r>
        <w:rPr>
          <w:rtl w:val="true"/>
        </w:rPr>
        <w:t>בנסיבות אלו</w:t>
      </w:r>
      <w:r>
        <w:rPr>
          <w:rtl w:val="true"/>
        </w:rPr>
        <w:t xml:space="preserve">, </w:t>
      </w:r>
      <w:r>
        <w:rPr>
          <w:rtl w:val="true"/>
        </w:rPr>
        <w:t>לא ניתן לקבל את הטענה כי מתחמי העונש שנקבעו בעניינו מחמירים עמו יתר על המידה</w:t>
      </w:r>
      <w:r>
        <w:rPr>
          <w:rtl w:val="true"/>
        </w:rPr>
        <w:t xml:space="preserve">. </w:t>
      </w:r>
      <w:r>
        <w:rPr>
          <w:rtl w:val="true"/>
        </w:rPr>
        <w:t>ועוד</w:t>
      </w:r>
      <w:r>
        <w:rPr>
          <w:rtl w:val="true"/>
        </w:rPr>
        <w:t xml:space="preserve">, </w:t>
      </w:r>
      <w:r>
        <w:rPr>
          <w:rtl w:val="true"/>
        </w:rPr>
        <w:t>בניגוד לטענת המערער</w:t>
      </w:r>
      <w:r>
        <w:rPr>
          <w:rtl w:val="true"/>
        </w:rPr>
        <w:t xml:space="preserve">, </w:t>
      </w:r>
      <w:r>
        <w:rPr>
          <w:rtl w:val="true"/>
        </w:rPr>
        <w:t>בהתחשב בחומרת מעשיו</w:t>
      </w:r>
      <w:r>
        <w:rPr>
          <w:rtl w:val="true"/>
        </w:rPr>
        <w:t xml:space="preserve">, </w:t>
      </w:r>
      <w:r>
        <w:rPr>
          <w:rtl w:val="true"/>
        </w:rPr>
        <w:t>השוואה למתחמי הענישה שנקבעו בעניינם של יתר המעורבים בעסקאות בהן היה מעורב המערער אינה פועלת לטובתו</w:t>
      </w:r>
      <w:r>
        <w:rPr>
          <w:rtl w:val="true"/>
        </w:rPr>
        <w:t xml:space="preserve">. </w:t>
      </w:r>
      <w:r>
        <w:rPr>
          <w:rFonts w:ascii="Century" w:hAnsi="Century" w:cs="Century"/>
          <w:rtl w:val="true"/>
        </w:rPr>
        <w:t>מכל מקום</w:t>
      </w:r>
      <w:r>
        <w:rPr>
          <w:rFonts w:cs="Century" w:ascii="Century" w:hAnsi="Century"/>
          <w:rtl w:val="true"/>
        </w:rPr>
        <w:t xml:space="preserve">, </w:t>
      </w:r>
      <w:r>
        <w:rPr>
          <w:rFonts w:ascii="Century" w:hAnsi="Century" w:cs="Century"/>
          <w:rtl w:val="true"/>
        </w:rPr>
        <w:t xml:space="preserve">מתחמי העונש נקבעו לאחר שקלול הנסיבות כמתבקש מהוראות </w:t>
      </w:r>
      <w:hyperlink r:id="rId51">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העונשין</w:t>
        </w:r>
      </w:hyperlink>
      <w:r>
        <w:rPr>
          <w:rFonts w:ascii="Century" w:hAnsi="Century" w:cs="Century"/>
          <w:rtl w:val="true"/>
        </w:rPr>
        <w:t xml:space="preserve"> והם אינם מחמירים עם המערער יתר על המידה</w:t>
      </w:r>
      <w:r>
        <w:rPr>
          <w:rFonts w:cs="Century" w:ascii="Century" w:hAnsi="Century"/>
          <w:rtl w:val="true"/>
        </w:rPr>
        <w:t xml:space="preserve">. </w:t>
      </w:r>
    </w:p>
    <w:p>
      <w:pPr>
        <w:pStyle w:val="Ruller42"/>
        <w:ind w:end="0"/>
        <w:jc w:val="both"/>
        <w:rPr/>
      </w:pPr>
      <w:r>
        <w:rPr>
          <w:rtl w:val="true"/>
        </w:rPr>
      </w:r>
    </w:p>
    <w:p>
      <w:pPr>
        <w:pStyle w:val="Ruller43"/>
        <w:numPr>
          <w:ilvl w:val="0"/>
          <w:numId w:val="1"/>
        </w:numPr>
        <w:ind w:end="0"/>
        <w:jc w:val="both"/>
        <w:rPr/>
      </w:pPr>
      <w:r>
        <w:rPr>
          <w:rtl w:val="true"/>
        </w:rPr>
        <w:t>עיון בגזר הדין מלמד כי בית המשפט גם שקל את מכלול הנסיבות שאינן קשורות בביצוע העבירה הצריכות לעניין</w:t>
      </w:r>
      <w:r>
        <w:rPr>
          <w:rtl w:val="true"/>
        </w:rPr>
        <w:t xml:space="preserve">, </w:t>
      </w:r>
      <w:r>
        <w:rPr>
          <w:rtl w:val="true"/>
        </w:rPr>
        <w:t>לקולא מזה ולחומרה מזה</w:t>
      </w:r>
      <w:r>
        <w:rPr>
          <w:rtl w:val="true"/>
        </w:rPr>
        <w:t xml:space="preserve">, </w:t>
      </w:r>
      <w:r>
        <w:rPr>
          <w:rtl w:val="true"/>
        </w:rPr>
        <w:t>כאשר בסופו של יום התוצאה אליה הגיעה בית המשפט אינה מחמירה כלל</w:t>
      </w:r>
      <w:r>
        <w:rPr>
          <w:rtl w:val="true"/>
        </w:rPr>
        <w:t xml:space="preserve">. </w:t>
      </w:r>
      <w:r>
        <w:rPr>
          <w:rtl w:val="true"/>
        </w:rPr>
        <w:t>בין היתר</w:t>
      </w:r>
      <w:r>
        <w:rPr>
          <w:rtl w:val="true"/>
        </w:rPr>
        <w:t xml:space="preserve">, </w:t>
      </w:r>
      <w:r>
        <w:rPr>
          <w:rtl w:val="true"/>
        </w:rPr>
        <w:t>בית המשפט נתן דעתו לעברו הפלילי הנקי של המערער</w:t>
      </w:r>
      <w:r>
        <w:rPr>
          <w:rtl w:val="true"/>
        </w:rPr>
        <w:t xml:space="preserve">, </w:t>
      </w:r>
      <w:r>
        <w:rPr>
          <w:rtl w:val="true"/>
        </w:rPr>
        <w:t>לרושם הכללי על פיו הוא ניהל בעבר אורח חיים נורמטיבי</w:t>
      </w:r>
      <w:r>
        <w:rPr>
          <w:rtl w:val="true"/>
        </w:rPr>
        <w:t xml:space="preserve">, </w:t>
      </w:r>
      <w:r>
        <w:rPr>
          <w:rtl w:val="true"/>
        </w:rPr>
        <w:t>להודאתו בבית המשפט ולעובדה כי מדובר במאסר הראשון בחייו</w:t>
      </w:r>
      <w:r>
        <w:rPr>
          <w:rtl w:val="true"/>
        </w:rPr>
        <w:t xml:space="preserve">. </w:t>
      </w:r>
      <w:r>
        <w:rPr>
          <w:rtl w:val="true"/>
        </w:rPr>
        <w:t>בית המשפט גם לקח בחשבון את האמור בתסקיר שירות המבחן לפיו עולים מהמערער דפוסי הסתרה בנוגע לשימוש בסמים</w:t>
      </w:r>
      <w:r>
        <w:rPr>
          <w:rtl w:val="true"/>
        </w:rPr>
        <w:t xml:space="preserve">, </w:t>
      </w:r>
      <w:r>
        <w:rPr>
          <w:rtl w:val="true"/>
        </w:rPr>
        <w:t>ואת הערכת שירות המבחן כי רמת הסיכון להישנות התנהגות אלימה מצד המערער היא בינונית</w:t>
      </w:r>
      <w:r>
        <w:rPr>
          <w:rtl w:val="true"/>
        </w:rPr>
        <w:t xml:space="preserve">. </w:t>
      </w:r>
      <w:r>
        <w:rPr>
          <w:rtl w:val="true"/>
        </w:rPr>
        <w:t xml:space="preserve">יצוין כי גם עיון בתסקיר המשלים מיום </w:t>
      </w:r>
      <w:r>
        <w:rPr/>
        <w:t>24.5.2018</w:t>
      </w:r>
      <w:r>
        <w:rPr>
          <w:rtl w:val="true"/>
        </w:rPr>
        <w:t xml:space="preserve"> </w:t>
      </w:r>
      <w:r>
        <w:rPr>
          <w:rtl w:val="true"/>
        </w:rPr>
        <w:t>שהוגש בערעור לפנינו מגלה תמונה דומה</w:t>
      </w:r>
      <w:r>
        <w:rPr>
          <w:rtl w:val="true"/>
        </w:rPr>
        <w:t xml:space="preserve">. </w:t>
      </w:r>
      <w:r>
        <w:rPr>
          <w:rtl w:val="true"/>
        </w:rPr>
        <w:t>מכאן אפוא שלא קמה עילה להתערב בגזר הדין גם בהיבט זה</w:t>
      </w:r>
      <w:r>
        <w:rPr>
          <w:rtl w:val="true"/>
        </w:rPr>
        <w:t xml:space="preserve">. </w:t>
      </w:r>
    </w:p>
    <w:p>
      <w:pPr>
        <w:pStyle w:val="Ruller42"/>
        <w:ind w:end="0"/>
        <w:jc w:val="both"/>
        <w:rPr/>
      </w:pPr>
      <w:r>
        <w:rPr>
          <w:rtl w:val="true"/>
        </w:rPr>
      </w:r>
    </w:p>
    <w:p>
      <w:pPr>
        <w:pStyle w:val="Ruller43"/>
        <w:numPr>
          <w:ilvl w:val="0"/>
          <w:numId w:val="1"/>
        </w:numPr>
        <w:ind w:end="0"/>
        <w:jc w:val="both"/>
        <w:rPr/>
      </w:pPr>
      <w:r>
        <w:rPr>
          <w:rtl w:val="true"/>
        </w:rPr>
        <w:t>גם אין לקבל את טענת המערער כי מדובר היה באירוע אחד ועל כן לא היה מקום להבחנה שערך בית המשפט בין חמש עסקאות הנשק הראשונות</w:t>
      </w:r>
      <w:r>
        <w:rPr>
          <w:rtl w:val="true"/>
        </w:rPr>
        <w:t xml:space="preserve">, </w:t>
      </w:r>
      <w:r>
        <w:rPr>
          <w:rtl w:val="true"/>
        </w:rPr>
        <w:t>המהוות אירוע אחד</w:t>
      </w:r>
      <w:r>
        <w:rPr>
          <w:rtl w:val="true"/>
        </w:rPr>
        <w:t xml:space="preserve">, </w:t>
      </w:r>
      <w:r>
        <w:rPr>
          <w:rtl w:val="true"/>
        </w:rPr>
        <w:t>לבין עסקת הנשק האחרונה</w:t>
      </w:r>
      <w:r>
        <w:rPr>
          <w:rtl w:val="true"/>
        </w:rPr>
        <w:t xml:space="preserve">, </w:t>
      </w:r>
      <w:r>
        <w:rPr>
          <w:rtl w:val="true"/>
        </w:rPr>
        <w:t>המהווה אירוע נפרד</w:t>
      </w:r>
      <w:r>
        <w:rPr>
          <w:rtl w:val="true"/>
        </w:rPr>
        <w:t xml:space="preserve">. </w:t>
      </w:r>
      <w:r>
        <w:rPr>
          <w:rtl w:val="true"/>
        </w:rPr>
        <w:t>אכן</w:t>
      </w:r>
      <w:r>
        <w:rPr>
          <w:rtl w:val="true"/>
        </w:rPr>
        <w:t xml:space="preserve">, </w:t>
      </w:r>
      <w:r>
        <w:rPr>
          <w:rtl w:val="true"/>
        </w:rPr>
        <w:t>כפי שגם קבע בית המשפט</w:t>
      </w:r>
      <w:r>
        <w:rPr>
          <w:rtl w:val="true"/>
        </w:rPr>
        <w:t xml:space="preserve">, </w:t>
      </w:r>
      <w:r>
        <w:rPr>
          <w:rtl w:val="true"/>
        </w:rPr>
        <w:t>חמשת האישומים הראשונים מגוללים שורה של מעשים המהווים מסכת עבריינית אחת</w:t>
      </w:r>
      <w:r>
        <w:rPr>
          <w:rtl w:val="true"/>
        </w:rPr>
        <w:t xml:space="preserve">, </w:t>
      </w:r>
      <w:r>
        <w:rPr>
          <w:rtl w:val="true"/>
        </w:rPr>
        <w:t xml:space="preserve">שהתפרשה על פני פרק זמן של כחודש </w:t>
      </w:r>
      <w:r>
        <w:rPr>
          <w:rtl w:val="true"/>
        </w:rPr>
        <w:t>–</w:t>
      </w:r>
      <w:r>
        <w:rPr>
          <w:rtl w:val="true"/>
        </w:rPr>
        <w:t xml:space="preserve"> החל מיום </w:t>
      </w:r>
      <w:r>
        <w:rPr/>
        <w:t>20.9.2015</w:t>
      </w:r>
      <w:r>
        <w:rPr>
          <w:rtl w:val="true"/>
        </w:rPr>
        <w:t xml:space="preserve"> </w:t>
      </w:r>
      <w:r>
        <w:rPr>
          <w:rtl w:val="true"/>
        </w:rPr>
        <w:t xml:space="preserve">ועד ליום </w:t>
      </w:r>
      <w:r>
        <w:rPr/>
        <w:t>27.10.2015</w:t>
      </w:r>
      <w:r>
        <w:rPr>
          <w:rtl w:val="true"/>
        </w:rPr>
        <w:t xml:space="preserve">. </w:t>
      </w:r>
      <w:r>
        <w:rPr>
          <w:rtl w:val="true"/>
        </w:rPr>
        <w:t xml:space="preserve">חלקו של המערער בעסקאות אלה היה דומה </w:t>
      </w:r>
      <w:r>
        <w:rPr>
          <w:rtl w:val="true"/>
        </w:rPr>
        <w:t>–</w:t>
      </w:r>
      <w:r>
        <w:rPr>
          <w:rtl w:val="true"/>
        </w:rPr>
        <w:t xml:space="preserve"> הוא זה אשר ניהל את הקשר הראשוני מול הסוכן</w:t>
      </w:r>
      <w:r>
        <w:rPr>
          <w:rtl w:val="true"/>
        </w:rPr>
        <w:t xml:space="preserve">, </w:t>
      </w:r>
      <w:r>
        <w:rPr>
          <w:rtl w:val="true"/>
        </w:rPr>
        <w:t>ניהל משא ומתן עמו</w:t>
      </w:r>
      <w:r>
        <w:rPr>
          <w:rtl w:val="true"/>
        </w:rPr>
        <w:t xml:space="preserve">, </w:t>
      </w:r>
      <w:r>
        <w:rPr>
          <w:rtl w:val="true"/>
        </w:rPr>
        <w:t>נכח במקום ביצוע העסקה ואף קיבל תמורה בגין חלקו</w:t>
      </w:r>
      <w:r>
        <w:rPr>
          <w:rtl w:val="true"/>
        </w:rPr>
        <w:t xml:space="preserve">. </w:t>
      </w:r>
      <w:r>
        <w:rPr>
          <w:rtl w:val="true"/>
        </w:rPr>
        <w:t>העסקה השישית התבצעה בחלוף זמן של למעלה מארבעה חודשים</w:t>
      </w:r>
      <w:r>
        <w:rPr>
          <w:rtl w:val="true"/>
        </w:rPr>
        <w:t xml:space="preserve">, </w:t>
      </w:r>
      <w:r>
        <w:rPr>
          <w:rtl w:val="true"/>
        </w:rPr>
        <w:t>וחלקו של המערער בה התמצה בעיקר כתצפיתן</w:t>
      </w:r>
      <w:r>
        <w:rPr>
          <w:rtl w:val="true"/>
        </w:rPr>
        <w:t xml:space="preserve">, </w:t>
      </w:r>
      <w:r>
        <w:rPr>
          <w:rtl w:val="true"/>
        </w:rPr>
        <w:t>שתפקידו להתריע מפני התקרבות של כוחות אכיפת החוק</w:t>
      </w:r>
      <w:r>
        <w:rPr>
          <w:rtl w:val="true"/>
        </w:rPr>
        <w:t xml:space="preserve">. </w:t>
      </w:r>
      <w:r>
        <w:rPr>
          <w:rtl w:val="true"/>
        </w:rPr>
        <w:t>מכאן כי לא נפלה כל טעות בהבחנה זו</w:t>
      </w:r>
      <w:r>
        <w:rPr>
          <w:rtl w:val="true"/>
        </w:rPr>
        <w:t xml:space="preserve">. </w:t>
      </w:r>
    </w:p>
    <w:p>
      <w:pPr>
        <w:pStyle w:val="Ruller42"/>
        <w:ind w:end="0"/>
        <w:jc w:val="both"/>
        <w:rPr/>
      </w:pPr>
      <w:r>
        <w:rPr>
          <w:rtl w:val="true"/>
        </w:rPr>
      </w:r>
    </w:p>
    <w:p>
      <w:pPr>
        <w:pStyle w:val="Ruller43"/>
        <w:numPr>
          <w:ilvl w:val="0"/>
          <w:numId w:val="1"/>
        </w:numPr>
        <w:ind w:end="0"/>
        <w:jc w:val="both"/>
        <w:rPr/>
      </w:pPr>
      <w:r>
        <w:rPr>
          <w:rtl w:val="true"/>
        </w:rPr>
        <w:t>כך גם באשר להבחנה שערך בית המשפט המחוזי</w:t>
      </w:r>
      <w:r>
        <w:rPr>
          <w:rtl w:val="true"/>
        </w:rPr>
        <w:t xml:space="preserve">, </w:t>
      </w:r>
      <w:r>
        <w:rPr>
          <w:rtl w:val="true"/>
        </w:rPr>
        <w:t>בקשר לתיק שצורף בעניין עסקאות הסמים</w:t>
      </w:r>
      <w:r>
        <w:rPr>
          <w:rtl w:val="true"/>
        </w:rPr>
        <w:t xml:space="preserve">, </w:t>
      </w:r>
      <w:r>
        <w:rPr>
          <w:rtl w:val="true"/>
        </w:rPr>
        <w:t>בין שתי העסקאות הראשונות לבין השלישית</w:t>
      </w:r>
      <w:r>
        <w:rPr>
          <w:rtl w:val="true"/>
        </w:rPr>
        <w:t xml:space="preserve">. </w:t>
      </w:r>
      <w:r>
        <w:rPr>
          <w:rtl w:val="true"/>
        </w:rPr>
        <w:t>גם במקרה זה</w:t>
      </w:r>
      <w:r>
        <w:rPr>
          <w:rtl w:val="true"/>
        </w:rPr>
        <w:t xml:space="preserve">, </w:t>
      </w:r>
      <w:r>
        <w:rPr>
          <w:rtl w:val="true"/>
        </w:rPr>
        <w:t xml:space="preserve">פער הזמנים בין שני האירועים </w:t>
      </w:r>
      <w:r>
        <w:rPr>
          <w:rtl w:val="true"/>
        </w:rPr>
        <w:t>(</w:t>
      </w:r>
      <w:r>
        <w:rPr>
          <w:rtl w:val="true"/>
        </w:rPr>
        <w:t>בעוד ששתי העסקאות הראשונות בוצעו בסמיכות זמנים של כשבוע</w:t>
      </w:r>
      <w:r>
        <w:rPr>
          <w:rtl w:val="true"/>
        </w:rPr>
        <w:t xml:space="preserve">, </w:t>
      </w:r>
      <w:r>
        <w:rPr>
          <w:rtl w:val="true"/>
        </w:rPr>
        <w:t>העסקה השלישית בוצעה כעבור כחודש וחצי</w:t>
      </w:r>
      <w:r>
        <w:rPr>
          <w:rtl w:val="true"/>
        </w:rPr>
        <w:t xml:space="preserve">), </w:t>
      </w:r>
      <w:r>
        <w:rPr>
          <w:rtl w:val="true"/>
        </w:rPr>
        <w:t xml:space="preserve">וחלקו השונה של המערער בכל אחד מהם </w:t>
      </w:r>
      <w:r>
        <w:rPr>
          <w:rtl w:val="true"/>
        </w:rPr>
        <w:t>(</w:t>
      </w:r>
      <w:r>
        <w:rPr>
          <w:rtl w:val="true"/>
        </w:rPr>
        <w:t>תיווך לסחר בסם מסוכן</w:t>
      </w:r>
      <w:r>
        <w:rPr>
          <w:rtl w:val="true"/>
        </w:rPr>
        <w:t xml:space="preserve">, </w:t>
      </w:r>
      <w:r>
        <w:rPr>
          <w:rtl w:val="true"/>
        </w:rPr>
        <w:t>לעומת סחר ממש</w:t>
      </w:r>
      <w:r>
        <w:rPr>
          <w:rtl w:val="true"/>
        </w:rPr>
        <w:t xml:space="preserve">, </w:t>
      </w:r>
      <w:r>
        <w:rPr>
          <w:rtl w:val="true"/>
        </w:rPr>
        <w:t>לרבות נטילת תמורה</w:t>
      </w:r>
      <w:r>
        <w:rPr>
          <w:rtl w:val="true"/>
        </w:rPr>
        <w:t xml:space="preserve">) </w:t>
      </w:r>
      <w:r>
        <w:rPr>
          <w:rtl w:val="true"/>
        </w:rPr>
        <w:t>מצדיקות הבחנה זו</w:t>
      </w:r>
      <w:r>
        <w:rPr>
          <w:rtl w:val="true"/>
        </w:rPr>
        <w:t xml:space="preserve">. </w:t>
      </w:r>
      <w:r>
        <w:rPr>
          <w:rtl w:val="true"/>
        </w:rPr>
        <w:t>מכל מקום</w:t>
      </w:r>
      <w:r>
        <w:rPr>
          <w:rtl w:val="true"/>
        </w:rPr>
        <w:t xml:space="preserve">, </w:t>
      </w:r>
      <w:r>
        <w:rPr>
          <w:rtl w:val="true"/>
        </w:rPr>
        <w:t xml:space="preserve">אין לקבל את הטענה כי כל העבירות בעניינו של המערער </w:t>
      </w:r>
      <w:r>
        <w:rPr>
          <w:rtl w:val="true"/>
        </w:rPr>
        <w:t>–</w:t>
      </w:r>
      <w:r>
        <w:rPr>
          <w:rtl w:val="true"/>
        </w:rPr>
        <w:t xml:space="preserve"> עבירות הנשק והסמים גם יחד </w:t>
      </w:r>
      <w:r>
        <w:rPr>
          <w:rtl w:val="true"/>
        </w:rPr>
        <w:t>–</w:t>
      </w:r>
      <w:r>
        <w:rPr>
          <w:rtl w:val="true"/>
        </w:rPr>
        <w:t xml:space="preserve"> צריכות היו להיחשב בגדר אירוע אחד בלבד</w:t>
      </w:r>
      <w:r>
        <w:rPr>
          <w:rtl w:val="true"/>
        </w:rPr>
        <w:t>.</w:t>
      </w:r>
    </w:p>
    <w:p>
      <w:pPr>
        <w:pStyle w:val="Ruller42"/>
        <w:ind w:end="0"/>
        <w:jc w:val="both"/>
        <w:rPr/>
      </w:pPr>
      <w:r>
        <w:rPr>
          <w:rtl w:val="true"/>
        </w:rPr>
      </w:r>
    </w:p>
    <w:p>
      <w:pPr>
        <w:pStyle w:val="Ruller43"/>
        <w:numPr>
          <w:ilvl w:val="0"/>
          <w:numId w:val="1"/>
        </w:numPr>
        <w:ind w:end="0"/>
        <w:jc w:val="both"/>
        <w:rPr/>
      </w:pPr>
      <w:r>
        <w:rPr>
          <w:rtl w:val="true"/>
        </w:rPr>
        <w:t>ובאשר להשגות המערער על גובה הקנס שהושת עליו</w:t>
      </w:r>
      <w:r>
        <w:rPr>
          <w:rtl w:val="true"/>
        </w:rPr>
        <w:t xml:space="preserve">. </w:t>
      </w:r>
      <w:r>
        <w:rPr>
          <w:rtl w:val="true"/>
        </w:rPr>
        <w:t xml:space="preserve">הלכה היא כי גובה הקנס הכספי אינו מוגבל לגובה הרווח הכלכלי אשר הפיק נאשם מביצוע העבירה </w:t>
      </w:r>
      <w:r>
        <w:rPr>
          <w:rtl w:val="true"/>
        </w:rPr>
        <w:t>(</w:t>
      </w:r>
      <w:r>
        <w:rPr>
          <w:rtl w:val="true"/>
        </w:rPr>
        <w:t>ראו למשל</w:t>
      </w:r>
      <w:r>
        <w:rPr>
          <w:rtl w:val="true"/>
        </w:rPr>
        <w:t xml:space="preserve">: </w:t>
      </w:r>
      <w:hyperlink r:id="rId5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6771/12</w:t>
        </w:r>
      </w:hyperlink>
      <w:r>
        <w:rPr>
          <w:rtl w:val="true"/>
        </w:rPr>
        <w:t xml:space="preserve"> </w:t>
      </w:r>
      <w:r>
        <w:rPr>
          <w:rFonts w:ascii="Century" w:hAnsi="Century" w:cs="Miriam"/>
          <w:b/>
          <w:b/>
          <w:spacing w:val="0"/>
          <w:sz w:val="22"/>
          <w:sz w:val="22"/>
          <w:szCs w:val="24"/>
          <w:rtl w:val="true"/>
        </w:rPr>
        <w:t>קאסם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8</w:t>
      </w:r>
      <w:r>
        <w:rPr>
          <w:rtl w:val="true"/>
        </w:rPr>
        <w:t xml:space="preserve"> (</w:t>
      </w:r>
      <w:r>
        <w:rPr/>
        <w:t>3.12.2013</w:t>
      </w:r>
      <w:r>
        <w:rPr>
          <w:rtl w:val="true"/>
        </w:rPr>
        <w:t xml:space="preserve">)). </w:t>
      </w:r>
      <w:r>
        <w:rPr>
          <w:rtl w:val="true"/>
        </w:rPr>
        <w:t>ויודגש כי ככלל</w:t>
      </w:r>
      <w:r>
        <w:rPr>
          <w:rtl w:val="true"/>
        </w:rPr>
        <w:t xml:space="preserve">, </w:t>
      </w:r>
      <w:r>
        <w:rPr>
          <w:rtl w:val="true"/>
        </w:rPr>
        <w:t xml:space="preserve">גובה הקנס </w:t>
      </w:r>
      <w:r>
        <w:rPr>
          <w:rtl w:val="true"/>
        </w:rPr>
        <w:t>–</w:t>
      </w:r>
      <w:r>
        <w:rPr>
          <w:rtl w:val="true"/>
        </w:rPr>
        <w:t xml:space="preserve"> ככל עונש </w:t>
      </w:r>
      <w:r>
        <w:rPr>
          <w:rtl w:val="true"/>
        </w:rPr>
        <w:t>–</w:t>
      </w:r>
      <w:r>
        <w:rPr>
          <w:rtl w:val="true"/>
        </w:rPr>
        <w:t xml:space="preserve"> כפוף לעיקרון ההלימה ועליו לבטא את חומרת העבירה</w:t>
      </w:r>
      <w:r>
        <w:rPr>
          <w:rtl w:val="true"/>
        </w:rPr>
        <w:t xml:space="preserve">, </w:t>
      </w:r>
      <w:r>
        <w:rPr>
          <w:rtl w:val="true"/>
        </w:rPr>
        <w:t xml:space="preserve">נסיבות ביצועה ומידת פגיעתה בערכים המוגנים </w:t>
      </w:r>
      <w:r>
        <w:rPr>
          <w:rtl w:val="true"/>
        </w:rPr>
        <w:t>(</w:t>
      </w:r>
      <w:r>
        <w:rPr>
          <w:rtl w:val="true"/>
        </w:rPr>
        <w:t>ראו</w:t>
      </w:r>
      <w:r>
        <w:rPr>
          <w:rtl w:val="true"/>
        </w:rPr>
        <w:t xml:space="preserve">: </w:t>
      </w:r>
      <w:hyperlink r:id="rId53">
        <w:r>
          <w:rPr>
            <w:rStyle w:val="Hyperlink"/>
            <w:color w:val="0000FF"/>
            <w:u w:val="single"/>
            <w:rtl w:val="true"/>
          </w:rPr>
          <w:t>סעיפים</w:t>
        </w:r>
        <w:r>
          <w:rPr>
            <w:rStyle w:val="Hyperlink"/>
            <w:color w:val="0000FF"/>
            <w:u w:val="single"/>
            <w:rtl w:val="true"/>
          </w:rPr>
          <w:t xml:space="preserve"> </w:t>
        </w:r>
        <w:r>
          <w:rPr>
            <w:rStyle w:val="Hyperlink"/>
            <w:color w:val="0000FF"/>
            <w:u w:val="single"/>
          </w:rPr>
          <w:t>40</w:t>
        </w:r>
        <w:r>
          <w:rPr>
            <w:rStyle w:val="Hyperlink"/>
            <w:color w:val="0000FF"/>
            <w:u w:val="single"/>
            <w:rtl w:val="true"/>
          </w:rPr>
          <w:t>ב</w:t>
        </w:r>
      </w:hyperlink>
      <w:r>
        <w:rPr>
          <w:rtl w:val="true"/>
        </w:rPr>
        <w:t xml:space="preserve"> ו</w:t>
      </w:r>
      <w:r>
        <w:rPr>
          <w:rtl w:val="true"/>
        </w:rPr>
        <w:t>-</w:t>
      </w:r>
      <w:hyperlink r:id="rId54">
        <w:r>
          <w:rPr>
            <w:rStyle w:val="Hyperlink"/>
            <w:color w:val="0000FF"/>
            <w:u w:val="single"/>
          </w:rPr>
          <w:t>40</w:t>
        </w:r>
        <w:r>
          <w:rPr>
            <w:rStyle w:val="Hyperlink"/>
            <w:color w:val="0000FF"/>
            <w:u w:val="single"/>
            <w:rtl w:val="true"/>
          </w:rPr>
          <w:t>ג</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w:t>
      </w:r>
      <w:hyperlink r:id="rId55">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 xml:space="preserve">וכן </w:t>
      </w:r>
      <w:hyperlink r:id="rId5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4919/14</w:t>
        </w:r>
      </w:hyperlink>
      <w:r>
        <w:rPr>
          <w:rtl w:val="true"/>
        </w:rPr>
        <w:t xml:space="preserve"> </w:t>
      </w:r>
      <w:r>
        <w:rPr>
          <w:rFonts w:ascii="Century" w:hAnsi="Century" w:cs="Miriam"/>
          <w:b/>
          <w:b/>
          <w:spacing w:val="0"/>
          <w:sz w:val="22"/>
          <w:sz w:val="22"/>
          <w:szCs w:val="24"/>
          <w:rtl w:val="true"/>
        </w:rPr>
        <w:t>אזולאי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47</w:t>
      </w:r>
      <w:r>
        <w:rPr>
          <w:rtl w:val="true"/>
        </w:rPr>
        <w:t xml:space="preserve"> (</w:t>
      </w:r>
      <w:r>
        <w:rPr/>
        <w:t>6.3.2017</w:t>
      </w:r>
      <w:r>
        <w:rPr>
          <w:rtl w:val="true"/>
        </w:rPr>
        <w:t xml:space="preserve">)). </w:t>
      </w:r>
      <w:r>
        <w:rPr>
          <w:rtl w:val="true"/>
        </w:rPr>
        <w:t>בענייננו</w:t>
      </w:r>
      <w:r>
        <w:rPr>
          <w:rtl w:val="true"/>
        </w:rPr>
        <w:t xml:space="preserve">, </w:t>
      </w:r>
      <w:r>
        <w:rPr>
          <w:rtl w:val="true"/>
        </w:rPr>
        <w:t>התמונה הכוללת מגלה כי המערער הוביל וקידם כאמור עסקאות בלתי חוקיות של סחר בנשק ובסמים</w:t>
      </w:r>
      <w:r>
        <w:rPr>
          <w:rtl w:val="true"/>
        </w:rPr>
        <w:t xml:space="preserve">, </w:t>
      </w:r>
      <w:r>
        <w:rPr>
          <w:rtl w:val="true"/>
        </w:rPr>
        <w:t>בהיקפים מצטברים של למעלה מ</w:t>
      </w:r>
      <w:r>
        <w:rPr>
          <w:rtl w:val="true"/>
        </w:rPr>
        <w:t>-</w:t>
      </w:r>
      <w:r>
        <w:rPr/>
        <w:t>80,000</w:t>
      </w:r>
      <w:r>
        <w:rPr>
          <w:rtl w:val="true"/>
        </w:rPr>
        <w:t xml:space="preserve"> </w:t>
      </w:r>
      <w:r>
        <w:rPr>
          <w:rtl w:val="true"/>
        </w:rPr>
        <w:t>ש</w:t>
      </w:r>
      <w:r>
        <w:rPr>
          <w:rtl w:val="true"/>
        </w:rPr>
        <w:t>"</w:t>
      </w:r>
      <w:r>
        <w:rPr>
          <w:rtl w:val="true"/>
        </w:rPr>
        <w:t>ח</w:t>
      </w:r>
      <w:r>
        <w:rPr>
          <w:rtl w:val="true"/>
        </w:rPr>
        <w:t xml:space="preserve">. </w:t>
      </w:r>
      <w:r>
        <w:rPr>
          <w:rtl w:val="true"/>
        </w:rPr>
        <w:t>בנסיבות אלו</w:t>
      </w:r>
      <w:r>
        <w:rPr>
          <w:rtl w:val="true"/>
        </w:rPr>
        <w:t xml:space="preserve">, </w:t>
      </w:r>
      <w:r>
        <w:rPr>
          <w:rtl w:val="true"/>
        </w:rPr>
        <w:t xml:space="preserve">קנס כספי בסך של </w:t>
      </w:r>
      <w:r>
        <w:rPr/>
        <w:t>20,000</w:t>
      </w:r>
      <w:r>
        <w:rPr>
          <w:rtl w:val="true"/>
        </w:rPr>
        <w:t xml:space="preserve"> </w:t>
      </w:r>
      <w:r>
        <w:rPr>
          <w:rtl w:val="true"/>
        </w:rPr>
        <w:t>ש</w:t>
      </w:r>
      <w:r>
        <w:rPr>
          <w:rtl w:val="true"/>
        </w:rPr>
        <w:t>"</w:t>
      </w:r>
      <w:r>
        <w:rPr>
          <w:rtl w:val="true"/>
        </w:rPr>
        <w:t>ח אינו חמור כלל ועיקר</w:t>
      </w:r>
      <w:r>
        <w:rPr>
          <w:rtl w:val="true"/>
        </w:rPr>
        <w:t xml:space="preserve">. </w:t>
      </w:r>
      <w:r>
        <w:rPr>
          <w:rtl w:val="true"/>
        </w:rPr>
        <w:t>אשר על כן</w:t>
      </w:r>
      <w:r>
        <w:rPr>
          <w:rtl w:val="true"/>
        </w:rPr>
        <w:t xml:space="preserve">, </w:t>
      </w:r>
      <w:r>
        <w:rPr>
          <w:rtl w:val="true"/>
        </w:rPr>
        <w:t>אם תשמע דעתי</w:t>
      </w:r>
      <w:r>
        <w:rPr>
          <w:rtl w:val="true"/>
        </w:rPr>
        <w:t xml:space="preserve">, </w:t>
      </w:r>
      <w:r>
        <w:rPr>
          <w:rtl w:val="true"/>
        </w:rPr>
        <w:t>דין ערעור זה להידחות</w:t>
      </w:r>
      <w:r>
        <w:rPr>
          <w:rtl w:val="true"/>
        </w:rPr>
        <w:t xml:space="preserve">. </w:t>
      </w:r>
    </w:p>
    <w:p>
      <w:pPr>
        <w:pStyle w:val="Ruller42"/>
        <w:ind w:end="0"/>
        <w:jc w:val="both"/>
        <w:rPr/>
      </w:pPr>
      <w:r>
        <w:rPr>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נאשם</w:t>
      </w:r>
      <w:r>
        <w:rPr>
          <w:rFonts w:ascii="Century" w:hAnsi="Century" w:eastAsia="Century" w:cs="Century"/>
          <w:b/>
          <w:b/>
          <w:spacing w:val="0"/>
          <w:szCs w:val="24"/>
          <w:rtl w:val="true"/>
        </w:rPr>
        <w:t xml:space="preserve"> </w:t>
      </w:r>
      <w:r>
        <w:rPr>
          <w:rFonts w:cs="Miriam" w:ascii="Century" w:hAnsi="Century"/>
          <w:b/>
          <w:spacing w:val="0"/>
          <w:szCs w:val="24"/>
        </w:rPr>
        <w:t>2</w:t>
      </w:r>
      <w:r>
        <w:rPr>
          <w:rFonts w:cs="Miriam" w:ascii="Century" w:hAnsi="Century"/>
          <w:b/>
          <w:spacing w:val="0"/>
          <w:szCs w:val="24"/>
          <w:rtl w:val="true"/>
        </w:rPr>
        <w:t xml:space="preserve"> (</w:t>
      </w:r>
      <w:r>
        <w:rPr>
          <w:rFonts w:ascii="Century" w:hAnsi="Century" w:cs="Miriam"/>
          <w:b/>
          <w:b/>
          <w:spacing w:val="0"/>
          <w:szCs w:val="24"/>
          <w:rtl w:val="true"/>
        </w:rPr>
        <w:t>המערער</w:t>
      </w:r>
      <w:r>
        <w:rPr>
          <w:rFonts w:ascii="Century" w:hAnsi="Century" w:eastAsia="Century" w:cs="Century"/>
          <w:b/>
          <w:b/>
          <w:spacing w:val="0"/>
          <w:szCs w:val="24"/>
          <w:rtl w:val="true"/>
        </w:rPr>
        <w:t xml:space="preserve"> </w:t>
      </w:r>
      <w:r>
        <w:rPr>
          <w:rFonts w:ascii="Century" w:hAnsi="Century" w:cs="Miriam"/>
          <w:b/>
          <w:b/>
          <w:spacing w:val="0"/>
          <w:szCs w:val="24"/>
          <w:rtl w:val="true"/>
        </w:rPr>
        <w:t>ב</w:t>
      </w:r>
      <w:r>
        <w:rPr>
          <w:rFonts w:ascii="Century" w:hAnsi="Century" w:cs="Miriam"/>
          <w:b/>
          <w:b/>
          <w:spacing w:val="0"/>
          <w:szCs w:val="24"/>
          <w:rtl w:val="true"/>
        </w:rPr>
        <w:t>ע</w:t>
      </w:r>
      <w:r>
        <w:rPr>
          <w:rFonts w:cs="Miriam" w:ascii="Century" w:hAnsi="Century"/>
          <w:b/>
          <w:spacing w:val="0"/>
          <w:szCs w:val="24"/>
          <w:rtl w:val="true"/>
        </w:rPr>
        <w:t>"</w:t>
      </w:r>
      <w:r>
        <w:rPr>
          <w:rFonts w:ascii="Century" w:hAnsi="Century" w:cs="Miriam"/>
          <w:b/>
          <w:b/>
          <w:spacing w:val="0"/>
          <w:szCs w:val="24"/>
          <w:rtl w:val="true"/>
        </w:rPr>
        <w:t>פ</w:t>
      </w:r>
      <w:r>
        <w:rPr>
          <w:rFonts w:ascii="Century" w:hAnsi="Century" w:eastAsia="Century" w:cs="Century"/>
          <w:b/>
          <w:b/>
          <w:spacing w:val="0"/>
          <w:szCs w:val="24"/>
          <w:rtl w:val="true"/>
        </w:rPr>
        <w:t xml:space="preserve"> </w:t>
      </w:r>
      <w:r>
        <w:rPr>
          <w:rFonts w:cs="Miriam" w:ascii="Century" w:hAnsi="Century"/>
          <w:b/>
          <w:spacing w:val="0"/>
          <w:szCs w:val="24"/>
        </w:rPr>
        <w:t>8341/17</w:t>
      </w:r>
      <w:r>
        <w:rPr>
          <w:rFonts w:cs="Miriam" w:ascii="Century" w:hAnsi="Century"/>
          <w:b/>
          <w:spacing w:val="0"/>
          <w:szCs w:val="24"/>
          <w:rtl w:val="true"/>
        </w:rPr>
        <w:t>)</w:t>
      </w:r>
    </w:p>
    <w:p>
      <w:pPr>
        <w:pStyle w:val="Ruller43"/>
        <w:numPr>
          <w:ilvl w:val="0"/>
          <w:numId w:val="0"/>
        </w:numPr>
        <w:ind w:hanging="0" w:start="0" w:end="0"/>
        <w:jc w:val="both"/>
        <w:rPr>
          <w:rFonts w:ascii="Century" w:hAnsi="Century" w:cs="Miriam"/>
          <w:b/>
          <w:spacing w:val="0"/>
          <w:sz w:val="22"/>
          <w:szCs w:val="24"/>
        </w:rPr>
      </w:pP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הרקע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לערעור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וטענות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הצדדים</w:t>
      </w:r>
    </w:p>
    <w:p>
      <w:pPr>
        <w:pStyle w:val="Ruller43"/>
        <w:numPr>
          <w:ilvl w:val="0"/>
          <w:numId w:val="1"/>
        </w:numPr>
        <w:ind w:end="0"/>
        <w:jc w:val="both"/>
        <w:rPr/>
      </w:pPr>
      <w:r>
        <w:rPr>
          <w:rtl w:val="true"/>
        </w:rPr>
        <w:t>המערער הורשע בעבירות של סחר בנשק</w:t>
      </w:r>
      <w:r>
        <w:rPr>
          <w:rtl w:val="true"/>
        </w:rPr>
        <w:t xml:space="preserve">, </w:t>
      </w:r>
      <w:r>
        <w:rPr>
          <w:rtl w:val="true"/>
        </w:rPr>
        <w:t>קשירת קשר לסחר בנשק</w:t>
      </w:r>
      <w:r>
        <w:rPr>
          <w:rtl w:val="true"/>
        </w:rPr>
        <w:t xml:space="preserve">, </w:t>
      </w:r>
      <w:r>
        <w:rPr>
          <w:rtl w:val="true"/>
        </w:rPr>
        <w:t>נשיאת נשק וירי באזור מגורים</w:t>
      </w:r>
      <w:r>
        <w:rPr>
          <w:rtl w:val="true"/>
        </w:rPr>
        <w:t xml:space="preserve">, </w:t>
      </w:r>
      <w:r>
        <w:rPr>
          <w:rtl w:val="true"/>
        </w:rPr>
        <w:t>בגין מעורבותו בשש עסקאות נשק</w:t>
      </w:r>
      <w:r>
        <w:rPr>
          <w:rtl w:val="true"/>
        </w:rPr>
        <w:t xml:space="preserve">. </w:t>
      </w:r>
      <w:r>
        <w:rPr>
          <w:rtl w:val="true"/>
        </w:rPr>
        <w:t>בנוסף</w:t>
      </w:r>
      <w:r>
        <w:rPr>
          <w:rtl w:val="true"/>
        </w:rPr>
        <w:t xml:space="preserve">, </w:t>
      </w:r>
      <w:r>
        <w:rPr>
          <w:rtl w:val="true"/>
        </w:rPr>
        <w:t>המערער סיפק את כלי הנשק באחת העסקאות</w:t>
      </w:r>
      <w:r>
        <w:rPr>
          <w:rtl w:val="true"/>
        </w:rPr>
        <w:t xml:space="preserve">, </w:t>
      </w:r>
      <w:r>
        <w:rPr>
          <w:rtl w:val="true"/>
        </w:rPr>
        <w:t>והוא הורשע גם בעבירה של ירי באיזור מגורים במהלך ביצוע חלק מהעסקאות</w:t>
      </w:r>
      <w:r>
        <w:rPr>
          <w:rtl w:val="true"/>
        </w:rPr>
        <w:t xml:space="preserve">. </w:t>
      </w:r>
      <w:r>
        <w:rPr>
          <w:sz w:val="22"/>
          <w:sz w:val="22"/>
          <w:rtl w:val="true"/>
        </w:rPr>
        <w:t>במסגרת שש העסקאות בהן היה מעורב</w:t>
      </w:r>
      <w:r>
        <w:rPr>
          <w:sz w:val="22"/>
          <w:rtl w:val="true"/>
        </w:rPr>
        <w:t xml:space="preserve">, </w:t>
      </w:r>
      <w:r>
        <w:rPr>
          <w:sz w:val="22"/>
          <w:sz w:val="22"/>
          <w:rtl w:val="true"/>
        </w:rPr>
        <w:t>נמכרו חמישה תתי</w:t>
      </w:r>
      <w:r>
        <w:rPr>
          <w:sz w:val="22"/>
          <w:rtl w:val="true"/>
        </w:rPr>
        <w:t>-</w:t>
      </w:r>
      <w:r>
        <w:rPr>
          <w:sz w:val="22"/>
          <w:sz w:val="22"/>
          <w:rtl w:val="true"/>
        </w:rPr>
        <w:t>מקלע מסוג קרלו</w:t>
      </w:r>
      <w:r>
        <w:rPr>
          <w:sz w:val="22"/>
          <w:rtl w:val="true"/>
        </w:rPr>
        <w:t xml:space="preserve">, </w:t>
      </w:r>
      <w:r>
        <w:rPr>
          <w:sz w:val="22"/>
          <w:sz w:val="22"/>
          <w:rtl w:val="true"/>
        </w:rPr>
        <w:t>רובה סער קלאצ</w:t>
      </w:r>
      <w:r>
        <w:rPr>
          <w:sz w:val="22"/>
          <w:rtl w:val="true"/>
        </w:rPr>
        <w:t>'</w:t>
      </w:r>
      <w:r>
        <w:rPr>
          <w:sz w:val="22"/>
          <w:sz w:val="22"/>
          <w:rtl w:val="true"/>
        </w:rPr>
        <w:t>ניקוב</w:t>
      </w:r>
      <w:r>
        <w:rPr>
          <w:sz w:val="22"/>
          <w:rtl w:val="true"/>
        </w:rPr>
        <w:t xml:space="preserve">, </w:t>
      </w:r>
      <w:r>
        <w:rPr>
          <w:sz w:val="22"/>
          <w:sz w:val="22"/>
          <w:rtl w:val="true"/>
        </w:rPr>
        <w:t>אקדח גלוק ואקדח קולט</w:t>
      </w:r>
      <w:r>
        <w:rPr>
          <w:sz w:val="22"/>
          <w:rtl w:val="true"/>
        </w:rPr>
        <w:t xml:space="preserve">, </w:t>
      </w:r>
      <w:r>
        <w:rPr>
          <w:sz w:val="22"/>
          <w:sz w:val="22"/>
          <w:rtl w:val="true"/>
        </w:rPr>
        <w:t>בתמורה לסך כולל של כ</w:t>
      </w:r>
      <w:r>
        <w:rPr>
          <w:sz w:val="22"/>
          <w:rtl w:val="true"/>
        </w:rPr>
        <w:t>-</w:t>
      </w:r>
      <w:r>
        <w:rPr>
          <w:sz w:val="22"/>
        </w:rPr>
        <w:t>110,000</w:t>
      </w:r>
      <w:r>
        <w:rPr>
          <w:sz w:val="22"/>
          <w:rtl w:val="true"/>
        </w:rPr>
        <w:t xml:space="preserve"> </w:t>
      </w:r>
      <w:r>
        <w:rPr>
          <w:sz w:val="22"/>
          <w:sz w:val="22"/>
          <w:rtl w:val="true"/>
        </w:rPr>
        <w:t>ש</w:t>
      </w:r>
      <w:r>
        <w:rPr>
          <w:sz w:val="22"/>
          <w:rtl w:val="true"/>
        </w:rPr>
        <w:t>"</w:t>
      </w:r>
      <w:r>
        <w:rPr>
          <w:sz w:val="22"/>
          <w:sz w:val="22"/>
          <w:rtl w:val="true"/>
        </w:rPr>
        <w:t>ח</w:t>
      </w:r>
      <w:r>
        <w:rPr>
          <w:sz w:val="22"/>
          <w:rtl w:val="true"/>
        </w:rPr>
        <w:t>.</w:t>
      </w:r>
      <w:r>
        <w:rPr>
          <w:rtl w:val="true"/>
        </w:rPr>
        <w:t xml:space="preserve"> </w:t>
      </w:r>
    </w:p>
    <w:p>
      <w:pPr>
        <w:pStyle w:val="Ruller42"/>
        <w:ind w:end="0"/>
        <w:jc w:val="both"/>
        <w:rPr/>
      </w:pPr>
      <w:r>
        <w:rPr>
          <w:rtl w:val="true"/>
        </w:rPr>
      </w:r>
    </w:p>
    <w:p>
      <w:pPr>
        <w:pStyle w:val="Ruller43"/>
        <w:numPr>
          <w:ilvl w:val="0"/>
          <w:numId w:val="1"/>
        </w:numPr>
        <w:ind w:end="0"/>
        <w:jc w:val="both"/>
        <w:rPr/>
      </w:pPr>
      <w:r>
        <w:rPr>
          <w:rtl w:val="true"/>
        </w:rPr>
        <w:tab/>
      </w:r>
      <w:r>
        <w:rPr>
          <w:rtl w:val="true"/>
        </w:rPr>
        <w:t>מתסקיר שירות המבחן שהוגש לפני בית המשפט המחוזי טרם נגזר דינו של המערער</w:t>
      </w:r>
      <w:r>
        <w:rPr>
          <w:rtl w:val="true"/>
        </w:rPr>
        <w:t xml:space="preserve">, </w:t>
      </w:r>
      <w:r>
        <w:rPr>
          <w:rtl w:val="true"/>
        </w:rPr>
        <w:t>הוערכה רמת הסיכון להישנות ההתנהגות האלימה בעניינו כבינונית</w:t>
      </w:r>
      <w:r>
        <w:rPr>
          <w:rtl w:val="true"/>
        </w:rPr>
        <w:t xml:space="preserve">. </w:t>
      </w:r>
      <w:r>
        <w:rPr>
          <w:rtl w:val="true"/>
        </w:rPr>
        <w:t>בגזר הדין הבחין בית המשפט בין ארבע העסקאות הראשונות לבין שתי העסקאות האחרונות שבוצעו בקבעו כי מדובר בשני אירועים עברייניים נפרדים</w:t>
      </w:r>
      <w:r>
        <w:rPr>
          <w:rtl w:val="true"/>
        </w:rPr>
        <w:t xml:space="preserve">. </w:t>
      </w:r>
      <w:r>
        <w:rPr>
          <w:rtl w:val="true"/>
        </w:rPr>
        <w:t>בית המשפט דחה את טענת המערער לפיה הוא היה בגדר מתווך בתוכנית עבריינית של אחרים</w:t>
      </w:r>
      <w:r>
        <w:rPr>
          <w:rtl w:val="true"/>
        </w:rPr>
        <w:t xml:space="preserve">, </w:t>
      </w:r>
      <w:r>
        <w:rPr>
          <w:rtl w:val="true"/>
        </w:rPr>
        <w:t>ונקבע כי הוא לקח חלק פעיל ביותר בביצוע העבירות</w:t>
      </w:r>
      <w:r>
        <w:rPr>
          <w:rtl w:val="true"/>
        </w:rPr>
        <w:t xml:space="preserve">, </w:t>
      </w:r>
      <w:r>
        <w:rPr>
          <w:rtl w:val="true"/>
        </w:rPr>
        <w:t>לרבות ביצוע ירי בתוך אזור בנוי</w:t>
      </w:r>
      <w:r>
        <w:rPr>
          <w:rtl w:val="true"/>
        </w:rPr>
        <w:t xml:space="preserve">, </w:t>
      </w:r>
      <w:r>
        <w:rPr>
          <w:rtl w:val="true"/>
        </w:rPr>
        <w:t>מה שמלמד גם על תעוזה והיעדר מורא מפני החוק</w:t>
      </w:r>
      <w:r>
        <w:rPr>
          <w:rtl w:val="true"/>
        </w:rPr>
        <w:t xml:space="preserve">. </w:t>
      </w:r>
      <w:r>
        <w:rPr>
          <w:rtl w:val="true"/>
        </w:rPr>
        <w:t>צוין כי מדובר במספר רב של עסקאות</w:t>
      </w:r>
      <w:r>
        <w:rPr>
          <w:rtl w:val="true"/>
        </w:rPr>
        <w:t xml:space="preserve">, </w:t>
      </w:r>
      <w:r>
        <w:rPr>
          <w:rtl w:val="true"/>
        </w:rPr>
        <w:t>אשר תוכננו מראש ובמסגרתן נמכרו שמונה כלי נשק בעלי פוטנציאל פגיעה משמעותי בסכום ניכר</w:t>
      </w:r>
      <w:r>
        <w:rPr>
          <w:rtl w:val="true"/>
        </w:rPr>
        <w:t xml:space="preserve">. </w:t>
      </w:r>
    </w:p>
    <w:p>
      <w:pPr>
        <w:pStyle w:val="Ruller42"/>
        <w:ind w:end="0"/>
        <w:jc w:val="both"/>
        <w:rPr/>
      </w:pPr>
      <w:r>
        <w:rPr>
          <w:rtl w:val="true"/>
        </w:rPr>
      </w:r>
    </w:p>
    <w:p>
      <w:pPr>
        <w:pStyle w:val="Ruller43"/>
        <w:numPr>
          <w:ilvl w:val="0"/>
          <w:numId w:val="1"/>
        </w:numPr>
        <w:ind w:end="0"/>
        <w:jc w:val="both"/>
        <w:rPr/>
      </w:pPr>
      <w:r>
        <w:rPr>
          <w:rtl w:val="true"/>
        </w:rPr>
        <w:t xml:space="preserve">מתחם העונש עבור ארבע העסקאות הראשונות הועמד על </w:t>
      </w:r>
      <w:r>
        <w:rPr/>
        <w:t>9-5</w:t>
      </w:r>
      <w:r>
        <w:rPr>
          <w:rtl w:val="true"/>
        </w:rPr>
        <w:t xml:space="preserve"> </w:t>
      </w:r>
      <w:r>
        <w:rPr>
          <w:rtl w:val="true"/>
        </w:rPr>
        <w:t>שנות מאסר בפועל</w:t>
      </w:r>
      <w:r>
        <w:rPr>
          <w:rtl w:val="true"/>
        </w:rPr>
        <w:t xml:space="preserve">, </w:t>
      </w:r>
      <w:r>
        <w:rPr>
          <w:rtl w:val="true"/>
        </w:rPr>
        <w:t xml:space="preserve">ומתחם העונש עבור שתי העסקאות האחרונות הועמד על </w:t>
      </w:r>
      <w:r>
        <w:rPr/>
        <w:t>6-3</w:t>
      </w:r>
      <w:r>
        <w:rPr>
          <w:rtl w:val="true"/>
        </w:rPr>
        <w:t xml:space="preserve"> </w:t>
      </w:r>
      <w:r>
        <w:rPr>
          <w:rtl w:val="true"/>
        </w:rPr>
        <w:t>שנות מאסר בפועל</w:t>
      </w:r>
      <w:r>
        <w:rPr>
          <w:rtl w:val="true"/>
        </w:rPr>
        <w:t xml:space="preserve">. </w:t>
      </w:r>
      <w:r>
        <w:rPr>
          <w:rtl w:val="true"/>
        </w:rPr>
        <w:t>על המערער הוטלו לבסוף העונשים הבאים</w:t>
      </w:r>
      <w:r>
        <w:rPr>
          <w:rtl w:val="true"/>
        </w:rPr>
        <w:t xml:space="preserve">: </w:t>
      </w:r>
      <w:r>
        <w:rPr/>
        <w:t>8</w:t>
      </w:r>
      <w:r>
        <w:rPr>
          <w:rtl w:val="true"/>
        </w:rPr>
        <w:t xml:space="preserve"> </w:t>
      </w:r>
      <w:r>
        <w:rPr>
          <w:rtl w:val="true"/>
        </w:rPr>
        <w:t>שנות מאסר בפועל</w:t>
      </w:r>
      <w:r>
        <w:rPr>
          <w:rtl w:val="true"/>
        </w:rPr>
        <w:t xml:space="preserve">, </w:t>
      </w:r>
      <w:r>
        <w:rPr>
          <w:rtl w:val="true"/>
        </w:rPr>
        <w:t>מאסר על תנאי</w:t>
      </w:r>
      <w:r>
        <w:rPr>
          <w:rtl w:val="true"/>
        </w:rPr>
        <w:t xml:space="preserve">, </w:t>
      </w:r>
      <w:r>
        <w:rPr>
          <w:rtl w:val="true"/>
        </w:rPr>
        <w:t xml:space="preserve">קנס בסך </w:t>
      </w:r>
      <w:r>
        <w:rPr/>
        <w:t>40,000</w:t>
      </w:r>
      <w:r>
        <w:rPr>
          <w:rtl w:val="true"/>
        </w:rPr>
        <w:t xml:space="preserve"> </w:t>
      </w:r>
      <w:r>
        <w:rPr>
          <w:rtl w:val="true"/>
        </w:rPr>
        <w:t>ש</w:t>
      </w:r>
      <w:r>
        <w:rPr>
          <w:rtl w:val="true"/>
        </w:rPr>
        <w:t>"</w:t>
      </w:r>
      <w:r>
        <w:rPr>
          <w:rtl w:val="true"/>
        </w:rPr>
        <w:t>ח וחילוט כלי רכב השייך לו אשר באמצעותו בוצעו חלק מהעבירות</w:t>
      </w:r>
      <w:r>
        <w:rPr>
          <w:rtl w:val="true"/>
        </w:rPr>
        <w:t>.</w:t>
      </w:r>
    </w:p>
    <w:p>
      <w:pPr>
        <w:pStyle w:val="Ruller43"/>
        <w:numPr>
          <w:ilvl w:val="0"/>
          <w:numId w:val="0"/>
        </w:numPr>
        <w:ind w:hanging="0" w:start="0" w:end="0"/>
        <w:jc w:val="both"/>
        <w:rPr/>
      </w:pPr>
      <w:r>
        <w:rPr>
          <w:rtl w:val="true"/>
        </w:rPr>
      </w:r>
    </w:p>
    <w:p>
      <w:pPr>
        <w:pStyle w:val="Ruller43"/>
        <w:numPr>
          <w:ilvl w:val="0"/>
          <w:numId w:val="1"/>
        </w:numPr>
        <w:ind w:end="0"/>
        <w:jc w:val="both"/>
        <w:rPr/>
      </w:pPr>
      <w:r>
        <w:rPr>
          <w:rtl w:val="true"/>
        </w:rPr>
        <w:t>עיקר טענת המערער הוא כי גזר הדין מחמיר עמו יתר על המידה גם בהשוואה למעורבים אחרים</w:t>
      </w:r>
      <w:r>
        <w:rPr>
          <w:rtl w:val="true"/>
        </w:rPr>
        <w:t xml:space="preserve">, </w:t>
      </w:r>
      <w:r>
        <w:rPr>
          <w:rtl w:val="true"/>
        </w:rPr>
        <w:t>וכי היה מקום להתייחס אליו באופן מקל לאור מעורבותו הבלתי ישירה בעסקאות</w:t>
      </w:r>
      <w:r>
        <w:rPr>
          <w:rtl w:val="true"/>
        </w:rPr>
        <w:t xml:space="preserve">. </w:t>
      </w:r>
      <w:r>
        <w:rPr>
          <w:rtl w:val="true"/>
        </w:rPr>
        <w:t xml:space="preserve">כן נטען כי לא ניתן משקל הולם לנסיבותיו האישיות ובפרט לכך שבעת ביצוע העבירות היה בן </w:t>
      </w:r>
      <w:r>
        <w:rPr/>
        <w:t>19.5</w:t>
      </w:r>
      <w:r>
        <w:rPr>
          <w:rtl w:val="true"/>
        </w:rPr>
        <w:t xml:space="preserve"> </w:t>
      </w:r>
      <w:r>
        <w:rPr>
          <w:rtl w:val="true"/>
        </w:rPr>
        <w:t>שנים ולעובדה כי זה מאסרו הראשון</w:t>
      </w:r>
      <w:r>
        <w:rPr>
          <w:rtl w:val="true"/>
        </w:rPr>
        <w:t xml:space="preserve">. </w:t>
      </w:r>
      <w:r>
        <w:rPr>
          <w:rtl w:val="true"/>
        </w:rPr>
        <w:t>מנגד</w:t>
      </w:r>
      <w:r>
        <w:rPr>
          <w:rtl w:val="true"/>
        </w:rPr>
        <w:t xml:space="preserve">, </w:t>
      </w:r>
      <w:r>
        <w:rPr>
          <w:rtl w:val="true"/>
        </w:rPr>
        <w:t>המדינה הדגישה כי אין לשעות לטענת המערער</w:t>
      </w:r>
      <w:r>
        <w:rPr>
          <w:rtl w:val="true"/>
        </w:rPr>
        <w:t xml:space="preserve">, </w:t>
      </w:r>
      <w:r>
        <w:rPr>
          <w:rtl w:val="true"/>
        </w:rPr>
        <w:t>נוכח היותו זה אשר תיווך</w:t>
      </w:r>
      <w:r>
        <w:rPr>
          <w:rtl w:val="true"/>
        </w:rPr>
        <w:t xml:space="preserve">, </w:t>
      </w:r>
      <w:r>
        <w:rPr>
          <w:rtl w:val="true"/>
        </w:rPr>
        <w:t>מכר ובמקרים רבים היה המקור להשגת כלי הנשק בעסקאות בהיקפים כספיים גבוהים ובמשך תקופה ממושכת</w:t>
      </w:r>
      <w:r>
        <w:rPr>
          <w:rtl w:val="true"/>
        </w:rPr>
        <w:t xml:space="preserve">. </w:t>
      </w:r>
      <w:r>
        <w:rPr>
          <w:rtl w:val="true"/>
        </w:rPr>
        <w:t>כן הודגש כי מלבד עבירות הסחר בנשק</w:t>
      </w:r>
      <w:r>
        <w:rPr>
          <w:rtl w:val="true"/>
        </w:rPr>
        <w:t xml:space="preserve">, </w:t>
      </w:r>
      <w:r>
        <w:rPr>
          <w:rtl w:val="true"/>
        </w:rPr>
        <w:t>המערער הורשע גם בירי בשטח בנוי</w:t>
      </w:r>
      <w:r>
        <w:rPr>
          <w:rtl w:val="true"/>
        </w:rPr>
        <w:t>.</w:t>
      </w:r>
    </w:p>
    <w:p>
      <w:pPr>
        <w:pStyle w:val="Ruller42"/>
        <w:ind w:end="0"/>
        <w:jc w:val="both"/>
        <w:rPr>
          <w:rFonts w:ascii="Century" w:hAnsi="Century" w:cs="Miriam"/>
          <w:b/>
          <w:spacing w:val="0"/>
          <w:szCs w:val="24"/>
        </w:rPr>
      </w:pPr>
      <w:r>
        <w:rPr>
          <w:rFonts w:cs="Miriam" w:ascii="Century" w:hAnsi="Century"/>
          <w:b/>
          <w:spacing w:val="0"/>
          <w:szCs w:val="24"/>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ב</w:t>
      </w:r>
      <w:r>
        <w:rPr>
          <w:rFonts w:cs="Miriam" w:ascii="Century" w:hAnsi="Century"/>
          <w:b/>
          <w:spacing w:val="0"/>
          <w:szCs w:val="24"/>
          <w:rtl w:val="true"/>
        </w:rPr>
        <w:t xml:space="preserve">. </w:t>
      </w:r>
      <w:r>
        <w:rPr>
          <w:rFonts w:ascii="Century" w:hAnsi="Century" w:cs="Miriam"/>
          <w:b/>
          <w:b/>
          <w:spacing w:val="0"/>
          <w:szCs w:val="24"/>
          <w:rtl w:val="true"/>
        </w:rPr>
        <w:t>דיון</w:t>
      </w:r>
      <w:r>
        <w:rPr>
          <w:rFonts w:ascii="Century" w:hAnsi="Century" w:eastAsia="Century" w:cs="Century"/>
          <w:b/>
          <w:b/>
          <w:spacing w:val="0"/>
          <w:szCs w:val="24"/>
          <w:rtl w:val="true"/>
        </w:rPr>
        <w:t xml:space="preserve"> </w:t>
      </w:r>
      <w:r>
        <w:rPr>
          <w:rFonts w:ascii="Century" w:hAnsi="Century" w:cs="Miriam"/>
          <w:b/>
          <w:b/>
          <w:spacing w:val="0"/>
          <w:szCs w:val="24"/>
          <w:rtl w:val="true"/>
        </w:rPr>
        <w:t>והכרעה</w:t>
      </w:r>
    </w:p>
    <w:p>
      <w:pPr>
        <w:pStyle w:val="Ruller43"/>
        <w:numPr>
          <w:ilvl w:val="0"/>
          <w:numId w:val="1"/>
        </w:numPr>
        <w:ind w:end="0"/>
        <w:jc w:val="both"/>
        <w:rPr/>
      </w:pPr>
      <w:r>
        <w:rPr>
          <w:rtl w:val="true"/>
        </w:rPr>
        <w:t>כאמור</w:t>
      </w:r>
      <w:r>
        <w:rPr>
          <w:rtl w:val="true"/>
        </w:rPr>
        <w:t xml:space="preserve">, </w:t>
      </w:r>
      <w:r>
        <w:rPr>
          <w:rtl w:val="true"/>
        </w:rPr>
        <w:t>המערער הורשע בביצוע עבירות של סחר בנשק ושל קשירת קשר לסחר</w:t>
      </w:r>
      <w:r>
        <w:rPr>
          <w:rtl w:val="true"/>
        </w:rPr>
        <w:t xml:space="preserve">, </w:t>
      </w:r>
      <w:r>
        <w:rPr>
          <w:rtl w:val="true"/>
        </w:rPr>
        <w:t>כאשר מכתב האישום המתוקן עולה כי מידת מעורבותו בעסקאות הנשק הייתה גבוהה מאוד</w:t>
      </w:r>
      <w:r>
        <w:rPr>
          <w:rtl w:val="true"/>
        </w:rPr>
        <w:t xml:space="preserve">. </w:t>
      </w:r>
      <w:r>
        <w:rPr>
          <w:rtl w:val="true"/>
        </w:rPr>
        <w:t>המערער הוא זה אשר ניהל את המגעים אל מול הסוכן</w:t>
      </w:r>
      <w:r>
        <w:rPr>
          <w:rtl w:val="true"/>
        </w:rPr>
        <w:t xml:space="preserve">, </w:t>
      </w:r>
      <w:r>
        <w:rPr>
          <w:rtl w:val="true"/>
        </w:rPr>
        <w:t>סיפק את כלי הנשק וקיבל את כספי התמורה לידיו</w:t>
      </w:r>
      <w:r>
        <w:rPr>
          <w:rtl w:val="true"/>
        </w:rPr>
        <w:t xml:space="preserve">. </w:t>
      </w:r>
      <w:r>
        <w:rPr>
          <w:rtl w:val="true"/>
        </w:rPr>
        <w:t>בחלק מהעסקאות המערער גם היה זה אשר הציע לסוכן לרכוש את כלי הנשק</w:t>
      </w:r>
      <w:r>
        <w:rPr>
          <w:rtl w:val="true"/>
        </w:rPr>
        <w:t xml:space="preserve">. </w:t>
      </w:r>
      <w:r>
        <w:rPr>
          <w:rtl w:val="true"/>
        </w:rPr>
        <w:t>ועוד</w:t>
      </w:r>
      <w:r>
        <w:rPr>
          <w:rtl w:val="true"/>
        </w:rPr>
        <w:t xml:space="preserve">, </w:t>
      </w:r>
      <w:r>
        <w:rPr>
          <w:rtl w:val="true"/>
        </w:rPr>
        <w:t xml:space="preserve">בעסקאות אלו נמכרו שמונה כלי נשק מסוגים שונים </w:t>
      </w:r>
      <w:r>
        <w:rPr>
          <w:rtl w:val="true"/>
        </w:rPr>
        <w:t>–</w:t>
      </w:r>
      <w:r>
        <w:rPr>
          <w:rtl w:val="true"/>
        </w:rPr>
        <w:t xml:space="preserve"> חמישה תתי</w:t>
      </w:r>
      <w:r>
        <w:rPr>
          <w:rtl w:val="true"/>
        </w:rPr>
        <w:t>-</w:t>
      </w:r>
      <w:r>
        <w:rPr>
          <w:rtl w:val="true"/>
        </w:rPr>
        <w:t>מקלע מסוג קרלו</w:t>
      </w:r>
      <w:r>
        <w:rPr>
          <w:rtl w:val="true"/>
        </w:rPr>
        <w:t xml:space="preserve">, </w:t>
      </w:r>
      <w:r>
        <w:rPr>
          <w:rtl w:val="true"/>
        </w:rPr>
        <w:t>רובה סער מסוג קלאצ</w:t>
      </w:r>
      <w:r>
        <w:rPr>
          <w:rtl w:val="true"/>
        </w:rPr>
        <w:t>'</w:t>
      </w:r>
      <w:r>
        <w:rPr>
          <w:rtl w:val="true"/>
        </w:rPr>
        <w:t>ניקוב ואקדחים מסוג גלוק וקולט</w:t>
      </w:r>
      <w:r>
        <w:rPr>
          <w:rtl w:val="true"/>
        </w:rPr>
        <w:t xml:space="preserve">, </w:t>
      </w:r>
      <w:r>
        <w:rPr>
          <w:rtl w:val="true"/>
        </w:rPr>
        <w:t>כאשר לצד כלי הנשק סופקה גם תחמושת תואמת</w:t>
      </w:r>
      <w:r>
        <w:rPr>
          <w:rtl w:val="true"/>
        </w:rPr>
        <w:t xml:space="preserve">. </w:t>
      </w:r>
      <w:r>
        <w:rPr>
          <w:rtl w:val="true"/>
        </w:rPr>
        <w:t>המדובר בדפוס פעולה עברייני חמור</w:t>
      </w:r>
      <w:r>
        <w:rPr>
          <w:rtl w:val="true"/>
        </w:rPr>
        <w:t xml:space="preserve">, </w:t>
      </w:r>
      <w:r>
        <w:rPr>
          <w:rtl w:val="true"/>
        </w:rPr>
        <w:t>שיש בו כדי לבטא פגיעה קשה בביטחון ובשלום הציבור</w:t>
      </w:r>
      <w:r>
        <w:rPr>
          <w:rtl w:val="true"/>
        </w:rPr>
        <w:t xml:space="preserve">. </w:t>
      </w:r>
      <w:r>
        <w:rPr>
          <w:rtl w:val="true"/>
        </w:rPr>
        <w:t>מלבד מעורבותו של המערער בסחר בלתי חוקי בנשק ובתחמושת</w:t>
      </w:r>
      <w:r>
        <w:rPr>
          <w:rtl w:val="true"/>
        </w:rPr>
        <w:t xml:space="preserve">, </w:t>
      </w:r>
      <w:r>
        <w:rPr>
          <w:rtl w:val="true"/>
        </w:rPr>
        <w:t>צירף המערער למעשיו אלה גם ביצוע ירי חי להוכחת תקינות כלי הנשק</w:t>
      </w:r>
      <w:r>
        <w:rPr>
          <w:rtl w:val="true"/>
        </w:rPr>
        <w:t xml:space="preserve">, </w:t>
      </w:r>
      <w:r>
        <w:rPr>
          <w:rtl w:val="true"/>
        </w:rPr>
        <w:t>באופן המצדיק אף הוא ענישה מרתיעה</w:t>
      </w:r>
      <w:r>
        <w:rPr>
          <w:rtl w:val="true"/>
        </w:rPr>
        <w:t xml:space="preserve">. </w:t>
      </w:r>
    </w:p>
    <w:p>
      <w:pPr>
        <w:pStyle w:val="Ruller42"/>
        <w:ind w:end="0"/>
        <w:jc w:val="both"/>
        <w:rPr/>
      </w:pPr>
      <w:r>
        <w:rPr>
          <w:rtl w:val="true"/>
        </w:rPr>
      </w:r>
    </w:p>
    <w:p>
      <w:pPr>
        <w:pStyle w:val="Ruller43"/>
        <w:numPr>
          <w:ilvl w:val="0"/>
          <w:numId w:val="1"/>
        </w:numPr>
        <w:ind w:end="0"/>
        <w:jc w:val="both"/>
        <w:rPr/>
      </w:pPr>
      <w:r>
        <w:rPr>
          <w:rtl w:val="true"/>
        </w:rPr>
        <w:t>טענת בא</w:t>
      </w:r>
      <w:r>
        <w:rPr>
          <w:rtl w:val="true"/>
        </w:rPr>
        <w:t>-</w:t>
      </w:r>
      <w:r>
        <w:rPr>
          <w:rtl w:val="true"/>
        </w:rPr>
        <w:t>כוח המערער</w:t>
      </w:r>
      <w:r>
        <w:rPr>
          <w:rtl w:val="true"/>
        </w:rPr>
        <w:t xml:space="preserve">, </w:t>
      </w:r>
      <w:r>
        <w:rPr>
          <w:rtl w:val="true"/>
        </w:rPr>
        <w:t>כי על אף שהמערער הורשע בעבירות של סחר בנשק מבחינה עובדתית הוא שימש לא יותר מ</w:t>
      </w:r>
      <w:r>
        <w:rPr>
          <w:rtl w:val="true"/>
        </w:rPr>
        <w:t>"</w:t>
      </w:r>
      <w:r>
        <w:rPr>
          <w:rtl w:val="true"/>
        </w:rPr>
        <w:t>מתווך</w:t>
      </w:r>
      <w:r>
        <w:rPr>
          <w:rtl w:val="true"/>
        </w:rPr>
        <w:t xml:space="preserve">", </w:t>
      </w:r>
      <w:r>
        <w:rPr>
          <w:rtl w:val="true"/>
        </w:rPr>
        <w:t>אינה יכולה להתקבל ובצדק נדחתה גם על ידי בית המשפט המחוזי</w:t>
      </w:r>
      <w:r>
        <w:rPr>
          <w:rtl w:val="true"/>
        </w:rPr>
        <w:t xml:space="preserve">. </w:t>
      </w:r>
      <w:r>
        <w:rPr>
          <w:rtl w:val="true"/>
        </w:rPr>
        <w:t>גם אם בחלק מהעסקאות המערער לא היה הגורם שיצר את הקשר הראשוני עם הסוכן</w:t>
      </w:r>
      <w:r>
        <w:rPr>
          <w:rtl w:val="true"/>
        </w:rPr>
        <w:t xml:space="preserve">, </w:t>
      </w:r>
      <w:r>
        <w:rPr>
          <w:rtl w:val="true"/>
        </w:rPr>
        <w:t>מעורבותו בפעילות הסחר עמוקה ביותר</w:t>
      </w:r>
      <w:r>
        <w:rPr>
          <w:rtl w:val="true"/>
        </w:rPr>
        <w:t xml:space="preserve">. </w:t>
      </w:r>
      <w:r>
        <w:rPr>
          <w:rtl w:val="true"/>
        </w:rPr>
        <w:t>יתר על כן</w:t>
      </w:r>
      <w:r>
        <w:rPr>
          <w:rtl w:val="true"/>
        </w:rPr>
        <w:t xml:space="preserve">, </w:t>
      </w:r>
      <w:r>
        <w:rPr>
          <w:rtl w:val="true"/>
        </w:rPr>
        <w:t>אף אם כטענת המערער</w:t>
      </w:r>
      <w:r>
        <w:rPr>
          <w:rtl w:val="true"/>
        </w:rPr>
        <w:t xml:space="preserve">, </w:t>
      </w:r>
      <w:r>
        <w:rPr>
          <w:rtl w:val="true"/>
        </w:rPr>
        <w:t xml:space="preserve">הוא שימש </w:t>
      </w:r>
      <w:r>
        <w:rPr>
          <w:rtl w:val="true"/>
        </w:rPr>
        <w:t>"</w:t>
      </w:r>
      <w:r>
        <w:rPr>
          <w:rtl w:val="true"/>
        </w:rPr>
        <w:t>כמתווך</w:t>
      </w:r>
      <w:r>
        <w:rPr>
          <w:rtl w:val="true"/>
        </w:rPr>
        <w:t xml:space="preserve">" </w:t>
      </w:r>
      <w:r>
        <w:rPr>
          <w:rtl w:val="true"/>
        </w:rPr>
        <w:t>בלבד</w:t>
      </w:r>
      <w:r>
        <w:rPr>
          <w:rtl w:val="true"/>
        </w:rPr>
        <w:t xml:space="preserve">, </w:t>
      </w:r>
      <w:r>
        <w:rPr>
          <w:rtl w:val="true"/>
        </w:rPr>
        <w:t>אין בכך כדי להצדיק הקלה בעונשו</w:t>
      </w:r>
      <w:r>
        <w:rPr>
          <w:rtl w:val="true"/>
        </w:rPr>
        <w:t xml:space="preserve">. </w:t>
      </w:r>
      <w:r>
        <w:rPr>
          <w:rtl w:val="true"/>
        </w:rPr>
        <w:t>שכן</w:t>
      </w:r>
      <w:r>
        <w:rPr>
          <w:rtl w:val="true"/>
        </w:rPr>
        <w:t xml:space="preserve">, </w:t>
      </w:r>
      <w:r>
        <w:rPr>
          <w:rtl w:val="true"/>
        </w:rPr>
        <w:t>במסגרת שרשרת הסחר העומדת מאחורי עסקאות כגון אלה</w:t>
      </w:r>
      <w:r>
        <w:rPr>
          <w:rtl w:val="true"/>
        </w:rPr>
        <w:t xml:space="preserve">, </w:t>
      </w:r>
      <w:r>
        <w:rPr>
          <w:rtl w:val="true"/>
        </w:rPr>
        <w:t xml:space="preserve">תפקיד </w:t>
      </w:r>
      <w:r>
        <w:rPr>
          <w:rtl w:val="true"/>
        </w:rPr>
        <w:t>"</w:t>
      </w:r>
      <w:r>
        <w:rPr>
          <w:rtl w:val="true"/>
        </w:rPr>
        <w:t>התיווך</w:t>
      </w:r>
      <w:r>
        <w:rPr>
          <w:rtl w:val="true"/>
        </w:rPr>
        <w:t xml:space="preserve">" </w:t>
      </w:r>
      <w:r>
        <w:rPr>
          <w:rtl w:val="true"/>
        </w:rPr>
        <w:t>בין החוליות השונות</w:t>
      </w:r>
      <w:r>
        <w:rPr>
          <w:rtl w:val="true"/>
        </w:rPr>
        <w:t xml:space="preserve">, </w:t>
      </w:r>
      <w:r>
        <w:rPr>
          <w:rtl w:val="true"/>
        </w:rPr>
        <w:t>הינו תפקיד מרכזי ומשמעותי ביותר שבאמצעותו מתאפשרת השלמת העסקה והפעילות העבריינית</w:t>
      </w:r>
      <w:r>
        <w:rPr>
          <w:rtl w:val="true"/>
        </w:rPr>
        <w:t xml:space="preserve">. </w:t>
      </w:r>
    </w:p>
    <w:p>
      <w:pPr>
        <w:pStyle w:val="Ruller42"/>
        <w:ind w:end="0"/>
        <w:jc w:val="both"/>
        <w:rPr/>
      </w:pPr>
      <w:r>
        <w:rPr>
          <w:rtl w:val="true"/>
        </w:rPr>
      </w:r>
    </w:p>
    <w:p>
      <w:pPr>
        <w:pStyle w:val="Ruller43"/>
        <w:numPr>
          <w:ilvl w:val="0"/>
          <w:numId w:val="1"/>
        </w:numPr>
        <w:ind w:end="0"/>
        <w:jc w:val="both"/>
        <w:rPr/>
      </w:pPr>
      <w:r>
        <w:rPr>
          <w:rtl w:val="true"/>
        </w:rPr>
        <w:t>בא</w:t>
      </w:r>
      <w:r>
        <w:rPr>
          <w:rtl w:val="true"/>
        </w:rPr>
        <w:t>-</w:t>
      </w:r>
      <w:r>
        <w:rPr>
          <w:rtl w:val="true"/>
        </w:rPr>
        <w:t>כוח המערער הצביע בעיקר על גילו הצעיר של המערער כנסיבה ממנה התעלם בית המשפט</w:t>
      </w:r>
      <w:r>
        <w:rPr>
          <w:rtl w:val="true"/>
        </w:rPr>
        <w:t xml:space="preserve">, </w:t>
      </w:r>
      <w:r>
        <w:rPr>
          <w:rtl w:val="true"/>
        </w:rPr>
        <w:t>לשיטתו</w:t>
      </w:r>
      <w:r>
        <w:rPr>
          <w:rtl w:val="true"/>
        </w:rPr>
        <w:t xml:space="preserve">. </w:t>
      </w:r>
      <w:r>
        <w:rPr>
          <w:rtl w:val="true"/>
        </w:rPr>
        <w:t>אולם גם בכך אין ממש</w:t>
      </w:r>
      <w:r>
        <w:rPr>
          <w:rtl w:val="true"/>
        </w:rPr>
        <w:t xml:space="preserve">. </w:t>
      </w:r>
      <w:r>
        <w:rPr>
          <w:rtl w:val="true"/>
        </w:rPr>
        <w:t>אכן</w:t>
      </w:r>
      <w:r>
        <w:rPr>
          <w:rtl w:val="true"/>
        </w:rPr>
        <w:t xml:space="preserve">, </w:t>
      </w:r>
      <w:r>
        <w:rPr>
          <w:rtl w:val="true"/>
        </w:rPr>
        <w:t xml:space="preserve">בעת ביצוע העבירות היה המערער כאמור כבן </w:t>
      </w:r>
      <w:r>
        <w:rPr/>
        <w:t>19.5</w:t>
      </w:r>
      <w:r>
        <w:rPr>
          <w:rtl w:val="true"/>
        </w:rPr>
        <w:t xml:space="preserve"> </w:t>
      </w:r>
      <w:r>
        <w:rPr>
          <w:rtl w:val="true"/>
        </w:rPr>
        <w:t>שנים</w:t>
      </w:r>
      <w:r>
        <w:rPr>
          <w:rtl w:val="true"/>
        </w:rPr>
        <w:t xml:space="preserve">. </w:t>
      </w:r>
      <w:r>
        <w:rPr>
          <w:rtl w:val="true"/>
        </w:rPr>
        <w:t>אלא שבית המשפט המחוזי לקח בחשבון נתון זה</w:t>
      </w:r>
      <w:r>
        <w:rPr>
          <w:rtl w:val="true"/>
        </w:rPr>
        <w:t xml:space="preserve">, </w:t>
      </w:r>
      <w:r>
        <w:rPr>
          <w:rtl w:val="true"/>
        </w:rPr>
        <w:t>וגם את נסיבות חייו המורכבות</w:t>
      </w:r>
      <w:r>
        <w:rPr>
          <w:rtl w:val="true"/>
        </w:rPr>
        <w:t xml:space="preserve">, </w:t>
      </w:r>
      <w:r>
        <w:rPr>
          <w:rtl w:val="true"/>
        </w:rPr>
        <w:t>נוכח נכותו של אביו והתנאים שבהם גדל</w:t>
      </w:r>
      <w:r>
        <w:rPr>
          <w:rtl w:val="true"/>
        </w:rPr>
        <w:t xml:space="preserve">. </w:t>
      </w:r>
      <w:r>
        <w:rPr>
          <w:rtl w:val="true"/>
        </w:rPr>
        <w:t>לאחר שקלול נתונים אלו</w:t>
      </w:r>
      <w:r>
        <w:rPr>
          <w:rtl w:val="true"/>
        </w:rPr>
        <w:t xml:space="preserve">, </w:t>
      </w:r>
      <w:r>
        <w:rPr>
          <w:rtl w:val="true"/>
        </w:rPr>
        <w:t>נקבע בסופו של יום עונש שאינו קל</w:t>
      </w:r>
      <w:r>
        <w:rPr>
          <w:rtl w:val="true"/>
        </w:rPr>
        <w:t xml:space="preserve">, </w:t>
      </w:r>
      <w:r>
        <w:rPr>
          <w:rtl w:val="true"/>
        </w:rPr>
        <w:t>אך לא ניתן לומר כי הוא חריג בחומרתו או כי הוא מצדיק את התערבותנו</w:t>
      </w:r>
      <w:r>
        <w:rPr>
          <w:rtl w:val="true"/>
        </w:rPr>
        <w:t xml:space="preserve">. </w:t>
      </w:r>
      <w:r>
        <w:rPr>
          <w:rtl w:val="true"/>
        </w:rPr>
        <w:t>ישנם מקרים בהם על אף שמדובר בצעיר כאמור</w:t>
      </w:r>
      <w:r>
        <w:rPr>
          <w:rtl w:val="true"/>
        </w:rPr>
        <w:t xml:space="preserve">, </w:t>
      </w:r>
      <w:r>
        <w:rPr>
          <w:rtl w:val="true"/>
        </w:rPr>
        <w:t>שיקולי השיקום נסוגים במידת</w:t>
      </w:r>
      <w:r>
        <w:rPr>
          <w:rtl w:val="true"/>
        </w:rPr>
        <w:t>-</w:t>
      </w:r>
      <w:r>
        <w:rPr>
          <w:rtl w:val="true"/>
        </w:rPr>
        <w:t xml:space="preserve">מה מפני שיקולי הגמול וההרתעה </w:t>
      </w:r>
      <w:r>
        <w:rPr>
          <w:rtl w:val="true"/>
        </w:rPr>
        <w:t>(</w:t>
      </w:r>
      <w:r>
        <w:rPr>
          <w:rtl w:val="true"/>
        </w:rPr>
        <w:t>ראו למשל</w:t>
      </w:r>
      <w:r>
        <w:rPr>
          <w:rtl w:val="true"/>
        </w:rPr>
        <w:t xml:space="preserve">: </w:t>
      </w:r>
      <w:hyperlink r:id="rId5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1768/14</w:t>
        </w:r>
      </w:hyperlink>
      <w:r>
        <w:rPr>
          <w:rtl w:val="true"/>
        </w:rPr>
        <w:t xml:space="preserve"> </w:t>
      </w:r>
      <w:r>
        <w:rPr>
          <w:rFonts w:ascii="Century" w:hAnsi="Century" w:cs="Miriam"/>
          <w:b/>
          <w:b/>
          <w:spacing w:val="0"/>
          <w:sz w:val="22"/>
          <w:sz w:val="22"/>
          <w:szCs w:val="24"/>
          <w:rtl w:val="true"/>
        </w:rPr>
        <w:t>בהא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גנאיים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22.7.2014</w:t>
      </w:r>
      <w:r>
        <w:rPr>
          <w:rtl w:val="true"/>
        </w:rPr>
        <w:t xml:space="preserve">)), </w:t>
      </w:r>
      <w:r>
        <w:rPr>
          <w:rtl w:val="true"/>
        </w:rPr>
        <w:t>וכך גם במקרה זה</w:t>
      </w:r>
      <w:r>
        <w:rPr>
          <w:rtl w:val="true"/>
        </w:rPr>
        <w:t xml:space="preserve">. </w:t>
      </w:r>
      <w:r>
        <w:rPr>
          <w:rtl w:val="true"/>
        </w:rPr>
        <w:t>אשר על כן</w:t>
      </w:r>
      <w:r>
        <w:rPr>
          <w:rtl w:val="true"/>
        </w:rPr>
        <w:t xml:space="preserve">, </w:t>
      </w:r>
      <w:r>
        <w:rPr>
          <w:rtl w:val="true"/>
        </w:rPr>
        <w:t>אם תשמע דעתי</w:t>
      </w:r>
      <w:r>
        <w:rPr>
          <w:rtl w:val="true"/>
        </w:rPr>
        <w:t xml:space="preserve">, </w:t>
      </w:r>
      <w:r>
        <w:rPr>
          <w:rtl w:val="true"/>
        </w:rPr>
        <w:t>דין ערעור זה להידחות</w:t>
      </w:r>
      <w:r>
        <w:rPr>
          <w:rtl w:val="true"/>
        </w:rPr>
        <w:t>.</w:t>
      </w:r>
    </w:p>
    <w:p>
      <w:pPr>
        <w:pStyle w:val="Ruller43"/>
        <w:numPr>
          <w:ilvl w:val="0"/>
          <w:numId w:val="0"/>
        </w:numPr>
        <w:ind w:hanging="0" w:start="0" w:end="0"/>
        <w:jc w:val="both"/>
        <w:rPr/>
      </w:pPr>
      <w:r>
        <w:rPr>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נאשם</w:t>
      </w:r>
      <w:r>
        <w:rPr>
          <w:rFonts w:ascii="Century" w:hAnsi="Century" w:eastAsia="Century" w:cs="Century"/>
          <w:b/>
          <w:b/>
          <w:spacing w:val="0"/>
          <w:szCs w:val="24"/>
          <w:rtl w:val="true"/>
        </w:rPr>
        <w:t xml:space="preserve"> </w:t>
      </w:r>
      <w:r>
        <w:rPr>
          <w:rFonts w:cs="Miriam" w:ascii="Century" w:hAnsi="Century"/>
          <w:b/>
          <w:spacing w:val="0"/>
          <w:szCs w:val="24"/>
        </w:rPr>
        <w:t>3</w:t>
      </w:r>
      <w:r>
        <w:rPr>
          <w:rFonts w:cs="Miriam" w:ascii="Century" w:hAnsi="Century"/>
          <w:b/>
          <w:spacing w:val="0"/>
          <w:szCs w:val="24"/>
          <w:rtl w:val="true"/>
        </w:rPr>
        <w:t xml:space="preserve"> (</w:t>
      </w:r>
      <w:r>
        <w:rPr>
          <w:rFonts w:ascii="Century" w:hAnsi="Century" w:cs="Miriam"/>
          <w:b/>
          <w:b/>
          <w:spacing w:val="0"/>
          <w:szCs w:val="24"/>
          <w:rtl w:val="true"/>
        </w:rPr>
        <w:t>המערער</w:t>
      </w:r>
      <w:r>
        <w:rPr>
          <w:rFonts w:ascii="Century" w:hAnsi="Century" w:eastAsia="Century" w:cs="Century"/>
          <w:b/>
          <w:b/>
          <w:spacing w:val="0"/>
          <w:szCs w:val="24"/>
          <w:rtl w:val="true"/>
        </w:rPr>
        <w:t xml:space="preserve"> </w:t>
      </w:r>
      <w:r>
        <w:rPr>
          <w:rFonts w:ascii="Century" w:hAnsi="Century" w:cs="Miriam"/>
          <w:b/>
          <w:b/>
          <w:spacing w:val="0"/>
          <w:szCs w:val="24"/>
          <w:rtl w:val="true"/>
        </w:rPr>
        <w:t>ב</w:t>
      </w:r>
      <w:r>
        <w:rPr>
          <w:rFonts w:ascii="Century" w:hAnsi="Century" w:cs="Miriam"/>
          <w:b/>
          <w:b/>
          <w:spacing w:val="0"/>
          <w:szCs w:val="24"/>
          <w:rtl w:val="true"/>
        </w:rPr>
        <w:t>ע</w:t>
      </w:r>
      <w:r>
        <w:rPr>
          <w:rFonts w:cs="Miriam" w:ascii="Century" w:hAnsi="Century"/>
          <w:b/>
          <w:spacing w:val="0"/>
          <w:szCs w:val="24"/>
          <w:rtl w:val="true"/>
        </w:rPr>
        <w:t>"</w:t>
      </w:r>
      <w:r>
        <w:rPr>
          <w:rFonts w:ascii="Century" w:hAnsi="Century" w:cs="Miriam"/>
          <w:b/>
          <w:b/>
          <w:spacing w:val="0"/>
          <w:szCs w:val="24"/>
          <w:rtl w:val="true"/>
        </w:rPr>
        <w:t>פ</w:t>
      </w:r>
      <w:r>
        <w:rPr>
          <w:rFonts w:ascii="Century" w:hAnsi="Century" w:eastAsia="Century" w:cs="Century"/>
          <w:b/>
          <w:b/>
          <w:spacing w:val="0"/>
          <w:szCs w:val="24"/>
          <w:rtl w:val="true"/>
        </w:rPr>
        <w:t xml:space="preserve"> </w:t>
      </w:r>
      <w:r>
        <w:rPr>
          <w:rFonts w:cs="Miriam" w:ascii="Century" w:hAnsi="Century"/>
          <w:b/>
          <w:spacing w:val="0"/>
          <w:szCs w:val="24"/>
        </w:rPr>
        <w:t>8045/17</w:t>
      </w:r>
      <w:r>
        <w:rPr>
          <w:rFonts w:cs="Miriam" w:ascii="Century" w:hAnsi="Century"/>
          <w:b/>
          <w:spacing w:val="0"/>
          <w:szCs w:val="24"/>
          <w:rtl w:val="true"/>
        </w:rPr>
        <w:t>)</w:t>
      </w:r>
    </w:p>
    <w:p>
      <w:pPr>
        <w:pStyle w:val="Ruller43"/>
        <w:numPr>
          <w:ilvl w:val="0"/>
          <w:numId w:val="0"/>
        </w:numPr>
        <w:ind w:hanging="0" w:start="0" w:end="0"/>
        <w:jc w:val="both"/>
        <w:rPr>
          <w:rFonts w:ascii="Century" w:hAnsi="Century" w:cs="Miriam"/>
          <w:b/>
          <w:spacing w:val="0"/>
          <w:sz w:val="22"/>
          <w:szCs w:val="24"/>
        </w:rPr>
      </w:pP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הרקע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לערעור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וטענות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הצדדים</w:t>
      </w:r>
    </w:p>
    <w:p>
      <w:pPr>
        <w:pStyle w:val="Ruller43"/>
        <w:numPr>
          <w:ilvl w:val="0"/>
          <w:numId w:val="1"/>
        </w:numPr>
        <w:ind w:end="0"/>
        <w:jc w:val="both"/>
        <w:rPr>
          <w:rFonts w:ascii="Century" w:hAnsi="Century" w:cs="Century"/>
          <w:sz w:val="22"/>
        </w:rPr>
      </w:pPr>
      <w:r>
        <w:rPr>
          <w:rFonts w:ascii="Century" w:hAnsi="Century" w:cs="Century"/>
          <w:sz w:val="22"/>
          <w:sz w:val="22"/>
          <w:rtl w:val="true"/>
        </w:rPr>
        <w:t>המערער הורשע בעבירות של סחר בנשק</w:t>
      </w:r>
      <w:r>
        <w:rPr>
          <w:rFonts w:cs="Century" w:ascii="Century" w:hAnsi="Century"/>
          <w:sz w:val="22"/>
          <w:rtl w:val="true"/>
        </w:rPr>
        <w:t xml:space="preserve">, </w:t>
      </w:r>
      <w:r>
        <w:rPr>
          <w:rFonts w:ascii="Century" w:hAnsi="Century" w:cs="Century"/>
          <w:sz w:val="22"/>
          <w:sz w:val="22"/>
          <w:rtl w:val="true"/>
        </w:rPr>
        <w:t>קשירת קשר לסחר ושתי עבירות של ירי באזור מגורים</w:t>
      </w:r>
      <w:r>
        <w:rPr>
          <w:rFonts w:cs="Century" w:ascii="Century" w:hAnsi="Century"/>
          <w:sz w:val="22"/>
          <w:rtl w:val="true"/>
        </w:rPr>
        <w:t xml:space="preserve">, </w:t>
      </w:r>
      <w:r>
        <w:rPr>
          <w:rFonts w:ascii="Century" w:hAnsi="Century" w:cs="Century"/>
          <w:sz w:val="22"/>
          <w:sz w:val="22"/>
          <w:rtl w:val="true"/>
        </w:rPr>
        <w:t>בגין מעורבותו בארבע עסקאות נשק</w:t>
      </w:r>
      <w:r>
        <w:rPr>
          <w:rFonts w:cs="Century" w:ascii="Century" w:hAnsi="Century"/>
          <w:sz w:val="22"/>
          <w:rtl w:val="true"/>
        </w:rPr>
        <w:t xml:space="preserve">, </w:t>
      </w:r>
      <w:r>
        <w:rPr>
          <w:rFonts w:ascii="Century" w:hAnsi="Century" w:cs="Century"/>
          <w:sz w:val="22"/>
          <w:sz w:val="22"/>
          <w:rtl w:val="true"/>
        </w:rPr>
        <w:t xml:space="preserve">במסגרתן נמכרו כלי נשק דמוי </w:t>
      </w:r>
      <w:r>
        <w:rPr>
          <w:rFonts w:cs="Century" w:ascii="Century" w:hAnsi="Century"/>
          <w:sz w:val="22"/>
        </w:rPr>
        <w:t>16</w:t>
      </w:r>
      <w:r>
        <w:rPr>
          <w:rFonts w:cs="Century" w:ascii="Century" w:hAnsi="Century"/>
          <w:sz w:val="22"/>
        </w:rPr>
        <w:t>M</w:t>
      </w:r>
      <w:r>
        <w:rPr>
          <w:rFonts w:cs="Century" w:ascii="Century" w:hAnsi="Century"/>
          <w:sz w:val="22"/>
          <w:rtl w:val="true"/>
        </w:rPr>
        <w:t xml:space="preserve">, </w:t>
      </w:r>
      <w:r>
        <w:rPr>
          <w:rFonts w:ascii="Century" w:hAnsi="Century" w:cs="Century"/>
          <w:sz w:val="22"/>
          <w:sz w:val="22"/>
          <w:rtl w:val="true"/>
        </w:rPr>
        <w:t>קלאצ</w:t>
      </w:r>
      <w:r>
        <w:rPr>
          <w:rFonts w:cs="Century" w:ascii="Century" w:hAnsi="Century"/>
          <w:sz w:val="22"/>
          <w:rtl w:val="true"/>
        </w:rPr>
        <w:t>'</w:t>
      </w:r>
      <w:r>
        <w:rPr>
          <w:rFonts w:ascii="Century" w:hAnsi="Century" w:cs="Century"/>
          <w:sz w:val="22"/>
          <w:sz w:val="22"/>
          <w:rtl w:val="true"/>
        </w:rPr>
        <w:t>ניקוב ו</w:t>
      </w:r>
      <w:r>
        <w:rPr>
          <w:rFonts w:cs="Century" w:ascii="Century" w:hAnsi="Century"/>
          <w:sz w:val="22"/>
          <w:rtl w:val="true"/>
        </w:rPr>
        <w:t>-</w:t>
      </w:r>
      <w:r>
        <w:rPr>
          <w:rFonts w:cs="Century" w:ascii="Century" w:hAnsi="Century"/>
          <w:sz w:val="22"/>
        </w:rPr>
        <w:t>100</w:t>
      </w:r>
      <w:r>
        <w:rPr>
          <w:rFonts w:cs="Century" w:ascii="Century" w:hAnsi="Century"/>
          <w:sz w:val="22"/>
          <w:rtl w:val="true"/>
        </w:rPr>
        <w:t xml:space="preserve"> </w:t>
      </w:r>
      <w:r>
        <w:rPr>
          <w:rFonts w:ascii="Century" w:hAnsi="Century" w:cs="Century"/>
          <w:sz w:val="22"/>
          <w:sz w:val="22"/>
          <w:rtl w:val="true"/>
        </w:rPr>
        <w:t>קליעים</w:t>
      </w:r>
      <w:r>
        <w:rPr>
          <w:rFonts w:cs="Century" w:ascii="Century" w:hAnsi="Century"/>
          <w:sz w:val="22"/>
          <w:rtl w:val="true"/>
        </w:rPr>
        <w:t xml:space="preserve">, </w:t>
      </w:r>
      <w:r>
        <w:rPr>
          <w:rFonts w:ascii="Century" w:hAnsi="Century" w:cs="Century"/>
          <w:sz w:val="22"/>
          <w:sz w:val="22"/>
          <w:rtl w:val="true"/>
        </w:rPr>
        <w:t xml:space="preserve">שני </w:t>
      </w:r>
      <w:r>
        <w:rPr>
          <w:rtl w:val="true"/>
        </w:rPr>
        <w:t>תתי</w:t>
      </w:r>
      <w:r>
        <w:rPr>
          <w:rtl w:val="true"/>
        </w:rPr>
        <w:t>-</w:t>
      </w:r>
      <w:r>
        <w:rPr>
          <w:rtl w:val="true"/>
        </w:rPr>
        <w:t>מקלע מסוג קרלו</w:t>
      </w:r>
      <w:r>
        <w:rPr>
          <w:rFonts w:ascii="Century" w:hAnsi="Century" w:cs="Century"/>
          <w:sz w:val="22"/>
          <w:sz w:val="22"/>
          <w:rtl w:val="true"/>
        </w:rPr>
        <w:t xml:space="preserve"> ומחסניות</w:t>
      </w:r>
      <w:r>
        <w:rPr>
          <w:rFonts w:cs="Century" w:ascii="Century" w:hAnsi="Century"/>
          <w:sz w:val="22"/>
          <w:rtl w:val="true"/>
        </w:rPr>
        <w:t xml:space="preserve">. </w:t>
      </w:r>
      <w:r>
        <w:rPr>
          <w:rFonts w:ascii="Century" w:hAnsi="Century" w:cs="Century"/>
          <w:sz w:val="22"/>
          <w:sz w:val="22"/>
          <w:rtl w:val="true"/>
        </w:rPr>
        <w:t>בשתיים מהעסקאות המערער גם ביצע ירי בכלי הנשק שנמכרו להוכחת תקינותם</w:t>
      </w:r>
      <w:r>
        <w:rPr>
          <w:rFonts w:cs="Century" w:ascii="Century" w:hAnsi="Century"/>
          <w:sz w:val="22"/>
          <w:rtl w:val="true"/>
        </w:rPr>
        <w:t xml:space="preserve">, </w:t>
      </w:r>
      <w:r>
        <w:rPr>
          <w:rFonts w:ascii="Century" w:hAnsi="Century" w:cs="Century"/>
          <w:sz w:val="22"/>
          <w:sz w:val="22"/>
          <w:rtl w:val="true"/>
        </w:rPr>
        <w:t>ו</w:t>
      </w:r>
      <w:r>
        <w:rPr>
          <w:rtl w:val="true"/>
        </w:rPr>
        <w:t xml:space="preserve">בעסקה הרביעית במסגרתה נמכרו </w:t>
      </w:r>
      <w:r>
        <w:rPr>
          <w:rFonts w:ascii="Century" w:hAnsi="Century" w:cs="Century"/>
          <w:sz w:val="22"/>
          <w:sz w:val="22"/>
          <w:rtl w:val="true"/>
        </w:rPr>
        <w:t>תת</w:t>
      </w:r>
      <w:r>
        <w:rPr>
          <w:rFonts w:cs="Century" w:ascii="Century" w:hAnsi="Century"/>
          <w:sz w:val="22"/>
          <w:rtl w:val="true"/>
        </w:rPr>
        <w:t>-</w:t>
      </w:r>
      <w:r>
        <w:rPr>
          <w:rFonts w:ascii="Century" w:hAnsi="Century" w:cs="Century"/>
          <w:sz w:val="22"/>
          <w:sz w:val="22"/>
          <w:rtl w:val="true"/>
        </w:rPr>
        <w:t>מקלע מסוג קרלו ו</w:t>
      </w:r>
      <w:r>
        <w:rPr>
          <w:rFonts w:cs="Century" w:ascii="Century" w:hAnsi="Century"/>
          <w:sz w:val="22"/>
          <w:rtl w:val="true"/>
        </w:rPr>
        <w:t>-</w:t>
      </w:r>
      <w:r>
        <w:rPr>
          <w:rFonts w:cs="Century" w:ascii="Century" w:hAnsi="Century"/>
          <w:sz w:val="22"/>
        </w:rPr>
        <w:t>50</w:t>
      </w:r>
      <w:r>
        <w:rPr>
          <w:rFonts w:cs="Century" w:ascii="Century" w:hAnsi="Century"/>
          <w:sz w:val="22"/>
          <w:rtl w:val="true"/>
        </w:rPr>
        <w:t xml:space="preserve"> </w:t>
      </w:r>
      <w:r>
        <w:rPr>
          <w:rFonts w:ascii="Century" w:hAnsi="Century" w:cs="Century"/>
          <w:sz w:val="22"/>
          <w:sz w:val="22"/>
          <w:rtl w:val="true"/>
        </w:rPr>
        <w:t>קליעים</w:t>
      </w:r>
      <w:r>
        <w:rPr>
          <w:rFonts w:cs="Century" w:ascii="Century" w:hAnsi="Century"/>
          <w:rtl w:val="true"/>
        </w:rPr>
        <w:t xml:space="preserve">. </w:t>
      </w:r>
      <w:r>
        <w:rPr>
          <w:rtl w:val="true"/>
        </w:rPr>
        <w:t xml:space="preserve">המערער אף הציע לסוכן לרכוש כלי נשק נוספים </w:t>
      </w:r>
      <w:r>
        <w:rPr>
          <w:rtl w:val="true"/>
        </w:rPr>
        <w:t>–</w:t>
      </w:r>
      <w:r>
        <w:rPr>
          <w:rtl w:val="true"/>
        </w:rPr>
        <w:t xml:space="preserve"> קלאצ</w:t>
      </w:r>
      <w:r>
        <w:rPr>
          <w:rtl w:val="true"/>
        </w:rPr>
        <w:t>'</w:t>
      </w:r>
      <w:r>
        <w:rPr>
          <w:rtl w:val="true"/>
        </w:rPr>
        <w:t xml:space="preserve">ניקוב </w:t>
      </w:r>
      <w:r>
        <w:rPr>
          <w:rFonts w:ascii="Century" w:hAnsi="Century" w:cs="Century"/>
          <w:sz w:val="22"/>
          <w:sz w:val="22"/>
          <w:rtl w:val="true"/>
        </w:rPr>
        <w:t>ותת</w:t>
      </w:r>
      <w:r>
        <w:rPr>
          <w:rFonts w:cs="Century" w:ascii="Century" w:hAnsi="Century"/>
          <w:sz w:val="22"/>
          <w:rtl w:val="true"/>
        </w:rPr>
        <w:t>-</w:t>
      </w:r>
      <w:r>
        <w:rPr>
          <w:rFonts w:ascii="Century" w:hAnsi="Century" w:cs="Century"/>
          <w:sz w:val="22"/>
          <w:sz w:val="22"/>
          <w:rtl w:val="true"/>
        </w:rPr>
        <w:t xml:space="preserve">מקלע מסוג </w:t>
      </w:r>
      <w:r>
        <w:rPr>
          <w:rFonts w:cs="Century" w:ascii="Century" w:hAnsi="Century"/>
          <w:sz w:val="22"/>
        </w:rPr>
        <w:t>5</w:t>
      </w:r>
      <w:r>
        <w:rPr>
          <w:rFonts w:cs="Century" w:ascii="Century" w:hAnsi="Century"/>
          <w:sz w:val="22"/>
        </w:rPr>
        <w:t>MP</w:t>
      </w:r>
      <w:r>
        <w:rPr>
          <w:rtl w:val="true"/>
        </w:rPr>
        <w:t xml:space="preserve">. </w:t>
      </w:r>
      <w:r>
        <w:rPr>
          <w:rtl w:val="true"/>
        </w:rPr>
        <w:t xml:space="preserve">כל זאת בסך כולל של </w:t>
      </w:r>
      <w:r>
        <w:rPr>
          <w:rFonts w:cs="Century" w:ascii="Century" w:hAnsi="Century"/>
          <w:sz w:val="22"/>
        </w:rPr>
        <w:t>67,100</w:t>
      </w:r>
      <w:r>
        <w:rPr>
          <w:rFonts w:cs="Century" w:ascii="Century" w:hAnsi="Century"/>
          <w:sz w:val="22"/>
          <w:rtl w:val="true"/>
        </w:rPr>
        <w:t xml:space="preserve"> </w:t>
      </w:r>
      <w:r>
        <w:rPr>
          <w:rFonts w:ascii="Century" w:hAnsi="Century" w:cs="Century"/>
          <w:sz w:val="22"/>
          <w:sz w:val="22"/>
          <w:rtl w:val="true"/>
        </w:rPr>
        <w:t>ש</w:t>
      </w:r>
      <w:r>
        <w:rPr>
          <w:rFonts w:cs="Century" w:ascii="Century" w:hAnsi="Century"/>
          <w:sz w:val="22"/>
          <w:rtl w:val="true"/>
        </w:rPr>
        <w:t>"</w:t>
      </w:r>
      <w:r>
        <w:rPr>
          <w:rFonts w:ascii="Century" w:hAnsi="Century" w:cs="Century"/>
          <w:sz w:val="22"/>
          <w:sz w:val="22"/>
          <w:rtl w:val="true"/>
        </w:rPr>
        <w:t>ח</w:t>
      </w:r>
      <w:r>
        <w:rPr>
          <w:rFonts w:cs="Century" w:ascii="Century" w:hAnsi="Century"/>
          <w:sz w:val="22"/>
          <w:rtl w:val="true"/>
        </w:rPr>
        <w:t xml:space="preserve">, </w:t>
      </w:r>
      <w:r>
        <w:rPr>
          <w:rFonts w:ascii="Century" w:hAnsi="Century" w:cs="Century"/>
          <w:sz w:val="22"/>
          <w:sz w:val="22"/>
          <w:rtl w:val="true"/>
        </w:rPr>
        <w:t xml:space="preserve">כאשר הוא שלשל לידיו מתוך סכום זה סך של </w:t>
      </w:r>
      <w:r>
        <w:rPr>
          <w:rFonts w:cs="Century" w:ascii="Century" w:hAnsi="Century"/>
          <w:sz w:val="22"/>
        </w:rPr>
        <w:t>1,500</w:t>
      </w:r>
      <w:r>
        <w:rPr>
          <w:rFonts w:cs="Century" w:ascii="Century" w:hAnsi="Century"/>
          <w:sz w:val="22"/>
          <w:rtl w:val="true"/>
        </w:rPr>
        <w:t xml:space="preserve"> </w:t>
      </w:r>
      <w:r>
        <w:rPr>
          <w:rFonts w:ascii="Century" w:hAnsi="Century" w:cs="Century"/>
          <w:sz w:val="22"/>
          <w:sz w:val="22"/>
          <w:rtl w:val="true"/>
        </w:rPr>
        <w:t>ש</w:t>
      </w:r>
      <w:r>
        <w:rPr>
          <w:rFonts w:cs="Century" w:ascii="Century" w:hAnsi="Century"/>
          <w:sz w:val="22"/>
          <w:rtl w:val="true"/>
        </w:rPr>
        <w:t>"</w:t>
      </w:r>
      <w:r>
        <w:rPr>
          <w:rFonts w:ascii="Century" w:hAnsi="Century" w:cs="Century"/>
          <w:sz w:val="22"/>
          <w:sz w:val="22"/>
          <w:rtl w:val="true"/>
        </w:rPr>
        <w:t>ח</w:t>
      </w:r>
      <w:r>
        <w:rPr>
          <w:rFonts w:cs="Century" w:ascii="Century" w:hAnsi="Century"/>
          <w:sz w:val="22"/>
          <w:rtl w:val="true"/>
        </w:rPr>
        <w:t xml:space="preserve">. </w:t>
      </w:r>
    </w:p>
    <w:p>
      <w:pPr>
        <w:pStyle w:val="Ruller43"/>
        <w:numPr>
          <w:ilvl w:val="0"/>
          <w:numId w:val="0"/>
        </w:numPr>
        <w:ind w:hanging="0" w:start="0" w:end="0"/>
        <w:jc w:val="both"/>
        <w:rPr>
          <w:rFonts w:ascii="Century" w:hAnsi="Century" w:cs="Century"/>
          <w:sz w:val="22"/>
        </w:rPr>
      </w:pPr>
      <w:r>
        <w:rPr>
          <w:rFonts w:cs="Century" w:ascii="Century" w:hAnsi="Century"/>
          <w:sz w:val="22"/>
          <w:rtl w:val="true"/>
        </w:rPr>
      </w:r>
    </w:p>
    <w:p>
      <w:pPr>
        <w:pStyle w:val="Ruller43"/>
        <w:numPr>
          <w:ilvl w:val="0"/>
          <w:numId w:val="1"/>
        </w:numPr>
        <w:ind w:end="0"/>
        <w:jc w:val="both"/>
        <w:rPr/>
      </w:pPr>
      <w:r>
        <w:rPr>
          <w:rtl w:val="true"/>
        </w:rPr>
        <w:t>מתסקיר שירות המבחן שהוגש לפני בית המשפט המחוזי עלה</w:t>
      </w:r>
      <w:r>
        <w:rPr>
          <w:rtl w:val="true"/>
        </w:rPr>
        <w:t xml:space="preserve">, </w:t>
      </w:r>
      <w:r>
        <w:rPr>
          <w:rtl w:val="true"/>
        </w:rPr>
        <w:t>כי המערער נעדר הרשעות קודמות</w:t>
      </w:r>
      <w:r>
        <w:rPr>
          <w:rtl w:val="true"/>
        </w:rPr>
        <w:t xml:space="preserve">, </w:t>
      </w:r>
      <w:r>
        <w:rPr>
          <w:rtl w:val="true"/>
        </w:rPr>
        <w:t>לקח אחריות על מעשיו ומסר כי הם בוצעו על רקע קשיים כלכליים בהיותו המפרנס היחיד במשפחתו</w:t>
      </w:r>
      <w:r>
        <w:rPr>
          <w:rtl w:val="true"/>
        </w:rPr>
        <w:t xml:space="preserve">. </w:t>
      </w:r>
      <w:r>
        <w:rPr>
          <w:rtl w:val="true"/>
        </w:rPr>
        <w:t>הוא החל להשתתף בתוכניות טיפוליות ומשמש חונך לעצורים אחרים המתמודדים עם קשיים נפשיים</w:t>
      </w:r>
      <w:r>
        <w:rPr>
          <w:rtl w:val="true"/>
        </w:rPr>
        <w:t xml:space="preserve">. </w:t>
      </w:r>
      <w:r>
        <w:rPr>
          <w:rtl w:val="true"/>
        </w:rPr>
        <w:t>שירות המבחן העריך את רמת הסיכון להישנות ההתנהגות האלימה מצד המערער כנמוכה</w:t>
      </w:r>
      <w:r>
        <w:rPr>
          <w:rtl w:val="true"/>
        </w:rPr>
        <w:t xml:space="preserve">, </w:t>
      </w:r>
      <w:r>
        <w:rPr>
          <w:rtl w:val="true"/>
        </w:rPr>
        <w:t>וכן המליץ להביא בחשבון את סיכוייו הטובים להשתקם</w:t>
      </w:r>
      <w:r>
        <w:rPr>
          <w:rtl w:val="true"/>
        </w:rPr>
        <w:t xml:space="preserve">. </w:t>
      </w:r>
    </w:p>
    <w:p>
      <w:pPr>
        <w:pStyle w:val="Ruller43"/>
        <w:numPr>
          <w:ilvl w:val="0"/>
          <w:numId w:val="0"/>
        </w:numPr>
        <w:ind w:hanging="0" w:start="0" w:end="0"/>
        <w:jc w:val="both"/>
        <w:rPr/>
      </w:pPr>
      <w:r>
        <w:rPr>
          <w:rtl w:val="true"/>
        </w:rPr>
      </w:r>
    </w:p>
    <w:p>
      <w:pPr>
        <w:pStyle w:val="Ruller43"/>
        <w:numPr>
          <w:ilvl w:val="0"/>
          <w:numId w:val="1"/>
        </w:numPr>
        <w:ind w:end="0"/>
        <w:jc w:val="both"/>
        <w:rPr/>
      </w:pPr>
      <w:r>
        <w:rPr>
          <w:rtl w:val="true"/>
        </w:rPr>
        <w:t>בגזר הדין נקבע כי נוכח הפערים בין העסקה הראשונה לבין שלוש העסקאות המאוחרות</w:t>
      </w:r>
      <w:r>
        <w:rPr>
          <w:rtl w:val="true"/>
        </w:rPr>
        <w:t xml:space="preserve">, </w:t>
      </w:r>
      <w:r>
        <w:rPr>
          <w:rtl w:val="true"/>
        </w:rPr>
        <w:t>המדובר בשני אירועים נפרדים</w:t>
      </w:r>
      <w:r>
        <w:rPr>
          <w:rtl w:val="true"/>
        </w:rPr>
        <w:t xml:space="preserve">. </w:t>
      </w:r>
      <w:r>
        <w:rPr>
          <w:rtl w:val="true"/>
        </w:rPr>
        <w:t>כך</w:t>
      </w:r>
      <w:r>
        <w:rPr>
          <w:rtl w:val="true"/>
        </w:rPr>
        <w:t xml:space="preserve">, </w:t>
      </w:r>
      <w:r>
        <w:rPr>
          <w:rtl w:val="true"/>
        </w:rPr>
        <w:t xml:space="preserve">בעוד שהעסקה הראשונה בוצעה בחודש אוקטובר </w:t>
      </w:r>
      <w:r>
        <w:rPr/>
        <w:t>2014</w:t>
      </w:r>
      <w:r>
        <w:rPr>
          <w:rtl w:val="true"/>
        </w:rPr>
        <w:t xml:space="preserve"> </w:t>
      </w:r>
      <w:r>
        <w:rPr>
          <w:rtl w:val="true"/>
        </w:rPr>
        <w:t>בהובלת נאשם אחר תוך שהמערער מספק את כלי הנשק ומבצע בו ירי לבדיקת תקינות</w:t>
      </w:r>
      <w:r>
        <w:rPr>
          <w:rtl w:val="true"/>
        </w:rPr>
        <w:t xml:space="preserve">, </w:t>
      </w:r>
      <w:r>
        <w:rPr>
          <w:rtl w:val="true"/>
        </w:rPr>
        <w:t xml:space="preserve">שלוש העסקאות המאוחרות בוצעו בחודשים פברואר ומרץ </w:t>
      </w:r>
      <w:r>
        <w:rPr/>
        <w:t>2015</w:t>
      </w:r>
      <w:r>
        <w:rPr>
          <w:rtl w:val="true"/>
        </w:rPr>
        <w:t xml:space="preserve"> </w:t>
      </w:r>
      <w:r>
        <w:rPr>
          <w:rtl w:val="true"/>
        </w:rPr>
        <w:t>ואותן הוביל המערער מתחילתן ועד סופן</w:t>
      </w:r>
      <w:r>
        <w:rPr>
          <w:rtl w:val="true"/>
        </w:rPr>
        <w:t xml:space="preserve">. </w:t>
      </w:r>
      <w:r>
        <w:rPr>
          <w:rtl w:val="true"/>
        </w:rPr>
        <w:t xml:space="preserve">מתחם העונש עבור העסקה הראשונה הועמד על </w:t>
      </w:r>
      <w:r>
        <w:rPr/>
        <w:t>5-2</w:t>
      </w:r>
      <w:r>
        <w:rPr>
          <w:rtl w:val="true"/>
        </w:rPr>
        <w:t xml:space="preserve"> </w:t>
      </w:r>
      <w:r>
        <w:rPr>
          <w:rtl w:val="true"/>
        </w:rPr>
        <w:t>שנות מאסר בפועל</w:t>
      </w:r>
      <w:r>
        <w:rPr>
          <w:rtl w:val="true"/>
        </w:rPr>
        <w:t xml:space="preserve">, </w:t>
      </w:r>
      <w:r>
        <w:rPr>
          <w:rtl w:val="true"/>
        </w:rPr>
        <w:t xml:space="preserve">ועבור שלוש העסקאות הנוספות על </w:t>
      </w:r>
      <w:r>
        <w:rPr/>
        <w:t>8-4</w:t>
      </w:r>
      <w:r>
        <w:rPr>
          <w:rtl w:val="true"/>
        </w:rPr>
        <w:t xml:space="preserve"> </w:t>
      </w:r>
      <w:r>
        <w:rPr>
          <w:rtl w:val="true"/>
        </w:rPr>
        <w:t>שנות מאסר בפועל</w:t>
      </w:r>
      <w:r>
        <w:rPr>
          <w:rtl w:val="true"/>
        </w:rPr>
        <w:t xml:space="preserve">. </w:t>
      </w:r>
      <w:r>
        <w:rPr>
          <w:rtl w:val="true"/>
        </w:rPr>
        <w:t>עונשו של המערער הועמד על חלקו הנמוך של המתחם אך לא בקצהו התחתון</w:t>
      </w:r>
      <w:r>
        <w:rPr>
          <w:rtl w:val="true"/>
        </w:rPr>
        <w:t xml:space="preserve">: </w:t>
      </w:r>
      <w:r>
        <w:rPr/>
        <w:t>5.5</w:t>
      </w:r>
      <w:r>
        <w:rPr>
          <w:rtl w:val="true"/>
        </w:rPr>
        <w:t xml:space="preserve"> </w:t>
      </w:r>
      <w:r>
        <w:rPr>
          <w:rtl w:val="true"/>
        </w:rPr>
        <w:t>שנות מאסר בפועל</w:t>
      </w:r>
      <w:r>
        <w:rPr>
          <w:rtl w:val="true"/>
        </w:rPr>
        <w:t xml:space="preserve">, </w:t>
      </w:r>
      <w:r>
        <w:rPr>
          <w:rtl w:val="true"/>
        </w:rPr>
        <w:t xml:space="preserve">מאסר על תנאי וקנס בסך של </w:t>
      </w:r>
      <w:r>
        <w:rPr/>
        <w:t>25,000</w:t>
      </w:r>
      <w:r>
        <w:rPr>
          <w:rtl w:val="true"/>
        </w:rPr>
        <w:t xml:space="preserve"> </w:t>
      </w:r>
      <w:r>
        <w:rPr>
          <w:rtl w:val="true"/>
        </w:rPr>
        <w:t>ש</w:t>
      </w:r>
      <w:r>
        <w:rPr>
          <w:rtl w:val="true"/>
        </w:rPr>
        <w:t>"</w:t>
      </w:r>
      <w:r>
        <w:rPr>
          <w:rtl w:val="true"/>
        </w:rPr>
        <w:t>ח</w:t>
      </w:r>
      <w:r>
        <w:rPr>
          <w:rtl w:val="true"/>
        </w:rPr>
        <w:t>.</w:t>
      </w:r>
    </w:p>
    <w:p>
      <w:pPr>
        <w:pStyle w:val="Ruller43"/>
        <w:numPr>
          <w:ilvl w:val="0"/>
          <w:numId w:val="0"/>
        </w:numPr>
        <w:ind w:hanging="0" w:start="0" w:end="0"/>
        <w:jc w:val="both"/>
        <w:rPr>
          <w:rFonts w:ascii="Century" w:hAnsi="Century" w:cs="Century"/>
          <w:sz w:val="22"/>
        </w:rPr>
      </w:pPr>
      <w:r>
        <w:rPr>
          <w:rFonts w:cs="Century" w:ascii="Century" w:hAnsi="Century"/>
          <w:sz w:val="22"/>
          <w:rtl w:val="true"/>
        </w:rPr>
      </w:r>
    </w:p>
    <w:p>
      <w:pPr>
        <w:pStyle w:val="Ruller43"/>
        <w:numPr>
          <w:ilvl w:val="0"/>
          <w:numId w:val="1"/>
        </w:numPr>
        <w:ind w:end="0"/>
        <w:jc w:val="both"/>
        <w:rPr/>
      </w:pPr>
      <w:r>
        <w:rPr>
          <w:rFonts w:cs="Century" w:ascii="Century" w:hAnsi="Century"/>
          <w:sz w:val="22"/>
          <w:rtl w:val="true"/>
        </w:rPr>
        <w:tab/>
      </w:r>
      <w:r>
        <w:rPr>
          <w:rtl w:val="true"/>
        </w:rPr>
        <w:t>לטענת המערער</w:t>
      </w:r>
      <w:r>
        <w:rPr>
          <w:rtl w:val="true"/>
        </w:rPr>
        <w:t xml:space="preserve">, </w:t>
      </w:r>
      <w:r>
        <w:rPr>
          <w:rtl w:val="true"/>
        </w:rPr>
        <w:t>בית המשפט הפריז עמו לחומרה בגזר הדין</w:t>
      </w:r>
      <w:r>
        <w:rPr>
          <w:rtl w:val="true"/>
        </w:rPr>
        <w:t xml:space="preserve">, </w:t>
      </w:r>
      <w:r>
        <w:rPr>
          <w:rtl w:val="true"/>
        </w:rPr>
        <w:t>שכן עניינו שונה מהותית מעניינם של הנאשמים האחרים בפרשה נוכח נטילת האחריות הכנה</w:t>
      </w:r>
      <w:r>
        <w:rPr>
          <w:rtl w:val="true"/>
        </w:rPr>
        <w:t xml:space="preserve">, </w:t>
      </w:r>
      <w:r>
        <w:rPr>
          <w:rtl w:val="true"/>
        </w:rPr>
        <w:t>התהליך הטיפולי שעבר ופעילותו ההתנדבותית כבר בעת מעצרו</w:t>
      </w:r>
      <w:r>
        <w:rPr>
          <w:rtl w:val="true"/>
        </w:rPr>
        <w:t xml:space="preserve">. </w:t>
      </w:r>
      <w:r>
        <w:rPr>
          <w:rtl w:val="true"/>
        </w:rPr>
        <w:t>כן נטען כי על אף שבית המשפט המחוזי קבע כי יש לגזור את עונשו בחלק התחתון של המתחם</w:t>
      </w:r>
      <w:r>
        <w:rPr>
          <w:rtl w:val="true"/>
        </w:rPr>
        <w:t xml:space="preserve">, </w:t>
      </w:r>
      <w:r>
        <w:rPr>
          <w:rtl w:val="true"/>
        </w:rPr>
        <w:t>הלכה למעשה לא נעשה כן</w:t>
      </w:r>
      <w:r>
        <w:rPr>
          <w:rtl w:val="true"/>
        </w:rPr>
        <w:t xml:space="preserve">. </w:t>
      </w:r>
      <w:r>
        <w:rPr>
          <w:rtl w:val="true"/>
        </w:rPr>
        <w:t>בנוסף טען המערער נגד גובה הקנס הכספי שהושת עליו</w:t>
      </w:r>
      <w:r>
        <w:rPr>
          <w:rtl w:val="true"/>
        </w:rPr>
        <w:t xml:space="preserve">, </w:t>
      </w:r>
      <w:r>
        <w:rPr>
          <w:rtl w:val="true"/>
        </w:rPr>
        <w:t>בציינו כי כל עוד הוא נמצא במאסר אין ביכולתו לעמוד בו</w:t>
      </w:r>
      <w:r>
        <w:rPr>
          <w:rtl w:val="true"/>
        </w:rPr>
        <w:t xml:space="preserve">. </w:t>
      </w:r>
      <w:r>
        <w:rPr>
          <w:rtl w:val="true"/>
        </w:rPr>
        <w:t>מנגד</w:t>
      </w:r>
      <w:r>
        <w:rPr>
          <w:rtl w:val="true"/>
        </w:rPr>
        <w:t xml:space="preserve">, </w:t>
      </w:r>
      <w:r>
        <w:rPr>
          <w:rtl w:val="true"/>
        </w:rPr>
        <w:t>המדינה ציינה כי אין ממש בטענות המערער לפיהן עניינו שונה מהותית משאר המעורבים בפרשה</w:t>
      </w:r>
      <w:r>
        <w:rPr>
          <w:rtl w:val="true"/>
        </w:rPr>
        <w:t xml:space="preserve">, </w:t>
      </w:r>
      <w:r>
        <w:rPr>
          <w:rtl w:val="true"/>
        </w:rPr>
        <w:t>ואין בתהליך שעבר המערער כדי להביא להקלה בעונשו</w:t>
      </w:r>
      <w:r>
        <w:rPr>
          <w:rtl w:val="true"/>
        </w:rPr>
        <w:t xml:space="preserve">. </w:t>
      </w:r>
      <w:r>
        <w:rPr>
          <w:rtl w:val="true"/>
        </w:rPr>
        <w:t>כמו כן</w:t>
      </w:r>
      <w:r>
        <w:rPr>
          <w:rtl w:val="true"/>
        </w:rPr>
        <w:t xml:space="preserve">, </w:t>
      </w:r>
      <w:r>
        <w:rPr>
          <w:rtl w:val="true"/>
        </w:rPr>
        <w:t>על אף שהעסקה הראשונה נעשתה ביוזמתו של נאשם אחר</w:t>
      </w:r>
      <w:r>
        <w:rPr>
          <w:rtl w:val="true"/>
        </w:rPr>
        <w:t xml:space="preserve">, </w:t>
      </w:r>
      <w:r>
        <w:rPr>
          <w:rtl w:val="true"/>
        </w:rPr>
        <w:t>שלושת העסקאות האחרות היו ביוזמתו ובהובלתו של המערער וחלקו בפרשה משמעותי ביותר</w:t>
      </w:r>
      <w:r>
        <w:rPr>
          <w:rtl w:val="true"/>
        </w:rPr>
        <w:t xml:space="preserve">. </w:t>
      </w:r>
      <w:r>
        <w:rPr>
          <w:rtl w:val="true"/>
        </w:rPr>
        <w:t>גם אין המדובר במעידה חד</w:t>
      </w:r>
      <w:r>
        <w:rPr>
          <w:rtl w:val="true"/>
        </w:rPr>
        <w:t>-</w:t>
      </w:r>
      <w:r>
        <w:rPr>
          <w:rtl w:val="true"/>
        </w:rPr>
        <w:t>פעמית</w:t>
      </w:r>
      <w:r>
        <w:rPr>
          <w:rtl w:val="true"/>
        </w:rPr>
        <w:t>.</w:t>
      </w:r>
    </w:p>
    <w:p>
      <w:pPr>
        <w:pStyle w:val="Ruller42"/>
        <w:ind w:end="0"/>
        <w:jc w:val="both"/>
        <w:rPr/>
      </w:pPr>
      <w:r>
        <w:rPr>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ב</w:t>
      </w:r>
      <w:r>
        <w:rPr>
          <w:rFonts w:cs="Miriam" w:ascii="Century" w:hAnsi="Century"/>
          <w:b/>
          <w:spacing w:val="0"/>
          <w:szCs w:val="24"/>
          <w:rtl w:val="true"/>
        </w:rPr>
        <w:t xml:space="preserve">. </w:t>
      </w:r>
      <w:r>
        <w:rPr>
          <w:rFonts w:ascii="Century" w:hAnsi="Century" w:cs="Miriam"/>
          <w:b/>
          <w:b/>
          <w:spacing w:val="0"/>
          <w:szCs w:val="24"/>
          <w:rtl w:val="true"/>
        </w:rPr>
        <w:t>דיון</w:t>
      </w:r>
      <w:r>
        <w:rPr>
          <w:rFonts w:ascii="Century" w:hAnsi="Century" w:eastAsia="Century" w:cs="Century"/>
          <w:b/>
          <w:b/>
          <w:spacing w:val="0"/>
          <w:szCs w:val="24"/>
          <w:rtl w:val="true"/>
        </w:rPr>
        <w:t xml:space="preserve"> </w:t>
      </w:r>
      <w:r>
        <w:rPr>
          <w:rFonts w:ascii="Century" w:hAnsi="Century" w:cs="Miriam"/>
          <w:b/>
          <w:b/>
          <w:spacing w:val="0"/>
          <w:szCs w:val="24"/>
          <w:rtl w:val="true"/>
        </w:rPr>
        <w:t>והכרעה</w:t>
      </w:r>
    </w:p>
    <w:p>
      <w:pPr>
        <w:pStyle w:val="Ruller43"/>
        <w:numPr>
          <w:ilvl w:val="0"/>
          <w:numId w:val="1"/>
        </w:numPr>
        <w:ind w:end="0"/>
        <w:jc w:val="both"/>
        <w:rPr/>
      </w:pPr>
      <w:r>
        <w:rPr>
          <w:rtl w:val="true"/>
        </w:rPr>
        <w:t>המערער הורשע כאמור בעבירות של סחר בנשק</w:t>
      </w:r>
      <w:r>
        <w:rPr>
          <w:rtl w:val="true"/>
        </w:rPr>
        <w:t xml:space="preserve">, </w:t>
      </w:r>
      <w:r>
        <w:rPr>
          <w:rtl w:val="true"/>
        </w:rPr>
        <w:t>קשירת קשר לסחר וירי באזור מגורים</w:t>
      </w:r>
      <w:r>
        <w:rPr>
          <w:rtl w:val="true"/>
        </w:rPr>
        <w:t xml:space="preserve">, </w:t>
      </w:r>
      <w:r>
        <w:rPr>
          <w:rtl w:val="true"/>
        </w:rPr>
        <w:t>בשל נטילת חלק במספר עסקאות ומכירת כלי נשק</w:t>
      </w:r>
      <w:r>
        <w:rPr>
          <w:rtl w:val="true"/>
        </w:rPr>
        <w:t xml:space="preserve">, </w:t>
      </w:r>
      <w:r>
        <w:rPr>
          <w:rtl w:val="true"/>
        </w:rPr>
        <w:t>בתמורה לא מבוטלת</w:t>
      </w:r>
      <w:r>
        <w:rPr>
          <w:rtl w:val="true"/>
        </w:rPr>
        <w:t xml:space="preserve">. </w:t>
      </w:r>
      <w:r>
        <w:rPr>
          <w:rtl w:val="true"/>
        </w:rPr>
        <w:t xml:space="preserve">עיון בכתב האישום המתוקן בעניינו מלמד על חלקו המשמעותי בביצוע העסקאות </w:t>
      </w:r>
      <w:r>
        <w:rPr>
          <w:rtl w:val="true"/>
        </w:rPr>
        <w:t>–</w:t>
      </w:r>
      <w:r>
        <w:rPr>
          <w:rtl w:val="true"/>
        </w:rPr>
        <w:t xml:space="preserve"> החל מיצירת הקשר הראשוני עם הסוכן </w:t>
      </w:r>
      <w:r>
        <w:rPr>
          <w:rtl w:val="true"/>
        </w:rPr>
        <w:t>(</w:t>
      </w:r>
      <w:r>
        <w:rPr>
          <w:rtl w:val="true"/>
        </w:rPr>
        <w:t>למעט בעסקה הראשונה</w:t>
      </w:r>
      <w:r>
        <w:rPr>
          <w:rtl w:val="true"/>
        </w:rPr>
        <w:t xml:space="preserve">), </w:t>
      </w:r>
      <w:r>
        <w:rPr>
          <w:rtl w:val="true"/>
        </w:rPr>
        <w:t>המשך בניהול המשא ומתן וכלה בנשיאת כלי הנשק</w:t>
      </w:r>
      <w:r>
        <w:rPr>
          <w:rtl w:val="true"/>
        </w:rPr>
        <w:t xml:space="preserve">. </w:t>
      </w:r>
      <w:r>
        <w:rPr>
          <w:rtl w:val="true"/>
        </w:rPr>
        <w:t>בנסיבות אלו</w:t>
      </w:r>
      <w:r>
        <w:rPr>
          <w:rtl w:val="true"/>
        </w:rPr>
        <w:t xml:space="preserve">, </w:t>
      </w:r>
      <w:r>
        <w:rPr>
          <w:rtl w:val="true"/>
        </w:rPr>
        <w:t>על חומרתן הרבה</w:t>
      </w:r>
      <w:r>
        <w:rPr>
          <w:rtl w:val="true"/>
        </w:rPr>
        <w:t xml:space="preserve">, </w:t>
      </w:r>
      <w:r>
        <w:rPr>
          <w:rtl w:val="true"/>
        </w:rPr>
        <w:t xml:space="preserve">לא נמצא כי מתחמי הענישה שנקבעו בעניינו </w:t>
      </w:r>
      <w:r>
        <w:rPr>
          <w:rtl w:val="true"/>
        </w:rPr>
        <w:t>–</w:t>
      </w:r>
      <w:r>
        <w:rPr>
          <w:rtl w:val="true"/>
        </w:rPr>
        <w:t xml:space="preserve"> </w:t>
      </w:r>
      <w:r>
        <w:rPr/>
        <w:t>5-2</w:t>
      </w:r>
      <w:r>
        <w:rPr>
          <w:rtl w:val="true"/>
        </w:rPr>
        <w:t xml:space="preserve"> </w:t>
      </w:r>
      <w:r>
        <w:rPr>
          <w:rtl w:val="true"/>
        </w:rPr>
        <w:t>שנות מאסר בפועל בגין האירוע הראשון ו</w:t>
      </w:r>
      <w:r>
        <w:rPr>
          <w:rtl w:val="true"/>
        </w:rPr>
        <w:t>-</w:t>
      </w:r>
      <w:r>
        <w:rPr/>
        <w:t>8-4</w:t>
      </w:r>
      <w:r>
        <w:rPr>
          <w:rtl w:val="true"/>
        </w:rPr>
        <w:t xml:space="preserve"> </w:t>
      </w:r>
      <w:r>
        <w:rPr>
          <w:rtl w:val="true"/>
        </w:rPr>
        <w:t xml:space="preserve">שנות מאסר בפועל בגין האירוע השני </w:t>
      </w:r>
      <w:r>
        <w:rPr>
          <w:rtl w:val="true"/>
        </w:rPr>
        <w:t>–</w:t>
      </w:r>
      <w:r>
        <w:rPr>
          <w:rtl w:val="true"/>
        </w:rPr>
        <w:t xml:space="preserve"> מחמירים מרמת הענישה הנהוגה</w:t>
      </w:r>
      <w:r>
        <w:rPr>
          <w:rtl w:val="true"/>
        </w:rPr>
        <w:t xml:space="preserve">, </w:t>
      </w:r>
      <w:r>
        <w:rPr>
          <w:rtl w:val="true"/>
        </w:rPr>
        <w:t>לא כל שכן הראויה</w:t>
      </w:r>
      <w:r>
        <w:rPr>
          <w:rtl w:val="true"/>
        </w:rPr>
        <w:t>.</w:t>
      </w:r>
    </w:p>
    <w:p>
      <w:pPr>
        <w:pStyle w:val="Ruller43"/>
        <w:numPr>
          <w:ilvl w:val="0"/>
          <w:numId w:val="0"/>
        </w:numPr>
        <w:ind w:hanging="0" w:start="0" w:end="0"/>
        <w:jc w:val="both"/>
        <w:rPr/>
      </w:pPr>
      <w:r>
        <w:rPr>
          <w:rtl w:val="true"/>
        </w:rPr>
      </w:r>
    </w:p>
    <w:p>
      <w:pPr>
        <w:pStyle w:val="Ruller43"/>
        <w:numPr>
          <w:ilvl w:val="0"/>
          <w:numId w:val="1"/>
        </w:numPr>
        <w:ind w:end="0"/>
        <w:jc w:val="both"/>
        <w:rPr/>
      </w:pPr>
      <w:r>
        <w:rPr>
          <w:rtl w:val="true"/>
        </w:rPr>
        <w:t>עיקר טענותיו של המערער מתמקדות בהשגה על מיקום עונשו בתוך המתחם</w:t>
      </w:r>
      <w:r>
        <w:rPr>
          <w:rtl w:val="true"/>
        </w:rPr>
        <w:t xml:space="preserve">, </w:t>
      </w:r>
      <w:r>
        <w:rPr>
          <w:rtl w:val="true"/>
        </w:rPr>
        <w:t>כאשר הוא נשען על נסיבותיו האישיות ככאלו המבחינות בינו לבין יתר הנאשמים בפרשה</w:t>
      </w:r>
      <w:r>
        <w:rPr>
          <w:rtl w:val="true"/>
        </w:rPr>
        <w:t xml:space="preserve">. </w:t>
      </w:r>
      <w:r>
        <w:rPr>
          <w:rtl w:val="true"/>
        </w:rPr>
        <w:t xml:space="preserve">אלא שבית המשפט הביא בחשבון את מכלול השיקולים בעניינו של המערער </w:t>
      </w:r>
      <w:r>
        <w:rPr>
          <w:rtl w:val="true"/>
        </w:rPr>
        <w:t>–</w:t>
      </w:r>
      <w:r>
        <w:rPr>
          <w:rtl w:val="true"/>
        </w:rPr>
        <w:t xml:space="preserve"> לקולא ולחומרה </w:t>
      </w:r>
      <w:r>
        <w:rPr>
          <w:rtl w:val="true"/>
        </w:rPr>
        <w:t>–</w:t>
      </w:r>
      <w:r>
        <w:rPr>
          <w:rtl w:val="true"/>
        </w:rPr>
        <w:t xml:space="preserve"> והשית עליו עונש שאינו חמור בנסיבות העניין</w:t>
      </w:r>
      <w:r>
        <w:rPr>
          <w:rtl w:val="true"/>
        </w:rPr>
        <w:t xml:space="preserve">. </w:t>
      </w:r>
      <w:r>
        <w:rPr>
          <w:rtl w:val="true"/>
        </w:rPr>
        <w:t>בין היתר</w:t>
      </w:r>
      <w:r>
        <w:rPr>
          <w:rtl w:val="true"/>
        </w:rPr>
        <w:t xml:space="preserve">, </w:t>
      </w:r>
      <w:r>
        <w:rPr>
          <w:rtl w:val="true"/>
        </w:rPr>
        <w:t>בית המשפט לקח בחשבון את נסיבותיו האישיות של המערער</w:t>
      </w:r>
      <w:r>
        <w:rPr>
          <w:rtl w:val="true"/>
        </w:rPr>
        <w:t xml:space="preserve">, </w:t>
      </w:r>
      <w:r>
        <w:rPr>
          <w:rtl w:val="true"/>
        </w:rPr>
        <w:t xml:space="preserve">שהיה כבן </w:t>
      </w:r>
      <w:r>
        <w:rPr/>
        <w:t>22</w:t>
      </w:r>
      <w:r>
        <w:rPr>
          <w:rtl w:val="true"/>
        </w:rPr>
        <w:t xml:space="preserve"> </w:t>
      </w:r>
      <w:r>
        <w:rPr>
          <w:rtl w:val="true"/>
        </w:rPr>
        <w:t>שנים בעת ביצוע המעשים ושימש מפרנס יחיד למשפחתו</w:t>
      </w:r>
      <w:r>
        <w:rPr>
          <w:rtl w:val="true"/>
        </w:rPr>
        <w:t xml:space="preserve">; </w:t>
      </w:r>
      <w:r>
        <w:rPr>
          <w:rtl w:val="true"/>
        </w:rPr>
        <w:t>את העובדה שהוא הודה</w:t>
      </w:r>
      <w:r>
        <w:rPr>
          <w:rtl w:val="true"/>
        </w:rPr>
        <w:t xml:space="preserve">, </w:t>
      </w:r>
      <w:r>
        <w:rPr>
          <w:rtl w:val="true"/>
        </w:rPr>
        <w:t>כמו יתר הנאשמים בפרשה</w:t>
      </w:r>
      <w:r>
        <w:rPr>
          <w:rtl w:val="true"/>
        </w:rPr>
        <w:t xml:space="preserve">, </w:t>
      </w:r>
      <w:r>
        <w:rPr>
          <w:rtl w:val="true"/>
        </w:rPr>
        <w:t>בביצוע המעשים</w:t>
      </w:r>
      <w:r>
        <w:rPr>
          <w:rtl w:val="true"/>
        </w:rPr>
        <w:t xml:space="preserve">; </w:t>
      </w:r>
      <w:r>
        <w:rPr>
          <w:rtl w:val="true"/>
        </w:rPr>
        <w:t>את השתלבותו בתוכניות טיפוליות</w:t>
      </w:r>
      <w:r>
        <w:rPr>
          <w:rtl w:val="true"/>
        </w:rPr>
        <w:t xml:space="preserve">; </w:t>
      </w:r>
      <w:r>
        <w:rPr>
          <w:rtl w:val="true"/>
        </w:rPr>
        <w:t>את הערכת שירות המבחן כי המסוכנות הנשקפת ממנו נמוכה</w:t>
      </w:r>
      <w:r>
        <w:rPr>
          <w:rtl w:val="true"/>
        </w:rPr>
        <w:t xml:space="preserve">. </w:t>
      </w:r>
      <w:r>
        <w:rPr>
          <w:rtl w:val="true"/>
        </w:rPr>
        <w:t>לפיכך</w:t>
      </w:r>
      <w:r>
        <w:rPr>
          <w:rtl w:val="true"/>
        </w:rPr>
        <w:t xml:space="preserve">, </w:t>
      </w:r>
      <w:r>
        <w:rPr>
          <w:rtl w:val="true"/>
        </w:rPr>
        <w:t xml:space="preserve">גם הושת עליו עונש אשר מצוי </w:t>
      </w:r>
      <w:r>
        <w:rPr>
          <w:rFonts w:ascii="Century" w:hAnsi="Century" w:cs="Century"/>
          <w:sz w:val="22"/>
          <w:sz w:val="22"/>
          <w:rtl w:val="true"/>
        </w:rPr>
        <w:t>בחלקם הנמוך של</w:t>
      </w:r>
      <w:r>
        <w:rPr>
          <w:rtl w:val="true"/>
        </w:rPr>
        <w:t xml:space="preserve"> המתחמים שנקבעו</w:t>
      </w:r>
      <w:r>
        <w:rPr>
          <w:rtl w:val="true"/>
        </w:rPr>
        <w:t xml:space="preserve">, </w:t>
      </w:r>
      <w:r>
        <w:rPr>
          <w:rtl w:val="true"/>
        </w:rPr>
        <w:t xml:space="preserve">בהתחשב בכך שהמערער הורשע בביצוע </w:t>
      </w:r>
      <w:r>
        <w:rPr/>
        <w:t>4</w:t>
      </w:r>
      <w:r>
        <w:rPr>
          <w:rtl w:val="true"/>
        </w:rPr>
        <w:t xml:space="preserve"> </w:t>
      </w:r>
      <w:r>
        <w:rPr>
          <w:rtl w:val="true"/>
        </w:rPr>
        <w:t>עסקאות כאמור</w:t>
      </w:r>
      <w:r>
        <w:rPr>
          <w:rtl w:val="true"/>
        </w:rPr>
        <w:t xml:space="preserve">. </w:t>
      </w:r>
      <w:r>
        <w:rPr>
          <w:rtl w:val="true"/>
        </w:rPr>
        <w:t>עונשו של המערער אפוא אינו מחמיר עמו</w:t>
      </w:r>
      <w:r>
        <w:rPr>
          <w:rtl w:val="true"/>
        </w:rPr>
        <w:t xml:space="preserve">, </w:t>
      </w:r>
      <w:r>
        <w:rPr>
          <w:rtl w:val="true"/>
        </w:rPr>
        <w:t>ואף מקל עמו במידת</w:t>
      </w:r>
      <w:r>
        <w:rPr>
          <w:rtl w:val="true"/>
        </w:rPr>
        <w:t>-</w:t>
      </w:r>
      <w:r>
        <w:rPr>
          <w:rtl w:val="true"/>
        </w:rPr>
        <w:t>מה</w:t>
      </w:r>
      <w:r>
        <w:rPr>
          <w:rtl w:val="true"/>
        </w:rPr>
        <w:t xml:space="preserve">. </w:t>
      </w:r>
    </w:p>
    <w:p>
      <w:pPr>
        <w:pStyle w:val="Ruller43"/>
        <w:numPr>
          <w:ilvl w:val="0"/>
          <w:numId w:val="0"/>
        </w:numPr>
        <w:ind w:hanging="0" w:start="0" w:end="0"/>
        <w:jc w:val="both"/>
        <w:rPr/>
      </w:pPr>
      <w:r>
        <w:rPr>
          <w:rtl w:val="true"/>
        </w:rPr>
      </w:r>
    </w:p>
    <w:p>
      <w:pPr>
        <w:pStyle w:val="Ruller43"/>
        <w:numPr>
          <w:ilvl w:val="0"/>
          <w:numId w:val="1"/>
        </w:numPr>
        <w:ind w:end="0"/>
        <w:jc w:val="both"/>
        <w:rPr/>
      </w:pPr>
      <w:r>
        <w:rPr>
          <w:rtl w:val="true"/>
        </w:rPr>
        <w:t>ובאשר לטענות המערער לעניין הקנס שהושת עליו</w:t>
      </w:r>
      <w:r>
        <w:rPr>
          <w:rtl w:val="true"/>
        </w:rPr>
        <w:t xml:space="preserve">. </w:t>
      </w:r>
      <w:r>
        <w:rPr>
          <w:rtl w:val="true"/>
        </w:rPr>
        <w:t>המערער טען כאמור כי הוא יתקשה לשאת בתשלום הקנס</w:t>
      </w:r>
      <w:r>
        <w:rPr>
          <w:rtl w:val="true"/>
        </w:rPr>
        <w:t xml:space="preserve">. </w:t>
      </w:r>
      <w:r>
        <w:rPr>
          <w:rtl w:val="true"/>
        </w:rPr>
        <w:t>אלא שמעצם טבעה</w:t>
      </w:r>
      <w:r>
        <w:rPr>
          <w:rtl w:val="true"/>
        </w:rPr>
        <w:t xml:space="preserve">, </w:t>
      </w:r>
      <w:r>
        <w:rPr>
          <w:rtl w:val="true"/>
        </w:rPr>
        <w:t>השתת קנס כוללת בחובה הכבדה כלכלית</w:t>
      </w:r>
      <w:r>
        <w:rPr>
          <w:rtl w:val="true"/>
        </w:rPr>
        <w:t xml:space="preserve">, </w:t>
      </w:r>
      <w:r>
        <w:rPr>
          <w:rtl w:val="true"/>
        </w:rPr>
        <w:t>ומכך אין מנוס</w:t>
      </w:r>
      <w:r>
        <w:rPr>
          <w:rtl w:val="true"/>
        </w:rPr>
        <w:t xml:space="preserve">. </w:t>
      </w:r>
      <w:r>
        <w:rPr>
          <w:rtl w:val="true"/>
        </w:rPr>
        <w:t xml:space="preserve">מדובר גם בחלק משמעותי מרכיב ההרתעה שבענישה </w:t>
      </w:r>
      <w:r>
        <w:rPr>
          <w:rtl w:val="true"/>
        </w:rPr>
        <w:t>(</w:t>
      </w:r>
      <w:r>
        <w:rPr>
          <w:rtl w:val="true"/>
        </w:rPr>
        <w:t>ראו גם</w:t>
      </w:r>
      <w:r>
        <w:rPr>
          <w:rtl w:val="true"/>
        </w:rPr>
        <w:t xml:space="preserve">: </w:t>
      </w:r>
      <w:hyperlink r:id="rId5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5104/06</w:t>
        </w:r>
      </w:hyperlink>
      <w:r>
        <w:rPr>
          <w:rtl w:val="true"/>
        </w:rPr>
        <w:t xml:space="preserve"> </w:t>
      </w:r>
      <w:r>
        <w:rPr>
          <w:rFonts w:ascii="Century" w:hAnsi="Century" w:cs="Miriam"/>
          <w:b/>
          <w:b/>
          <w:spacing w:val="0"/>
          <w:sz w:val="22"/>
          <w:sz w:val="22"/>
          <w:szCs w:val="24"/>
          <w:rtl w:val="true"/>
        </w:rPr>
        <w:t>בנייורישלויל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14</w:t>
      </w:r>
      <w:r>
        <w:rPr>
          <w:rtl w:val="true"/>
        </w:rPr>
        <w:t xml:space="preserve"> (</w:t>
      </w:r>
      <w:r>
        <w:rPr/>
        <w:t>21.5.2007</w:t>
      </w:r>
      <w:r>
        <w:rPr>
          <w:rtl w:val="true"/>
        </w:rPr>
        <w:t xml:space="preserve">)). </w:t>
      </w:r>
      <w:r>
        <w:rPr>
          <w:rtl w:val="true"/>
        </w:rPr>
        <w:t>מה גם</w:t>
      </w:r>
      <w:r>
        <w:rPr>
          <w:rtl w:val="true"/>
        </w:rPr>
        <w:t xml:space="preserve">, </w:t>
      </w:r>
      <w:r>
        <w:rPr>
          <w:rtl w:val="true"/>
        </w:rPr>
        <w:t>שבנסיבות העניין</w:t>
      </w:r>
      <w:r>
        <w:rPr>
          <w:rtl w:val="true"/>
        </w:rPr>
        <w:t xml:space="preserve">, </w:t>
      </w:r>
      <w:r>
        <w:rPr>
          <w:rtl w:val="true"/>
        </w:rPr>
        <w:t xml:space="preserve">לא ניתן לומר כי בהטלת הקנס </w:t>
      </w:r>
      <w:r>
        <w:rPr>
          <w:rtl w:val="true"/>
        </w:rPr>
        <w:t>–</w:t>
      </w:r>
      <w:r>
        <w:rPr>
          <w:rtl w:val="true"/>
        </w:rPr>
        <w:t xml:space="preserve"> בסך של </w:t>
      </w:r>
      <w:r>
        <w:rPr/>
        <w:t>25,000</w:t>
      </w:r>
      <w:r>
        <w:rPr>
          <w:rtl w:val="true"/>
        </w:rPr>
        <w:t xml:space="preserve"> </w:t>
      </w:r>
      <w:r>
        <w:rPr>
          <w:rtl w:val="true"/>
        </w:rPr>
        <w:t>ש</w:t>
      </w:r>
      <w:r>
        <w:rPr>
          <w:rtl w:val="true"/>
        </w:rPr>
        <w:t>"</w:t>
      </w:r>
      <w:r>
        <w:rPr>
          <w:rtl w:val="true"/>
        </w:rPr>
        <w:t xml:space="preserve">ח </w:t>
      </w:r>
      <w:r>
        <w:rPr>
          <w:rtl w:val="true"/>
        </w:rPr>
        <w:t>–</w:t>
      </w:r>
      <w:r>
        <w:rPr>
          <w:rtl w:val="true"/>
        </w:rPr>
        <w:t xml:space="preserve"> גלומה חומרה יתרה</w:t>
      </w:r>
      <w:r>
        <w:rPr>
          <w:rtl w:val="true"/>
        </w:rPr>
        <w:t xml:space="preserve">. </w:t>
      </w:r>
      <w:r>
        <w:rPr>
          <w:rtl w:val="true"/>
        </w:rPr>
        <w:t>על כן</w:t>
      </w:r>
      <w:r>
        <w:rPr>
          <w:rtl w:val="true"/>
        </w:rPr>
        <w:t xml:space="preserve">, </w:t>
      </w:r>
      <w:r>
        <w:rPr>
          <w:rtl w:val="true"/>
        </w:rPr>
        <w:t>גם אין לקבל טענה זו</w:t>
      </w:r>
      <w:r>
        <w:rPr>
          <w:rtl w:val="true"/>
        </w:rPr>
        <w:t xml:space="preserve">. </w:t>
      </w:r>
      <w:r>
        <w:rPr>
          <w:rtl w:val="true"/>
        </w:rPr>
        <w:t>מכאן</w:t>
      </w:r>
      <w:r>
        <w:rPr>
          <w:rtl w:val="true"/>
        </w:rPr>
        <w:t xml:space="preserve">, </w:t>
      </w:r>
      <w:r>
        <w:rPr>
          <w:rtl w:val="true"/>
        </w:rPr>
        <w:t>אם תשמע דעתי</w:t>
      </w:r>
      <w:r>
        <w:rPr>
          <w:rtl w:val="true"/>
        </w:rPr>
        <w:t xml:space="preserve">, </w:t>
      </w:r>
      <w:r>
        <w:rPr>
          <w:rtl w:val="true"/>
        </w:rPr>
        <w:t>דין הערעור להידחות</w:t>
      </w:r>
      <w:r>
        <w:rPr>
          <w:rtl w:val="true"/>
        </w:rPr>
        <w:t>.</w:t>
      </w:r>
    </w:p>
    <w:p>
      <w:pPr>
        <w:pStyle w:val="Ruller43"/>
        <w:numPr>
          <w:ilvl w:val="0"/>
          <w:numId w:val="0"/>
        </w:numPr>
        <w:ind w:hanging="0" w:start="0" w:end="0"/>
        <w:jc w:val="both"/>
        <w:rPr/>
      </w:pPr>
      <w:r>
        <w:rPr>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נאשם</w:t>
      </w:r>
      <w:r>
        <w:rPr>
          <w:rFonts w:ascii="Century" w:hAnsi="Century" w:eastAsia="Century" w:cs="Century"/>
          <w:b/>
          <w:b/>
          <w:spacing w:val="0"/>
          <w:szCs w:val="24"/>
          <w:rtl w:val="true"/>
        </w:rPr>
        <w:t xml:space="preserve"> </w:t>
      </w:r>
      <w:r>
        <w:rPr>
          <w:rFonts w:cs="Miriam" w:ascii="Century" w:hAnsi="Century"/>
          <w:b/>
          <w:spacing w:val="0"/>
          <w:szCs w:val="24"/>
        </w:rPr>
        <w:t>9</w:t>
      </w:r>
      <w:r>
        <w:rPr>
          <w:rFonts w:cs="Miriam" w:ascii="Century" w:hAnsi="Century"/>
          <w:b/>
          <w:spacing w:val="0"/>
          <w:szCs w:val="24"/>
          <w:rtl w:val="true"/>
        </w:rPr>
        <w:t xml:space="preserve"> (</w:t>
      </w:r>
      <w:r>
        <w:rPr>
          <w:rFonts w:ascii="Century" w:hAnsi="Century" w:cs="Miriam"/>
          <w:b/>
          <w:b/>
          <w:spacing w:val="0"/>
          <w:szCs w:val="24"/>
          <w:rtl w:val="true"/>
        </w:rPr>
        <w:t>המערער</w:t>
      </w:r>
      <w:r>
        <w:rPr>
          <w:rFonts w:ascii="Century" w:hAnsi="Century" w:eastAsia="Century" w:cs="Century"/>
          <w:b/>
          <w:b/>
          <w:spacing w:val="0"/>
          <w:szCs w:val="24"/>
          <w:rtl w:val="true"/>
        </w:rPr>
        <w:t xml:space="preserve"> </w:t>
      </w:r>
      <w:r>
        <w:rPr>
          <w:rFonts w:ascii="Century" w:hAnsi="Century" w:cs="Miriam"/>
          <w:b/>
          <w:b/>
          <w:spacing w:val="0"/>
          <w:szCs w:val="24"/>
          <w:rtl w:val="true"/>
        </w:rPr>
        <w:t>ב</w:t>
      </w:r>
      <w:r>
        <w:rPr>
          <w:rFonts w:ascii="Century" w:hAnsi="Century" w:cs="Miriam"/>
          <w:b/>
          <w:b/>
          <w:spacing w:val="0"/>
          <w:szCs w:val="24"/>
          <w:rtl w:val="true"/>
        </w:rPr>
        <w:t>ע</w:t>
      </w:r>
      <w:r>
        <w:rPr>
          <w:rFonts w:cs="Miriam" w:ascii="Century" w:hAnsi="Century"/>
          <w:b/>
          <w:spacing w:val="0"/>
          <w:szCs w:val="24"/>
          <w:rtl w:val="true"/>
        </w:rPr>
        <w:t>"</w:t>
      </w:r>
      <w:r>
        <w:rPr>
          <w:rFonts w:ascii="Century" w:hAnsi="Century" w:cs="Miriam"/>
          <w:b/>
          <w:b/>
          <w:spacing w:val="0"/>
          <w:szCs w:val="24"/>
          <w:rtl w:val="true"/>
        </w:rPr>
        <w:t>פ</w:t>
      </w:r>
      <w:r>
        <w:rPr>
          <w:rFonts w:ascii="Century" w:hAnsi="Century" w:eastAsia="Century" w:cs="Century"/>
          <w:b/>
          <w:b/>
          <w:spacing w:val="0"/>
          <w:szCs w:val="24"/>
          <w:rtl w:val="true"/>
        </w:rPr>
        <w:t xml:space="preserve"> </w:t>
      </w:r>
      <w:r>
        <w:rPr>
          <w:rFonts w:cs="Miriam" w:ascii="Century" w:hAnsi="Century"/>
          <w:b/>
          <w:spacing w:val="0"/>
          <w:szCs w:val="24"/>
        </w:rPr>
        <w:t>2732/18</w:t>
      </w:r>
      <w:r>
        <w:rPr>
          <w:rFonts w:cs="Miriam" w:ascii="Century" w:hAnsi="Century"/>
          <w:b/>
          <w:spacing w:val="0"/>
          <w:szCs w:val="24"/>
          <w:rtl w:val="true"/>
        </w:rPr>
        <w:t>)</w:t>
      </w:r>
    </w:p>
    <w:p>
      <w:pPr>
        <w:pStyle w:val="Ruller43"/>
        <w:numPr>
          <w:ilvl w:val="0"/>
          <w:numId w:val="0"/>
        </w:numPr>
        <w:ind w:hanging="0" w:start="0" w:end="0"/>
        <w:jc w:val="both"/>
        <w:rPr>
          <w:rFonts w:ascii="Century" w:hAnsi="Century" w:cs="Miriam"/>
          <w:b/>
          <w:spacing w:val="0"/>
          <w:sz w:val="22"/>
          <w:szCs w:val="24"/>
        </w:rPr>
      </w:pP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הרקע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לערעור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וטענות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הצדדים</w:t>
      </w:r>
    </w:p>
    <w:p>
      <w:pPr>
        <w:pStyle w:val="Ruller43"/>
        <w:numPr>
          <w:ilvl w:val="0"/>
          <w:numId w:val="1"/>
        </w:numPr>
        <w:ind w:end="0"/>
        <w:jc w:val="both"/>
        <w:rPr/>
      </w:pPr>
      <w:r>
        <w:rPr>
          <w:rtl w:val="true"/>
        </w:rPr>
        <w:t>המערער הורשע בעבירות של סחר בנשק וקשירת קשר לסחר</w:t>
      </w:r>
      <w:r>
        <w:rPr>
          <w:rtl w:val="true"/>
        </w:rPr>
        <w:t xml:space="preserve">, </w:t>
      </w:r>
      <w:r>
        <w:rPr>
          <w:rtl w:val="true"/>
        </w:rPr>
        <w:t>בגין מעורבותו בעסקה במסגרתה נמכר לסוכן אקדח קולט ותחמושת תואמת תמורת סך של כ</w:t>
      </w:r>
      <w:r>
        <w:rPr>
          <w:rtl w:val="true"/>
        </w:rPr>
        <w:t>-</w:t>
      </w:r>
      <w:r>
        <w:rPr/>
        <w:t>21,000</w:t>
      </w:r>
      <w:r>
        <w:rPr>
          <w:rtl w:val="true"/>
        </w:rPr>
        <w:t xml:space="preserve"> </w:t>
      </w:r>
      <w:r>
        <w:rPr>
          <w:rtl w:val="true"/>
        </w:rPr>
        <w:t>ש</w:t>
      </w:r>
      <w:r>
        <w:rPr>
          <w:rtl w:val="true"/>
        </w:rPr>
        <w:t>"</w:t>
      </w:r>
      <w:r>
        <w:rPr>
          <w:rtl w:val="true"/>
        </w:rPr>
        <w:t>ח</w:t>
      </w:r>
      <w:r>
        <w:rPr>
          <w:rtl w:val="true"/>
        </w:rPr>
        <w:t xml:space="preserve">. </w:t>
      </w:r>
      <w:r>
        <w:rPr>
          <w:rtl w:val="true"/>
        </w:rPr>
        <w:t xml:space="preserve">המערער נכנס לתמונה לאחר שנסיונו של נאשם </w:t>
      </w:r>
      <w:r>
        <w:rPr/>
        <w:t>2</w:t>
      </w:r>
      <w:r>
        <w:rPr>
          <w:rtl w:val="true"/>
        </w:rPr>
        <w:t xml:space="preserve"> </w:t>
      </w:r>
      <w:r>
        <w:rPr>
          <w:rtl w:val="true"/>
        </w:rPr>
        <w:t xml:space="preserve">למכור לסוכן כלי נשק </w:t>
      </w:r>
      <w:r>
        <w:rPr>
          <w:rtl w:val="true"/>
        </w:rPr>
        <w:t>–</w:t>
      </w:r>
      <w:r>
        <w:rPr>
          <w:rtl w:val="true"/>
        </w:rPr>
        <w:t xml:space="preserve"> כשל</w:t>
      </w:r>
      <w:r>
        <w:rPr>
          <w:rtl w:val="true"/>
        </w:rPr>
        <w:t xml:space="preserve">, </w:t>
      </w:r>
      <w:r>
        <w:rPr>
          <w:rtl w:val="true"/>
        </w:rPr>
        <w:t>וביודעו כי ברשותו של המערער אקדח</w:t>
      </w:r>
      <w:r>
        <w:rPr>
          <w:rtl w:val="true"/>
        </w:rPr>
        <w:t xml:space="preserve">, </w:t>
      </w:r>
      <w:r>
        <w:rPr>
          <w:rtl w:val="true"/>
        </w:rPr>
        <w:t xml:space="preserve">פנה נאשם </w:t>
      </w:r>
      <w:r>
        <w:rPr/>
        <w:t>2</w:t>
      </w:r>
      <w:r>
        <w:rPr>
          <w:rtl w:val="true"/>
        </w:rPr>
        <w:t xml:space="preserve"> </w:t>
      </w:r>
      <w:r>
        <w:rPr>
          <w:rtl w:val="true"/>
        </w:rPr>
        <w:t>אליו</w:t>
      </w:r>
      <w:r>
        <w:rPr>
          <w:rtl w:val="true"/>
        </w:rPr>
        <w:t xml:space="preserve">, </w:t>
      </w:r>
      <w:r>
        <w:rPr>
          <w:rtl w:val="true"/>
        </w:rPr>
        <w:t>עד אשר סיפק המערער את האקדח</w:t>
      </w:r>
      <w:r>
        <w:rPr>
          <w:rtl w:val="true"/>
        </w:rPr>
        <w:t xml:space="preserve">, </w:t>
      </w:r>
      <w:r>
        <w:rPr>
          <w:rtl w:val="true"/>
        </w:rPr>
        <w:t>והעסקה הושלמה</w:t>
      </w:r>
      <w:r>
        <w:rPr>
          <w:rtl w:val="true"/>
        </w:rPr>
        <w:t>.</w:t>
      </w:r>
    </w:p>
    <w:p>
      <w:pPr>
        <w:pStyle w:val="Ruller42"/>
        <w:ind w:end="0"/>
        <w:jc w:val="both"/>
        <w:rPr/>
      </w:pPr>
      <w:r>
        <w:rPr>
          <w:rtl w:val="true"/>
        </w:rPr>
      </w:r>
    </w:p>
    <w:p>
      <w:pPr>
        <w:pStyle w:val="Ruller43"/>
        <w:numPr>
          <w:ilvl w:val="0"/>
          <w:numId w:val="1"/>
        </w:numPr>
        <w:ind w:end="0"/>
        <w:jc w:val="both"/>
        <w:rPr/>
      </w:pPr>
      <w:r>
        <w:rPr>
          <w:rtl w:val="true"/>
        </w:rPr>
        <w:t>תסקיר שירות המבחן שהוגש בעניין המערער לפני שנגזר דינו</w:t>
      </w:r>
      <w:r>
        <w:rPr>
          <w:rtl w:val="true"/>
        </w:rPr>
        <w:t xml:space="preserve">, </w:t>
      </w:r>
      <w:r>
        <w:rPr>
          <w:rtl w:val="true"/>
        </w:rPr>
        <w:t>הצביע על נסיבות חייו הבעייתיות</w:t>
      </w:r>
      <w:r>
        <w:rPr>
          <w:rtl w:val="true"/>
        </w:rPr>
        <w:t xml:space="preserve">, </w:t>
      </w:r>
      <w:r>
        <w:rPr>
          <w:rtl w:val="true"/>
        </w:rPr>
        <w:t>כאשר צוין כי להתרשמות שירות המבחן הוא לא פעל מתוך דפוסים עברייניים</w:t>
      </w:r>
      <w:r>
        <w:rPr>
          <w:rtl w:val="true"/>
        </w:rPr>
        <w:t xml:space="preserve">, </w:t>
      </w:r>
      <w:r>
        <w:rPr>
          <w:rtl w:val="true"/>
        </w:rPr>
        <w:t>ורמת המסוכנות להישנות העבירות בתחום הנשק הוערכה נמוכה</w:t>
      </w:r>
      <w:r>
        <w:rPr>
          <w:rtl w:val="true"/>
        </w:rPr>
        <w:t xml:space="preserve">. </w:t>
      </w:r>
      <w:r>
        <w:rPr>
          <w:rtl w:val="true"/>
        </w:rPr>
        <w:t>על כן</w:t>
      </w:r>
      <w:r>
        <w:rPr>
          <w:rtl w:val="true"/>
        </w:rPr>
        <w:t xml:space="preserve">, </w:t>
      </w:r>
      <w:r>
        <w:rPr>
          <w:rtl w:val="true"/>
        </w:rPr>
        <w:t>הומלץ להעמידו במבחן למשך שנה ולהשית עליו עונש של מאסר לריצוי בדרך של עבודות שירות</w:t>
      </w:r>
      <w:r>
        <w:rPr>
          <w:rtl w:val="true"/>
        </w:rPr>
        <w:t xml:space="preserve">. </w:t>
      </w:r>
    </w:p>
    <w:p>
      <w:pPr>
        <w:pStyle w:val="Ruller43"/>
        <w:numPr>
          <w:ilvl w:val="0"/>
          <w:numId w:val="0"/>
        </w:numPr>
        <w:ind w:hanging="0" w:start="0" w:end="0"/>
        <w:jc w:val="both"/>
        <w:rPr/>
      </w:pPr>
      <w:r>
        <w:rPr>
          <w:rtl w:val="true"/>
        </w:rPr>
      </w:r>
    </w:p>
    <w:p>
      <w:pPr>
        <w:pStyle w:val="Ruller43"/>
        <w:numPr>
          <w:ilvl w:val="0"/>
          <w:numId w:val="1"/>
        </w:numPr>
        <w:ind w:end="0"/>
        <w:jc w:val="both"/>
        <w:rPr/>
      </w:pPr>
      <w:r>
        <w:rPr>
          <w:rtl w:val="true"/>
        </w:rPr>
        <w:t>בגזר הדין הובהרה מעורבותו של המערער בעסקה</w:t>
      </w:r>
      <w:r>
        <w:rPr>
          <w:rtl w:val="true"/>
        </w:rPr>
        <w:t xml:space="preserve">, </w:t>
      </w:r>
      <w:r>
        <w:rPr>
          <w:rtl w:val="true"/>
        </w:rPr>
        <w:t>כאשר צוין כי על אף שנאשם אחר היה הדמות המרכזית בה</w:t>
      </w:r>
      <w:r>
        <w:rPr>
          <w:rtl w:val="true"/>
        </w:rPr>
        <w:t xml:space="preserve">, </w:t>
      </w:r>
      <w:r>
        <w:rPr>
          <w:rtl w:val="true"/>
        </w:rPr>
        <w:t>העסקה לא הייתה יוצאת אל הפועל בלעדי פעילות המערער</w:t>
      </w:r>
      <w:r>
        <w:rPr>
          <w:rtl w:val="true"/>
        </w:rPr>
        <w:t xml:space="preserve">. </w:t>
      </w:r>
      <w:r>
        <w:rPr>
          <w:rtl w:val="true"/>
        </w:rPr>
        <w:t>על כן</w:t>
      </w:r>
      <w:r>
        <w:rPr>
          <w:rtl w:val="true"/>
        </w:rPr>
        <w:t xml:space="preserve">, </w:t>
      </w:r>
      <w:r>
        <w:rPr>
          <w:rtl w:val="true"/>
        </w:rPr>
        <w:t>ובשים לב למתחמי הענישה שנקבעו בעניינם של נאשמים אחרים בפרשה</w:t>
      </w:r>
      <w:r>
        <w:rPr>
          <w:rtl w:val="true"/>
        </w:rPr>
        <w:t xml:space="preserve">, </w:t>
      </w:r>
      <w:r>
        <w:rPr>
          <w:rtl w:val="true"/>
        </w:rPr>
        <w:t xml:space="preserve">מתחם העונש בעניינו הועמד על </w:t>
      </w:r>
      <w:r>
        <w:rPr/>
        <w:t>48-18</w:t>
      </w:r>
      <w:r>
        <w:rPr>
          <w:rtl w:val="true"/>
        </w:rPr>
        <w:t xml:space="preserve"> </w:t>
      </w:r>
      <w:r>
        <w:rPr>
          <w:rtl w:val="true"/>
        </w:rPr>
        <w:t>חודשי מאסר בפועל</w:t>
      </w:r>
      <w:r>
        <w:rPr>
          <w:rtl w:val="true"/>
        </w:rPr>
        <w:t xml:space="preserve">, </w:t>
      </w:r>
      <w:r>
        <w:rPr>
          <w:rtl w:val="true"/>
        </w:rPr>
        <w:t>מאסר על תנאי וקנס כספי</w:t>
      </w:r>
      <w:r>
        <w:rPr>
          <w:rtl w:val="true"/>
        </w:rPr>
        <w:t xml:space="preserve">. </w:t>
      </w:r>
      <w:r>
        <w:rPr>
          <w:rtl w:val="true"/>
        </w:rPr>
        <w:t>בית המשפט ציין כי לא מתקיימות נסיבות המצדיקות סטייה לקולא מהמתחם משיקולי שיקום</w:t>
      </w:r>
      <w:r>
        <w:rPr>
          <w:rtl w:val="true"/>
        </w:rPr>
        <w:t xml:space="preserve">, </w:t>
      </w:r>
      <w:r>
        <w:rPr>
          <w:rtl w:val="true"/>
        </w:rPr>
        <w:t>אף כי נסיבות חייו הבעייתיות</w:t>
      </w:r>
      <w:r>
        <w:rPr>
          <w:rtl w:val="true"/>
        </w:rPr>
        <w:t xml:space="preserve">, </w:t>
      </w:r>
      <w:r>
        <w:rPr>
          <w:rtl w:val="true"/>
        </w:rPr>
        <w:t>נכונותו של המערער לעשות מאמצים לשפר את אורחות חייו ועוד שיקולים לקולא נלקחו בחשבון בעת גזירת עונשו</w:t>
      </w:r>
      <w:r>
        <w:rPr>
          <w:rtl w:val="true"/>
        </w:rPr>
        <w:t xml:space="preserve">. </w:t>
      </w:r>
      <w:r>
        <w:rPr>
          <w:rtl w:val="true"/>
        </w:rPr>
        <w:t>כן צוין מן העבר השני</w:t>
      </w:r>
      <w:r>
        <w:rPr>
          <w:rtl w:val="true"/>
        </w:rPr>
        <w:t xml:space="preserve">, </w:t>
      </w:r>
      <w:r>
        <w:rPr>
          <w:rtl w:val="true"/>
        </w:rPr>
        <w:t>כי המערער כפר בתחילה במיוחס לו וחזר בו מכפירתו רק לאחר שנשמעה עדות הסוכן</w:t>
      </w:r>
      <w:r>
        <w:rPr>
          <w:rtl w:val="true"/>
        </w:rPr>
        <w:t xml:space="preserve">, </w:t>
      </w:r>
      <w:r>
        <w:rPr>
          <w:rtl w:val="true"/>
        </w:rPr>
        <w:t>כי הוא נוטה למזער את חלקו בביצוע המעשים וכי בעברו שתי הרשעות קודמות בפלילים</w:t>
      </w:r>
      <w:r>
        <w:rPr>
          <w:rtl w:val="true"/>
        </w:rPr>
        <w:t xml:space="preserve">. </w:t>
      </w:r>
      <w:r>
        <w:rPr>
          <w:rtl w:val="true"/>
        </w:rPr>
        <w:t xml:space="preserve">סופו של יום הושת על המערער עונש של </w:t>
      </w:r>
      <w:r>
        <w:rPr/>
        <w:t>24</w:t>
      </w:r>
      <w:r>
        <w:rPr>
          <w:rtl w:val="true"/>
        </w:rPr>
        <w:t xml:space="preserve"> </w:t>
      </w:r>
      <w:r>
        <w:rPr>
          <w:rtl w:val="true"/>
        </w:rPr>
        <w:t>חודשי מאסר בפועל</w:t>
      </w:r>
      <w:r>
        <w:rPr>
          <w:rtl w:val="true"/>
        </w:rPr>
        <w:t xml:space="preserve">, </w:t>
      </w:r>
      <w:r>
        <w:rPr>
          <w:rtl w:val="true"/>
        </w:rPr>
        <w:t xml:space="preserve">מאסר על תנאי וקנס כספי בסך של </w:t>
      </w:r>
      <w:r>
        <w:rPr/>
        <w:t>5,000</w:t>
      </w:r>
      <w:r>
        <w:rPr>
          <w:rtl w:val="true"/>
        </w:rPr>
        <w:t xml:space="preserve"> </w:t>
      </w:r>
      <w:r>
        <w:rPr>
          <w:rtl w:val="true"/>
        </w:rPr>
        <w:t>ש</w:t>
      </w:r>
      <w:r>
        <w:rPr>
          <w:rtl w:val="true"/>
        </w:rPr>
        <w:t>"</w:t>
      </w:r>
      <w:r>
        <w:rPr>
          <w:rtl w:val="true"/>
        </w:rPr>
        <w:t>ח</w:t>
      </w:r>
      <w:r>
        <w:rPr>
          <w:rtl w:val="true"/>
        </w:rPr>
        <w:t>.</w:t>
      </w:r>
    </w:p>
    <w:p>
      <w:pPr>
        <w:pStyle w:val="Ruller43"/>
        <w:numPr>
          <w:ilvl w:val="0"/>
          <w:numId w:val="0"/>
        </w:numPr>
        <w:ind w:hanging="0" w:start="0" w:end="0"/>
        <w:jc w:val="both"/>
        <w:rPr>
          <w:rFonts w:ascii="Century" w:hAnsi="Century" w:cs="Miriam"/>
          <w:b/>
          <w:spacing w:val="0"/>
          <w:szCs w:val="24"/>
        </w:rPr>
      </w:pPr>
      <w:r>
        <w:rPr>
          <w:rFonts w:cs="Miriam" w:ascii="Century" w:hAnsi="Century"/>
          <w:b/>
          <w:spacing w:val="0"/>
          <w:szCs w:val="24"/>
          <w:rtl w:val="true"/>
        </w:rPr>
        <w:tab/>
      </w:r>
    </w:p>
    <w:p>
      <w:pPr>
        <w:pStyle w:val="Ruller43"/>
        <w:numPr>
          <w:ilvl w:val="0"/>
          <w:numId w:val="1"/>
        </w:numPr>
        <w:ind w:end="0"/>
        <w:jc w:val="both"/>
        <w:rPr/>
      </w:pPr>
      <w:r>
        <w:rPr>
          <w:rtl w:val="true"/>
        </w:rPr>
        <w:t>לטענת המערער</w:t>
      </w:r>
      <w:r>
        <w:rPr>
          <w:rtl w:val="true"/>
        </w:rPr>
        <w:t xml:space="preserve">, </w:t>
      </w:r>
      <w:r>
        <w:rPr>
          <w:rtl w:val="true"/>
        </w:rPr>
        <w:t>הוא הודה באישום המיוחס לו לאחר שתוקן</w:t>
      </w:r>
      <w:r>
        <w:rPr>
          <w:rtl w:val="true"/>
        </w:rPr>
        <w:t xml:space="preserve">, </w:t>
      </w:r>
      <w:r>
        <w:rPr>
          <w:rtl w:val="true"/>
        </w:rPr>
        <w:t>ובנסיבות אלו יש לראותו כמי שהודה בהזדמנות הראשונה</w:t>
      </w:r>
      <w:r>
        <w:rPr>
          <w:rtl w:val="true"/>
        </w:rPr>
        <w:t xml:space="preserve">. </w:t>
      </w:r>
      <w:r>
        <w:rPr>
          <w:rtl w:val="true"/>
        </w:rPr>
        <w:t xml:space="preserve">עוד טען המערער נגד הרשעתו בעבירת סחר בנשק </w:t>
      </w:r>
      <w:r>
        <w:rPr>
          <w:rtl w:val="true"/>
        </w:rPr>
        <w:t>(</w:t>
      </w:r>
      <w:r>
        <w:rPr>
          <w:rtl w:val="true"/>
        </w:rPr>
        <w:t xml:space="preserve">על אף שכותרת הערעור נסובה על </w:t>
      </w:r>
      <w:r>
        <w:rPr>
          <w:rtl w:val="true"/>
        </w:rPr>
        <w:t>"</w:t>
      </w:r>
      <w:r>
        <w:rPr>
          <w:rtl w:val="true"/>
        </w:rPr>
        <w:t>גזר הדין</w:t>
      </w:r>
      <w:r>
        <w:rPr>
          <w:rtl w:val="true"/>
        </w:rPr>
        <w:t xml:space="preserve">" </w:t>
      </w:r>
      <w:r>
        <w:rPr>
          <w:rtl w:val="true"/>
        </w:rPr>
        <w:t>כאמור</w:t>
      </w:r>
      <w:r>
        <w:rPr>
          <w:rtl w:val="true"/>
        </w:rPr>
        <w:t xml:space="preserve">), </w:t>
      </w:r>
      <w:r>
        <w:rPr>
          <w:rtl w:val="true"/>
        </w:rPr>
        <w:t>בציינו כי שגה בית המשפט המחוזי בכך שהרשיעו בעבירה זו</w:t>
      </w:r>
      <w:r>
        <w:rPr>
          <w:rtl w:val="true"/>
        </w:rPr>
        <w:t xml:space="preserve">, </w:t>
      </w:r>
      <w:r>
        <w:rPr>
          <w:rtl w:val="true"/>
        </w:rPr>
        <w:t>שעה שעובדות כתב האישום בעניינו אינן מצביעות על גיבוש העבירה</w:t>
      </w:r>
      <w:r>
        <w:rPr>
          <w:rtl w:val="true"/>
        </w:rPr>
        <w:t xml:space="preserve">. </w:t>
      </w:r>
      <w:r>
        <w:rPr>
          <w:rtl w:val="true"/>
        </w:rPr>
        <w:t>עוד טען בא</w:t>
      </w:r>
      <w:r>
        <w:rPr>
          <w:rtl w:val="true"/>
        </w:rPr>
        <w:t>-</w:t>
      </w:r>
      <w:r>
        <w:rPr>
          <w:rtl w:val="true"/>
        </w:rPr>
        <w:t>כוח המערער בהקשר זה</w:t>
      </w:r>
      <w:r>
        <w:rPr>
          <w:rtl w:val="true"/>
        </w:rPr>
        <w:t xml:space="preserve">, </w:t>
      </w:r>
      <w:r>
        <w:rPr>
          <w:rtl w:val="true"/>
        </w:rPr>
        <w:t xml:space="preserve">כי המערער הודה בעובדות כתב האישום המתוקן בעניינו אך </w:t>
      </w:r>
      <w:r>
        <w:rPr>
          <w:rtl w:val="true"/>
        </w:rPr>
        <w:t>"</w:t>
      </w:r>
      <w:r>
        <w:rPr>
          <w:rtl w:val="true"/>
        </w:rPr>
        <w:t>לא הבין את המשמעות של העבירות שבהן הוא מורשע</w:t>
      </w:r>
      <w:r>
        <w:rPr>
          <w:rtl w:val="true"/>
        </w:rPr>
        <w:t xml:space="preserve">". </w:t>
      </w:r>
      <w:r>
        <w:rPr>
          <w:rtl w:val="true"/>
        </w:rPr>
        <w:t>כן נטען כי היה על בית המשפט להקל בעונשו ביחס למעורבים אחרים שמעשיהם היו חמורים בהרבה</w:t>
      </w:r>
      <w:r>
        <w:rPr>
          <w:rtl w:val="true"/>
        </w:rPr>
        <w:t xml:space="preserve">, </w:t>
      </w:r>
      <w:r>
        <w:rPr>
          <w:rtl w:val="true"/>
        </w:rPr>
        <w:t>וכי מתחם העונש היה צריך לכלול ברף התחתון שלו עונש שאינו מאחורי סורג ובריח</w:t>
      </w:r>
      <w:r>
        <w:rPr>
          <w:rtl w:val="true"/>
        </w:rPr>
        <w:t xml:space="preserve">. </w:t>
      </w:r>
      <w:r>
        <w:rPr>
          <w:rtl w:val="true"/>
        </w:rPr>
        <w:t>בנוסף</w:t>
      </w:r>
      <w:r>
        <w:rPr>
          <w:rtl w:val="true"/>
        </w:rPr>
        <w:t xml:space="preserve">, </w:t>
      </w:r>
      <w:r>
        <w:rPr>
          <w:rtl w:val="true"/>
        </w:rPr>
        <w:t>נטען כי בית המשפט התעלם מנסיבות חייו המורכבות</w:t>
      </w:r>
      <w:r>
        <w:rPr>
          <w:rtl w:val="true"/>
        </w:rPr>
        <w:t xml:space="preserve">. </w:t>
      </w:r>
      <w:r>
        <w:rPr>
          <w:rtl w:val="true"/>
        </w:rPr>
        <w:t>מנגד</w:t>
      </w:r>
      <w:r>
        <w:rPr>
          <w:rtl w:val="true"/>
        </w:rPr>
        <w:t xml:space="preserve">, </w:t>
      </w:r>
      <w:r>
        <w:rPr>
          <w:rtl w:val="true"/>
        </w:rPr>
        <w:t>המדינה טענה כי אין לשעות לטענת המערער בדבר הרשעתו בעבירה של סחר בנשק</w:t>
      </w:r>
      <w:r>
        <w:rPr>
          <w:rtl w:val="true"/>
        </w:rPr>
        <w:t xml:space="preserve">, </w:t>
      </w:r>
      <w:r>
        <w:rPr>
          <w:rtl w:val="true"/>
        </w:rPr>
        <w:t>כאשר זו אינה אלא טענה לכשל בייצוג</w:t>
      </w:r>
      <w:r>
        <w:rPr>
          <w:rtl w:val="true"/>
        </w:rPr>
        <w:t xml:space="preserve">, </w:t>
      </w:r>
      <w:r>
        <w:rPr>
          <w:rtl w:val="true"/>
        </w:rPr>
        <w:t>שנטענה בעלמא ומבלי שבא זכרה בהליך לפני בית המשפט המחוזי</w:t>
      </w:r>
      <w:r>
        <w:rPr>
          <w:rtl w:val="true"/>
        </w:rPr>
        <w:t xml:space="preserve">. </w:t>
      </w:r>
      <w:r>
        <w:rPr>
          <w:rtl w:val="true"/>
        </w:rPr>
        <w:t>עוד נטען כי חלקו של המערער בעסקה היה מרכזי</w:t>
      </w:r>
      <w:r>
        <w:rPr>
          <w:rtl w:val="true"/>
        </w:rPr>
        <w:t xml:space="preserve">, </w:t>
      </w:r>
      <w:r>
        <w:rPr>
          <w:rtl w:val="true"/>
        </w:rPr>
        <w:t xml:space="preserve">שעה שנאשם </w:t>
      </w:r>
      <w:r>
        <w:rPr/>
        <w:t>2</w:t>
      </w:r>
      <w:r>
        <w:rPr>
          <w:rtl w:val="true"/>
        </w:rPr>
        <w:t xml:space="preserve"> </w:t>
      </w:r>
      <w:r>
        <w:rPr>
          <w:rtl w:val="true"/>
        </w:rPr>
        <w:t>אשר עמד בקשר ראשוני עם הסוכן</w:t>
      </w:r>
      <w:r>
        <w:rPr>
          <w:rtl w:val="true"/>
        </w:rPr>
        <w:t xml:space="preserve">, </w:t>
      </w:r>
      <w:r>
        <w:rPr>
          <w:rtl w:val="true"/>
        </w:rPr>
        <w:t>התקשר למערער מיד לאחר מכן ביודעו כי יש בידו אקדח</w:t>
      </w:r>
      <w:r>
        <w:rPr>
          <w:rtl w:val="true"/>
        </w:rPr>
        <w:t xml:space="preserve">, </w:t>
      </w:r>
      <w:r>
        <w:rPr>
          <w:rtl w:val="true"/>
        </w:rPr>
        <w:t>וכאשר העסקה אף בוצעה בסמוך לביתו של המערער ובנוכחותו</w:t>
      </w:r>
      <w:r>
        <w:rPr>
          <w:rtl w:val="true"/>
        </w:rPr>
        <w:t xml:space="preserve">. </w:t>
      </w:r>
      <w:r>
        <w:rPr>
          <w:rtl w:val="true"/>
        </w:rPr>
        <w:t>כן הודגש כי זו לא הייתה הסתבכותו הראשונה של המערער בהתנהגות עוברת חוק</w:t>
      </w:r>
      <w:r>
        <w:rPr>
          <w:rtl w:val="true"/>
        </w:rPr>
        <w:t xml:space="preserve">, </w:t>
      </w:r>
      <w:r>
        <w:rPr>
          <w:rtl w:val="true"/>
        </w:rPr>
        <w:t>וכי הוא עודנו מונע את הפללתו של אדם אחר המעורב בפרשה</w:t>
      </w:r>
      <w:r>
        <w:rPr>
          <w:rtl w:val="true"/>
        </w:rPr>
        <w:t xml:space="preserve">, </w:t>
      </w:r>
      <w:r>
        <w:rPr>
          <w:rtl w:val="true"/>
        </w:rPr>
        <w:t>על אף שזהותו ידועה לו</w:t>
      </w:r>
      <w:r>
        <w:rPr>
          <w:rtl w:val="true"/>
        </w:rPr>
        <w:t xml:space="preserve">. </w:t>
      </w:r>
    </w:p>
    <w:p>
      <w:pPr>
        <w:pStyle w:val="Ruller43"/>
        <w:numPr>
          <w:ilvl w:val="0"/>
          <w:numId w:val="0"/>
        </w:numPr>
        <w:ind w:hanging="0" w:start="0" w:end="0"/>
        <w:jc w:val="both"/>
        <w:rPr>
          <w:rFonts w:ascii="Century" w:hAnsi="Century" w:cs="Miriam"/>
          <w:b/>
          <w:spacing w:val="0"/>
          <w:sz w:val="22"/>
          <w:szCs w:val="24"/>
        </w:rPr>
      </w:pPr>
      <w:r>
        <w:rPr>
          <w:rFonts w:cs="Miriam" w:ascii="Century" w:hAnsi="Century"/>
          <w:b/>
          <w:spacing w:val="0"/>
          <w:sz w:val="22"/>
          <w:szCs w:val="24"/>
          <w:rtl w:val="true"/>
        </w:rPr>
      </w:r>
    </w:p>
    <w:p>
      <w:pPr>
        <w:pStyle w:val="Ruller43"/>
        <w:numPr>
          <w:ilvl w:val="0"/>
          <w:numId w:val="0"/>
        </w:numPr>
        <w:ind w:hanging="0" w:start="0" w:end="0"/>
        <w:jc w:val="both"/>
        <w:rPr>
          <w:rFonts w:ascii="Century" w:hAnsi="Century" w:cs="Miriam"/>
          <w:b/>
          <w:spacing w:val="0"/>
          <w:sz w:val="22"/>
          <w:szCs w:val="24"/>
        </w:rPr>
      </w:pPr>
      <w:r>
        <w:rPr>
          <w:rFonts w:ascii="Century" w:hAnsi="Century" w:cs="Miriam"/>
          <w:b/>
          <w:b/>
          <w:spacing w:val="0"/>
          <w:sz w:val="22"/>
          <w:sz w:val="22"/>
          <w:szCs w:val="24"/>
          <w:rtl w:val="true"/>
        </w:rPr>
        <w:t>ב</w:t>
      </w:r>
      <w:r>
        <w:rPr>
          <w:rFonts w:cs="Miriam" w:ascii="Century" w:hAnsi="Century"/>
          <w:b/>
          <w:spacing w:val="0"/>
          <w:sz w:val="22"/>
          <w:szCs w:val="24"/>
          <w:rtl w:val="true"/>
        </w:rPr>
        <w:t xml:space="preserve">. </w:t>
      </w:r>
      <w:r>
        <w:rPr>
          <w:rFonts w:ascii="Century" w:hAnsi="Century" w:cs="Miriam"/>
          <w:b/>
          <w:b/>
          <w:spacing w:val="0"/>
          <w:sz w:val="22"/>
          <w:sz w:val="22"/>
          <w:szCs w:val="24"/>
          <w:rtl w:val="true"/>
        </w:rPr>
        <w:t>דיון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והכרעה</w:t>
      </w:r>
    </w:p>
    <w:p>
      <w:pPr>
        <w:pStyle w:val="Ruller43"/>
        <w:numPr>
          <w:ilvl w:val="0"/>
          <w:numId w:val="1"/>
        </w:numPr>
        <w:ind w:end="0"/>
        <w:jc w:val="both"/>
        <w:rPr/>
      </w:pPr>
      <w:r>
        <w:rPr>
          <w:rFonts w:ascii="Century" w:hAnsi="Century" w:cs="Century"/>
          <w:rtl w:val="true"/>
        </w:rPr>
        <w:t>ראשית יודגש</w:t>
      </w:r>
      <w:r>
        <w:rPr>
          <w:rFonts w:cs="Century" w:ascii="Century" w:hAnsi="Century"/>
          <w:rtl w:val="true"/>
        </w:rPr>
        <w:t xml:space="preserve">, </w:t>
      </w:r>
      <w:r>
        <w:rPr>
          <w:rFonts w:ascii="Century" w:hAnsi="Century" w:cs="Century"/>
          <w:rtl w:val="true"/>
        </w:rPr>
        <w:t>כי מעשי המערער</w:t>
      </w:r>
      <w:r>
        <w:rPr>
          <w:rFonts w:cs="Century" w:ascii="Century" w:hAnsi="Century"/>
          <w:rtl w:val="true"/>
        </w:rPr>
        <w:t xml:space="preserve">, </w:t>
      </w:r>
      <w:r>
        <w:rPr>
          <w:rFonts w:ascii="Century" w:hAnsi="Century" w:cs="Century"/>
          <w:rtl w:val="true"/>
        </w:rPr>
        <w:t xml:space="preserve">אשר סיפק את כלי הנשק </w:t>
      </w:r>
      <w:r>
        <w:rPr>
          <w:rFonts w:cs="Century" w:ascii="Century" w:hAnsi="Century"/>
          <w:rtl w:val="true"/>
        </w:rPr>
        <w:t>(</w:t>
      </w:r>
      <w:r>
        <w:rPr>
          <w:rFonts w:ascii="Century" w:hAnsi="Century" w:cs="Century"/>
          <w:rtl w:val="true"/>
        </w:rPr>
        <w:t>לאחר שניסיון להשיג כלי נשק על ידי נאשם אחר נכשל</w:t>
      </w:r>
      <w:r>
        <w:rPr>
          <w:rFonts w:cs="Century" w:ascii="Century" w:hAnsi="Century"/>
          <w:rtl w:val="true"/>
        </w:rPr>
        <w:t xml:space="preserve">) </w:t>
      </w:r>
      <w:r>
        <w:rPr>
          <w:rFonts w:ascii="Century" w:hAnsi="Century" w:cs="Century"/>
          <w:rtl w:val="true"/>
        </w:rPr>
        <w:t>היוו חוליה מרכזית במסגרת העסקה</w:t>
      </w:r>
      <w:r>
        <w:rPr>
          <w:rFonts w:cs="Century" w:ascii="Century" w:hAnsi="Century"/>
          <w:rtl w:val="true"/>
        </w:rPr>
        <w:t xml:space="preserve">, </w:t>
      </w:r>
      <w:r>
        <w:rPr>
          <w:rFonts w:ascii="Century" w:hAnsi="Century" w:cs="Century"/>
          <w:rtl w:val="true"/>
        </w:rPr>
        <w:t xml:space="preserve">כאשר כפי </w:t>
      </w:r>
      <w:r>
        <w:rPr>
          <w:rFonts w:ascii="Century" w:hAnsi="Century" w:cs="Century"/>
          <w:rtl w:val="true"/>
        </w:rPr>
        <w:t>שקבע בית</w:t>
      </w:r>
      <w:r>
        <w:rPr>
          <w:rFonts w:ascii="Century" w:hAnsi="Century" w:cs="Century"/>
          <w:rtl w:val="true"/>
        </w:rPr>
        <w:t xml:space="preserve"> המשפט</w:t>
      </w:r>
      <w:r>
        <w:rPr>
          <w:rFonts w:cs="Century" w:ascii="Century" w:hAnsi="Century"/>
          <w:rtl w:val="true"/>
        </w:rPr>
        <w:t xml:space="preserve">, </w:t>
      </w:r>
      <w:r>
        <w:rPr>
          <w:rFonts w:ascii="Century" w:hAnsi="Century" w:cs="Century"/>
          <w:rtl w:val="true"/>
        </w:rPr>
        <w:t>ללא מעורבותו הפעילה לא הייתה יוצאת העסקה אל הפועל</w:t>
      </w:r>
      <w:r>
        <w:rPr>
          <w:rFonts w:cs="Century" w:ascii="Century" w:hAnsi="Century"/>
          <w:rtl w:val="true"/>
        </w:rPr>
        <w:t xml:space="preserve">. </w:t>
      </w:r>
      <w:r>
        <w:rPr>
          <w:rFonts w:ascii="Century" w:hAnsi="Century" w:cs="Century"/>
          <w:rtl w:val="true"/>
        </w:rPr>
        <w:t>על כן</w:t>
      </w:r>
      <w:r>
        <w:rPr>
          <w:rFonts w:cs="Century" w:ascii="Century" w:hAnsi="Century"/>
          <w:rtl w:val="true"/>
        </w:rPr>
        <w:t xml:space="preserve">, </w:t>
      </w:r>
      <w:r>
        <w:rPr>
          <w:rFonts w:ascii="Century" w:hAnsi="Century" w:cs="Century"/>
          <w:rtl w:val="true"/>
        </w:rPr>
        <w:t>אין כל מקום להמעיט</w:t>
      </w:r>
      <w:r>
        <w:rPr>
          <w:rtl w:val="true"/>
        </w:rPr>
        <w:t xml:space="preserve"> בחלקו ובחומרת נסיבות ביצוע העבירות על ידו</w:t>
      </w:r>
      <w:r>
        <w:rPr>
          <w:rtl w:val="true"/>
        </w:rPr>
        <w:t>.</w:t>
      </w:r>
    </w:p>
    <w:p>
      <w:pPr>
        <w:pStyle w:val="Ruller43"/>
        <w:numPr>
          <w:ilvl w:val="0"/>
          <w:numId w:val="0"/>
        </w:numPr>
        <w:ind w:hanging="0" w:start="0" w:end="0"/>
        <w:jc w:val="both"/>
        <w:rPr/>
      </w:pPr>
      <w:r>
        <w:rPr>
          <w:rtl w:val="true"/>
        </w:rPr>
      </w:r>
    </w:p>
    <w:p>
      <w:pPr>
        <w:pStyle w:val="Ruller43"/>
        <w:numPr>
          <w:ilvl w:val="0"/>
          <w:numId w:val="1"/>
        </w:numPr>
        <w:ind w:end="0"/>
        <w:jc w:val="both"/>
        <w:rPr/>
      </w:pPr>
      <w:r>
        <w:rPr>
          <w:rtl w:val="true"/>
        </w:rPr>
        <w:t>באשר לטענת המערער כי הוא לא הבין כדבעי את משמעויותיו של הסדר הטיעון</w:t>
      </w:r>
      <w:r>
        <w:rPr>
          <w:rtl w:val="true"/>
        </w:rPr>
        <w:t xml:space="preserve">, </w:t>
      </w:r>
      <w:r>
        <w:rPr>
          <w:rtl w:val="true"/>
        </w:rPr>
        <w:t>הרי שזו אינה יכולה להישמע</w:t>
      </w:r>
      <w:r>
        <w:rPr>
          <w:rtl w:val="true"/>
        </w:rPr>
        <w:t xml:space="preserve">. </w:t>
      </w:r>
      <w:r>
        <w:rPr>
          <w:rtl w:val="true"/>
        </w:rPr>
        <w:t>אין חולק כי המערער לא העלה כל טענה מעין זו בהליך שהתקיים לפני בית המשפט המחוזי</w:t>
      </w:r>
      <w:r>
        <w:rPr>
          <w:rtl w:val="true"/>
        </w:rPr>
        <w:t xml:space="preserve">. </w:t>
      </w:r>
      <w:r>
        <w:rPr>
          <w:rtl w:val="true"/>
        </w:rPr>
        <w:t>רק משהוחלף ייצוגו הועלתה באופן כללי הטענה כי הוא לא הבין כראוי את אשר התרחש בהליך לפני בית המשפט המחוזי</w:t>
      </w:r>
      <w:r>
        <w:rPr>
          <w:rtl w:val="true"/>
        </w:rPr>
        <w:t xml:space="preserve">, </w:t>
      </w:r>
      <w:r>
        <w:rPr>
          <w:rtl w:val="true"/>
        </w:rPr>
        <w:t xml:space="preserve">מאחוריה עומדת כביכול הטענה </w:t>
      </w:r>
      <w:r>
        <w:rPr>
          <w:rtl w:val="true"/>
        </w:rPr>
        <w:t>–</w:t>
      </w:r>
      <w:r>
        <w:rPr>
          <w:rtl w:val="true"/>
        </w:rPr>
        <w:t xml:space="preserve"> מבלי שהדברים נאמרו מפורשות </w:t>
      </w:r>
      <w:r>
        <w:rPr>
          <w:rtl w:val="true"/>
        </w:rPr>
        <w:t>–</w:t>
      </w:r>
      <w:r>
        <w:rPr>
          <w:rtl w:val="true"/>
        </w:rPr>
        <w:t xml:space="preserve"> כי בא</w:t>
      </w:r>
      <w:r>
        <w:rPr>
          <w:rtl w:val="true"/>
        </w:rPr>
        <w:t>-</w:t>
      </w:r>
      <w:r>
        <w:rPr>
          <w:rtl w:val="true"/>
        </w:rPr>
        <w:t>כוחו הקודם של המערער כשל בייצוגו בהליך לפני בית המשפט המחוזי</w:t>
      </w:r>
      <w:r>
        <w:rPr>
          <w:rtl w:val="true"/>
        </w:rPr>
        <w:t xml:space="preserve">. </w:t>
      </w:r>
      <w:r>
        <w:rPr>
          <w:rtl w:val="true"/>
        </w:rPr>
        <w:t>מעבר לכך שטענת כשל בייצוג לא נטענה במפורש</w:t>
      </w:r>
      <w:r>
        <w:rPr>
          <w:rtl w:val="true"/>
        </w:rPr>
        <w:t xml:space="preserve">, </w:t>
      </w:r>
      <w:r>
        <w:rPr>
          <w:rtl w:val="true"/>
        </w:rPr>
        <w:t>יש לזכור כי בחינת טענה זו צריכה להיעשות בזהירות רבה ולא די בהעלאת טענות</w:t>
      </w:r>
      <w:r>
        <w:rPr>
          <w:rtl w:val="true"/>
        </w:rPr>
        <w:t xml:space="preserve">, </w:t>
      </w:r>
      <w:r>
        <w:rPr>
          <w:rtl w:val="true"/>
        </w:rPr>
        <w:t>אף אם הן נכונות</w:t>
      </w:r>
      <w:r>
        <w:rPr>
          <w:rtl w:val="true"/>
        </w:rPr>
        <w:t xml:space="preserve">, </w:t>
      </w:r>
      <w:r>
        <w:rPr>
          <w:rtl w:val="true"/>
        </w:rPr>
        <w:t>בדבר האופן שבו נוהלה ההגנה בערכאה הדיונית</w:t>
      </w:r>
      <w:r>
        <w:rPr>
          <w:rtl w:val="true"/>
        </w:rPr>
        <w:t xml:space="preserve">, </w:t>
      </w:r>
      <w:r>
        <w:rPr>
          <w:rtl w:val="true"/>
        </w:rPr>
        <w:t xml:space="preserve">אלא נדרש להוכיח קיומו של עיוות דין של ממש </w:t>
      </w:r>
      <w:r>
        <w:rPr>
          <w:rtl w:val="true"/>
        </w:rPr>
        <w:t>(</w:t>
      </w:r>
      <w:r>
        <w:rPr>
          <w:rtl w:val="true"/>
        </w:rPr>
        <w:t>ראו למשל</w:t>
      </w:r>
      <w:r>
        <w:rPr>
          <w:rtl w:val="true"/>
        </w:rPr>
        <w:t xml:space="preserve">: </w:t>
      </w:r>
      <w:hyperlink r:id="rId59">
        <w:r>
          <w:rPr>
            <w:rStyle w:val="Hyperlink"/>
            <w:color w:val="0000FF"/>
            <w:u w:val="single"/>
          </w:rPr>
          <w:t>10153/07</w:t>
        </w:r>
      </w:hyperlink>
      <w:r>
        <w:rPr>
          <w:rtl w:val="true"/>
        </w:rPr>
        <w:t xml:space="preserve"> </w:t>
      </w:r>
      <w:r>
        <w:rPr>
          <w:rFonts w:ascii="Century" w:hAnsi="Century" w:cs="Miriam"/>
          <w:b/>
          <w:b/>
          <w:spacing w:val="0"/>
          <w:sz w:val="22"/>
          <w:sz w:val="22"/>
          <w:szCs w:val="24"/>
          <w:rtl w:val="true"/>
        </w:rPr>
        <w:t>קייסי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22</w:t>
      </w:r>
      <w:r>
        <w:rPr>
          <w:rtl w:val="true"/>
        </w:rPr>
        <w:t xml:space="preserve"> (</w:t>
      </w:r>
      <w:r>
        <w:rPr/>
        <w:t>30.7.2012</w:t>
      </w:r>
      <w:r>
        <w:rPr>
          <w:rtl w:val="true"/>
        </w:rPr>
        <w:t xml:space="preserve">); </w:t>
      </w:r>
      <w:hyperlink r:id="rId6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4883/11</w:t>
        </w:r>
      </w:hyperlink>
      <w:r>
        <w:rPr>
          <w:rtl w:val="true"/>
        </w:rPr>
        <w:t xml:space="preserve"> </w:t>
      </w:r>
      <w:r>
        <w:rPr>
          <w:rFonts w:ascii="Century" w:hAnsi="Century" w:cs="Miriam"/>
          <w:b/>
          <w:b/>
          <w:spacing w:val="0"/>
          <w:sz w:val="22"/>
          <w:sz w:val="22"/>
          <w:szCs w:val="24"/>
          <w:rtl w:val="true"/>
        </w:rPr>
        <w:t>מרקוביץ</w:t>
      </w:r>
      <w:r>
        <w:rPr>
          <w:rFonts w:cs="Miriam" w:ascii="Century" w:hAnsi="Century"/>
          <w:b/>
          <w:spacing w:val="0"/>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33</w:t>
      </w:r>
      <w:r>
        <w:rPr>
          <w:rtl w:val="true"/>
        </w:rPr>
        <w:t xml:space="preserve"> (</w:t>
      </w:r>
      <w:r>
        <w:rPr/>
        <w:t>21.3.2013</w:t>
      </w:r>
      <w:r>
        <w:rPr>
          <w:rtl w:val="true"/>
        </w:rPr>
        <w:t xml:space="preserve">)). </w:t>
      </w:r>
      <w:r>
        <w:rPr>
          <w:rtl w:val="true"/>
        </w:rPr>
        <w:t>ברם</w:t>
      </w:r>
      <w:r>
        <w:rPr>
          <w:rtl w:val="true"/>
        </w:rPr>
        <w:t xml:space="preserve">, </w:t>
      </w:r>
      <w:r>
        <w:rPr>
          <w:rtl w:val="true"/>
        </w:rPr>
        <w:t>טענה זו נטענה בענייננו רק בעקיפין ובעלמא</w:t>
      </w:r>
      <w:r>
        <w:rPr>
          <w:rtl w:val="true"/>
        </w:rPr>
        <w:t xml:space="preserve">, </w:t>
      </w:r>
      <w:r>
        <w:rPr>
          <w:rtl w:val="true"/>
        </w:rPr>
        <w:t>מבלי שהוצגה כל תשתית לביסוסה</w:t>
      </w:r>
      <w:r>
        <w:rPr>
          <w:rtl w:val="true"/>
        </w:rPr>
        <w:t>.</w:t>
      </w:r>
      <w:r>
        <w:rPr>
          <w:rFonts w:cs="Arial TUR;Arial" w:ascii="Arial TUR;Arial" w:hAnsi="Arial TUR;Arial"/>
          <w:sz w:val="22"/>
          <w:rtl w:val="true"/>
        </w:rPr>
        <w:t xml:space="preserve"> </w:t>
      </w:r>
      <w:r>
        <w:rPr>
          <w:rtl w:val="true"/>
        </w:rPr>
        <w:t>נראה אפוא כי בניסיונו להעלות טענה כללית זו בשלב זה</w:t>
      </w:r>
      <w:r>
        <w:rPr>
          <w:rtl w:val="true"/>
        </w:rPr>
        <w:t xml:space="preserve">, </w:t>
      </w:r>
      <w:r>
        <w:rPr>
          <w:rtl w:val="true"/>
        </w:rPr>
        <w:t xml:space="preserve">מבקש המערער לבצע </w:t>
      </w:r>
      <w:r>
        <w:rPr>
          <w:rtl w:val="true"/>
        </w:rPr>
        <w:t>"</w:t>
      </w:r>
      <w:r>
        <w:rPr>
          <w:rtl w:val="true"/>
        </w:rPr>
        <w:t>מקצה שיפורים</w:t>
      </w:r>
      <w:r>
        <w:rPr>
          <w:rtl w:val="true"/>
        </w:rPr>
        <w:t xml:space="preserve">", </w:t>
      </w:r>
      <w:r>
        <w:rPr>
          <w:rtl w:val="true"/>
        </w:rPr>
        <w:t>וזאת אין לאפשר</w:t>
      </w:r>
      <w:r>
        <w:rPr>
          <w:rtl w:val="true"/>
        </w:rPr>
        <w:t>.</w:t>
      </w:r>
    </w:p>
    <w:p>
      <w:pPr>
        <w:pStyle w:val="Ruller42"/>
        <w:ind w:end="0"/>
        <w:jc w:val="both"/>
        <w:rPr/>
      </w:pPr>
      <w:r>
        <w:rPr>
          <w:rtl w:val="true"/>
        </w:rPr>
      </w:r>
    </w:p>
    <w:p>
      <w:pPr>
        <w:pStyle w:val="Ruller43"/>
        <w:numPr>
          <w:ilvl w:val="0"/>
          <w:numId w:val="1"/>
        </w:numPr>
        <w:ind w:end="0"/>
        <w:jc w:val="both"/>
        <w:rPr/>
      </w:pPr>
      <w:r>
        <w:rPr>
          <w:rtl w:val="true"/>
        </w:rPr>
        <w:t>גם לא מצאתי ממש בטענות המערער בדבר העונש שנגזר עליו</w:t>
      </w:r>
      <w:r>
        <w:rPr>
          <w:rtl w:val="true"/>
        </w:rPr>
        <w:t xml:space="preserve">. </w:t>
      </w:r>
      <w:r>
        <w:rPr>
          <w:rtl w:val="true"/>
        </w:rPr>
        <w:t>כאמור</w:t>
      </w:r>
      <w:r>
        <w:rPr>
          <w:rtl w:val="true"/>
        </w:rPr>
        <w:t xml:space="preserve">, </w:t>
      </w:r>
      <w:r>
        <w:rPr>
          <w:rtl w:val="true"/>
        </w:rPr>
        <w:t>המערער שימש חוליה הכרחית בפעילות הסחר</w:t>
      </w:r>
      <w:r>
        <w:rPr>
          <w:rtl w:val="true"/>
        </w:rPr>
        <w:t xml:space="preserve">. </w:t>
      </w:r>
      <w:r>
        <w:rPr>
          <w:rtl w:val="true"/>
        </w:rPr>
        <w:t xml:space="preserve">בהתחשב בכך שהמדובר בעבירות שבצדן עונש מרבי של </w:t>
      </w:r>
      <w:r>
        <w:rPr/>
        <w:t>15</w:t>
      </w:r>
      <w:r>
        <w:rPr>
          <w:rtl w:val="true"/>
        </w:rPr>
        <w:t xml:space="preserve"> </w:t>
      </w:r>
      <w:r>
        <w:rPr>
          <w:rtl w:val="true"/>
        </w:rPr>
        <w:t xml:space="preserve">שנות מאסר </w:t>
      </w:r>
      <w:r>
        <w:rPr>
          <w:rtl w:val="true"/>
        </w:rPr>
        <w:t>(</w:t>
      </w:r>
      <w:r>
        <w:rPr>
          <w:rtl w:val="true"/>
        </w:rPr>
        <w:t>סחר בנשק</w:t>
      </w:r>
      <w:r>
        <w:rPr>
          <w:rtl w:val="true"/>
        </w:rPr>
        <w:t xml:space="preserve">) </w:t>
      </w:r>
      <w:r>
        <w:rPr>
          <w:rtl w:val="true"/>
        </w:rPr>
        <w:t>ו</w:t>
      </w:r>
      <w:r>
        <w:rPr>
          <w:rtl w:val="true"/>
        </w:rPr>
        <w:t>-</w:t>
      </w:r>
      <w:r>
        <w:rPr/>
        <w:t>7</w:t>
      </w:r>
      <w:r>
        <w:rPr>
          <w:rtl w:val="true"/>
        </w:rPr>
        <w:t xml:space="preserve"> </w:t>
      </w:r>
      <w:r>
        <w:rPr>
          <w:rtl w:val="true"/>
        </w:rPr>
        <w:t xml:space="preserve">שנות מאסר </w:t>
      </w:r>
      <w:r>
        <w:rPr>
          <w:rtl w:val="true"/>
        </w:rPr>
        <w:t>(</w:t>
      </w:r>
      <w:r>
        <w:rPr>
          <w:rtl w:val="true"/>
        </w:rPr>
        <w:t>קשירת קשר לסחר בנשק</w:t>
      </w:r>
      <w:r>
        <w:rPr>
          <w:rtl w:val="true"/>
        </w:rPr>
        <w:t xml:space="preserve">), </w:t>
      </w:r>
      <w:r>
        <w:rPr>
          <w:rtl w:val="true"/>
        </w:rPr>
        <w:t>לא ניתן לקבל את טענת המערער כי העונש ההולם מתמצה בעבודות שירות</w:t>
      </w:r>
      <w:r>
        <w:rPr>
          <w:rtl w:val="true"/>
        </w:rPr>
        <w:t xml:space="preserve">. </w:t>
      </w:r>
      <w:r>
        <w:rPr>
          <w:rtl w:val="true"/>
        </w:rPr>
        <w:t>מתחמי העונש שנקבעו למערער אינם מחמירים עמו יתר על המידה</w:t>
      </w:r>
      <w:r>
        <w:rPr>
          <w:rtl w:val="true"/>
        </w:rPr>
        <w:t xml:space="preserve">, </w:t>
      </w:r>
      <w:r>
        <w:rPr>
          <w:rtl w:val="true"/>
        </w:rPr>
        <w:t>וגם בגזירת העונש בתוך המתחם בית המשפט המחוזי שקל היטב את מכלול נסיבות העניין</w:t>
      </w:r>
      <w:r>
        <w:rPr>
          <w:rtl w:val="true"/>
        </w:rPr>
        <w:t xml:space="preserve">, </w:t>
      </w:r>
      <w:r>
        <w:rPr>
          <w:rtl w:val="true"/>
        </w:rPr>
        <w:t>ואין הצדקה להתערב בשיקול דעתו לעניין זה</w:t>
      </w:r>
      <w:r>
        <w:rPr>
          <w:rtl w:val="true"/>
        </w:rPr>
        <w:t xml:space="preserve">. </w:t>
      </w:r>
    </w:p>
    <w:p>
      <w:pPr>
        <w:pStyle w:val="Ruller43"/>
        <w:numPr>
          <w:ilvl w:val="0"/>
          <w:numId w:val="0"/>
        </w:numPr>
        <w:ind w:hanging="0" w:start="0" w:end="0"/>
        <w:jc w:val="both"/>
        <w:rPr/>
      </w:pPr>
      <w:r>
        <w:rPr>
          <w:rtl w:val="true"/>
        </w:rPr>
      </w:r>
    </w:p>
    <w:p>
      <w:pPr>
        <w:pStyle w:val="Ruller43"/>
        <w:numPr>
          <w:ilvl w:val="0"/>
          <w:numId w:val="1"/>
        </w:numPr>
        <w:ind w:end="0"/>
        <w:jc w:val="both"/>
        <w:rPr/>
      </w:pPr>
      <w:r>
        <w:rPr>
          <w:rtl w:val="true"/>
        </w:rPr>
        <w:t>אומנם</w:t>
      </w:r>
      <w:r>
        <w:rPr>
          <w:rtl w:val="true"/>
        </w:rPr>
        <w:t xml:space="preserve">, </w:t>
      </w:r>
      <w:r>
        <w:rPr>
          <w:rtl w:val="true"/>
        </w:rPr>
        <w:t>בתסקיר שהוגש לפני בית המשפט המחוזי</w:t>
      </w:r>
      <w:r>
        <w:rPr>
          <w:rtl w:val="true"/>
        </w:rPr>
        <w:t xml:space="preserve">, </w:t>
      </w:r>
      <w:r>
        <w:rPr>
          <w:rtl w:val="true"/>
        </w:rPr>
        <w:t>שירות המבחן בא בהמלצה שיקומית לענישה שאינה מאחורי סורג ובריח</w:t>
      </w:r>
      <w:r>
        <w:rPr>
          <w:rtl w:val="true"/>
        </w:rPr>
        <w:t xml:space="preserve">. </w:t>
      </w:r>
      <w:r>
        <w:rPr>
          <w:rtl w:val="true"/>
        </w:rPr>
        <w:t>אלא שכידוע</w:t>
      </w:r>
      <w:r>
        <w:rPr>
          <w:rtl w:val="true"/>
        </w:rPr>
        <w:t xml:space="preserve">, </w:t>
      </w:r>
      <w:r>
        <w:rPr>
          <w:rtl w:val="true"/>
        </w:rPr>
        <w:t>אין בהמלצת שירות המבחן כדי לכבול את ידי בית המשפט</w:t>
      </w:r>
      <w:r>
        <w:rPr>
          <w:rtl w:val="true"/>
        </w:rPr>
        <w:t xml:space="preserve">, </w:t>
      </w:r>
      <w:r>
        <w:rPr>
          <w:rtl w:val="true"/>
        </w:rPr>
        <w:t>שכן למרות חשיבותה</w:t>
      </w:r>
      <w:r>
        <w:rPr>
          <w:rtl w:val="true"/>
        </w:rPr>
        <w:t xml:space="preserve">, </w:t>
      </w:r>
      <w:r>
        <w:rPr>
          <w:rtl w:val="true"/>
        </w:rPr>
        <w:t xml:space="preserve">השיקולים המנחים את שירות המבחן בבואו לגבש את המלצותיו אינם חופפים בהכרח למכלול שיקולי הענישה שעל פיהם גוזר בית המשפט את עונשו של נאשם </w:t>
      </w:r>
      <w:r>
        <w:rPr>
          <w:rtl w:val="true"/>
        </w:rPr>
        <w:t>(</w:t>
      </w:r>
      <w:r>
        <w:rPr>
          <w:rtl w:val="true"/>
        </w:rPr>
        <w:t>ראו גם</w:t>
      </w:r>
      <w:r>
        <w:rPr>
          <w:rtl w:val="true"/>
        </w:rPr>
        <w:t xml:space="preserve">: </w:t>
      </w:r>
      <w:hyperlink r:id="rId6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593/18</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Century"/>
          <w:sz w:val="22"/>
          <w:sz w:val="22"/>
          <w:rtl w:val="true"/>
        </w:rPr>
        <w:t xml:space="preserve">פסקה </w:t>
      </w:r>
      <w:r>
        <w:rPr>
          <w:rFonts w:cs="Century" w:ascii="Century" w:hAnsi="Century"/>
          <w:sz w:val="22"/>
        </w:rPr>
        <w:t>23</w:t>
      </w:r>
      <w:r>
        <w:rPr>
          <w:rFonts w:cs="Century" w:ascii="Century" w:hAnsi="Century"/>
          <w:sz w:val="22"/>
          <w:rtl w:val="true"/>
        </w:rPr>
        <w:t xml:space="preserve"> (</w:t>
      </w:r>
      <w:r>
        <w:rPr>
          <w:rFonts w:cs="Century" w:ascii="Century" w:hAnsi="Century"/>
          <w:sz w:val="22"/>
        </w:rPr>
        <w:t>17.4.2018</w:t>
      </w:r>
      <w:r>
        <w:rPr>
          <w:rFonts w:cs="Century" w:ascii="Century" w:hAnsi="Century"/>
          <w:sz w:val="22"/>
          <w:rtl w:val="true"/>
        </w:rPr>
        <w:t>)</w:t>
      </w:r>
      <w:r>
        <w:rPr>
          <w:rtl w:val="true"/>
        </w:rPr>
        <w:t xml:space="preserve">; </w:t>
      </w:r>
      <w:hyperlink r:id="rId6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4910/16</w:t>
        </w:r>
      </w:hyperlink>
      <w:r>
        <w:rPr>
          <w:rtl w:val="true"/>
        </w:rPr>
        <w:t xml:space="preserve"> </w:t>
      </w:r>
      <w:r>
        <w:rPr>
          <w:rFonts w:ascii="Century" w:hAnsi="Century" w:cs="Miriam"/>
          <w:b/>
          <w:b/>
          <w:spacing w:val="0"/>
          <w:sz w:val="22"/>
          <w:sz w:val="22"/>
          <w:szCs w:val="24"/>
          <w:rtl w:val="true"/>
        </w:rPr>
        <w:t>אבני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Century"/>
          <w:sz w:val="22"/>
          <w:sz w:val="22"/>
          <w:rtl w:val="true"/>
        </w:rPr>
        <w:t xml:space="preserve">פסקה </w:t>
      </w:r>
      <w:r>
        <w:rPr>
          <w:rFonts w:cs="Century" w:ascii="Century" w:hAnsi="Century"/>
          <w:sz w:val="22"/>
        </w:rPr>
        <w:t>7</w:t>
      </w:r>
      <w:r>
        <w:rPr>
          <w:rFonts w:cs="Century" w:ascii="Century" w:hAnsi="Century"/>
          <w:sz w:val="22"/>
          <w:rtl w:val="true"/>
        </w:rPr>
        <w:t xml:space="preserve"> (</w:t>
      </w:r>
      <w:r>
        <w:rPr>
          <w:rFonts w:cs="Century" w:ascii="Century" w:hAnsi="Century"/>
          <w:sz w:val="22"/>
        </w:rPr>
        <w:t>5.4.2017</w:t>
      </w:r>
      <w:r>
        <w:rPr>
          <w:rFonts w:cs="Century" w:ascii="Century" w:hAnsi="Century"/>
          <w:sz w:val="22"/>
          <w:rtl w:val="true"/>
        </w:rPr>
        <w:t>)</w:t>
      </w:r>
      <w:r>
        <w:rPr>
          <w:rtl w:val="true"/>
        </w:rPr>
        <w:t xml:space="preserve">). </w:t>
      </w:r>
    </w:p>
    <w:p>
      <w:pPr>
        <w:pStyle w:val="Ruller42"/>
        <w:ind w:end="0"/>
        <w:jc w:val="both"/>
        <w:rPr/>
      </w:pPr>
      <w:r>
        <w:rPr>
          <w:rtl w:val="true"/>
        </w:rPr>
      </w:r>
    </w:p>
    <w:p>
      <w:pPr>
        <w:pStyle w:val="Ruller43"/>
        <w:numPr>
          <w:ilvl w:val="0"/>
          <w:numId w:val="1"/>
        </w:numPr>
        <w:ind w:end="0"/>
        <w:jc w:val="both"/>
        <w:rPr/>
      </w:pPr>
      <w:r>
        <w:rPr>
          <w:rtl w:val="true"/>
        </w:rPr>
        <w:t>זאת ועוד</w:t>
      </w:r>
      <w:r>
        <w:rPr>
          <w:rtl w:val="true"/>
        </w:rPr>
        <w:t xml:space="preserve">, </w:t>
      </w:r>
      <w:r>
        <w:rPr>
          <w:rtl w:val="true"/>
        </w:rPr>
        <w:t xml:space="preserve">באשר להשגות המערער כי עונשו </w:t>
      </w:r>
      <w:r>
        <w:rPr>
          <w:rtl w:val="true"/>
        </w:rPr>
        <w:t>"</w:t>
      </w:r>
      <w:r>
        <w:rPr>
          <w:rtl w:val="true"/>
        </w:rPr>
        <w:t>דומה</w:t>
      </w:r>
      <w:r>
        <w:rPr>
          <w:rtl w:val="true"/>
        </w:rPr>
        <w:t xml:space="preserve">" </w:t>
      </w:r>
      <w:r>
        <w:rPr>
          <w:rtl w:val="true"/>
        </w:rPr>
        <w:t xml:space="preserve">לעונשים שהוטלו על נאשמים </w:t>
      </w:r>
      <w:r>
        <w:rPr/>
        <w:t>6</w:t>
      </w:r>
      <w:r>
        <w:rPr>
          <w:rtl w:val="true"/>
        </w:rPr>
        <w:t xml:space="preserve"> </w:t>
      </w:r>
      <w:r>
        <w:rPr>
          <w:rtl w:val="true"/>
        </w:rPr>
        <w:t>ו</w:t>
      </w:r>
      <w:r>
        <w:rPr>
          <w:rtl w:val="true"/>
        </w:rPr>
        <w:t>-</w:t>
      </w:r>
      <w:r>
        <w:rPr/>
        <w:t>8</w:t>
      </w:r>
      <w:r>
        <w:rPr>
          <w:rtl w:val="true"/>
        </w:rPr>
        <w:t xml:space="preserve"> </w:t>
      </w:r>
      <w:r>
        <w:rPr>
          <w:rtl w:val="true"/>
        </w:rPr>
        <w:t>בפרשה חרף השוני בחומרת הנסיבות</w:t>
      </w:r>
      <w:r>
        <w:rPr>
          <w:rtl w:val="true"/>
        </w:rPr>
        <w:t xml:space="preserve">. </w:t>
      </w:r>
      <w:r>
        <w:rPr>
          <w:rtl w:val="true"/>
        </w:rPr>
        <w:t>אכן</w:t>
      </w:r>
      <w:r>
        <w:rPr>
          <w:rtl w:val="true"/>
        </w:rPr>
        <w:t xml:space="preserve">, </w:t>
      </w:r>
      <w:r>
        <w:rPr>
          <w:rtl w:val="true"/>
        </w:rPr>
        <w:t xml:space="preserve">עניינם של נאשמים </w:t>
      </w:r>
      <w:r>
        <w:rPr/>
        <w:t>6</w:t>
      </w:r>
      <w:r>
        <w:rPr>
          <w:rtl w:val="true"/>
        </w:rPr>
        <w:t xml:space="preserve"> </w:t>
      </w:r>
      <w:r>
        <w:rPr>
          <w:rtl w:val="true"/>
        </w:rPr>
        <w:t>ו</w:t>
      </w:r>
      <w:r>
        <w:rPr>
          <w:rtl w:val="true"/>
        </w:rPr>
        <w:t>-</w:t>
      </w:r>
      <w:r>
        <w:rPr/>
        <w:t>8</w:t>
      </w:r>
      <w:r>
        <w:rPr>
          <w:rtl w:val="true"/>
        </w:rPr>
        <w:t xml:space="preserve"> </w:t>
      </w:r>
      <w:r>
        <w:rPr>
          <w:rtl w:val="true"/>
        </w:rPr>
        <w:t>חמור יותר ממקרה המערער</w:t>
      </w:r>
      <w:r>
        <w:rPr>
          <w:rtl w:val="true"/>
        </w:rPr>
        <w:t xml:space="preserve">, </w:t>
      </w:r>
      <w:r>
        <w:rPr>
          <w:rtl w:val="true"/>
        </w:rPr>
        <w:t xml:space="preserve">אך גם נגזרו עליהם עונשי מאסר גבוהים יותר באופן משמעותי </w:t>
      </w:r>
      <w:r>
        <w:rPr>
          <w:rtl w:val="true"/>
        </w:rPr>
        <w:t>–</w:t>
      </w:r>
      <w:r>
        <w:rPr>
          <w:rtl w:val="true"/>
        </w:rPr>
        <w:t xml:space="preserve"> </w:t>
      </w:r>
      <w:r>
        <w:rPr/>
        <w:t>3</w:t>
      </w:r>
      <w:r>
        <w:rPr>
          <w:rtl w:val="true"/>
        </w:rPr>
        <w:t xml:space="preserve"> </w:t>
      </w:r>
      <w:r>
        <w:rPr>
          <w:rtl w:val="true"/>
        </w:rPr>
        <w:t>ו</w:t>
      </w:r>
      <w:r>
        <w:rPr>
          <w:rtl w:val="true"/>
        </w:rPr>
        <w:t>-</w:t>
      </w:r>
      <w:r>
        <w:rPr/>
        <w:t>3.5</w:t>
      </w:r>
      <w:r>
        <w:rPr>
          <w:rtl w:val="true"/>
        </w:rPr>
        <w:t xml:space="preserve"> </w:t>
      </w:r>
      <w:r>
        <w:rPr>
          <w:rtl w:val="true"/>
        </w:rPr>
        <w:t>שנות מאסר בפועל</w:t>
      </w:r>
      <w:r>
        <w:rPr>
          <w:rtl w:val="true"/>
        </w:rPr>
        <w:t xml:space="preserve">, </w:t>
      </w:r>
      <w:r>
        <w:rPr>
          <w:rtl w:val="true"/>
        </w:rPr>
        <w:t>בהתאמה</w:t>
      </w:r>
      <w:r>
        <w:rPr>
          <w:rtl w:val="true"/>
        </w:rPr>
        <w:t xml:space="preserve">. </w:t>
      </w:r>
      <w:r>
        <w:rPr>
          <w:rtl w:val="true"/>
        </w:rPr>
        <w:t>אי לכך</w:t>
      </w:r>
      <w:r>
        <w:rPr>
          <w:rtl w:val="true"/>
        </w:rPr>
        <w:t xml:space="preserve">, </w:t>
      </w:r>
      <w:r>
        <w:rPr>
          <w:rtl w:val="true"/>
        </w:rPr>
        <w:t>טענת המערער בהקשר זה לא ברורה כלל</w:t>
      </w:r>
      <w:r>
        <w:rPr>
          <w:rtl w:val="true"/>
        </w:rPr>
        <w:t xml:space="preserve">. </w:t>
      </w:r>
      <w:r>
        <w:rPr>
          <w:rtl w:val="true"/>
        </w:rPr>
        <w:t>לכן</w:t>
      </w:r>
      <w:r>
        <w:rPr>
          <w:rtl w:val="true"/>
        </w:rPr>
        <w:t xml:space="preserve">, </w:t>
      </w:r>
      <w:r>
        <w:rPr>
          <w:rtl w:val="true"/>
        </w:rPr>
        <w:t>בסופו של דבר</w:t>
      </w:r>
      <w:r>
        <w:rPr>
          <w:rtl w:val="true"/>
        </w:rPr>
        <w:t xml:space="preserve">, </w:t>
      </w:r>
      <w:r>
        <w:rPr>
          <w:rtl w:val="true"/>
        </w:rPr>
        <w:t>אם תשמע דעתי דין ערעור זה גם כן להידחות</w:t>
      </w:r>
      <w:r>
        <w:rPr>
          <w:rtl w:val="true"/>
        </w:rPr>
        <w:t>.</w:t>
      </w:r>
    </w:p>
    <w:p>
      <w:pPr>
        <w:pStyle w:val="Ruller42"/>
        <w:ind w:end="0"/>
        <w:jc w:val="both"/>
        <w:rPr/>
      </w:pPr>
      <w:r>
        <w:rPr>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נאשם</w:t>
      </w:r>
      <w:r>
        <w:rPr>
          <w:rFonts w:ascii="Century" w:hAnsi="Century" w:eastAsia="Century" w:cs="Century"/>
          <w:b/>
          <w:b/>
          <w:spacing w:val="0"/>
          <w:szCs w:val="24"/>
          <w:rtl w:val="true"/>
        </w:rPr>
        <w:t xml:space="preserve"> </w:t>
      </w:r>
      <w:r>
        <w:rPr>
          <w:rFonts w:cs="Miriam" w:ascii="Century" w:hAnsi="Century"/>
          <w:b/>
          <w:spacing w:val="0"/>
          <w:szCs w:val="24"/>
        </w:rPr>
        <w:t>19</w:t>
      </w:r>
      <w:r>
        <w:rPr>
          <w:rFonts w:cs="Miriam" w:ascii="Century" w:hAnsi="Century"/>
          <w:b/>
          <w:spacing w:val="0"/>
          <w:szCs w:val="24"/>
          <w:rtl w:val="true"/>
        </w:rPr>
        <w:t xml:space="preserve"> </w:t>
      </w:r>
      <w:r>
        <w:rPr>
          <w:rFonts w:ascii="Century" w:hAnsi="Century" w:cs="Miriam"/>
          <w:b/>
          <w:b/>
          <w:spacing w:val="0"/>
          <w:szCs w:val="24"/>
          <w:rtl w:val="true"/>
        </w:rPr>
        <w:t>בכתב</w:t>
      </w:r>
      <w:r>
        <w:rPr>
          <w:rFonts w:ascii="Century" w:hAnsi="Century" w:eastAsia="Century" w:cs="Century"/>
          <w:b/>
          <w:b/>
          <w:spacing w:val="0"/>
          <w:szCs w:val="24"/>
          <w:rtl w:val="true"/>
        </w:rPr>
        <w:t xml:space="preserve"> </w:t>
      </w:r>
      <w:r>
        <w:rPr>
          <w:rFonts w:ascii="Century" w:hAnsi="Century" w:cs="Miriam"/>
          <w:b/>
          <w:b/>
          <w:spacing w:val="0"/>
          <w:szCs w:val="24"/>
          <w:rtl w:val="true"/>
        </w:rPr>
        <w:t>האישום</w:t>
      </w:r>
      <w:r>
        <w:rPr>
          <w:rFonts w:ascii="Century" w:hAnsi="Century" w:eastAsia="Century" w:cs="Century"/>
          <w:b/>
          <w:b/>
          <w:spacing w:val="0"/>
          <w:szCs w:val="24"/>
          <w:rtl w:val="true"/>
        </w:rPr>
        <w:t xml:space="preserve"> </w:t>
      </w:r>
      <w:r>
        <w:rPr>
          <w:rFonts w:cs="Miriam" w:ascii="Century" w:hAnsi="Century"/>
          <w:b/>
          <w:spacing w:val="0"/>
          <w:szCs w:val="24"/>
          <w:rtl w:val="true"/>
        </w:rPr>
        <w:t>(</w:t>
      </w:r>
      <w:r>
        <w:rPr>
          <w:rFonts w:ascii="Century" w:hAnsi="Century" w:cs="Miriam"/>
          <w:b/>
          <w:b/>
          <w:spacing w:val="0"/>
          <w:szCs w:val="24"/>
          <w:rtl w:val="true"/>
        </w:rPr>
        <w:t>המערער</w:t>
      </w:r>
      <w:r>
        <w:rPr>
          <w:rFonts w:ascii="Century" w:hAnsi="Century" w:eastAsia="Century" w:cs="Century"/>
          <w:b/>
          <w:b/>
          <w:spacing w:val="0"/>
          <w:szCs w:val="24"/>
          <w:rtl w:val="true"/>
        </w:rPr>
        <w:t xml:space="preserve"> </w:t>
      </w:r>
      <w:r>
        <w:rPr>
          <w:rFonts w:ascii="Century" w:hAnsi="Century" w:cs="Miriam"/>
          <w:b/>
          <w:b/>
          <w:spacing w:val="0"/>
          <w:szCs w:val="24"/>
          <w:rtl w:val="true"/>
        </w:rPr>
        <w:t>ב</w:t>
      </w:r>
      <w:r>
        <w:rPr>
          <w:rFonts w:ascii="Century" w:hAnsi="Century" w:cs="Miriam"/>
          <w:b/>
          <w:b/>
          <w:spacing w:val="0"/>
          <w:szCs w:val="24"/>
          <w:rtl w:val="true"/>
        </w:rPr>
        <w:t>ע</w:t>
      </w:r>
      <w:r>
        <w:rPr>
          <w:rFonts w:cs="Miriam" w:ascii="Century" w:hAnsi="Century"/>
          <w:b/>
          <w:spacing w:val="0"/>
          <w:szCs w:val="24"/>
          <w:rtl w:val="true"/>
        </w:rPr>
        <w:t>"</w:t>
      </w:r>
      <w:r>
        <w:rPr>
          <w:rFonts w:ascii="Century" w:hAnsi="Century" w:cs="Miriam"/>
          <w:b/>
          <w:b/>
          <w:spacing w:val="0"/>
          <w:szCs w:val="24"/>
          <w:rtl w:val="true"/>
        </w:rPr>
        <w:t>פ</w:t>
      </w:r>
      <w:r>
        <w:rPr>
          <w:rFonts w:ascii="Century" w:hAnsi="Century" w:eastAsia="Century" w:cs="Century"/>
          <w:b/>
          <w:b/>
          <w:spacing w:val="0"/>
          <w:szCs w:val="24"/>
          <w:rtl w:val="true"/>
        </w:rPr>
        <w:t xml:space="preserve"> </w:t>
      </w:r>
      <w:r>
        <w:rPr>
          <w:rFonts w:cs="Miriam" w:ascii="Century" w:hAnsi="Century"/>
          <w:b/>
          <w:spacing w:val="0"/>
          <w:szCs w:val="24"/>
        </w:rPr>
        <w:t>1175/18</w:t>
      </w:r>
      <w:r>
        <w:rPr>
          <w:rFonts w:cs="Miriam" w:ascii="Century" w:hAnsi="Century"/>
          <w:b/>
          <w:spacing w:val="0"/>
          <w:szCs w:val="24"/>
          <w:rtl w:val="true"/>
        </w:rPr>
        <w:t>)</w:t>
      </w:r>
    </w:p>
    <w:p>
      <w:pPr>
        <w:pStyle w:val="Ruller43"/>
        <w:numPr>
          <w:ilvl w:val="0"/>
          <w:numId w:val="0"/>
        </w:numPr>
        <w:ind w:hanging="0" w:start="0" w:end="0"/>
        <w:jc w:val="both"/>
        <w:rPr>
          <w:rFonts w:ascii="Century" w:hAnsi="Century" w:cs="Miriam"/>
          <w:b/>
          <w:spacing w:val="0"/>
          <w:sz w:val="22"/>
          <w:szCs w:val="24"/>
        </w:rPr>
      </w:pP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הרקע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לערעור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וטענות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הצדדים</w:t>
      </w:r>
    </w:p>
    <w:p>
      <w:pPr>
        <w:pStyle w:val="Ruller43"/>
        <w:numPr>
          <w:ilvl w:val="0"/>
          <w:numId w:val="1"/>
        </w:numPr>
        <w:ind w:end="0"/>
        <w:jc w:val="both"/>
        <w:rPr/>
      </w:pPr>
      <w:r>
        <w:rPr>
          <w:rtl w:val="true"/>
        </w:rPr>
        <w:t>המערער הורשע בעבירה של סחר בנשק ובעבירה של קשירת קשר לסחר בנשק</w:t>
      </w:r>
      <w:r>
        <w:rPr>
          <w:rtl w:val="true"/>
        </w:rPr>
        <w:t xml:space="preserve">, </w:t>
      </w:r>
      <w:r>
        <w:rPr>
          <w:rtl w:val="true"/>
        </w:rPr>
        <w:t xml:space="preserve">זאת בגין מעורבותו בעסקה שהתבצעה ביום </w:t>
      </w:r>
      <w:r>
        <w:rPr/>
        <w:t>21.2.2016</w:t>
      </w:r>
      <w:r>
        <w:rPr>
          <w:rtl w:val="true"/>
        </w:rPr>
        <w:t xml:space="preserve"> </w:t>
      </w:r>
      <w:r>
        <w:rPr>
          <w:rtl w:val="true"/>
        </w:rPr>
        <w:t>ובה נמכרו תת</w:t>
      </w:r>
      <w:r>
        <w:rPr>
          <w:rtl w:val="true"/>
        </w:rPr>
        <w:t>-</w:t>
      </w:r>
      <w:r>
        <w:rPr>
          <w:rtl w:val="true"/>
        </w:rPr>
        <w:t>מקלע מסוג קרלו</w:t>
      </w:r>
      <w:r>
        <w:rPr>
          <w:rtl w:val="true"/>
        </w:rPr>
        <w:t xml:space="preserve">, </w:t>
      </w:r>
      <w:r>
        <w:rPr>
          <w:rtl w:val="true"/>
        </w:rPr>
        <w:t>מחסנית ותחמושת</w:t>
      </w:r>
      <w:r>
        <w:rPr>
          <w:rtl w:val="true"/>
        </w:rPr>
        <w:t xml:space="preserve">, </w:t>
      </w:r>
      <w:r>
        <w:rPr>
          <w:rtl w:val="true"/>
        </w:rPr>
        <w:t xml:space="preserve">תמורת סך של </w:t>
      </w:r>
      <w:r>
        <w:rPr/>
        <w:t>7,000</w:t>
      </w:r>
      <w:r>
        <w:rPr>
          <w:rtl w:val="true"/>
        </w:rPr>
        <w:t xml:space="preserve"> </w:t>
      </w:r>
      <w:r>
        <w:rPr>
          <w:rtl w:val="true"/>
        </w:rPr>
        <w:t>ש</w:t>
      </w:r>
      <w:r>
        <w:rPr>
          <w:rtl w:val="true"/>
        </w:rPr>
        <w:t>"</w:t>
      </w:r>
      <w:r>
        <w:rPr>
          <w:rtl w:val="true"/>
        </w:rPr>
        <w:t>ח</w:t>
      </w:r>
      <w:r>
        <w:rPr>
          <w:rtl w:val="true"/>
        </w:rPr>
        <w:t xml:space="preserve">. </w:t>
      </w:r>
      <w:r>
        <w:rPr>
          <w:rtl w:val="true"/>
        </w:rPr>
        <w:t>העסקה התבצעה בסמוך לבית המערער</w:t>
      </w:r>
      <w:r>
        <w:rPr>
          <w:rtl w:val="true"/>
        </w:rPr>
        <w:t xml:space="preserve">. </w:t>
      </w:r>
      <w:r>
        <w:rPr>
          <w:rtl w:val="true"/>
        </w:rPr>
        <w:t>כמו כן</w:t>
      </w:r>
      <w:r>
        <w:rPr>
          <w:rtl w:val="true"/>
        </w:rPr>
        <w:t xml:space="preserve">, </w:t>
      </w:r>
      <w:r>
        <w:rPr>
          <w:rtl w:val="true"/>
        </w:rPr>
        <w:t>המערער עירב בפעילות הפלילית את בנו המתגורר עמו והסמוך על שולחנו</w:t>
      </w:r>
      <w:r>
        <w:rPr>
          <w:rtl w:val="true"/>
        </w:rPr>
        <w:t xml:space="preserve">, </w:t>
      </w:r>
      <w:r>
        <w:rPr>
          <w:rtl w:val="true"/>
        </w:rPr>
        <w:t>אשר אסף את התחמושת מידי אדם אחר והעביר אותה לידי הסוכן</w:t>
      </w:r>
      <w:r>
        <w:rPr>
          <w:rtl w:val="true"/>
        </w:rPr>
        <w:t xml:space="preserve">. </w:t>
      </w:r>
      <w:r>
        <w:rPr>
          <w:rtl w:val="true"/>
        </w:rPr>
        <w:t xml:space="preserve">המערער גם צירף שני תיקים נוספים שבהם הורשע בעבירה של החזקת סכין </w:t>
      </w:r>
      <w:r>
        <w:rPr>
          <w:rtl w:val="true"/>
        </w:rPr>
        <w:t>(</w:t>
      </w:r>
      <w:hyperlink r:id="rId63">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tl w:val="true"/>
          </w:rPr>
          <w:t>(</w:t>
        </w:r>
        <w:r>
          <w:rPr>
            <w:rStyle w:val="Hyperlink"/>
            <w:color w:val="0000FF"/>
            <w:u w:val="single"/>
            <w:rtl w:val="true"/>
          </w:rPr>
          <w:t>שלום</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ת</w:t>
        </w:r>
        <w:r>
          <w:rPr>
            <w:rStyle w:val="Hyperlink"/>
            <w:color w:val="0000FF"/>
            <w:u w:val="single"/>
            <w:rtl w:val="true"/>
          </w:rPr>
          <w:t xml:space="preserve">) </w:t>
        </w:r>
        <w:r>
          <w:rPr>
            <w:rStyle w:val="Hyperlink"/>
            <w:color w:val="0000FF"/>
            <w:u w:val="single"/>
          </w:rPr>
          <w:t>28683-08-16</w:t>
        </w:r>
      </w:hyperlink>
      <w:r>
        <w:rPr>
          <w:rtl w:val="true"/>
        </w:rPr>
        <w:t xml:space="preserve">). </w:t>
      </w:r>
      <w:r>
        <w:rPr>
          <w:rtl w:val="true"/>
        </w:rPr>
        <w:t>כן צירף שתי עבירות של סחר בסם מסוכן בצוותא</w:t>
      </w:r>
      <w:r>
        <w:rPr>
          <w:rtl w:val="true"/>
        </w:rPr>
        <w:t xml:space="preserve">, </w:t>
      </w:r>
      <w:r>
        <w:rPr>
          <w:rtl w:val="true"/>
        </w:rPr>
        <w:t xml:space="preserve">סיוע לסחר בסם מסוכן ותיווך בסם מסוכן </w:t>
      </w:r>
      <w:r>
        <w:rPr>
          <w:rtl w:val="true"/>
        </w:rPr>
        <w:t>(</w:t>
      </w:r>
      <w:hyperlink r:id="rId64">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tl w:val="true"/>
          </w:rPr>
          <w:t>(</w:t>
        </w:r>
        <w:r>
          <w:rPr>
            <w:rStyle w:val="Hyperlink"/>
            <w:color w:val="0000FF"/>
            <w:u w:val="single"/>
            <w:rtl w:val="true"/>
          </w:rPr>
          <w:t>שלום</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ת</w:t>
        </w:r>
        <w:r>
          <w:rPr>
            <w:rStyle w:val="Hyperlink"/>
            <w:color w:val="0000FF"/>
            <w:u w:val="single"/>
            <w:rtl w:val="true"/>
          </w:rPr>
          <w:t xml:space="preserve">) </w:t>
        </w:r>
        <w:r>
          <w:rPr>
            <w:rStyle w:val="Hyperlink"/>
            <w:color w:val="0000FF"/>
            <w:u w:val="single"/>
          </w:rPr>
          <w:t>45385-07-16</w:t>
        </w:r>
      </w:hyperlink>
      <w:r>
        <w:rPr>
          <w:rtl w:val="true"/>
        </w:rPr>
        <w:t xml:space="preserve">), </w:t>
      </w:r>
      <w:r>
        <w:rPr>
          <w:rtl w:val="true"/>
        </w:rPr>
        <w:t>בגין מעורבותו בארבע עסקאות סמים</w:t>
      </w:r>
      <w:r>
        <w:rPr>
          <w:rtl w:val="true"/>
        </w:rPr>
        <w:t xml:space="preserve">. </w:t>
      </w:r>
      <w:r>
        <w:rPr>
          <w:rtl w:val="true"/>
        </w:rPr>
        <w:t>במסגרת עסקאות אלו נמכרו לסוכן למעלה מ</w:t>
      </w:r>
      <w:r>
        <w:rPr>
          <w:rtl w:val="true"/>
        </w:rPr>
        <w:t>-</w:t>
      </w:r>
      <w:r>
        <w:rPr/>
        <w:t>2</w:t>
      </w:r>
      <w:r>
        <w:rPr>
          <w:rtl w:val="true"/>
        </w:rPr>
        <w:t xml:space="preserve"> </w:t>
      </w:r>
      <w:r>
        <w:rPr>
          <w:rtl w:val="true"/>
        </w:rPr>
        <w:t>ק</w:t>
      </w:r>
      <w:r>
        <w:rPr>
          <w:rtl w:val="true"/>
        </w:rPr>
        <w:t>"</w:t>
      </w:r>
      <w:r>
        <w:rPr>
          <w:rtl w:val="true"/>
        </w:rPr>
        <w:t>ג של סם מסוכן מסוג חשיש</w:t>
      </w:r>
      <w:r>
        <w:rPr>
          <w:rtl w:val="true"/>
        </w:rPr>
        <w:t xml:space="preserve">, </w:t>
      </w:r>
      <w:r>
        <w:rPr>
          <w:rtl w:val="true"/>
        </w:rPr>
        <w:t xml:space="preserve">תמורת סך כולל של כמעט </w:t>
      </w:r>
      <w:r>
        <w:rPr/>
        <w:t>60,000</w:t>
      </w:r>
      <w:r>
        <w:rPr>
          <w:rtl w:val="true"/>
        </w:rPr>
        <w:t xml:space="preserve"> </w:t>
      </w:r>
      <w:r>
        <w:rPr>
          <w:rtl w:val="true"/>
        </w:rPr>
        <w:t>ש</w:t>
      </w:r>
      <w:r>
        <w:rPr>
          <w:rtl w:val="true"/>
        </w:rPr>
        <w:t>"</w:t>
      </w:r>
      <w:r>
        <w:rPr>
          <w:rtl w:val="true"/>
        </w:rPr>
        <w:t>ח</w:t>
      </w:r>
      <w:r>
        <w:rPr>
          <w:rtl w:val="true"/>
        </w:rPr>
        <w:t>.</w:t>
      </w:r>
    </w:p>
    <w:p>
      <w:pPr>
        <w:pStyle w:val="Ruller42"/>
        <w:ind w:end="0"/>
        <w:jc w:val="both"/>
        <w:rPr/>
      </w:pPr>
      <w:r>
        <w:rPr>
          <w:rtl w:val="true"/>
        </w:rPr>
      </w:r>
    </w:p>
    <w:p>
      <w:pPr>
        <w:pStyle w:val="Ruller43"/>
        <w:numPr>
          <w:ilvl w:val="0"/>
          <w:numId w:val="1"/>
        </w:numPr>
        <w:ind w:end="0"/>
        <w:jc w:val="both"/>
        <w:rPr/>
      </w:pPr>
      <w:r>
        <w:rPr>
          <w:rtl w:val="true"/>
        </w:rPr>
        <w:tab/>
      </w:r>
      <w:r>
        <w:rPr>
          <w:rtl w:val="true"/>
        </w:rPr>
        <w:t xml:space="preserve"> </w:t>
      </w:r>
      <w:r>
        <w:rPr>
          <w:rtl w:val="true"/>
        </w:rPr>
        <w:t>בגזר דינו הפריד בית המשפט בין מעורבות המערער בסחר בנשק</w:t>
      </w:r>
      <w:r>
        <w:rPr>
          <w:rtl w:val="true"/>
        </w:rPr>
        <w:t xml:space="preserve">, </w:t>
      </w:r>
      <w:r>
        <w:rPr>
          <w:rtl w:val="true"/>
        </w:rPr>
        <w:t>אליו התייחס כאל אירוע אחד</w:t>
      </w:r>
      <w:r>
        <w:rPr>
          <w:rtl w:val="true"/>
        </w:rPr>
        <w:t xml:space="preserve">; </w:t>
      </w:r>
      <w:r>
        <w:rPr>
          <w:rtl w:val="true"/>
        </w:rPr>
        <w:t>מעורבות המערער בהחזקת הסכין</w:t>
      </w:r>
      <w:r>
        <w:rPr>
          <w:rtl w:val="true"/>
        </w:rPr>
        <w:t xml:space="preserve">, </w:t>
      </w:r>
      <w:r>
        <w:rPr>
          <w:rtl w:val="true"/>
        </w:rPr>
        <w:t>אליו התייחס כאל אירוע אחד</w:t>
      </w:r>
      <w:r>
        <w:rPr>
          <w:rtl w:val="true"/>
        </w:rPr>
        <w:t xml:space="preserve">; </w:t>
      </w:r>
      <w:r>
        <w:rPr>
          <w:rtl w:val="true"/>
        </w:rPr>
        <w:t>ותיק הסמים אליו התייחס כארבעה אירועים שונים</w:t>
      </w:r>
      <w:r>
        <w:rPr>
          <w:rtl w:val="true"/>
        </w:rPr>
        <w:t xml:space="preserve">. </w:t>
      </w:r>
      <w:r>
        <w:rPr>
          <w:rtl w:val="true"/>
        </w:rPr>
        <w:t>באשר למעורבות המערער בסחר בנשק</w:t>
      </w:r>
      <w:r>
        <w:rPr>
          <w:rtl w:val="true"/>
        </w:rPr>
        <w:t xml:space="preserve">, </w:t>
      </w:r>
      <w:r>
        <w:rPr>
          <w:rtl w:val="true"/>
        </w:rPr>
        <w:t>צוין כי המערער היה זה שהציע לסוכן לרכוש תת</w:t>
      </w:r>
      <w:r>
        <w:rPr>
          <w:rtl w:val="true"/>
        </w:rPr>
        <w:t>-</w:t>
      </w:r>
      <w:r>
        <w:rPr>
          <w:rtl w:val="true"/>
        </w:rPr>
        <w:t>מקלע מסוג קרלו</w:t>
      </w:r>
      <w:r>
        <w:rPr>
          <w:rtl w:val="true"/>
        </w:rPr>
        <w:t xml:space="preserve">, </w:t>
      </w:r>
      <w:r>
        <w:rPr>
          <w:rtl w:val="true"/>
        </w:rPr>
        <w:t>פנה לאחר כדי להשיגו</w:t>
      </w:r>
      <w:r>
        <w:rPr>
          <w:rtl w:val="true"/>
        </w:rPr>
        <w:t xml:space="preserve">, </w:t>
      </w:r>
      <w:r>
        <w:rPr>
          <w:rtl w:val="true"/>
        </w:rPr>
        <w:t>ניהל שיחות עם הסוכן במשך כ</w:t>
      </w:r>
      <w:r>
        <w:rPr>
          <w:rtl w:val="true"/>
        </w:rPr>
        <w:t>-</w:t>
      </w:r>
      <w:r>
        <w:rPr/>
        <w:t>10</w:t>
      </w:r>
      <w:r>
        <w:rPr>
          <w:rtl w:val="true"/>
        </w:rPr>
        <w:t xml:space="preserve"> </w:t>
      </w:r>
      <w:r>
        <w:rPr>
          <w:rtl w:val="true"/>
        </w:rPr>
        <w:t>ימים ולבסוף גם לא נרתע מסיבוך בנו והסתייעות בו</w:t>
      </w:r>
      <w:r>
        <w:rPr>
          <w:rtl w:val="true"/>
        </w:rPr>
        <w:t xml:space="preserve">. </w:t>
      </w:r>
      <w:r>
        <w:rPr>
          <w:rtl w:val="true"/>
        </w:rPr>
        <w:t>מנגד</w:t>
      </w:r>
      <w:r>
        <w:rPr>
          <w:rtl w:val="true"/>
        </w:rPr>
        <w:t xml:space="preserve">, </w:t>
      </w:r>
      <w:r>
        <w:rPr>
          <w:rtl w:val="true"/>
        </w:rPr>
        <w:t>צוין כי המערער לא נשא עליו את כלי הנשק ולא קיבל תמורה עבורם</w:t>
      </w:r>
      <w:r>
        <w:rPr>
          <w:rtl w:val="true"/>
        </w:rPr>
        <w:t xml:space="preserve">. </w:t>
      </w:r>
      <w:r>
        <w:rPr>
          <w:rtl w:val="true"/>
        </w:rPr>
        <w:t>באשר למעורבות המערער בעסקאות הסמים</w:t>
      </w:r>
      <w:r>
        <w:rPr>
          <w:rtl w:val="true"/>
        </w:rPr>
        <w:t xml:space="preserve">, </w:t>
      </w:r>
      <w:r>
        <w:rPr>
          <w:rtl w:val="true"/>
        </w:rPr>
        <w:t xml:space="preserve">צוין כי בעסקה הראשונה מנובמבר </w:t>
      </w:r>
      <w:r>
        <w:rPr/>
        <w:t>2015</w:t>
      </w:r>
      <w:r>
        <w:rPr>
          <w:rtl w:val="true"/>
        </w:rPr>
        <w:t xml:space="preserve"> </w:t>
      </w:r>
      <w:r>
        <w:rPr>
          <w:rtl w:val="true"/>
        </w:rPr>
        <w:t>סייע המערער לסחר בסם ותרם להשלמת העסקה בתוך זמן קצר של דקות ספורות</w:t>
      </w:r>
      <w:r>
        <w:rPr>
          <w:rtl w:val="true"/>
        </w:rPr>
        <w:t xml:space="preserve">; </w:t>
      </w:r>
      <w:r>
        <w:rPr>
          <w:rtl w:val="true"/>
        </w:rPr>
        <w:t xml:space="preserve">בעסקה השנייה מפברואר </w:t>
      </w:r>
      <w:r>
        <w:rPr/>
        <w:t>2016</w:t>
      </w:r>
      <w:r>
        <w:rPr>
          <w:rtl w:val="true"/>
        </w:rPr>
        <w:t xml:space="preserve"> </w:t>
      </w:r>
      <w:r>
        <w:rPr>
          <w:rtl w:val="true"/>
        </w:rPr>
        <w:t>הוא סחר בעצמו בסמים</w:t>
      </w:r>
      <w:r>
        <w:rPr>
          <w:rtl w:val="true"/>
        </w:rPr>
        <w:t xml:space="preserve">, </w:t>
      </w:r>
      <w:r>
        <w:rPr>
          <w:rtl w:val="true"/>
        </w:rPr>
        <w:t>מסר את הסמים לסוכן ואף הציע לסוכן לרכוש כלי נשק</w:t>
      </w:r>
      <w:r>
        <w:rPr>
          <w:rtl w:val="true"/>
        </w:rPr>
        <w:t xml:space="preserve">, </w:t>
      </w:r>
      <w:r>
        <w:rPr>
          <w:rtl w:val="true"/>
        </w:rPr>
        <w:t>אם כי לא נהנה מתמורת העסקה אלא העבירהּ לאחר</w:t>
      </w:r>
      <w:r>
        <w:rPr>
          <w:rtl w:val="true"/>
        </w:rPr>
        <w:t xml:space="preserve">; </w:t>
      </w:r>
      <w:r>
        <w:rPr>
          <w:rtl w:val="true"/>
        </w:rPr>
        <w:t xml:space="preserve">בעסקה השלישית מאפריל </w:t>
      </w:r>
      <w:r>
        <w:rPr/>
        <w:t>2016</w:t>
      </w:r>
      <w:r>
        <w:rPr>
          <w:rtl w:val="true"/>
        </w:rPr>
        <w:t xml:space="preserve"> </w:t>
      </w:r>
      <w:r>
        <w:rPr>
          <w:rtl w:val="true"/>
        </w:rPr>
        <w:t>הוא זה שהציע לסוכן לרכוש סם</w:t>
      </w:r>
      <w:r>
        <w:rPr>
          <w:rtl w:val="true"/>
        </w:rPr>
        <w:t xml:space="preserve">, </w:t>
      </w:r>
      <w:r>
        <w:rPr>
          <w:rtl w:val="true"/>
        </w:rPr>
        <w:t>השיג את הסם מאחר שנתן גיבוי לפני ספקי הסם כי הסוכן יעמוד בהבטחתו לשלם להם בדרך של תשלום נדחה בגין הסמים שרכש</w:t>
      </w:r>
      <w:r>
        <w:rPr>
          <w:rtl w:val="true"/>
        </w:rPr>
        <w:t xml:space="preserve">. </w:t>
      </w:r>
      <w:r>
        <w:rPr>
          <w:rtl w:val="true"/>
        </w:rPr>
        <w:t xml:space="preserve">בעסקה הרביעית ממאי </w:t>
      </w:r>
      <w:r>
        <w:rPr/>
        <w:t>2016</w:t>
      </w:r>
      <w:r>
        <w:rPr>
          <w:rtl w:val="true"/>
        </w:rPr>
        <w:t xml:space="preserve"> </w:t>
      </w:r>
      <w:r>
        <w:rPr>
          <w:rtl w:val="true"/>
        </w:rPr>
        <w:t>הוא תיווך בין הסוכן לאחר וקיבל דמי תיווך</w:t>
      </w:r>
      <w:r>
        <w:rPr>
          <w:rtl w:val="true"/>
        </w:rPr>
        <w:t xml:space="preserve">, </w:t>
      </w:r>
      <w:r>
        <w:rPr>
          <w:rtl w:val="true"/>
        </w:rPr>
        <w:t>כאשר בעסקה זו בלטה במיוחד יכולתו להשיג סמים בכמויות גדולות ובמהירות רבה</w:t>
      </w:r>
      <w:r>
        <w:rPr>
          <w:rtl w:val="true"/>
        </w:rPr>
        <w:t xml:space="preserve">. </w:t>
      </w:r>
      <w:r>
        <w:rPr>
          <w:rtl w:val="true"/>
        </w:rPr>
        <w:t>כן ניתן משקל לכמויות הסם הגדולות שנמכרו במסגרת העסקאות</w:t>
      </w:r>
      <w:r>
        <w:rPr>
          <w:rtl w:val="true"/>
        </w:rPr>
        <w:t xml:space="preserve">. </w:t>
      </w:r>
      <w:r>
        <w:rPr>
          <w:rtl w:val="true"/>
        </w:rPr>
        <w:t>בית המשפט עמד גם על הנסיבות שאינן קשורות בביצוע העבירה</w:t>
      </w:r>
      <w:r>
        <w:rPr>
          <w:rtl w:val="true"/>
        </w:rPr>
        <w:t xml:space="preserve">, </w:t>
      </w:r>
      <w:r>
        <w:rPr>
          <w:rtl w:val="true"/>
        </w:rPr>
        <w:t>לרבות היותו של המערער בעל עבר פלילי מכביד ורלוונטי</w:t>
      </w:r>
      <w:r>
        <w:rPr>
          <w:rtl w:val="true"/>
        </w:rPr>
        <w:t xml:space="preserve">, </w:t>
      </w:r>
      <w:r>
        <w:rPr>
          <w:rtl w:val="true"/>
        </w:rPr>
        <w:t>הסובל מהתמכרות קשה לסמים</w:t>
      </w:r>
      <w:r>
        <w:rPr>
          <w:rtl w:val="true"/>
        </w:rPr>
        <w:t xml:space="preserve">, </w:t>
      </w:r>
      <w:r>
        <w:rPr>
          <w:rtl w:val="true"/>
        </w:rPr>
        <w:t>וגזר הדין ניתן בהתחשב בכל אלה</w:t>
      </w:r>
      <w:r>
        <w:rPr>
          <w:rtl w:val="true"/>
        </w:rPr>
        <w:t xml:space="preserve">, </w:t>
      </w:r>
      <w:r>
        <w:rPr>
          <w:rtl w:val="true"/>
        </w:rPr>
        <w:t>כמו גם באמור בתסקיר ובצורך בהחמרה בענישה</w:t>
      </w:r>
      <w:r>
        <w:rPr>
          <w:rtl w:val="true"/>
        </w:rPr>
        <w:t>.</w:t>
      </w:r>
    </w:p>
    <w:p>
      <w:pPr>
        <w:pStyle w:val="Ruller42"/>
        <w:ind w:end="0"/>
        <w:jc w:val="both"/>
        <w:rPr/>
      </w:pPr>
      <w:r>
        <w:rPr>
          <w:rtl w:val="true"/>
        </w:rPr>
      </w:r>
    </w:p>
    <w:p>
      <w:pPr>
        <w:pStyle w:val="Ruller43"/>
        <w:numPr>
          <w:ilvl w:val="0"/>
          <w:numId w:val="1"/>
        </w:numPr>
        <w:ind w:end="0"/>
        <w:jc w:val="both"/>
        <w:rPr/>
      </w:pPr>
      <w:r>
        <w:rPr>
          <w:rtl w:val="true"/>
        </w:rPr>
        <w:t xml:space="preserve">מתחם העונש בעניינו הועמד בגין התיק העיקרי על </w:t>
      </w:r>
      <w:r>
        <w:rPr/>
        <w:t>5-2</w:t>
      </w:r>
      <w:r>
        <w:rPr>
          <w:rtl w:val="true"/>
        </w:rPr>
        <w:t xml:space="preserve"> </w:t>
      </w:r>
      <w:r>
        <w:rPr>
          <w:rtl w:val="true"/>
        </w:rPr>
        <w:t>שנות מאסר בפועל</w:t>
      </w:r>
      <w:r>
        <w:rPr>
          <w:rtl w:val="true"/>
        </w:rPr>
        <w:t xml:space="preserve">. </w:t>
      </w:r>
      <w:r>
        <w:rPr>
          <w:rtl w:val="true"/>
        </w:rPr>
        <w:t>באשר לתיק שבו הורשע בהחזקת הסכין</w:t>
      </w:r>
      <w:r>
        <w:rPr>
          <w:rtl w:val="true"/>
        </w:rPr>
        <w:t xml:space="preserve">, </w:t>
      </w:r>
      <w:r>
        <w:rPr>
          <w:rtl w:val="true"/>
        </w:rPr>
        <w:t>נקבע מתחם עונש הנע בין מאסר על תנאי לבין מספר חודשי מאסר בפועל</w:t>
      </w:r>
      <w:r>
        <w:rPr>
          <w:rtl w:val="true"/>
        </w:rPr>
        <w:t xml:space="preserve">. </w:t>
      </w:r>
      <w:r>
        <w:rPr>
          <w:rtl w:val="true"/>
        </w:rPr>
        <w:t>בגין עבירות הסמים</w:t>
      </w:r>
      <w:r>
        <w:rPr>
          <w:rtl w:val="true"/>
        </w:rPr>
        <w:t xml:space="preserve">, </w:t>
      </w:r>
      <w:r>
        <w:rPr>
          <w:rtl w:val="true"/>
        </w:rPr>
        <w:t>נקבעו ארבעה מתחמי ענישה שונים לגבי כל אחת מעסקאות הסמים בהן היה מעורב המערער</w:t>
      </w:r>
      <w:r>
        <w:rPr>
          <w:rtl w:val="true"/>
        </w:rPr>
        <w:t xml:space="preserve">: </w:t>
      </w:r>
      <w:r>
        <w:rPr>
          <w:rtl w:val="true"/>
        </w:rPr>
        <w:t>מספר חודשי מאסר בפועל עד ל</w:t>
      </w:r>
      <w:r>
        <w:rPr>
          <w:rtl w:val="true"/>
        </w:rPr>
        <w:t>-</w:t>
      </w:r>
      <w:r>
        <w:rPr/>
        <w:t>18</w:t>
      </w:r>
      <w:r>
        <w:rPr>
          <w:rtl w:val="true"/>
        </w:rPr>
        <w:t xml:space="preserve"> </w:t>
      </w:r>
      <w:r>
        <w:rPr>
          <w:rtl w:val="true"/>
        </w:rPr>
        <w:t>חודשי מאסר בפועל</w:t>
      </w:r>
      <w:r>
        <w:rPr>
          <w:rtl w:val="true"/>
        </w:rPr>
        <w:t xml:space="preserve">; </w:t>
      </w:r>
      <w:r>
        <w:rPr/>
        <w:t>20-8</w:t>
      </w:r>
      <w:r>
        <w:rPr>
          <w:rtl w:val="true"/>
        </w:rPr>
        <w:t xml:space="preserve"> </w:t>
      </w:r>
      <w:r>
        <w:rPr>
          <w:rtl w:val="true"/>
        </w:rPr>
        <w:t>חודשי מאסר בפועל</w:t>
      </w:r>
      <w:r>
        <w:rPr>
          <w:rtl w:val="true"/>
        </w:rPr>
        <w:t xml:space="preserve">; </w:t>
      </w:r>
      <w:r>
        <w:rPr/>
        <w:t>24-12</w:t>
      </w:r>
      <w:r>
        <w:rPr>
          <w:rtl w:val="true"/>
        </w:rPr>
        <w:t xml:space="preserve"> </w:t>
      </w:r>
      <w:r>
        <w:rPr>
          <w:rtl w:val="true"/>
        </w:rPr>
        <w:t>חודשי מאסר בפועל</w:t>
      </w:r>
      <w:r>
        <w:rPr>
          <w:rtl w:val="true"/>
        </w:rPr>
        <w:t xml:space="preserve">; </w:t>
      </w:r>
      <w:r>
        <w:rPr/>
        <w:t>28-14</w:t>
      </w:r>
      <w:r>
        <w:rPr>
          <w:rtl w:val="true"/>
        </w:rPr>
        <w:t xml:space="preserve"> </w:t>
      </w:r>
      <w:r>
        <w:rPr>
          <w:rtl w:val="true"/>
        </w:rPr>
        <w:t>חודשי מאסר בפועל</w:t>
      </w:r>
      <w:r>
        <w:rPr>
          <w:rtl w:val="true"/>
        </w:rPr>
        <w:t xml:space="preserve">. </w:t>
      </w:r>
      <w:r>
        <w:rPr>
          <w:rtl w:val="true"/>
        </w:rPr>
        <w:t xml:space="preserve">בסופו של יום הושתו עליו </w:t>
      </w:r>
      <w:r>
        <w:rPr/>
        <w:t>6</w:t>
      </w:r>
      <w:r>
        <w:rPr>
          <w:rtl w:val="true"/>
        </w:rPr>
        <w:t xml:space="preserve"> </w:t>
      </w:r>
      <w:r>
        <w:rPr>
          <w:rtl w:val="true"/>
        </w:rPr>
        <w:t>שנות מאסר בפועל</w:t>
      </w:r>
      <w:r>
        <w:rPr>
          <w:rtl w:val="true"/>
        </w:rPr>
        <w:t xml:space="preserve">, </w:t>
      </w:r>
      <w:r>
        <w:rPr>
          <w:rtl w:val="true"/>
        </w:rPr>
        <w:t>מאסר על תנאי</w:t>
      </w:r>
      <w:r>
        <w:rPr>
          <w:rtl w:val="true"/>
        </w:rPr>
        <w:t xml:space="preserve">, </w:t>
      </w:r>
      <w:r>
        <w:rPr>
          <w:rtl w:val="true"/>
        </w:rPr>
        <w:t xml:space="preserve">פסילה מקבלת או מהחזקת רישיון נהיגה למשך </w:t>
      </w:r>
      <w:r>
        <w:rPr/>
        <w:t>12</w:t>
      </w:r>
      <w:r>
        <w:rPr>
          <w:rtl w:val="true"/>
        </w:rPr>
        <w:t xml:space="preserve"> </w:t>
      </w:r>
      <w:r>
        <w:rPr>
          <w:rtl w:val="true"/>
        </w:rPr>
        <w:t xml:space="preserve">חודשים בפועל וקנס כספי בסך של </w:t>
      </w:r>
      <w:r>
        <w:rPr/>
        <w:t>20,000</w:t>
      </w:r>
      <w:r>
        <w:rPr>
          <w:rtl w:val="true"/>
        </w:rPr>
        <w:t xml:space="preserve"> </w:t>
      </w:r>
      <w:r>
        <w:rPr>
          <w:rtl w:val="true"/>
        </w:rPr>
        <w:t>ש</w:t>
      </w:r>
      <w:r>
        <w:rPr>
          <w:rtl w:val="true"/>
        </w:rPr>
        <w:t>"</w:t>
      </w:r>
      <w:r>
        <w:rPr>
          <w:rtl w:val="true"/>
        </w:rPr>
        <w:t>ח</w:t>
      </w:r>
      <w:r>
        <w:rPr>
          <w:rtl w:val="true"/>
        </w:rPr>
        <w:t xml:space="preserve">. </w:t>
      </w:r>
      <w:r>
        <w:rPr>
          <w:rtl w:val="true"/>
        </w:rPr>
        <w:t>כן הוכרז המערער כסוחר סמים</w:t>
      </w:r>
      <w:r>
        <w:rPr>
          <w:rtl w:val="true"/>
        </w:rPr>
        <w:t xml:space="preserve">, </w:t>
      </w:r>
      <w:r>
        <w:rPr>
          <w:rtl w:val="true"/>
        </w:rPr>
        <w:t xml:space="preserve">ומכוח הכרזה זו חולט רכבו וחולטו סכומי כסף בסך של </w:t>
      </w:r>
      <w:r>
        <w:rPr/>
        <w:t>24,000</w:t>
      </w:r>
      <w:r>
        <w:rPr>
          <w:rtl w:val="true"/>
        </w:rPr>
        <w:t xml:space="preserve"> </w:t>
      </w:r>
      <w:r>
        <w:rPr>
          <w:rtl w:val="true"/>
        </w:rPr>
        <w:t>ש</w:t>
      </w:r>
      <w:r>
        <w:rPr>
          <w:rtl w:val="true"/>
        </w:rPr>
        <w:t>"</w:t>
      </w:r>
      <w:r>
        <w:rPr>
          <w:rtl w:val="true"/>
        </w:rPr>
        <w:t>ח שנתפסו אצלו</w:t>
      </w:r>
      <w:r>
        <w:rPr>
          <w:rtl w:val="true"/>
        </w:rPr>
        <w:t>.</w:t>
      </w:r>
    </w:p>
    <w:p>
      <w:pPr>
        <w:pStyle w:val="Ruller43"/>
        <w:numPr>
          <w:ilvl w:val="0"/>
          <w:numId w:val="0"/>
        </w:numPr>
        <w:ind w:hanging="0" w:start="0" w:end="0"/>
        <w:jc w:val="both"/>
        <w:rPr/>
      </w:pPr>
      <w:r>
        <w:rPr>
          <w:rtl w:val="true"/>
        </w:rPr>
      </w:r>
    </w:p>
    <w:p>
      <w:pPr>
        <w:pStyle w:val="Ruller43"/>
        <w:numPr>
          <w:ilvl w:val="0"/>
          <w:numId w:val="1"/>
        </w:numPr>
        <w:ind w:end="0"/>
        <w:jc w:val="both"/>
        <w:rPr/>
      </w:pPr>
      <w:r>
        <w:rPr>
          <w:rtl w:val="true"/>
        </w:rPr>
        <w:tab/>
      </w:r>
      <w:r>
        <w:rPr>
          <w:rtl w:val="true"/>
        </w:rPr>
        <w:t>לטענת המערער</w:t>
      </w:r>
      <w:r>
        <w:rPr>
          <w:rtl w:val="true"/>
        </w:rPr>
        <w:t xml:space="preserve">, </w:t>
      </w:r>
      <w:r>
        <w:rPr>
          <w:rtl w:val="true"/>
        </w:rPr>
        <w:t>היה מקום להקל עמו באשר לעבירות הנשק ביחס לעונשים שהושתו על נאשמים אחרים בפרשה</w:t>
      </w:r>
      <w:r>
        <w:rPr>
          <w:rtl w:val="true"/>
        </w:rPr>
        <w:t xml:space="preserve">. </w:t>
      </w:r>
      <w:r>
        <w:rPr>
          <w:rtl w:val="true"/>
        </w:rPr>
        <w:t>זאת שעה שהסוכן ניצל את מצוקתו הכלכלית והתנהלותו עולה כדי פסע משידול והדחה</w:t>
      </w:r>
      <w:r>
        <w:rPr>
          <w:rtl w:val="true"/>
        </w:rPr>
        <w:t xml:space="preserve">. </w:t>
      </w:r>
      <w:r>
        <w:rPr>
          <w:rtl w:val="true"/>
        </w:rPr>
        <w:t>באשר לעבירות הסמים</w:t>
      </w:r>
      <w:r>
        <w:rPr>
          <w:rtl w:val="true"/>
        </w:rPr>
        <w:t xml:space="preserve">, </w:t>
      </w:r>
      <w:r>
        <w:rPr>
          <w:rtl w:val="true"/>
        </w:rPr>
        <w:t>נטען כי לא היה מקום לקבוע מתחמי ענישה נפרדים לכל אחת מהעסקאות</w:t>
      </w:r>
      <w:r>
        <w:rPr>
          <w:rtl w:val="true"/>
        </w:rPr>
        <w:t xml:space="preserve">, </w:t>
      </w:r>
      <w:r>
        <w:rPr>
          <w:rtl w:val="true"/>
        </w:rPr>
        <w:t>אלא לראותן כמקשה אחת</w:t>
      </w:r>
      <w:r>
        <w:rPr>
          <w:rtl w:val="true"/>
        </w:rPr>
        <w:t xml:space="preserve">, </w:t>
      </w:r>
      <w:r>
        <w:rPr>
          <w:rtl w:val="true"/>
        </w:rPr>
        <w:t>שכן הן התבצעו אל מול אותו גורם ולבקשתו שלו</w:t>
      </w:r>
      <w:r>
        <w:rPr>
          <w:rtl w:val="true"/>
        </w:rPr>
        <w:t xml:space="preserve">. </w:t>
      </w:r>
      <w:r>
        <w:rPr>
          <w:rtl w:val="true"/>
        </w:rPr>
        <w:t>כמו כן</w:t>
      </w:r>
      <w:r>
        <w:rPr>
          <w:rtl w:val="true"/>
        </w:rPr>
        <w:t xml:space="preserve">, </w:t>
      </w:r>
      <w:r>
        <w:rPr>
          <w:rtl w:val="true"/>
        </w:rPr>
        <w:t>היה על בית המשפט להתחשב גם בנסיבות חייו הקשות של המערער ובמצבו הסוציו</w:t>
      </w:r>
      <w:r>
        <w:rPr>
          <w:rtl w:val="true"/>
        </w:rPr>
        <w:t>-</w:t>
      </w:r>
      <w:r>
        <w:rPr>
          <w:rtl w:val="true"/>
        </w:rPr>
        <w:t>אקונומי המורכב</w:t>
      </w:r>
      <w:r>
        <w:rPr>
          <w:rtl w:val="true"/>
        </w:rPr>
        <w:t xml:space="preserve">. </w:t>
      </w:r>
      <w:r>
        <w:rPr>
          <w:rtl w:val="true"/>
        </w:rPr>
        <w:t>מנגד</w:t>
      </w:r>
      <w:r>
        <w:rPr>
          <w:rtl w:val="true"/>
        </w:rPr>
        <w:t xml:space="preserve">, </w:t>
      </w:r>
      <w:r>
        <w:rPr>
          <w:rtl w:val="true"/>
        </w:rPr>
        <w:t>המדינה עמדה על כך שהמערער מילא תפקיד מרכזי בעסקאות שבהן היה מעורב</w:t>
      </w:r>
      <w:r>
        <w:rPr>
          <w:rtl w:val="true"/>
        </w:rPr>
        <w:t xml:space="preserve">, </w:t>
      </w:r>
      <w:r>
        <w:rPr>
          <w:rtl w:val="true"/>
        </w:rPr>
        <w:t>הן לעניין הנשק והן לעניין הסמים</w:t>
      </w:r>
      <w:r>
        <w:rPr>
          <w:rtl w:val="true"/>
        </w:rPr>
        <w:t xml:space="preserve">, </w:t>
      </w:r>
      <w:r>
        <w:rPr>
          <w:rtl w:val="true"/>
        </w:rPr>
        <w:t>והודגשה החומרה הכרוכה בהתנהלותו</w:t>
      </w:r>
      <w:r>
        <w:rPr>
          <w:rtl w:val="true"/>
        </w:rPr>
        <w:t xml:space="preserve">. </w:t>
      </w:r>
      <w:r>
        <w:rPr>
          <w:rtl w:val="true"/>
        </w:rPr>
        <w:t>צוין גם כי אין המדובר במעידות חד</w:t>
      </w:r>
      <w:r>
        <w:rPr>
          <w:rtl w:val="true"/>
        </w:rPr>
        <w:t>-</w:t>
      </w:r>
      <w:r>
        <w:rPr>
          <w:rtl w:val="true"/>
        </w:rPr>
        <w:t>פעמיות אלא בדפוס חוזר ובאדם שהעבירות דנן הן חלק ממהלך חייו השגרתי</w:t>
      </w:r>
      <w:r>
        <w:rPr>
          <w:rtl w:val="true"/>
        </w:rPr>
        <w:t xml:space="preserve">. </w:t>
      </w:r>
    </w:p>
    <w:p>
      <w:pPr>
        <w:pStyle w:val="Ruller42"/>
        <w:ind w:end="0"/>
        <w:jc w:val="both"/>
        <w:rPr/>
      </w:pPr>
      <w:r>
        <w:rPr>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ב</w:t>
      </w:r>
      <w:r>
        <w:rPr>
          <w:rFonts w:cs="Miriam" w:ascii="Century" w:hAnsi="Century"/>
          <w:b/>
          <w:spacing w:val="0"/>
          <w:szCs w:val="24"/>
          <w:rtl w:val="true"/>
        </w:rPr>
        <w:t xml:space="preserve">. </w:t>
      </w:r>
      <w:r>
        <w:rPr>
          <w:rFonts w:ascii="Century" w:hAnsi="Century" w:cs="Miriam"/>
          <w:b/>
          <w:b/>
          <w:spacing w:val="0"/>
          <w:szCs w:val="24"/>
          <w:rtl w:val="true"/>
        </w:rPr>
        <w:t>דיון</w:t>
      </w:r>
      <w:r>
        <w:rPr>
          <w:rFonts w:ascii="Century" w:hAnsi="Century" w:eastAsia="Century" w:cs="Century"/>
          <w:b/>
          <w:b/>
          <w:spacing w:val="0"/>
          <w:szCs w:val="24"/>
          <w:rtl w:val="true"/>
        </w:rPr>
        <w:t xml:space="preserve"> </w:t>
      </w:r>
      <w:r>
        <w:rPr>
          <w:rFonts w:ascii="Century" w:hAnsi="Century" w:cs="Miriam"/>
          <w:b/>
          <w:b/>
          <w:spacing w:val="0"/>
          <w:szCs w:val="24"/>
          <w:rtl w:val="true"/>
        </w:rPr>
        <w:t>והכרעה</w:t>
      </w:r>
    </w:p>
    <w:p>
      <w:pPr>
        <w:pStyle w:val="Ruller43"/>
        <w:numPr>
          <w:ilvl w:val="0"/>
          <w:numId w:val="1"/>
        </w:numPr>
        <w:ind w:end="0"/>
        <w:jc w:val="both"/>
        <w:rPr/>
      </w:pPr>
      <w:r>
        <w:rPr>
          <w:rtl w:val="true"/>
        </w:rPr>
        <w:t>ראשית יובהר כי מעשיו של המערער חמורים ומיקומו של המערער בשרשרת הסחר היה מרכזי ודומיננטי</w:t>
      </w:r>
      <w:r>
        <w:rPr>
          <w:rtl w:val="true"/>
        </w:rPr>
        <w:t xml:space="preserve">. </w:t>
      </w:r>
      <w:r>
        <w:rPr>
          <w:rtl w:val="true"/>
        </w:rPr>
        <w:t>עיון בכתב האישום המתוקן מעלה כי המערער הוא זה אשר הציע לסוכן לרכוש כלי נשק</w:t>
      </w:r>
      <w:r>
        <w:rPr>
          <w:rtl w:val="true"/>
        </w:rPr>
        <w:t xml:space="preserve">. </w:t>
      </w:r>
      <w:r>
        <w:rPr>
          <w:rtl w:val="true"/>
        </w:rPr>
        <w:t>הוא פנה לאדם אחר כדי לברר עמו אם יש ברשותו כלי נשק זמין למכירה</w:t>
      </w:r>
      <w:r>
        <w:rPr>
          <w:rtl w:val="true"/>
        </w:rPr>
        <w:t xml:space="preserve">. </w:t>
      </w:r>
      <w:r>
        <w:rPr>
          <w:rtl w:val="true"/>
        </w:rPr>
        <w:t>הפגישות</w:t>
      </w:r>
      <w:r>
        <w:rPr>
          <w:rtl w:val="true"/>
        </w:rPr>
        <w:t xml:space="preserve">, </w:t>
      </w:r>
      <w:r>
        <w:rPr>
          <w:rtl w:val="true"/>
        </w:rPr>
        <w:t>המגעים לקידום העסקה והעסקה עצמה נערכו בביתו או בסמוך לו</w:t>
      </w:r>
      <w:r>
        <w:rPr>
          <w:rtl w:val="true"/>
        </w:rPr>
        <w:t xml:space="preserve">. </w:t>
      </w:r>
      <w:r>
        <w:rPr>
          <w:rtl w:val="true"/>
        </w:rPr>
        <w:t>המערער הוא גם זה שסיפק לסוכן את התחמושת</w:t>
      </w:r>
      <w:r>
        <w:rPr>
          <w:rtl w:val="true"/>
        </w:rPr>
        <w:t xml:space="preserve">. </w:t>
      </w:r>
      <w:r>
        <w:rPr>
          <w:rtl w:val="true"/>
        </w:rPr>
        <w:t>מכאן אפוא</w:t>
      </w:r>
      <w:r>
        <w:rPr>
          <w:rtl w:val="true"/>
        </w:rPr>
        <w:t xml:space="preserve">, </w:t>
      </w:r>
      <w:r>
        <w:rPr>
          <w:rtl w:val="true"/>
        </w:rPr>
        <w:t>כי אין לקבל את טענות המערער</w:t>
      </w:r>
      <w:r>
        <w:rPr>
          <w:rtl w:val="true"/>
        </w:rPr>
        <w:t xml:space="preserve">, </w:t>
      </w:r>
      <w:r>
        <w:rPr>
          <w:rtl w:val="true"/>
        </w:rPr>
        <w:t>המבקש להפחית מחומרת מעשיו</w:t>
      </w:r>
      <w:r>
        <w:rPr>
          <w:rtl w:val="true"/>
        </w:rPr>
        <w:t xml:space="preserve">, </w:t>
      </w:r>
      <w:r>
        <w:rPr>
          <w:rtl w:val="true"/>
        </w:rPr>
        <w:t xml:space="preserve">וטוען כי כל חטאו התמצה </w:t>
      </w:r>
      <w:r>
        <w:rPr>
          <w:rtl w:val="true"/>
        </w:rPr>
        <w:t>"</w:t>
      </w:r>
      <w:r>
        <w:rPr>
          <w:rtl w:val="true"/>
        </w:rPr>
        <w:t>רק</w:t>
      </w:r>
      <w:r>
        <w:rPr>
          <w:rtl w:val="true"/>
        </w:rPr>
        <w:t xml:space="preserve">" </w:t>
      </w:r>
      <w:r>
        <w:rPr>
          <w:rtl w:val="true"/>
        </w:rPr>
        <w:t xml:space="preserve">בכך שסיפק לסוכן את כלי הנשק שביקש או כי יש במעשיו של שותפו לעסקה </w:t>
      </w:r>
      <w:r>
        <w:rPr>
          <w:rtl w:val="true"/>
        </w:rPr>
        <w:t>(</w:t>
      </w:r>
      <w:r>
        <w:rPr>
          <w:rtl w:val="true"/>
        </w:rPr>
        <w:t xml:space="preserve">נאשם </w:t>
      </w:r>
      <w:r>
        <w:rPr/>
        <w:t>11</w:t>
      </w:r>
      <w:r>
        <w:rPr>
          <w:rtl w:val="true"/>
        </w:rPr>
        <w:t xml:space="preserve"> </w:t>
      </w:r>
      <w:r>
        <w:rPr>
          <w:rtl w:val="true"/>
        </w:rPr>
        <w:t>שאינו אחד מהמערערים שלפנינו</w:t>
      </w:r>
      <w:r>
        <w:rPr>
          <w:rtl w:val="true"/>
        </w:rPr>
        <w:t xml:space="preserve">) </w:t>
      </w:r>
      <w:r>
        <w:rPr>
          <w:rtl w:val="true"/>
        </w:rPr>
        <w:t>כדי להפחית מחומרת מעשיו שלו</w:t>
      </w:r>
      <w:r>
        <w:rPr>
          <w:rtl w:val="true"/>
        </w:rPr>
        <w:t xml:space="preserve">. </w:t>
      </w:r>
      <w:r>
        <w:rPr>
          <w:rtl w:val="true"/>
        </w:rPr>
        <w:t>אכן</w:t>
      </w:r>
      <w:r>
        <w:rPr>
          <w:rtl w:val="true"/>
        </w:rPr>
        <w:t xml:space="preserve">, </w:t>
      </w:r>
      <w:r>
        <w:rPr>
          <w:rtl w:val="true"/>
        </w:rPr>
        <w:t xml:space="preserve">נאשם </w:t>
      </w:r>
      <w:r>
        <w:rPr/>
        <w:t>11</w:t>
      </w:r>
      <w:r>
        <w:rPr>
          <w:rtl w:val="true"/>
        </w:rPr>
        <w:t xml:space="preserve"> </w:t>
      </w:r>
      <w:r>
        <w:rPr>
          <w:rtl w:val="true"/>
        </w:rPr>
        <w:t>הוא זה שנשא את כלי הנשק על גופו</w:t>
      </w:r>
      <w:r>
        <w:rPr>
          <w:rtl w:val="true"/>
        </w:rPr>
        <w:t xml:space="preserve">, </w:t>
      </w:r>
      <w:r>
        <w:rPr>
          <w:rtl w:val="true"/>
        </w:rPr>
        <w:t>מסר אותו לסוכן וקיבל את התמורה הכספית לידיו</w:t>
      </w:r>
      <w:r>
        <w:rPr>
          <w:rtl w:val="true"/>
        </w:rPr>
        <w:t xml:space="preserve">, </w:t>
      </w:r>
      <w:r>
        <w:rPr>
          <w:rtl w:val="true"/>
        </w:rPr>
        <w:t>אך אין בכך כדי להפחית במאומה ממעורבותו של המערער בעבירות ומתרומתו המשמעותית לפעולת הסחר</w:t>
      </w:r>
      <w:r>
        <w:rPr>
          <w:rtl w:val="true"/>
        </w:rPr>
        <w:t>.</w:t>
      </w:r>
    </w:p>
    <w:p>
      <w:pPr>
        <w:pStyle w:val="Ruller43"/>
        <w:numPr>
          <w:ilvl w:val="0"/>
          <w:numId w:val="0"/>
        </w:numPr>
        <w:ind w:hanging="0" w:start="0" w:end="0"/>
        <w:jc w:val="both"/>
        <w:rPr>
          <w:rFonts w:eastAsia="Garamond"/>
        </w:rPr>
      </w:pPr>
      <w:r>
        <w:rPr>
          <w:rFonts w:eastAsia="Garamond"/>
          <w:rtl w:val="true"/>
        </w:rPr>
        <w:t xml:space="preserve"> </w:t>
      </w:r>
    </w:p>
    <w:p>
      <w:pPr>
        <w:pStyle w:val="Ruller43"/>
        <w:numPr>
          <w:ilvl w:val="0"/>
          <w:numId w:val="1"/>
        </w:numPr>
        <w:ind w:end="0"/>
        <w:jc w:val="both"/>
        <w:rPr/>
      </w:pPr>
      <w:r>
        <w:rPr>
          <w:rtl w:val="true"/>
        </w:rPr>
        <w:t xml:space="preserve">חומרת מעשיו של המערער מקבלת משנה תוקף נוכח הרשעתו בעבירות נוספות </w:t>
      </w:r>
      <w:r>
        <w:rPr>
          <w:rtl w:val="true"/>
        </w:rPr>
        <w:t>–</w:t>
      </w:r>
      <w:r>
        <w:rPr>
          <w:rtl w:val="true"/>
        </w:rPr>
        <w:t xml:space="preserve"> במעורבות בארבע עסקאות סמים</w:t>
      </w:r>
      <w:r>
        <w:rPr>
          <w:rtl w:val="true"/>
        </w:rPr>
        <w:t xml:space="preserve">. </w:t>
      </w:r>
      <w:r>
        <w:rPr>
          <w:rtl w:val="true"/>
        </w:rPr>
        <w:t>עיקר טענות המערער באשר להרשעתו בתיק שצורף</w:t>
      </w:r>
      <w:r>
        <w:rPr>
          <w:rtl w:val="true"/>
        </w:rPr>
        <w:t xml:space="preserve">, </w:t>
      </w:r>
      <w:r>
        <w:rPr>
          <w:rtl w:val="true"/>
        </w:rPr>
        <w:t xml:space="preserve">הייתה כי בית המשפט קבע שלא בצדק כי כל אחת מהעסקאות מהווה </w:t>
      </w:r>
      <w:r>
        <w:rPr>
          <w:rtl w:val="true"/>
        </w:rPr>
        <w:t>"</w:t>
      </w:r>
      <w:r>
        <w:rPr>
          <w:rtl w:val="true"/>
        </w:rPr>
        <w:t>אירוע</w:t>
      </w:r>
      <w:r>
        <w:rPr>
          <w:rtl w:val="true"/>
        </w:rPr>
        <w:t xml:space="preserve">" </w:t>
      </w:r>
      <w:r>
        <w:rPr>
          <w:rtl w:val="true"/>
        </w:rPr>
        <w:t>נפרד</w:t>
      </w:r>
      <w:r>
        <w:rPr>
          <w:rtl w:val="true"/>
        </w:rPr>
        <w:t xml:space="preserve">, </w:t>
      </w:r>
      <w:r>
        <w:rPr>
          <w:rtl w:val="true"/>
        </w:rPr>
        <w:t>ועל כן קבע ארבעה מתחמי ענישה שונים לגבי כל עסקה</w:t>
      </w:r>
      <w:r>
        <w:rPr>
          <w:rtl w:val="true"/>
        </w:rPr>
        <w:t xml:space="preserve">. </w:t>
      </w:r>
      <w:r>
        <w:rPr>
          <w:rtl w:val="true"/>
        </w:rPr>
        <w:t>אלא שלא שוכנעתי כי נמצא בסיס להתערבותנו בקביעה זו</w:t>
      </w:r>
      <w:r>
        <w:rPr>
          <w:rtl w:val="true"/>
        </w:rPr>
        <w:t xml:space="preserve">. </w:t>
      </w:r>
      <w:r>
        <w:rPr>
          <w:rtl w:val="true"/>
        </w:rPr>
        <w:t>אומנם</w:t>
      </w:r>
      <w:r>
        <w:rPr>
          <w:rtl w:val="true"/>
        </w:rPr>
        <w:t xml:space="preserve">, </w:t>
      </w:r>
      <w:r>
        <w:rPr>
          <w:rtl w:val="true"/>
        </w:rPr>
        <w:t>לארבע העסקאות בתיק זה מכנה משותף והוא עבירות בסמים</w:t>
      </w:r>
      <w:r>
        <w:rPr>
          <w:rtl w:val="true"/>
        </w:rPr>
        <w:t xml:space="preserve">. </w:t>
      </w:r>
      <w:r>
        <w:rPr>
          <w:rtl w:val="true"/>
        </w:rPr>
        <w:t>אך נוכח פער הזמנים</w:t>
      </w:r>
      <w:r>
        <w:rPr>
          <w:rtl w:val="true"/>
        </w:rPr>
        <w:t xml:space="preserve">, </w:t>
      </w:r>
      <w:r>
        <w:rPr>
          <w:rtl w:val="true"/>
        </w:rPr>
        <w:t>העבירות השונות</w:t>
      </w:r>
      <w:r>
        <w:rPr>
          <w:rtl w:val="true"/>
        </w:rPr>
        <w:t xml:space="preserve">, </w:t>
      </w:r>
      <w:r>
        <w:rPr>
          <w:rtl w:val="true"/>
        </w:rPr>
        <w:t>השוני בנסיבות כל אחת מהעסקאות ובחלק מהמקרים גם היעדר סמיכות במקום ביצוע העסקאות</w:t>
      </w:r>
      <w:r>
        <w:rPr>
          <w:rtl w:val="true"/>
        </w:rPr>
        <w:t xml:space="preserve">, </w:t>
      </w:r>
      <w:r>
        <w:rPr>
          <w:rtl w:val="true"/>
        </w:rPr>
        <w:t>לא מצאתי כל מקום להתערב בקביעת בית המשפט המחוזי לפיה העסקאות השונות אינן מקיימות ביניהן את מבחן הקשר ההדוק ועל כן מצריכות מתחמי ענישה נפרדים</w:t>
      </w:r>
      <w:r>
        <w:rPr>
          <w:rtl w:val="true"/>
        </w:rPr>
        <w:t xml:space="preserve">. </w:t>
      </w:r>
    </w:p>
    <w:p>
      <w:pPr>
        <w:pStyle w:val="Ruller43"/>
        <w:numPr>
          <w:ilvl w:val="0"/>
          <w:numId w:val="0"/>
        </w:numPr>
        <w:ind w:hanging="0" w:start="0" w:end="0"/>
        <w:jc w:val="both"/>
        <w:rPr>
          <w:rFonts w:ascii="Arial TUR;Arial" w:hAnsi="Arial TUR;Arial" w:cs="Arial TUR;Arial"/>
          <w:sz w:val="22"/>
        </w:rPr>
      </w:pPr>
      <w:r>
        <w:rPr>
          <w:rFonts w:cs="Arial TUR;Arial" w:ascii="Arial TUR;Arial" w:hAnsi="Arial TUR;Arial"/>
          <w:sz w:val="22"/>
          <w:rtl w:val="true"/>
        </w:rPr>
      </w:r>
    </w:p>
    <w:p>
      <w:pPr>
        <w:pStyle w:val="Ruller43"/>
        <w:numPr>
          <w:ilvl w:val="0"/>
          <w:numId w:val="1"/>
        </w:numPr>
        <w:ind w:end="0"/>
        <w:jc w:val="both"/>
        <w:rPr/>
      </w:pPr>
      <w:r>
        <w:rPr>
          <w:rtl w:val="true"/>
        </w:rPr>
        <w:t>כך או אחרת</w:t>
      </w:r>
      <w:r>
        <w:rPr>
          <w:rtl w:val="true"/>
        </w:rPr>
        <w:t xml:space="preserve">, </w:t>
      </w:r>
      <w:r>
        <w:rPr>
          <w:rtl w:val="true"/>
        </w:rPr>
        <w:t>בין אם מדובר בארבעה אירועים נפרדים ובין אם במספר אירועים מצומצם יותר</w:t>
      </w:r>
      <w:r>
        <w:rPr>
          <w:rtl w:val="true"/>
        </w:rPr>
        <w:t xml:space="preserve">, </w:t>
      </w:r>
      <w:r>
        <w:rPr>
          <w:rtl w:val="true"/>
        </w:rPr>
        <w:t>אין משמעות הדבר שיש להתערב בתוצאה אליה הגיעה הערכאה הדיונית</w:t>
      </w:r>
      <w:r>
        <w:rPr>
          <w:rtl w:val="true"/>
        </w:rPr>
        <w:t xml:space="preserve">, </w:t>
      </w:r>
      <w:r>
        <w:rPr>
          <w:rtl w:val="true"/>
        </w:rPr>
        <w:t xml:space="preserve">כל עוד לא ניכרת סטייה ממדיניות הענישה הראויה </w:t>
      </w:r>
      <w:r>
        <w:rPr>
          <w:rtl w:val="true"/>
        </w:rPr>
        <w:t>(</w:t>
      </w:r>
      <w:hyperlink r:id="rId6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379/15</w:t>
        </w:r>
      </w:hyperlink>
      <w:r>
        <w:rPr>
          <w:rtl w:val="true"/>
        </w:rPr>
        <w:t xml:space="preserve"> </w:t>
      </w:r>
      <w:r>
        <w:rPr>
          <w:rFonts w:ascii="Century" w:hAnsi="Century" w:cs="Miriam"/>
          <w:b/>
          <w:b/>
          <w:spacing w:val="0"/>
          <w:sz w:val="22"/>
          <w:sz w:val="22"/>
          <w:szCs w:val="24"/>
          <w:rtl w:val="true"/>
        </w:rPr>
        <w:t>לוי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26.7.2015</w:t>
      </w:r>
      <w:r>
        <w:rPr>
          <w:rtl w:val="true"/>
        </w:rPr>
        <w:t xml:space="preserve">)). </w:t>
      </w:r>
      <w:r>
        <w:rPr>
          <w:rtl w:val="true"/>
        </w:rPr>
        <w:t>על כן</w:t>
      </w:r>
      <w:r>
        <w:rPr>
          <w:rtl w:val="true"/>
        </w:rPr>
        <w:t xml:space="preserve">, </w:t>
      </w:r>
      <w:r>
        <w:rPr>
          <w:rtl w:val="true"/>
        </w:rPr>
        <w:t>אין בטענה זו כדי להועיל למערער במקרה זה</w:t>
      </w:r>
      <w:r>
        <w:rPr>
          <w:rtl w:val="true"/>
        </w:rPr>
        <w:t xml:space="preserve">, </w:t>
      </w:r>
      <w:r>
        <w:rPr>
          <w:rtl w:val="true"/>
        </w:rPr>
        <w:t>שכן העונש שהושת עליו הולם את מעשיו ואינו חמור כלל ועיקר</w:t>
      </w:r>
      <w:r>
        <w:rPr>
          <w:rtl w:val="true"/>
        </w:rPr>
        <w:t xml:space="preserve">. </w:t>
      </w:r>
      <w:r>
        <w:rPr>
          <w:rtl w:val="true"/>
        </w:rPr>
        <w:t>המערער היה מעורב בסחר</w:t>
      </w:r>
      <w:r>
        <w:rPr>
          <w:rtl w:val="true"/>
        </w:rPr>
        <w:t xml:space="preserve">, </w:t>
      </w:r>
      <w:r>
        <w:rPr>
          <w:rtl w:val="true"/>
        </w:rPr>
        <w:t>בסיוע לסחר ובתיווך של עסקאות בסמים במסגרתן נמכרו למעלה מ</w:t>
      </w:r>
      <w:r>
        <w:rPr>
          <w:rtl w:val="true"/>
        </w:rPr>
        <w:t>-</w:t>
      </w:r>
      <w:r>
        <w:rPr/>
        <w:t>2</w:t>
      </w:r>
      <w:r>
        <w:rPr>
          <w:rtl w:val="true"/>
        </w:rPr>
        <w:t xml:space="preserve"> </w:t>
      </w:r>
      <w:r>
        <w:rPr>
          <w:rtl w:val="true"/>
        </w:rPr>
        <w:t>ק</w:t>
      </w:r>
      <w:r>
        <w:rPr>
          <w:rtl w:val="true"/>
        </w:rPr>
        <w:t>"</w:t>
      </w:r>
      <w:r>
        <w:rPr>
          <w:rtl w:val="true"/>
        </w:rPr>
        <w:t>ג של סם מסוכן מסוג חשיש</w:t>
      </w:r>
      <w:r>
        <w:rPr>
          <w:rtl w:val="true"/>
        </w:rPr>
        <w:t xml:space="preserve">. </w:t>
      </w:r>
      <w:r>
        <w:rPr>
          <w:rtl w:val="true"/>
        </w:rPr>
        <w:t>במעשים אלה פגע המערער בערכים המוגנים הקשורים בשלום הציבור</w:t>
      </w:r>
      <w:r>
        <w:rPr>
          <w:rtl w:val="true"/>
        </w:rPr>
        <w:t xml:space="preserve">, </w:t>
      </w:r>
      <w:r>
        <w:rPr>
          <w:rtl w:val="true"/>
        </w:rPr>
        <w:t>בביטחונו ובזכותו לשלמות הגוף ולבריאות הפיזית והנפשית</w:t>
      </w:r>
      <w:r>
        <w:rPr>
          <w:rtl w:val="true"/>
        </w:rPr>
        <w:t xml:space="preserve">. </w:t>
      </w:r>
      <w:r>
        <w:rPr>
          <w:rtl w:val="true"/>
        </w:rPr>
        <w:t>בית משפט זה עמד לא אחת על החשיבות הרבה במיגור נגע הסחר בסמים</w:t>
      </w:r>
      <w:r>
        <w:rPr>
          <w:rtl w:val="true"/>
        </w:rPr>
        <w:t xml:space="preserve">, </w:t>
      </w:r>
      <w:r>
        <w:rPr>
          <w:rtl w:val="true"/>
        </w:rPr>
        <w:t>בין היתר על ידי ענישה מרתיעה ומעבירת מסר</w:t>
      </w:r>
      <w:r>
        <w:rPr>
          <w:rtl w:val="true"/>
        </w:rPr>
        <w:t xml:space="preserve">, </w:t>
      </w:r>
      <w:r>
        <w:rPr>
          <w:rtl w:val="true"/>
        </w:rPr>
        <w:t xml:space="preserve">אשר הולמת את הנזק החברתי הנגרם בעקבות פעילות זו </w:t>
      </w:r>
      <w:r>
        <w:rPr>
          <w:rtl w:val="true"/>
        </w:rPr>
        <w:t>(</w:t>
      </w:r>
      <w:r>
        <w:rPr>
          <w:rtl w:val="true"/>
        </w:rPr>
        <w:t>ראו למשל</w:t>
      </w:r>
      <w:r>
        <w:rPr>
          <w:rtl w:val="true"/>
        </w:rPr>
        <w:t xml:space="preserve">: </w:t>
      </w:r>
      <w:hyperlink r:id="rId6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170/07</w:t>
        </w:r>
      </w:hyperlink>
      <w:r>
        <w:rPr>
          <w:rtl w:val="true"/>
        </w:rPr>
        <w:t xml:space="preserve"> </w:t>
      </w:r>
      <w:r>
        <w:rPr>
          <w:rFonts w:ascii="Century" w:hAnsi="Century" w:cs="Miriam"/>
          <w:b/>
          <w:b/>
          <w:spacing w:val="0"/>
          <w:szCs w:val="24"/>
          <w:rtl w:val="true"/>
        </w:rPr>
        <w:t>מטיס</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Century"/>
          <w:rtl w:val="true"/>
        </w:rPr>
        <w:t xml:space="preserve">פסקה </w:t>
      </w:r>
      <w:r>
        <w:rPr>
          <w:rFonts w:cs="Century" w:ascii="Century" w:hAnsi="Century"/>
        </w:rPr>
        <w:t>7</w:t>
      </w:r>
      <w:r>
        <w:rPr>
          <w:rFonts w:cs="Century" w:ascii="Century" w:hAnsi="Century"/>
          <w:rtl w:val="true"/>
        </w:rPr>
        <w:t xml:space="preserve"> (</w:t>
      </w:r>
      <w:r>
        <w:rPr>
          <w:rFonts w:cs="Century" w:ascii="Century" w:hAnsi="Century"/>
        </w:rPr>
        <w:t>19.11.2007</w:t>
      </w:r>
      <w:r>
        <w:rPr>
          <w:rFonts w:cs="Century" w:ascii="Century" w:hAnsi="Century"/>
          <w:rtl w:val="true"/>
        </w:rPr>
        <w:t>)</w:t>
      </w:r>
      <w:r>
        <w:rPr>
          <w:rtl w:val="true"/>
        </w:rPr>
        <w:t>).</w:t>
      </w:r>
    </w:p>
    <w:p>
      <w:pPr>
        <w:pStyle w:val="Ruller42"/>
        <w:ind w:end="0"/>
        <w:jc w:val="both"/>
        <w:rPr/>
      </w:pPr>
      <w:r>
        <w:rPr>
          <w:rtl w:val="true"/>
        </w:rPr>
      </w:r>
    </w:p>
    <w:p>
      <w:pPr>
        <w:pStyle w:val="Ruller43"/>
        <w:numPr>
          <w:ilvl w:val="0"/>
          <w:numId w:val="1"/>
        </w:numPr>
        <w:ind w:end="0"/>
        <w:jc w:val="both"/>
        <w:rPr/>
      </w:pPr>
      <w:r>
        <w:rPr>
          <w:rtl w:val="true"/>
        </w:rPr>
        <w:t>מהתנהלותו של המערער באירועים דנן</w:t>
      </w:r>
      <w:r>
        <w:rPr>
          <w:rtl w:val="true"/>
        </w:rPr>
        <w:t xml:space="preserve">, </w:t>
      </w:r>
      <w:r>
        <w:rPr>
          <w:rtl w:val="true"/>
        </w:rPr>
        <w:t>כמו גם מעיון בתסקירי שירות המבחן שהוגשו על אודותיו</w:t>
      </w:r>
      <w:r>
        <w:rPr>
          <w:rtl w:val="true"/>
        </w:rPr>
        <w:t xml:space="preserve">, </w:t>
      </w:r>
      <w:r>
        <w:rPr>
          <w:rtl w:val="true"/>
        </w:rPr>
        <w:t>ניכר שאין המדובר במעידה חד</w:t>
      </w:r>
      <w:r>
        <w:rPr>
          <w:rtl w:val="true"/>
        </w:rPr>
        <w:t>-</w:t>
      </w:r>
      <w:r>
        <w:rPr>
          <w:rtl w:val="true"/>
        </w:rPr>
        <w:t>פעמית</w:t>
      </w:r>
      <w:r>
        <w:rPr>
          <w:rtl w:val="true"/>
        </w:rPr>
        <w:t xml:space="preserve">. </w:t>
      </w:r>
      <w:r>
        <w:rPr>
          <w:rtl w:val="true"/>
        </w:rPr>
        <w:t>כך גם</w:t>
      </w:r>
      <w:r>
        <w:rPr>
          <w:rtl w:val="true"/>
        </w:rPr>
        <w:t xml:space="preserve">, </w:t>
      </w:r>
      <w:r>
        <w:rPr>
          <w:rtl w:val="true"/>
        </w:rPr>
        <w:t>הן מהתסקיר שהוגש לבית המשפט המחוזי והן מהתסקיר המשלים</w:t>
      </w:r>
      <w:r>
        <w:rPr>
          <w:rtl w:val="true"/>
        </w:rPr>
        <w:t xml:space="preserve">, </w:t>
      </w:r>
      <w:r>
        <w:rPr>
          <w:rtl w:val="true"/>
        </w:rPr>
        <w:t>עולה כי המערער עודנו עסוק במחירים שהוא ומשפחתו משלמים</w:t>
      </w:r>
      <w:r>
        <w:rPr>
          <w:rtl w:val="true"/>
        </w:rPr>
        <w:t xml:space="preserve">, </w:t>
      </w:r>
      <w:r>
        <w:rPr>
          <w:rtl w:val="true"/>
        </w:rPr>
        <w:t>נוטה להפחית מחומרת מעשיו ומחזיק בעמדות בעייתיות בכל הנוגע לסחר בכלי נשק ובסמים מסוכנים</w:t>
      </w:r>
      <w:r>
        <w:rPr>
          <w:rtl w:val="true"/>
        </w:rPr>
        <w:t xml:space="preserve">. </w:t>
      </w:r>
      <w:r>
        <w:rPr>
          <w:rtl w:val="true"/>
        </w:rPr>
        <w:t>לאחר בחינת מכלול הנסיבות ובשים לב לריבוי העבירות</w:t>
      </w:r>
      <w:r>
        <w:rPr>
          <w:rtl w:val="true"/>
        </w:rPr>
        <w:t xml:space="preserve">, </w:t>
      </w:r>
      <w:r>
        <w:rPr>
          <w:rtl w:val="true"/>
        </w:rPr>
        <w:t>מידת מעורבותו הגבוהה בעולם הפלילי בתחום הנשק והסמים</w:t>
      </w:r>
      <w:r>
        <w:rPr>
          <w:rtl w:val="true"/>
        </w:rPr>
        <w:t xml:space="preserve">, </w:t>
      </w:r>
      <w:r>
        <w:rPr>
          <w:rtl w:val="true"/>
        </w:rPr>
        <w:t>בהמלצות שירות המבחן</w:t>
      </w:r>
      <w:r>
        <w:rPr>
          <w:rtl w:val="true"/>
        </w:rPr>
        <w:t xml:space="preserve">, </w:t>
      </w:r>
      <w:r>
        <w:rPr>
          <w:rtl w:val="true"/>
        </w:rPr>
        <w:t xml:space="preserve">בהרשעה הנוספת בגין החזקת סכין ולנוכח הבכורה שיש ליתן לאינטרס הציבורי בעבירות כגון אלו </w:t>
      </w:r>
      <w:r>
        <w:rPr>
          <w:rtl w:val="true"/>
        </w:rPr>
        <w:t>–</w:t>
      </w:r>
      <w:r>
        <w:rPr>
          <w:rtl w:val="true"/>
        </w:rPr>
        <w:t xml:space="preserve"> לא נמצא כי העונש שנגזר עליו סוטה מרמת הענישה הנוהגת בנסיבות דומות</w:t>
      </w:r>
      <w:r>
        <w:rPr>
          <w:rtl w:val="true"/>
        </w:rPr>
        <w:t xml:space="preserve">, </w:t>
      </w:r>
      <w:r>
        <w:rPr>
          <w:rtl w:val="true"/>
        </w:rPr>
        <w:t>לא כל שכן רמת הענישה הראויה</w:t>
      </w:r>
      <w:r>
        <w:rPr>
          <w:rtl w:val="true"/>
        </w:rPr>
        <w:t xml:space="preserve">. </w:t>
      </w:r>
      <w:r>
        <w:rPr>
          <w:rtl w:val="true"/>
        </w:rPr>
        <w:t>על כן אם תשמע דעתי</w:t>
      </w:r>
      <w:r>
        <w:rPr>
          <w:rtl w:val="true"/>
        </w:rPr>
        <w:t xml:space="preserve">, </w:t>
      </w:r>
      <w:r>
        <w:rPr>
          <w:rtl w:val="true"/>
        </w:rPr>
        <w:t>דין הערעור להידחות</w:t>
      </w:r>
      <w:r>
        <w:rPr>
          <w:rtl w:val="true"/>
        </w:rPr>
        <w:t>.</w:t>
      </w:r>
    </w:p>
    <w:p>
      <w:pPr>
        <w:pStyle w:val="Ruller43"/>
        <w:numPr>
          <w:ilvl w:val="0"/>
          <w:numId w:val="0"/>
        </w:numPr>
        <w:ind w:hanging="0" w:start="0" w:end="0"/>
        <w:jc w:val="both"/>
        <w:rPr/>
      </w:pPr>
      <w:r>
        <w:rPr>
          <w:rtl w:val="true"/>
        </w:rPr>
      </w:r>
    </w:p>
    <w:p>
      <w:pPr>
        <w:pStyle w:val="Ruller42"/>
        <w:ind w:end="0"/>
        <w:jc w:val="both"/>
        <w:rPr>
          <w:rFonts w:ascii="Century" w:hAnsi="Century" w:cs="Miriam"/>
          <w:b/>
          <w:spacing w:val="0"/>
          <w:szCs w:val="24"/>
          <w:u w:val="single"/>
        </w:rPr>
      </w:pPr>
      <w:r>
        <w:rPr>
          <w:rFonts w:ascii="Century" w:hAnsi="Century" w:cs="Miriam"/>
          <w:b/>
          <w:b/>
          <w:spacing w:val="0"/>
          <w:szCs w:val="24"/>
          <w:u w:val="single"/>
          <w:rtl w:val="true"/>
        </w:rPr>
        <w:t>הערעורים</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על</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קולת</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העונש</w:t>
      </w:r>
    </w:p>
    <w:p>
      <w:pPr>
        <w:pStyle w:val="Ruller42"/>
        <w:ind w:end="0"/>
        <w:jc w:val="both"/>
        <w:rPr>
          <w:rFonts w:ascii="Century" w:hAnsi="Century" w:cs="Miriam"/>
          <w:b/>
          <w:spacing w:val="0"/>
          <w:szCs w:val="24"/>
        </w:rPr>
      </w:pPr>
      <w:r>
        <w:rPr>
          <w:rFonts w:ascii="Century" w:hAnsi="Century" w:cs="Miriam"/>
          <w:b/>
          <w:b/>
          <w:spacing w:val="0"/>
          <w:szCs w:val="24"/>
          <w:rtl w:val="true"/>
        </w:rPr>
        <w:t>נאשם</w:t>
      </w:r>
      <w:r>
        <w:rPr>
          <w:rFonts w:ascii="Century" w:hAnsi="Century" w:eastAsia="Century" w:cs="Century"/>
          <w:b/>
          <w:b/>
          <w:spacing w:val="0"/>
          <w:szCs w:val="24"/>
          <w:rtl w:val="true"/>
        </w:rPr>
        <w:t xml:space="preserve"> </w:t>
      </w:r>
      <w:r>
        <w:rPr>
          <w:rFonts w:cs="Miriam" w:ascii="Century" w:hAnsi="Century"/>
          <w:b/>
          <w:spacing w:val="0"/>
          <w:szCs w:val="24"/>
        </w:rPr>
        <w:t>6</w:t>
      </w:r>
      <w:r>
        <w:rPr>
          <w:rFonts w:cs="Miriam" w:ascii="Century" w:hAnsi="Century"/>
          <w:b/>
          <w:spacing w:val="0"/>
          <w:szCs w:val="24"/>
          <w:rtl w:val="true"/>
        </w:rPr>
        <w:t xml:space="preserve"> (</w:t>
      </w:r>
      <w:r>
        <w:rPr>
          <w:rFonts w:ascii="Century" w:hAnsi="Century" w:cs="Miriam"/>
          <w:b/>
          <w:b/>
          <w:spacing w:val="0"/>
          <w:szCs w:val="24"/>
          <w:rtl w:val="true"/>
        </w:rPr>
        <w:t>משיב</w:t>
      </w:r>
      <w:r>
        <w:rPr>
          <w:rFonts w:ascii="Century" w:hAnsi="Century" w:eastAsia="Century" w:cs="Century"/>
          <w:b/>
          <w:b/>
          <w:spacing w:val="0"/>
          <w:szCs w:val="24"/>
          <w:rtl w:val="true"/>
        </w:rPr>
        <w:t xml:space="preserve"> </w:t>
      </w:r>
      <w:r>
        <w:rPr>
          <w:rFonts w:cs="Miriam" w:ascii="Century" w:hAnsi="Century"/>
          <w:b/>
          <w:spacing w:val="0"/>
          <w:szCs w:val="24"/>
        </w:rPr>
        <w:t>1</w:t>
      </w:r>
      <w:r>
        <w:rPr>
          <w:rFonts w:cs="Miriam" w:ascii="Century" w:hAnsi="Century"/>
          <w:b/>
          <w:spacing w:val="0"/>
          <w:szCs w:val="24"/>
          <w:rtl w:val="true"/>
        </w:rPr>
        <w:t xml:space="preserve"> </w:t>
      </w:r>
      <w:r>
        <w:rPr>
          <w:rFonts w:ascii="Century" w:hAnsi="Century" w:cs="Miriam"/>
          <w:b/>
          <w:b/>
          <w:spacing w:val="0"/>
          <w:szCs w:val="24"/>
          <w:rtl w:val="true"/>
        </w:rPr>
        <w:t>ב</w:t>
      </w:r>
      <w:r>
        <w:rPr>
          <w:rFonts w:ascii="Century" w:hAnsi="Century" w:cs="Miriam"/>
          <w:b/>
          <w:b/>
          <w:spacing w:val="0"/>
          <w:szCs w:val="24"/>
          <w:rtl w:val="true"/>
        </w:rPr>
        <w:t>ע</w:t>
      </w:r>
      <w:r>
        <w:rPr>
          <w:rFonts w:cs="Miriam" w:ascii="Century" w:hAnsi="Century"/>
          <w:b/>
          <w:spacing w:val="0"/>
          <w:szCs w:val="24"/>
          <w:rtl w:val="true"/>
        </w:rPr>
        <w:t>"</w:t>
      </w:r>
      <w:r>
        <w:rPr>
          <w:rFonts w:ascii="Century" w:hAnsi="Century" w:cs="Miriam"/>
          <w:b/>
          <w:b/>
          <w:spacing w:val="0"/>
          <w:szCs w:val="24"/>
          <w:rtl w:val="true"/>
        </w:rPr>
        <w:t>פ</w:t>
      </w:r>
      <w:r>
        <w:rPr>
          <w:rFonts w:ascii="Century" w:hAnsi="Century" w:eastAsia="Century" w:cs="Century"/>
          <w:b/>
          <w:b/>
          <w:spacing w:val="0"/>
          <w:szCs w:val="24"/>
          <w:rtl w:val="true"/>
        </w:rPr>
        <w:t xml:space="preserve"> </w:t>
      </w:r>
      <w:r>
        <w:rPr>
          <w:rFonts w:cs="Miriam" w:ascii="Century" w:hAnsi="Century"/>
          <w:b/>
          <w:spacing w:val="0"/>
          <w:szCs w:val="24"/>
        </w:rPr>
        <w:t>8347/17</w:t>
      </w:r>
      <w:r>
        <w:rPr>
          <w:rFonts w:cs="Miriam" w:ascii="Century" w:hAnsi="Century"/>
          <w:b/>
          <w:spacing w:val="0"/>
          <w:szCs w:val="24"/>
          <w:rtl w:val="true"/>
        </w:rPr>
        <w:t>)</w:t>
      </w:r>
    </w:p>
    <w:p>
      <w:pPr>
        <w:pStyle w:val="Ruller42"/>
        <w:ind w:end="0"/>
        <w:jc w:val="both"/>
        <w:rPr>
          <w:rFonts w:ascii="Century" w:hAnsi="Century" w:cs="Miriam"/>
          <w:b/>
          <w:spacing w:val="0"/>
          <w:szCs w:val="24"/>
        </w:rPr>
      </w:pP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הרקע</w:t>
      </w:r>
      <w:r>
        <w:rPr>
          <w:rFonts w:ascii="Century" w:hAnsi="Century" w:eastAsia="Century" w:cs="Century"/>
          <w:b/>
          <w:b/>
          <w:spacing w:val="0"/>
          <w:szCs w:val="24"/>
          <w:rtl w:val="true"/>
        </w:rPr>
        <w:t xml:space="preserve"> </w:t>
      </w:r>
      <w:r>
        <w:rPr>
          <w:rFonts w:ascii="Century" w:hAnsi="Century" w:cs="Miriam"/>
          <w:b/>
          <w:b/>
          <w:spacing w:val="0"/>
          <w:szCs w:val="24"/>
          <w:rtl w:val="true"/>
        </w:rPr>
        <w:t>לערעור</w:t>
      </w:r>
      <w:r>
        <w:rPr>
          <w:rFonts w:ascii="Century" w:hAnsi="Century" w:eastAsia="Century" w:cs="Century"/>
          <w:b/>
          <w:b/>
          <w:spacing w:val="0"/>
          <w:szCs w:val="24"/>
          <w:rtl w:val="true"/>
        </w:rPr>
        <w:t xml:space="preserve"> </w:t>
      </w:r>
      <w:r>
        <w:rPr>
          <w:rFonts w:ascii="Century" w:hAnsi="Century" w:cs="Miriam"/>
          <w:b/>
          <w:b/>
          <w:spacing w:val="0"/>
          <w:szCs w:val="24"/>
          <w:rtl w:val="true"/>
        </w:rPr>
        <w:t>וטענות</w:t>
      </w:r>
      <w:r>
        <w:rPr>
          <w:rFonts w:ascii="Century" w:hAnsi="Century" w:eastAsia="Century" w:cs="Century"/>
          <w:b/>
          <w:b/>
          <w:spacing w:val="0"/>
          <w:szCs w:val="24"/>
          <w:rtl w:val="true"/>
        </w:rPr>
        <w:t xml:space="preserve"> </w:t>
      </w:r>
      <w:r>
        <w:rPr>
          <w:rFonts w:ascii="Century" w:hAnsi="Century" w:cs="Miriam"/>
          <w:b/>
          <w:b/>
          <w:spacing w:val="0"/>
          <w:szCs w:val="24"/>
          <w:rtl w:val="true"/>
        </w:rPr>
        <w:t>הצדדים</w:t>
      </w:r>
    </w:p>
    <w:p>
      <w:pPr>
        <w:pStyle w:val="Ruller43"/>
        <w:numPr>
          <w:ilvl w:val="0"/>
          <w:numId w:val="1"/>
        </w:numPr>
        <w:ind w:end="0"/>
        <w:jc w:val="both"/>
        <w:rPr>
          <w:rFonts w:ascii="Century" w:hAnsi="Century" w:cs="Century"/>
          <w:sz w:val="22"/>
        </w:rPr>
      </w:pPr>
      <w:r>
        <w:rPr>
          <w:rFonts w:ascii="Century" w:hAnsi="Century" w:cs="Century"/>
          <w:sz w:val="22"/>
          <w:sz w:val="22"/>
          <w:rtl w:val="true"/>
        </w:rPr>
        <w:t>המשיב הורשע בעבירות של סחר בנשק וקשירת קשר לסחר בנשק</w:t>
      </w:r>
      <w:r>
        <w:rPr>
          <w:rFonts w:cs="Century" w:ascii="Century" w:hAnsi="Century"/>
          <w:sz w:val="22"/>
          <w:rtl w:val="true"/>
        </w:rPr>
        <w:t xml:space="preserve">, </w:t>
      </w:r>
      <w:r>
        <w:rPr>
          <w:rFonts w:ascii="Century" w:hAnsi="Century" w:cs="Century"/>
          <w:sz w:val="22"/>
          <w:sz w:val="22"/>
          <w:rtl w:val="true"/>
        </w:rPr>
        <w:t>בגין מעורבותו בשתי עסקאות במסגרתן נמכר לסוכן אקדח מסוג זיג זאואר ואקדח מסוג גלוק</w:t>
      </w:r>
      <w:r>
        <w:rPr>
          <w:rFonts w:cs="Century" w:ascii="Century" w:hAnsi="Century"/>
          <w:sz w:val="22"/>
          <w:rtl w:val="true"/>
        </w:rPr>
        <w:t xml:space="preserve">, </w:t>
      </w:r>
      <w:r>
        <w:rPr>
          <w:rFonts w:ascii="Century" w:hAnsi="Century" w:cs="Century"/>
          <w:sz w:val="22"/>
          <w:sz w:val="22"/>
          <w:rtl w:val="true"/>
        </w:rPr>
        <w:t xml:space="preserve">בתמורה כוללת של </w:t>
      </w:r>
      <w:r>
        <w:rPr>
          <w:rFonts w:cs="Century" w:ascii="Century" w:hAnsi="Century"/>
          <w:sz w:val="22"/>
        </w:rPr>
        <w:t>72,000</w:t>
      </w:r>
      <w:r>
        <w:rPr>
          <w:rFonts w:cs="Century" w:ascii="Century" w:hAnsi="Century"/>
          <w:sz w:val="22"/>
          <w:rtl w:val="true"/>
        </w:rPr>
        <w:t xml:space="preserve"> </w:t>
      </w:r>
      <w:r>
        <w:rPr>
          <w:rFonts w:ascii="Century" w:hAnsi="Century" w:cs="Century"/>
          <w:sz w:val="22"/>
          <w:sz w:val="22"/>
          <w:rtl w:val="true"/>
        </w:rPr>
        <w:t>ש</w:t>
      </w:r>
      <w:r>
        <w:rPr>
          <w:rFonts w:cs="Century" w:ascii="Century" w:hAnsi="Century"/>
          <w:sz w:val="22"/>
          <w:rtl w:val="true"/>
        </w:rPr>
        <w:t>"</w:t>
      </w:r>
      <w:r>
        <w:rPr>
          <w:rFonts w:ascii="Century" w:hAnsi="Century" w:cs="Century"/>
          <w:sz w:val="22"/>
          <w:sz w:val="22"/>
          <w:rtl w:val="true"/>
        </w:rPr>
        <w:t>ח</w:t>
      </w:r>
      <w:r>
        <w:rPr>
          <w:rFonts w:cs="Century" w:ascii="Century" w:hAnsi="Century"/>
          <w:sz w:val="22"/>
          <w:rtl w:val="true"/>
        </w:rPr>
        <w:t xml:space="preserve">, </w:t>
      </w:r>
      <w:r>
        <w:rPr>
          <w:rFonts w:ascii="Century" w:hAnsi="Century" w:cs="Century"/>
          <w:sz w:val="22"/>
          <w:sz w:val="22"/>
          <w:rtl w:val="true"/>
        </w:rPr>
        <w:t xml:space="preserve">כאשר עבור חלקו של המשיב הועבר לידיו סך כולל של </w:t>
      </w:r>
      <w:r>
        <w:rPr>
          <w:rFonts w:cs="Century" w:ascii="Century" w:hAnsi="Century"/>
          <w:sz w:val="22"/>
        </w:rPr>
        <w:t>2,000</w:t>
      </w:r>
      <w:r>
        <w:rPr>
          <w:rFonts w:cs="Century" w:ascii="Century" w:hAnsi="Century"/>
          <w:sz w:val="22"/>
          <w:rtl w:val="true"/>
        </w:rPr>
        <w:t xml:space="preserve"> </w:t>
      </w:r>
      <w:r>
        <w:rPr>
          <w:rFonts w:ascii="Century" w:hAnsi="Century" w:cs="Century"/>
          <w:sz w:val="22"/>
          <w:sz w:val="22"/>
          <w:rtl w:val="true"/>
        </w:rPr>
        <w:t>ש</w:t>
      </w:r>
      <w:r>
        <w:rPr>
          <w:rFonts w:cs="Century" w:ascii="Century" w:hAnsi="Century"/>
          <w:sz w:val="22"/>
          <w:rtl w:val="true"/>
        </w:rPr>
        <w:t>"</w:t>
      </w:r>
      <w:r>
        <w:rPr>
          <w:rFonts w:ascii="Century" w:hAnsi="Century" w:cs="Century"/>
          <w:sz w:val="22"/>
          <w:sz w:val="22"/>
          <w:rtl w:val="true"/>
        </w:rPr>
        <w:t>ח</w:t>
      </w:r>
      <w:r>
        <w:rPr>
          <w:rFonts w:cs="Century" w:ascii="Century" w:hAnsi="Century"/>
          <w:sz w:val="22"/>
          <w:rtl w:val="true"/>
        </w:rPr>
        <w:t xml:space="preserve">. </w:t>
      </w:r>
      <w:r>
        <w:rPr>
          <w:rtl w:val="true"/>
        </w:rPr>
        <w:t>במסגרת העסקה הראשונה</w:t>
      </w:r>
      <w:r>
        <w:rPr>
          <w:rtl w:val="true"/>
        </w:rPr>
        <w:t xml:space="preserve">, </w:t>
      </w:r>
      <w:r>
        <w:rPr>
          <w:rtl w:val="true"/>
        </w:rPr>
        <w:t xml:space="preserve">שבוצעה במאי </w:t>
      </w:r>
      <w:r>
        <w:rPr/>
        <w:t>2016</w:t>
      </w:r>
      <w:r>
        <w:rPr>
          <w:rtl w:val="true"/>
        </w:rPr>
        <w:t xml:space="preserve">, </w:t>
      </w:r>
      <w:r>
        <w:rPr>
          <w:rtl w:val="true"/>
        </w:rPr>
        <w:t>המשיב נכנס בנעלי נאשם אחר אשר התקשה להגיע למקום המתוכנן לביצוע העסקה עם הסוכן</w:t>
      </w:r>
      <w:r>
        <w:rPr>
          <w:rtl w:val="true"/>
        </w:rPr>
        <w:t xml:space="preserve">. </w:t>
      </w:r>
      <w:r>
        <w:rPr>
          <w:rtl w:val="true"/>
        </w:rPr>
        <w:t>המשיב גם הציע לסוכן מספר סוגים של אקדחים ועשה מאמצים חוזרים ונשנים על מנת להשיג לו את מבוקשו</w:t>
      </w:r>
      <w:r>
        <w:rPr>
          <w:rtl w:val="true"/>
        </w:rPr>
        <w:t xml:space="preserve">, </w:t>
      </w:r>
      <w:r>
        <w:rPr>
          <w:rtl w:val="true"/>
        </w:rPr>
        <w:t>עד שהושלמה העסקה</w:t>
      </w:r>
      <w:r>
        <w:rPr>
          <w:rtl w:val="true"/>
        </w:rPr>
        <w:t xml:space="preserve">. </w:t>
      </w:r>
      <w:r>
        <w:rPr>
          <w:rtl w:val="true"/>
        </w:rPr>
        <w:t>בעסקה השנייה</w:t>
      </w:r>
      <w:r>
        <w:rPr>
          <w:rtl w:val="true"/>
        </w:rPr>
        <w:t xml:space="preserve">, </w:t>
      </w:r>
      <w:r>
        <w:rPr>
          <w:rtl w:val="true"/>
        </w:rPr>
        <w:t xml:space="preserve">שבוצעה ביוני </w:t>
      </w:r>
      <w:r>
        <w:rPr/>
        <w:t>2016</w:t>
      </w:r>
      <w:r>
        <w:rPr>
          <w:rtl w:val="true"/>
        </w:rPr>
        <w:t xml:space="preserve">, </w:t>
      </w:r>
      <w:r>
        <w:rPr>
          <w:rtl w:val="true"/>
        </w:rPr>
        <w:t>המשיב ציין לפני הסוכן כי יש ברשותו מגוון של אקדחים זמינים למכירה</w:t>
      </w:r>
      <w:r>
        <w:rPr>
          <w:rtl w:val="true"/>
        </w:rPr>
        <w:t xml:space="preserve">, </w:t>
      </w:r>
      <w:r>
        <w:rPr>
          <w:rtl w:val="true"/>
        </w:rPr>
        <w:t xml:space="preserve">והגיע למקום ביצוע העסקה מלווה באחיו הקטין </w:t>
      </w:r>
      <w:r>
        <w:rPr>
          <w:rtl w:val="true"/>
        </w:rPr>
        <w:t>(</w:t>
      </w:r>
      <w:r>
        <w:rPr>
          <w:rtl w:val="true"/>
        </w:rPr>
        <w:t xml:space="preserve">נאשם </w:t>
      </w:r>
      <w:r>
        <w:rPr/>
        <w:t>18</w:t>
      </w:r>
      <w:r>
        <w:rPr>
          <w:rtl w:val="true"/>
        </w:rPr>
        <w:t xml:space="preserve"> </w:t>
      </w:r>
      <w:r>
        <w:rPr>
          <w:rtl w:val="true"/>
        </w:rPr>
        <w:t>בכתב האישום</w:t>
      </w:r>
      <w:r>
        <w:rPr>
          <w:rtl w:val="true"/>
        </w:rPr>
        <w:t xml:space="preserve">), </w:t>
      </w:r>
      <w:r>
        <w:rPr>
          <w:rtl w:val="true"/>
        </w:rPr>
        <w:t>אשר קיבל את הכסף מידי הסוכן והעבירו לידי המשיב</w:t>
      </w:r>
      <w:r>
        <w:rPr>
          <w:rtl w:val="true"/>
        </w:rPr>
        <w:t xml:space="preserve">. </w:t>
      </w:r>
    </w:p>
    <w:p>
      <w:pPr>
        <w:pStyle w:val="Ruller43"/>
        <w:numPr>
          <w:ilvl w:val="0"/>
          <w:numId w:val="0"/>
        </w:numPr>
        <w:ind w:hanging="0" w:start="0" w:end="0"/>
        <w:jc w:val="both"/>
        <w:rPr>
          <w:rFonts w:ascii="Century" w:hAnsi="Century" w:cs="Century"/>
          <w:sz w:val="22"/>
        </w:rPr>
      </w:pPr>
      <w:r>
        <w:rPr>
          <w:rFonts w:cs="Century" w:ascii="Century" w:hAnsi="Century"/>
          <w:sz w:val="22"/>
          <w:rtl w:val="true"/>
        </w:rPr>
      </w:r>
    </w:p>
    <w:p>
      <w:pPr>
        <w:pStyle w:val="Ruller43"/>
        <w:numPr>
          <w:ilvl w:val="0"/>
          <w:numId w:val="1"/>
        </w:numPr>
        <w:ind w:end="0"/>
        <w:jc w:val="both"/>
        <w:rPr/>
      </w:pPr>
      <w:r>
        <w:rPr>
          <w:rtl w:val="true"/>
        </w:rPr>
        <w:t>מתסקיר שירות המבחן בעניינו שהוגש לפני בית המשפט המחוזי עלה כי המשיב נעדר הרשעות קודמות</w:t>
      </w:r>
      <w:r>
        <w:rPr>
          <w:rtl w:val="true"/>
        </w:rPr>
        <w:t xml:space="preserve">, </w:t>
      </w:r>
      <w:r>
        <w:rPr>
          <w:rtl w:val="true"/>
        </w:rPr>
        <w:t>בן למשפחה נורמטיבית והוא מגלה מודעות לפסול שבמעשיו</w:t>
      </w:r>
      <w:r>
        <w:rPr>
          <w:rtl w:val="true"/>
        </w:rPr>
        <w:t xml:space="preserve">, </w:t>
      </w:r>
      <w:r>
        <w:rPr>
          <w:rtl w:val="true"/>
        </w:rPr>
        <w:t>אך מנגד הוא מתקשה בבחינה ביקורתית של התנהלותו</w:t>
      </w:r>
      <w:r>
        <w:rPr>
          <w:rtl w:val="true"/>
        </w:rPr>
        <w:t xml:space="preserve">. </w:t>
      </w:r>
      <w:r>
        <w:rPr>
          <w:rtl w:val="true"/>
        </w:rPr>
        <w:t>נקבע כי לא ניתן לשלול סיכון להישנות העבירות</w:t>
      </w:r>
      <w:r>
        <w:rPr>
          <w:rtl w:val="true"/>
        </w:rPr>
        <w:t xml:space="preserve">, </w:t>
      </w:r>
      <w:r>
        <w:rPr>
          <w:rtl w:val="true"/>
        </w:rPr>
        <w:t>והוצע להעמיד את המשיב במבחן למשך שני וחצי</w:t>
      </w:r>
      <w:r>
        <w:rPr>
          <w:rtl w:val="true"/>
        </w:rPr>
        <w:t xml:space="preserve">, </w:t>
      </w:r>
      <w:r>
        <w:rPr>
          <w:rtl w:val="true"/>
        </w:rPr>
        <w:t>לצד גזירת עונש מאסר לריצוי בדרך של עבודות שירות וכן מאסר על תנאי</w:t>
      </w:r>
      <w:r>
        <w:rPr>
          <w:rtl w:val="true"/>
        </w:rPr>
        <w:t>.</w:t>
      </w:r>
    </w:p>
    <w:p>
      <w:pPr>
        <w:pStyle w:val="Ruller42"/>
        <w:ind w:end="0"/>
        <w:jc w:val="both"/>
        <w:rPr/>
      </w:pPr>
      <w:r>
        <w:rPr>
          <w:rtl w:val="true"/>
        </w:rPr>
      </w:r>
    </w:p>
    <w:p>
      <w:pPr>
        <w:pStyle w:val="Ruller43"/>
        <w:numPr>
          <w:ilvl w:val="0"/>
          <w:numId w:val="1"/>
        </w:numPr>
        <w:ind w:end="0"/>
        <w:jc w:val="both"/>
        <w:rPr/>
      </w:pPr>
      <w:r>
        <w:rPr>
          <w:rtl w:val="true"/>
        </w:rPr>
        <w:t>בגזר הדין הבחין בית המשפט בין שתי העסקאות וסיווג אותן כשני אירועים נפרדים</w:t>
      </w:r>
      <w:r>
        <w:rPr>
          <w:rtl w:val="true"/>
        </w:rPr>
        <w:t xml:space="preserve">, </w:t>
      </w:r>
      <w:r>
        <w:rPr>
          <w:rtl w:val="true"/>
        </w:rPr>
        <w:t>בשל פער הזמנים ביניהם וחלקו השונה של המשיב בכל אחת מהן</w:t>
      </w:r>
      <w:r>
        <w:rPr>
          <w:rtl w:val="true"/>
        </w:rPr>
        <w:t xml:space="preserve">. </w:t>
      </w:r>
      <w:r>
        <w:rPr>
          <w:rtl w:val="true"/>
        </w:rPr>
        <w:t>הודגש כי מדובר בסחר באקדחים אשר מסוכנותם פחותה מאשר רובי הסער והתתי</w:t>
      </w:r>
      <w:r>
        <w:rPr>
          <w:rtl w:val="true"/>
        </w:rPr>
        <w:t>-</w:t>
      </w:r>
      <w:r>
        <w:rPr>
          <w:rtl w:val="true"/>
        </w:rPr>
        <w:t>מקלע שנסחרו באישומים אחרים בפרשה</w:t>
      </w:r>
      <w:r>
        <w:rPr>
          <w:rtl w:val="true"/>
        </w:rPr>
        <w:t xml:space="preserve">, </w:t>
      </w:r>
      <w:r>
        <w:rPr>
          <w:rtl w:val="true"/>
        </w:rPr>
        <w:t>אך מנגד</w:t>
      </w:r>
      <w:r>
        <w:rPr>
          <w:rtl w:val="true"/>
        </w:rPr>
        <w:t xml:space="preserve">, </w:t>
      </w:r>
      <w:r>
        <w:rPr>
          <w:rtl w:val="true"/>
        </w:rPr>
        <w:t>המעשים במסגרת העסקה הראשונה מלמדים על נגישותו של המשיב לספקי כלי נשק</w:t>
      </w:r>
      <w:r>
        <w:rPr>
          <w:rtl w:val="true"/>
        </w:rPr>
        <w:t xml:space="preserve">. </w:t>
      </w:r>
      <w:r>
        <w:rPr>
          <w:rtl w:val="true"/>
        </w:rPr>
        <w:t>כמו כן</w:t>
      </w:r>
      <w:r>
        <w:rPr>
          <w:rtl w:val="true"/>
        </w:rPr>
        <w:t xml:space="preserve">, </w:t>
      </w:r>
      <w:r>
        <w:rPr>
          <w:rtl w:val="true"/>
        </w:rPr>
        <w:t>באשר לעסקה השניה</w:t>
      </w:r>
      <w:r>
        <w:rPr>
          <w:rtl w:val="true"/>
        </w:rPr>
        <w:t xml:space="preserve">, </w:t>
      </w:r>
      <w:r>
        <w:rPr>
          <w:rtl w:val="true"/>
        </w:rPr>
        <w:t>יש לזקוף לחובתו את העובדה כי עירב את אחיו הקטין</w:t>
      </w:r>
      <w:r>
        <w:rPr>
          <w:rtl w:val="true"/>
        </w:rPr>
        <w:t xml:space="preserve">. </w:t>
      </w:r>
      <w:r>
        <w:rPr>
          <w:rtl w:val="true"/>
        </w:rPr>
        <w:t>בית המשפט דחה את המלצת שירות המבחן בנימוק כי היא אינה הולמת את חומרת המעשים</w:t>
      </w:r>
      <w:r>
        <w:rPr>
          <w:rtl w:val="true"/>
        </w:rPr>
        <w:t xml:space="preserve">. </w:t>
      </w:r>
      <w:r>
        <w:rPr>
          <w:rtl w:val="true"/>
        </w:rPr>
        <w:t>מתחם</w:t>
      </w:r>
      <w:r>
        <w:rPr>
          <w:rtl w:val="true"/>
        </w:rPr>
        <w:t xml:space="preserve"> </w:t>
      </w:r>
      <w:r>
        <w:rPr>
          <w:rtl w:val="true"/>
        </w:rPr>
        <w:t>העונש</w:t>
      </w:r>
      <w:r>
        <w:rPr>
          <w:rtl w:val="true"/>
        </w:rPr>
        <w:t xml:space="preserve"> </w:t>
      </w:r>
      <w:r>
        <w:rPr>
          <w:rtl w:val="true"/>
        </w:rPr>
        <w:t>ההולם</w:t>
      </w:r>
      <w:r>
        <w:rPr>
          <w:rtl w:val="true"/>
        </w:rPr>
        <w:t xml:space="preserve"> </w:t>
      </w:r>
      <w:r>
        <w:rPr>
          <w:rtl w:val="true"/>
        </w:rPr>
        <w:t>לכל</w:t>
      </w:r>
      <w:r>
        <w:rPr>
          <w:rtl w:val="true"/>
        </w:rPr>
        <w:t xml:space="preserve"> </w:t>
      </w:r>
      <w:r>
        <w:rPr>
          <w:rtl w:val="true"/>
        </w:rPr>
        <w:t>אחד</w:t>
      </w:r>
      <w:r>
        <w:rPr>
          <w:rtl w:val="true"/>
        </w:rPr>
        <w:t xml:space="preserve"> </w:t>
      </w:r>
      <w:r>
        <w:rPr>
          <w:rtl w:val="true"/>
        </w:rPr>
        <w:t>משני</w:t>
      </w:r>
      <w:r>
        <w:rPr>
          <w:rtl w:val="true"/>
        </w:rPr>
        <w:t xml:space="preserve"> </w:t>
      </w:r>
      <w:r>
        <w:rPr>
          <w:rtl w:val="true"/>
        </w:rPr>
        <w:t>האירועים</w:t>
      </w:r>
      <w:r>
        <w:rPr>
          <w:rtl w:val="true"/>
        </w:rPr>
        <w:t xml:space="preserve"> </w:t>
      </w:r>
      <w:r>
        <w:rPr>
          <w:rtl w:val="true"/>
        </w:rPr>
        <w:t>הועמד</w:t>
      </w:r>
      <w:r>
        <w:rPr>
          <w:rtl w:val="true"/>
        </w:rPr>
        <w:t xml:space="preserve"> </w:t>
      </w:r>
      <w:r>
        <w:rPr>
          <w:rtl w:val="true"/>
        </w:rPr>
        <w:t>על</w:t>
      </w:r>
      <w:r>
        <w:rPr>
          <w:rtl w:val="true"/>
        </w:rPr>
        <w:t xml:space="preserve"> </w:t>
      </w:r>
      <w:r>
        <w:rPr/>
        <w:t>4-2</w:t>
      </w:r>
      <w:r>
        <w:rPr>
          <w:rtl w:val="true"/>
        </w:rPr>
        <w:t xml:space="preserve"> </w:t>
      </w:r>
      <w:r>
        <w:rPr>
          <w:rtl w:val="true"/>
        </w:rPr>
        <w:t>שנות</w:t>
      </w:r>
      <w:r>
        <w:rPr>
          <w:rtl w:val="true"/>
        </w:rPr>
        <w:t xml:space="preserve"> </w:t>
      </w:r>
      <w:r>
        <w:rPr>
          <w:rtl w:val="true"/>
        </w:rPr>
        <w:t>מאסר</w:t>
      </w:r>
      <w:r>
        <w:rPr>
          <w:rtl w:val="true"/>
        </w:rPr>
        <w:t xml:space="preserve"> </w:t>
      </w:r>
      <w:r>
        <w:rPr>
          <w:rtl w:val="true"/>
        </w:rPr>
        <w:t>בפועל</w:t>
      </w:r>
      <w:r>
        <w:rPr>
          <w:rtl w:val="true"/>
        </w:rPr>
        <w:t xml:space="preserve">, </w:t>
      </w:r>
      <w:r>
        <w:rPr>
          <w:rtl w:val="true"/>
        </w:rPr>
        <w:t>ולבסוף</w:t>
      </w:r>
      <w:r>
        <w:rPr>
          <w:rtl w:val="true"/>
        </w:rPr>
        <w:t xml:space="preserve"> </w:t>
      </w:r>
      <w:r>
        <w:rPr>
          <w:rtl w:val="true"/>
        </w:rPr>
        <w:t>הושת</w:t>
      </w:r>
      <w:r>
        <w:rPr>
          <w:rtl w:val="true"/>
        </w:rPr>
        <w:t xml:space="preserve"> </w:t>
      </w:r>
      <w:r>
        <w:rPr>
          <w:rtl w:val="true"/>
        </w:rPr>
        <w:t>על</w:t>
      </w:r>
      <w:r>
        <w:rPr>
          <w:rtl w:val="true"/>
        </w:rPr>
        <w:t xml:space="preserve"> </w:t>
      </w:r>
      <w:r>
        <w:rPr>
          <w:rtl w:val="true"/>
        </w:rPr>
        <w:t>המשיב</w:t>
      </w:r>
      <w:r>
        <w:rPr>
          <w:rtl w:val="true"/>
        </w:rPr>
        <w:t xml:space="preserve"> </w:t>
      </w:r>
      <w:r>
        <w:rPr>
          <w:rtl w:val="true"/>
        </w:rPr>
        <w:t>עונש</w:t>
      </w:r>
      <w:r>
        <w:rPr>
          <w:rtl w:val="true"/>
        </w:rPr>
        <w:t xml:space="preserve"> </w:t>
      </w:r>
      <w:r>
        <w:rPr>
          <w:rtl w:val="true"/>
        </w:rPr>
        <w:t>של</w:t>
      </w:r>
      <w:r>
        <w:rPr>
          <w:rtl w:val="true"/>
        </w:rPr>
        <w:t xml:space="preserve"> </w:t>
      </w:r>
      <w:r>
        <w:rPr/>
        <w:t>3</w:t>
      </w:r>
      <w:r>
        <w:rPr>
          <w:rtl w:val="true"/>
        </w:rPr>
        <w:t xml:space="preserve"> </w:t>
      </w:r>
      <w:r>
        <w:rPr>
          <w:rtl w:val="true"/>
        </w:rPr>
        <w:t>שנות</w:t>
      </w:r>
      <w:r>
        <w:rPr>
          <w:rtl w:val="true"/>
        </w:rPr>
        <w:t xml:space="preserve"> </w:t>
      </w:r>
      <w:r>
        <w:rPr>
          <w:rtl w:val="true"/>
        </w:rPr>
        <w:t>מאסר</w:t>
      </w:r>
      <w:r>
        <w:rPr>
          <w:rtl w:val="true"/>
        </w:rPr>
        <w:t xml:space="preserve"> </w:t>
      </w:r>
      <w:r>
        <w:rPr>
          <w:rtl w:val="true"/>
        </w:rPr>
        <w:t>בפועל</w:t>
      </w:r>
      <w:r>
        <w:rPr>
          <w:rtl w:val="true"/>
        </w:rPr>
        <w:t xml:space="preserve">, </w:t>
      </w:r>
      <w:r>
        <w:rPr>
          <w:rtl w:val="true"/>
        </w:rPr>
        <w:t>מאסר</w:t>
      </w:r>
      <w:r>
        <w:rPr>
          <w:rtl w:val="true"/>
        </w:rPr>
        <w:t xml:space="preserve"> </w:t>
      </w:r>
      <w:r>
        <w:rPr>
          <w:rtl w:val="true"/>
        </w:rPr>
        <w:t>על</w:t>
      </w:r>
      <w:r>
        <w:rPr>
          <w:rtl w:val="true"/>
        </w:rPr>
        <w:t xml:space="preserve"> </w:t>
      </w:r>
      <w:r>
        <w:rPr>
          <w:rtl w:val="true"/>
        </w:rPr>
        <w:t>תנאי</w:t>
      </w:r>
      <w:r>
        <w:rPr>
          <w:rtl w:val="true"/>
        </w:rPr>
        <w:t xml:space="preserve"> </w:t>
      </w:r>
      <w:r>
        <w:rPr>
          <w:rtl w:val="true"/>
        </w:rPr>
        <w:t>וקנס</w:t>
      </w:r>
      <w:r>
        <w:rPr>
          <w:rtl w:val="true"/>
        </w:rPr>
        <w:t xml:space="preserve"> </w:t>
      </w:r>
      <w:r>
        <w:rPr>
          <w:rtl w:val="true"/>
        </w:rPr>
        <w:t>בסך</w:t>
      </w:r>
      <w:r>
        <w:rPr>
          <w:rtl w:val="true"/>
        </w:rPr>
        <w:t xml:space="preserve"> </w:t>
      </w:r>
      <w:r>
        <w:rPr>
          <w:rtl w:val="true"/>
        </w:rPr>
        <w:t>של</w:t>
      </w:r>
      <w:r>
        <w:rPr>
          <w:rtl w:val="true"/>
        </w:rPr>
        <w:t xml:space="preserve"> </w:t>
      </w:r>
      <w:r>
        <w:rPr/>
        <w:t>14,000</w:t>
      </w:r>
      <w:r>
        <w:rPr>
          <w:rtl w:val="true"/>
        </w:rPr>
        <w:t xml:space="preserve"> </w:t>
      </w:r>
      <w:r>
        <w:rPr>
          <w:rtl w:val="true"/>
        </w:rPr>
        <w:t>ש</w:t>
      </w:r>
      <w:r>
        <w:rPr>
          <w:rtl w:val="true"/>
        </w:rPr>
        <w:t>"</w:t>
      </w:r>
      <w:r>
        <w:rPr>
          <w:rtl w:val="true"/>
        </w:rPr>
        <w:t>ח</w:t>
      </w:r>
      <w:r>
        <w:rPr>
          <w:rtl w:val="true"/>
        </w:rPr>
        <w:t>.</w:t>
      </w:r>
    </w:p>
    <w:p>
      <w:pPr>
        <w:pStyle w:val="Ruller43"/>
        <w:numPr>
          <w:ilvl w:val="0"/>
          <w:numId w:val="0"/>
        </w:numPr>
        <w:ind w:hanging="0" w:start="0" w:end="0"/>
        <w:jc w:val="both"/>
        <w:rPr/>
      </w:pPr>
      <w:r>
        <w:rPr>
          <w:rtl w:val="true"/>
        </w:rPr>
      </w:r>
    </w:p>
    <w:p>
      <w:pPr>
        <w:pStyle w:val="Ruller43"/>
        <w:numPr>
          <w:ilvl w:val="0"/>
          <w:numId w:val="1"/>
        </w:numPr>
        <w:ind w:end="0"/>
        <w:jc w:val="both"/>
        <w:rPr/>
      </w:pPr>
      <w:r>
        <w:rPr>
          <w:rtl w:val="true"/>
        </w:rPr>
        <w:t>המדינה טענה כי על אף שעונש המאסר שנגזר על המשיב אינו קל</w:t>
      </w:r>
      <w:r>
        <w:rPr>
          <w:rtl w:val="true"/>
        </w:rPr>
        <w:t xml:space="preserve">, </w:t>
      </w:r>
      <w:r>
        <w:rPr>
          <w:rtl w:val="true"/>
        </w:rPr>
        <w:t>הוא אינו הולם את מלוא חומרת המעשים ואת הסכנה הנשקפת לציבור ממסחר בלתי חוקי בכלי נשק קטלניים</w:t>
      </w:r>
      <w:r>
        <w:rPr>
          <w:rtl w:val="true"/>
        </w:rPr>
        <w:t xml:space="preserve">. </w:t>
      </w:r>
      <w:r>
        <w:rPr>
          <w:rtl w:val="true"/>
        </w:rPr>
        <w:t>המדינה הדגישה כי על אף שבמסגרת העסקאות נסחרו אקדחים ולא תתי</w:t>
      </w:r>
      <w:r>
        <w:rPr>
          <w:rtl w:val="true"/>
        </w:rPr>
        <w:t>-</w:t>
      </w:r>
      <w:r>
        <w:rPr>
          <w:rtl w:val="true"/>
        </w:rPr>
        <w:t>מקלע</w:t>
      </w:r>
      <w:r>
        <w:rPr>
          <w:rtl w:val="true"/>
        </w:rPr>
        <w:t xml:space="preserve">, </w:t>
      </w:r>
      <w:r>
        <w:rPr>
          <w:rtl w:val="true"/>
        </w:rPr>
        <w:t xml:space="preserve">המדובר באקדחים מסוג זיג זאואר וגלוק </w:t>
      </w:r>
      <w:r>
        <w:rPr>
          <w:rtl w:val="true"/>
        </w:rPr>
        <w:t>–</w:t>
      </w:r>
      <w:r>
        <w:rPr>
          <w:rtl w:val="true"/>
        </w:rPr>
        <w:t xml:space="preserve"> הידועים כאיכותיים</w:t>
      </w:r>
      <w:r>
        <w:rPr>
          <w:rtl w:val="true"/>
        </w:rPr>
        <w:t xml:space="preserve">, </w:t>
      </w:r>
      <w:r>
        <w:rPr>
          <w:rtl w:val="true"/>
        </w:rPr>
        <w:t>מדויקים ובעלי יכולות פגיעה משמעותיות</w:t>
      </w:r>
      <w:r>
        <w:rPr>
          <w:rtl w:val="true"/>
        </w:rPr>
        <w:t xml:space="preserve">. </w:t>
      </w:r>
      <w:r>
        <w:rPr>
          <w:rtl w:val="true"/>
        </w:rPr>
        <w:t>עוד נטען כי בקבעו את מתחם העונש ההולם</w:t>
      </w:r>
      <w:r>
        <w:rPr>
          <w:rtl w:val="true"/>
        </w:rPr>
        <w:t xml:space="preserve">, </w:t>
      </w:r>
      <w:r>
        <w:rPr>
          <w:rtl w:val="true"/>
        </w:rPr>
        <w:t>בית המשפט לא נתן משקל מספיק לחומרת נסיבות ביצוע העבירות</w:t>
      </w:r>
      <w:r>
        <w:rPr>
          <w:rtl w:val="true"/>
        </w:rPr>
        <w:t xml:space="preserve">. </w:t>
      </w:r>
      <w:r>
        <w:rPr>
          <w:rtl w:val="true"/>
        </w:rPr>
        <w:t>אומנם בעסקה הראשונה לא המשיב הוא שיצר את הקשר הראשוני עם הסוכן</w:t>
      </w:r>
      <w:r>
        <w:rPr>
          <w:rtl w:val="true"/>
        </w:rPr>
        <w:t xml:space="preserve">, </w:t>
      </w:r>
      <w:r>
        <w:rPr>
          <w:rtl w:val="true"/>
        </w:rPr>
        <w:t>אך הוא כן יזם את העסקה השנייה והוביל את ביצועה</w:t>
      </w:r>
      <w:r>
        <w:rPr>
          <w:rtl w:val="true"/>
        </w:rPr>
        <w:t xml:space="preserve">. </w:t>
      </w:r>
      <w:r>
        <w:rPr>
          <w:rtl w:val="true"/>
        </w:rPr>
        <w:t>כמו כן</w:t>
      </w:r>
      <w:r>
        <w:rPr>
          <w:rtl w:val="true"/>
        </w:rPr>
        <w:t xml:space="preserve">, </w:t>
      </w:r>
      <w:r>
        <w:rPr>
          <w:rtl w:val="true"/>
        </w:rPr>
        <w:t>השתדלותו של המשיב לסייע לסוכן להשיג כלי נשק במחיר נמוך יותר</w:t>
      </w:r>
      <w:r>
        <w:rPr>
          <w:rtl w:val="true"/>
        </w:rPr>
        <w:t xml:space="preserve">, </w:t>
      </w:r>
      <w:r>
        <w:rPr>
          <w:rtl w:val="true"/>
        </w:rPr>
        <w:t>לא כל שכן הצלחתו בכך</w:t>
      </w:r>
      <w:r>
        <w:rPr>
          <w:rtl w:val="true"/>
        </w:rPr>
        <w:t xml:space="preserve">, </w:t>
      </w:r>
      <w:r>
        <w:rPr>
          <w:rtl w:val="true"/>
        </w:rPr>
        <w:t>מעידה על חלקו המשמעותי בשרשרת הסחר</w:t>
      </w:r>
      <w:r>
        <w:rPr>
          <w:rtl w:val="true"/>
        </w:rPr>
        <w:t xml:space="preserve">. </w:t>
      </w:r>
      <w:r>
        <w:rPr>
          <w:rtl w:val="true"/>
        </w:rPr>
        <w:t>לכך יש להוסיף את הזמן הקצר שנדרש לו להשלים את ביצוע העסקה החל מרגע יצירת הקשר הראשוני עם הסוכן</w:t>
      </w:r>
      <w:r>
        <w:rPr>
          <w:rtl w:val="true"/>
        </w:rPr>
        <w:t xml:space="preserve">, </w:t>
      </w:r>
      <w:r>
        <w:rPr>
          <w:rtl w:val="true"/>
        </w:rPr>
        <w:t>אשר מלמד גם הוא על מומחיותו</w:t>
      </w:r>
      <w:r>
        <w:rPr>
          <w:rtl w:val="true"/>
        </w:rPr>
        <w:t xml:space="preserve">, </w:t>
      </w:r>
      <w:r>
        <w:rPr>
          <w:rtl w:val="true"/>
        </w:rPr>
        <w:t>קשריו ונגישותו לכלי נשק</w:t>
      </w:r>
      <w:r>
        <w:rPr>
          <w:rtl w:val="true"/>
        </w:rPr>
        <w:t xml:space="preserve">. </w:t>
      </w:r>
      <w:r>
        <w:rPr>
          <w:rtl w:val="true"/>
        </w:rPr>
        <w:t>עוד ציינה המדינה באשר למיקום העונש בתוך המתחם</w:t>
      </w:r>
      <w:r>
        <w:rPr>
          <w:rtl w:val="true"/>
        </w:rPr>
        <w:t xml:space="preserve">, </w:t>
      </w:r>
      <w:r>
        <w:rPr>
          <w:rtl w:val="true"/>
        </w:rPr>
        <w:t>כי יש לתת משקל מוגבל בלבד להיות המשיב צעיר ומרקע נורמטיבי</w:t>
      </w:r>
      <w:r>
        <w:rPr>
          <w:rtl w:val="true"/>
        </w:rPr>
        <w:t xml:space="preserve">, </w:t>
      </w:r>
      <w:r>
        <w:rPr>
          <w:rtl w:val="true"/>
        </w:rPr>
        <w:t>זאת אל מול שיקול הרתעת היחיד והרבים והאינטרס בהבטחת שלום הציבור וביטחונו</w:t>
      </w:r>
      <w:r>
        <w:rPr>
          <w:rtl w:val="true"/>
        </w:rPr>
        <w:t>.</w:t>
      </w:r>
    </w:p>
    <w:p>
      <w:pPr>
        <w:pStyle w:val="Ruller42"/>
        <w:ind w:end="0"/>
        <w:jc w:val="both"/>
        <w:rPr/>
      </w:pPr>
      <w:r>
        <w:rPr>
          <w:rtl w:val="true"/>
        </w:rPr>
      </w:r>
    </w:p>
    <w:p>
      <w:pPr>
        <w:pStyle w:val="Ruller43"/>
        <w:numPr>
          <w:ilvl w:val="0"/>
          <w:numId w:val="1"/>
        </w:numPr>
        <w:ind w:end="0"/>
        <w:jc w:val="both"/>
        <w:rPr/>
      </w:pPr>
      <w:r>
        <w:rPr>
          <w:rtl w:val="true"/>
        </w:rPr>
        <w:t>מנגד</w:t>
      </w:r>
      <w:r>
        <w:rPr>
          <w:rtl w:val="true"/>
        </w:rPr>
        <w:t xml:space="preserve">, </w:t>
      </w:r>
      <w:r>
        <w:rPr>
          <w:rtl w:val="true"/>
        </w:rPr>
        <w:t>ציין המשיב כי העונש שהושת עליו אינו מקל עמו ואף מחמיר</w:t>
      </w:r>
      <w:r>
        <w:rPr>
          <w:rtl w:val="true"/>
        </w:rPr>
        <w:t xml:space="preserve">, </w:t>
      </w:r>
      <w:r>
        <w:rPr>
          <w:rtl w:val="true"/>
        </w:rPr>
        <w:t>בהיותו סוטה באופן מהותי מהמלצת שירות המבחן לתת משקל להיבט השיקומי</w:t>
      </w:r>
      <w:r>
        <w:rPr>
          <w:rtl w:val="true"/>
        </w:rPr>
        <w:t xml:space="preserve">. </w:t>
      </w:r>
      <w:r>
        <w:rPr>
          <w:rtl w:val="true"/>
        </w:rPr>
        <w:t>נטען כי מדובר באדם נורמטיבי אשר התנהלות הסוכן כלפיו הייתה על סף השידול</w:t>
      </w:r>
      <w:r>
        <w:rPr>
          <w:rtl w:val="true"/>
        </w:rPr>
        <w:t xml:space="preserve">. </w:t>
      </w:r>
      <w:r>
        <w:rPr>
          <w:rtl w:val="true"/>
        </w:rPr>
        <w:t>התנהלות מעין</w:t>
      </w:r>
      <w:r>
        <w:rPr>
          <w:rtl w:val="true"/>
        </w:rPr>
        <w:t>-</w:t>
      </w:r>
      <w:r>
        <w:rPr>
          <w:rtl w:val="true"/>
        </w:rPr>
        <w:t xml:space="preserve">משדלת זו נלמדת בין היתר מהעובדה כי הסוכן הוא זה שיזם את התשלום </w:t>
      </w:r>
      <w:r>
        <w:rPr>
          <w:rtl w:val="true"/>
        </w:rPr>
        <w:t>–</w:t>
      </w:r>
      <w:r>
        <w:rPr>
          <w:rtl w:val="true"/>
        </w:rPr>
        <w:t xml:space="preserve"> הנמוך </w:t>
      </w:r>
      <w:r>
        <w:rPr>
          <w:rtl w:val="true"/>
        </w:rPr>
        <w:t>–</w:t>
      </w:r>
      <w:r>
        <w:rPr>
          <w:rtl w:val="true"/>
        </w:rPr>
        <w:t xml:space="preserve"> שקיבל המשיב עבור חלקו בשתי העסקאות</w:t>
      </w:r>
      <w:r>
        <w:rPr>
          <w:rtl w:val="true"/>
        </w:rPr>
        <w:t xml:space="preserve">. </w:t>
      </w:r>
      <w:r>
        <w:rPr>
          <w:rtl w:val="true"/>
        </w:rPr>
        <w:t>לפיכך</w:t>
      </w:r>
      <w:r>
        <w:rPr>
          <w:rtl w:val="true"/>
        </w:rPr>
        <w:t xml:space="preserve">, </w:t>
      </w:r>
      <w:r>
        <w:rPr>
          <w:rtl w:val="true"/>
        </w:rPr>
        <w:t>ובשים לב לגילו הצעיר</w:t>
      </w:r>
      <w:r>
        <w:rPr>
          <w:rtl w:val="true"/>
        </w:rPr>
        <w:t xml:space="preserve">, </w:t>
      </w:r>
      <w:r>
        <w:rPr>
          <w:rtl w:val="true"/>
        </w:rPr>
        <w:t>יש לתת משקל משמעותי לאופק השיקומי בעניינו ואין מקום להתערב בגזר הדין</w:t>
      </w:r>
      <w:r>
        <w:rPr>
          <w:rtl w:val="true"/>
        </w:rPr>
        <w:t>.</w:t>
      </w:r>
    </w:p>
    <w:p>
      <w:pPr>
        <w:pStyle w:val="Ruller42"/>
        <w:ind w:end="0"/>
        <w:jc w:val="both"/>
        <w:rPr/>
      </w:pPr>
      <w:r>
        <w:rPr>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ב</w:t>
      </w:r>
      <w:r>
        <w:rPr>
          <w:rFonts w:cs="Miriam" w:ascii="Century" w:hAnsi="Century"/>
          <w:b/>
          <w:spacing w:val="0"/>
          <w:szCs w:val="24"/>
          <w:rtl w:val="true"/>
        </w:rPr>
        <w:t xml:space="preserve">. </w:t>
      </w:r>
      <w:r>
        <w:rPr>
          <w:rFonts w:ascii="Century" w:hAnsi="Century" w:cs="Miriam"/>
          <w:b/>
          <w:b/>
          <w:spacing w:val="0"/>
          <w:szCs w:val="24"/>
          <w:rtl w:val="true"/>
        </w:rPr>
        <w:t>דיון</w:t>
      </w:r>
      <w:r>
        <w:rPr>
          <w:rFonts w:ascii="Century" w:hAnsi="Century" w:eastAsia="Century" w:cs="Century"/>
          <w:b/>
          <w:b/>
          <w:spacing w:val="0"/>
          <w:szCs w:val="24"/>
          <w:rtl w:val="true"/>
        </w:rPr>
        <w:t xml:space="preserve"> </w:t>
      </w:r>
      <w:r>
        <w:rPr>
          <w:rFonts w:ascii="Century" w:hAnsi="Century" w:cs="Miriam"/>
          <w:b/>
          <w:b/>
          <w:spacing w:val="0"/>
          <w:szCs w:val="24"/>
          <w:rtl w:val="true"/>
        </w:rPr>
        <w:t>והכרעה</w:t>
      </w:r>
    </w:p>
    <w:p>
      <w:pPr>
        <w:pStyle w:val="Ruller43"/>
        <w:numPr>
          <w:ilvl w:val="0"/>
          <w:numId w:val="1"/>
        </w:numPr>
        <w:ind w:end="0"/>
        <w:jc w:val="both"/>
        <w:rPr/>
      </w:pPr>
      <w:r>
        <w:rPr>
          <w:rtl w:val="true"/>
        </w:rPr>
        <w:t>אכן</w:t>
      </w:r>
      <w:r>
        <w:rPr>
          <w:rtl w:val="true"/>
        </w:rPr>
        <w:t xml:space="preserve">, </w:t>
      </w:r>
      <w:r>
        <w:rPr>
          <w:rtl w:val="true"/>
        </w:rPr>
        <w:t>מעשי המשיב חמורים</w:t>
      </w:r>
      <w:r>
        <w:rPr>
          <w:rtl w:val="true"/>
        </w:rPr>
        <w:t xml:space="preserve">, </w:t>
      </w:r>
      <w:r>
        <w:rPr>
          <w:rtl w:val="true"/>
        </w:rPr>
        <w:t>אין להקל בהם ראש וחומרת העבירות בראי הפרשה כולה מחייבת מתן ביטוי לענישה משמעותית ומרתיעה</w:t>
      </w:r>
      <w:r>
        <w:rPr>
          <w:rtl w:val="true"/>
        </w:rPr>
        <w:t xml:space="preserve">. </w:t>
      </w:r>
      <w:r>
        <w:rPr>
          <w:rtl w:val="true"/>
        </w:rPr>
        <w:t>בניגוד לרושם שמבקש המשיב ליצור</w:t>
      </w:r>
      <w:r>
        <w:rPr>
          <w:rtl w:val="true"/>
        </w:rPr>
        <w:t xml:space="preserve">, </w:t>
      </w:r>
      <w:r>
        <w:rPr>
          <w:rtl w:val="true"/>
        </w:rPr>
        <w:t>הוא אינו בגדר גורם זניח ושולי בעסקה</w:t>
      </w:r>
      <w:r>
        <w:rPr>
          <w:rtl w:val="true"/>
        </w:rPr>
        <w:t xml:space="preserve">. </w:t>
      </w:r>
      <w:r>
        <w:rPr>
          <w:rtl w:val="true"/>
        </w:rPr>
        <w:t>למעט ההתקשרות הראשונית עם הסוכן</w:t>
      </w:r>
      <w:r>
        <w:rPr>
          <w:rtl w:val="true"/>
        </w:rPr>
        <w:t xml:space="preserve">, </w:t>
      </w:r>
      <w:r>
        <w:rPr>
          <w:rtl w:val="true"/>
        </w:rPr>
        <w:t>אשר אותה לא יזם המשיב</w:t>
      </w:r>
      <w:r>
        <w:rPr>
          <w:rtl w:val="true"/>
        </w:rPr>
        <w:t xml:space="preserve">, </w:t>
      </w:r>
      <w:r>
        <w:rPr>
          <w:rtl w:val="true"/>
        </w:rPr>
        <w:t>הוא היה מעורב באופן פעיל ומשמעותי בביצוע העסקה</w:t>
      </w:r>
      <w:r>
        <w:rPr>
          <w:rtl w:val="true"/>
        </w:rPr>
        <w:t xml:space="preserve">, </w:t>
      </w:r>
      <w:r>
        <w:rPr>
          <w:rtl w:val="true"/>
        </w:rPr>
        <w:t>החל משלב המשא ומתן ועד להשלמתה</w:t>
      </w:r>
      <w:r>
        <w:rPr>
          <w:rtl w:val="true"/>
        </w:rPr>
        <w:t xml:space="preserve">. </w:t>
      </w:r>
    </w:p>
    <w:p>
      <w:pPr>
        <w:pStyle w:val="Ruller43"/>
        <w:numPr>
          <w:ilvl w:val="0"/>
          <w:numId w:val="0"/>
        </w:numPr>
        <w:ind w:hanging="0" w:start="0" w:end="0"/>
        <w:jc w:val="both"/>
        <w:rPr/>
      </w:pPr>
      <w:r>
        <w:rPr>
          <w:rtl w:val="true"/>
        </w:rPr>
      </w:r>
    </w:p>
    <w:p>
      <w:pPr>
        <w:pStyle w:val="Ruller43"/>
        <w:numPr>
          <w:ilvl w:val="0"/>
          <w:numId w:val="1"/>
        </w:numPr>
        <w:ind w:end="0"/>
        <w:jc w:val="both"/>
        <w:rPr/>
      </w:pPr>
      <w:r>
        <w:rPr>
          <w:rtl w:val="true"/>
        </w:rPr>
        <w:t>עם זאת</w:t>
      </w:r>
      <w:r>
        <w:rPr>
          <w:rtl w:val="true"/>
        </w:rPr>
        <w:t xml:space="preserve">, </w:t>
      </w:r>
      <w:r>
        <w:rPr>
          <w:rtl w:val="true"/>
        </w:rPr>
        <w:t>אף כי העונש שהושת על המשיב נוטה על הצד המקל</w:t>
      </w:r>
      <w:r>
        <w:rPr>
          <w:rtl w:val="true"/>
        </w:rPr>
        <w:t xml:space="preserve">, </w:t>
      </w:r>
      <w:r>
        <w:rPr>
          <w:rtl w:val="true"/>
        </w:rPr>
        <w:t xml:space="preserve">אין המדובר במקרה הנופל בגדרי החריגים המצדיקים התערבות ערכאת הערעור </w:t>
      </w:r>
      <w:r>
        <w:rPr>
          <w:rtl w:val="true"/>
        </w:rPr>
        <w:t>(</w:t>
      </w:r>
      <w:r>
        <w:rPr>
          <w:rtl w:val="true"/>
        </w:rPr>
        <w:t>ראו למשל</w:t>
      </w:r>
      <w:r>
        <w:rPr>
          <w:rtl w:val="true"/>
        </w:rPr>
        <w:t xml:space="preserve">: </w:t>
      </w:r>
      <w:hyperlink r:id="rId6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2386/16</w:t>
        </w:r>
      </w:hyperlink>
      <w:r>
        <w:rPr>
          <w:rtl w:val="true"/>
        </w:rPr>
        <w:t xml:space="preserve"> </w:t>
      </w:r>
      <w:r>
        <w:rPr>
          <w:rFonts w:ascii="Century" w:hAnsi="Century" w:cs="Miriam"/>
          <w:b/>
          <w:b/>
          <w:spacing w:val="0"/>
          <w:sz w:val="22"/>
          <w:sz w:val="22"/>
          <w:szCs w:val="24"/>
          <w:rtl w:val="true"/>
        </w:rPr>
        <w:t>חכים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30.5.2016</w:t>
      </w:r>
      <w:r>
        <w:rPr>
          <w:rtl w:val="true"/>
        </w:rPr>
        <w:t xml:space="preserve">); </w:t>
      </w:r>
      <w:hyperlink r:id="rId6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3060/15</w:t>
        </w:r>
      </w:hyperlink>
      <w:r>
        <w:rPr>
          <w:rtl w:val="true"/>
        </w:rPr>
        <w:t xml:space="preserve"> </w:t>
      </w:r>
      <w:r>
        <w:rPr>
          <w:rFonts w:ascii="Century" w:hAnsi="Century" w:cs="Miriam"/>
          <w:b/>
          <w:b/>
          <w:spacing w:val="0"/>
          <w:sz w:val="22"/>
          <w:sz w:val="22"/>
          <w:szCs w:val="24"/>
          <w:rtl w:val="true"/>
        </w:rPr>
        <w:t>אבו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רגייג</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21.7.2015</w:t>
      </w:r>
      <w:r>
        <w:rPr>
          <w:rtl w:val="true"/>
        </w:rPr>
        <w:t xml:space="preserve">)). </w:t>
      </w:r>
      <w:r>
        <w:rPr>
          <w:rtl w:val="true"/>
        </w:rPr>
        <w:t>עיון בגזר הדין מלמד כי בית המשפט לא התעלם מחומרת המעשים וגם לא מהאינטרס הציבורי בהחמרה בענישה בעבירות אלו</w:t>
      </w:r>
      <w:r>
        <w:rPr>
          <w:rtl w:val="true"/>
        </w:rPr>
        <w:t xml:space="preserve">, </w:t>
      </w:r>
      <w:r>
        <w:rPr>
          <w:rtl w:val="true"/>
        </w:rPr>
        <w:t>ונתן ביטוי גם לאלה</w:t>
      </w:r>
      <w:r>
        <w:rPr>
          <w:rtl w:val="true"/>
        </w:rPr>
        <w:t xml:space="preserve">. </w:t>
      </w:r>
      <w:r>
        <w:rPr>
          <w:rtl w:val="true"/>
        </w:rPr>
        <w:t>בית המשפט המחוזי</w:t>
      </w:r>
      <w:r>
        <w:rPr>
          <w:rtl w:val="true"/>
        </w:rPr>
        <w:t xml:space="preserve">, </w:t>
      </w:r>
      <w:r>
        <w:rPr>
          <w:rtl w:val="true"/>
        </w:rPr>
        <w:t>בקבעו את מתחם הענישה</w:t>
      </w:r>
      <w:r>
        <w:rPr>
          <w:rtl w:val="true"/>
        </w:rPr>
        <w:t xml:space="preserve">, </w:t>
      </w:r>
      <w:r>
        <w:rPr>
          <w:rtl w:val="true"/>
        </w:rPr>
        <w:t>לקח בחשבון את חומרת מעשי המשיב ואת סוג כלי הנשק שנמכר</w:t>
      </w:r>
      <w:r>
        <w:rPr>
          <w:rtl w:val="true"/>
        </w:rPr>
        <w:t xml:space="preserve">. </w:t>
      </w:r>
      <w:r>
        <w:rPr>
          <w:rtl w:val="true"/>
        </w:rPr>
        <w:t>בית המשפט גם דחה את המלצת שירות המבחן</w:t>
      </w:r>
      <w:r>
        <w:rPr>
          <w:rtl w:val="true"/>
        </w:rPr>
        <w:t xml:space="preserve">, </w:t>
      </w:r>
      <w:r>
        <w:rPr>
          <w:rtl w:val="true"/>
        </w:rPr>
        <w:t>להטיל על המשיב עונש מאסר לריצוי בעבודות שירות</w:t>
      </w:r>
      <w:r>
        <w:rPr>
          <w:rtl w:val="true"/>
        </w:rPr>
        <w:t xml:space="preserve">, </w:t>
      </w:r>
      <w:r>
        <w:rPr>
          <w:rtl w:val="true"/>
        </w:rPr>
        <w:t>בקבעו כי היא אינה הולמת את חומרת העבירות בהן הורשע המשיב</w:t>
      </w:r>
      <w:r>
        <w:rPr>
          <w:rtl w:val="true"/>
        </w:rPr>
        <w:t xml:space="preserve">, </w:t>
      </w:r>
      <w:r>
        <w:rPr>
          <w:rtl w:val="true"/>
        </w:rPr>
        <w:t>אך גם נתן דעתו לנתוניו האישיים של המשיב כמו גם לעובדה שהודה בביצוע המעשים</w:t>
      </w:r>
      <w:r>
        <w:rPr>
          <w:rtl w:val="true"/>
        </w:rPr>
        <w:t xml:space="preserve">. </w:t>
      </w:r>
    </w:p>
    <w:p>
      <w:pPr>
        <w:pStyle w:val="Ruller43"/>
        <w:numPr>
          <w:ilvl w:val="0"/>
          <w:numId w:val="0"/>
        </w:numPr>
        <w:ind w:hanging="0" w:start="0" w:end="0"/>
        <w:jc w:val="both"/>
        <w:rPr/>
      </w:pPr>
      <w:r>
        <w:rPr>
          <w:rtl w:val="true"/>
        </w:rPr>
      </w:r>
    </w:p>
    <w:p>
      <w:pPr>
        <w:pStyle w:val="Ruller43"/>
        <w:numPr>
          <w:ilvl w:val="0"/>
          <w:numId w:val="1"/>
        </w:numPr>
        <w:ind w:end="0"/>
        <w:jc w:val="both"/>
        <w:rPr/>
      </w:pPr>
      <w:r>
        <w:rPr>
          <w:rtl w:val="true"/>
        </w:rPr>
        <w:t xml:space="preserve">בהתחשב אפוא במספר העסקאות </w:t>
      </w:r>
      <w:r>
        <w:rPr>
          <w:rtl w:val="true"/>
        </w:rPr>
        <w:t>(</w:t>
      </w:r>
      <w:r>
        <w:rPr>
          <w:rtl w:val="true"/>
        </w:rPr>
        <w:t>שתיים במספר</w:t>
      </w:r>
      <w:r>
        <w:rPr>
          <w:rtl w:val="true"/>
        </w:rPr>
        <w:t xml:space="preserve">), </w:t>
      </w:r>
      <w:r>
        <w:rPr>
          <w:rtl w:val="true"/>
        </w:rPr>
        <w:t xml:space="preserve">סוג כלי הנשק </w:t>
      </w:r>
      <w:r>
        <w:rPr>
          <w:rtl w:val="true"/>
        </w:rPr>
        <w:t>(</w:t>
      </w:r>
      <w:r>
        <w:rPr>
          <w:rtl w:val="true"/>
        </w:rPr>
        <w:t>שני אקדחים</w:t>
      </w:r>
      <w:r>
        <w:rPr>
          <w:rtl w:val="true"/>
        </w:rPr>
        <w:t xml:space="preserve">), </w:t>
      </w:r>
      <w:r>
        <w:rPr>
          <w:rtl w:val="true"/>
        </w:rPr>
        <w:t>נסיבותיו האישיות של המשיב והעונשים שהושתו על שאר המעורבים בפרשה</w:t>
      </w:r>
      <w:r>
        <w:rPr>
          <w:rtl w:val="true"/>
        </w:rPr>
        <w:t xml:space="preserve">, </w:t>
      </w:r>
      <w:r>
        <w:rPr>
          <w:rtl w:val="true"/>
        </w:rPr>
        <w:t xml:space="preserve">לא מצאתי כי העונש שהושת על המשיב </w:t>
      </w:r>
      <w:r>
        <w:rPr>
          <w:rtl w:val="true"/>
        </w:rPr>
        <w:t>–</w:t>
      </w:r>
      <w:r>
        <w:rPr>
          <w:rtl w:val="true"/>
        </w:rPr>
        <w:t xml:space="preserve"> </w:t>
      </w:r>
      <w:r>
        <w:rPr/>
        <w:t>3</w:t>
      </w:r>
      <w:r>
        <w:rPr>
          <w:rtl w:val="true"/>
        </w:rPr>
        <w:t xml:space="preserve"> </w:t>
      </w:r>
      <w:r>
        <w:rPr>
          <w:rtl w:val="true"/>
        </w:rPr>
        <w:t xml:space="preserve">שנות מאסר בפועל </w:t>
      </w:r>
      <w:r>
        <w:rPr>
          <w:rtl w:val="true"/>
        </w:rPr>
        <w:t>–</w:t>
      </w:r>
      <w:r>
        <w:rPr>
          <w:rtl w:val="true"/>
        </w:rPr>
        <w:t xml:space="preserve"> חורג לקולא במידה המצדיקה התערבות ערכאת הערעור</w:t>
      </w:r>
      <w:r>
        <w:rPr>
          <w:rtl w:val="true"/>
        </w:rPr>
        <w:t xml:space="preserve">. </w:t>
      </w:r>
      <w:r>
        <w:rPr>
          <w:rtl w:val="true"/>
        </w:rPr>
        <w:t>אשר על כן</w:t>
      </w:r>
      <w:r>
        <w:rPr>
          <w:rtl w:val="true"/>
        </w:rPr>
        <w:t xml:space="preserve">, </w:t>
      </w:r>
      <w:r>
        <w:rPr>
          <w:rtl w:val="true"/>
        </w:rPr>
        <w:t>אם תשמע דעתי דין הערעור להידחות</w:t>
      </w:r>
      <w:r>
        <w:rPr>
          <w:rtl w:val="true"/>
        </w:rPr>
        <w:t>.</w:t>
      </w:r>
    </w:p>
    <w:p>
      <w:pPr>
        <w:pStyle w:val="Ruller43"/>
        <w:numPr>
          <w:ilvl w:val="0"/>
          <w:numId w:val="0"/>
        </w:numPr>
        <w:ind w:hanging="0" w:start="0" w:end="0"/>
        <w:jc w:val="both"/>
        <w:rPr/>
      </w:pPr>
      <w:r>
        <w:rPr>
          <w:rtl w:val="true"/>
        </w:rPr>
        <w:tab/>
      </w:r>
    </w:p>
    <w:p>
      <w:pPr>
        <w:pStyle w:val="Ruller42"/>
        <w:ind w:end="0"/>
        <w:jc w:val="both"/>
        <w:rPr>
          <w:rFonts w:ascii="Century" w:hAnsi="Century" w:cs="Miriam"/>
          <w:b/>
          <w:spacing w:val="0"/>
          <w:szCs w:val="24"/>
        </w:rPr>
      </w:pPr>
      <w:r>
        <w:rPr>
          <w:rFonts w:ascii="Century" w:hAnsi="Century" w:cs="Miriam"/>
          <w:b/>
          <w:b/>
          <w:spacing w:val="0"/>
          <w:szCs w:val="24"/>
          <w:rtl w:val="true"/>
        </w:rPr>
        <w:t>נאשם</w:t>
      </w:r>
      <w:r>
        <w:rPr>
          <w:rFonts w:ascii="Century" w:hAnsi="Century" w:eastAsia="Century" w:cs="Century"/>
          <w:b/>
          <w:b/>
          <w:spacing w:val="0"/>
          <w:szCs w:val="24"/>
          <w:rtl w:val="true"/>
        </w:rPr>
        <w:t xml:space="preserve"> </w:t>
      </w:r>
      <w:r>
        <w:rPr>
          <w:rFonts w:cs="Miriam" w:ascii="Century" w:hAnsi="Century"/>
          <w:b/>
          <w:spacing w:val="0"/>
          <w:szCs w:val="24"/>
        </w:rPr>
        <w:t>8</w:t>
      </w:r>
      <w:r>
        <w:rPr>
          <w:rFonts w:cs="Miriam" w:ascii="Century" w:hAnsi="Century"/>
          <w:b/>
          <w:spacing w:val="0"/>
          <w:szCs w:val="24"/>
          <w:rtl w:val="true"/>
        </w:rPr>
        <w:t xml:space="preserve"> </w:t>
      </w:r>
      <w:r>
        <w:rPr>
          <w:rFonts w:ascii="Century" w:hAnsi="Century" w:cs="Miriam"/>
          <w:b/>
          <w:b/>
          <w:spacing w:val="0"/>
          <w:szCs w:val="24"/>
          <w:rtl w:val="true"/>
        </w:rPr>
        <w:t>בכתב</w:t>
      </w:r>
      <w:r>
        <w:rPr>
          <w:rFonts w:ascii="Century" w:hAnsi="Century" w:eastAsia="Century" w:cs="Century"/>
          <w:b/>
          <w:b/>
          <w:spacing w:val="0"/>
          <w:szCs w:val="24"/>
          <w:rtl w:val="true"/>
        </w:rPr>
        <w:t xml:space="preserve"> </w:t>
      </w:r>
      <w:r>
        <w:rPr>
          <w:rFonts w:ascii="Century" w:hAnsi="Century" w:cs="Miriam"/>
          <w:b/>
          <w:b/>
          <w:spacing w:val="0"/>
          <w:szCs w:val="24"/>
          <w:rtl w:val="true"/>
        </w:rPr>
        <w:t>האישום</w:t>
      </w:r>
      <w:r>
        <w:rPr>
          <w:rFonts w:ascii="Century" w:hAnsi="Century" w:eastAsia="Century" w:cs="Century"/>
          <w:b/>
          <w:b/>
          <w:spacing w:val="0"/>
          <w:szCs w:val="24"/>
          <w:rtl w:val="true"/>
        </w:rPr>
        <w:t xml:space="preserve"> </w:t>
      </w:r>
      <w:r>
        <w:rPr>
          <w:rFonts w:cs="Miriam" w:ascii="Century" w:hAnsi="Century"/>
          <w:b/>
          <w:spacing w:val="0"/>
          <w:szCs w:val="24"/>
          <w:rtl w:val="true"/>
        </w:rPr>
        <w:t>(</w:t>
      </w:r>
      <w:r>
        <w:rPr>
          <w:rFonts w:ascii="Century" w:hAnsi="Century" w:cs="Miriam"/>
          <w:b/>
          <w:b/>
          <w:spacing w:val="0"/>
          <w:szCs w:val="24"/>
          <w:rtl w:val="true"/>
        </w:rPr>
        <w:t>משיב</w:t>
      </w:r>
      <w:r>
        <w:rPr>
          <w:rFonts w:ascii="Century" w:hAnsi="Century" w:eastAsia="Century" w:cs="Century"/>
          <w:b/>
          <w:b/>
          <w:spacing w:val="0"/>
          <w:szCs w:val="24"/>
          <w:rtl w:val="true"/>
        </w:rPr>
        <w:t xml:space="preserve"> </w:t>
      </w:r>
      <w:r>
        <w:rPr>
          <w:rFonts w:cs="Miriam" w:ascii="Century" w:hAnsi="Century"/>
          <w:b/>
          <w:spacing w:val="0"/>
          <w:szCs w:val="24"/>
        </w:rPr>
        <w:t>2</w:t>
      </w:r>
      <w:r>
        <w:rPr>
          <w:rFonts w:cs="Miriam" w:ascii="Century" w:hAnsi="Century"/>
          <w:b/>
          <w:spacing w:val="0"/>
          <w:szCs w:val="24"/>
          <w:rtl w:val="true"/>
        </w:rPr>
        <w:t xml:space="preserve"> </w:t>
      </w:r>
      <w:r>
        <w:rPr>
          <w:rFonts w:ascii="Century" w:hAnsi="Century" w:cs="Miriam"/>
          <w:b/>
          <w:b/>
          <w:spacing w:val="0"/>
          <w:szCs w:val="24"/>
          <w:rtl w:val="true"/>
        </w:rPr>
        <w:t>ב</w:t>
      </w:r>
      <w:r>
        <w:rPr>
          <w:rFonts w:ascii="Century" w:hAnsi="Century" w:cs="Miriam"/>
          <w:b/>
          <w:b/>
          <w:spacing w:val="0"/>
          <w:szCs w:val="24"/>
          <w:rtl w:val="true"/>
        </w:rPr>
        <w:t>ע</w:t>
      </w:r>
      <w:r>
        <w:rPr>
          <w:rFonts w:cs="Miriam" w:ascii="Century" w:hAnsi="Century"/>
          <w:b/>
          <w:spacing w:val="0"/>
          <w:szCs w:val="24"/>
          <w:rtl w:val="true"/>
        </w:rPr>
        <w:t>"</w:t>
      </w:r>
      <w:r>
        <w:rPr>
          <w:rFonts w:ascii="Century" w:hAnsi="Century" w:cs="Miriam"/>
          <w:b/>
          <w:b/>
          <w:spacing w:val="0"/>
          <w:szCs w:val="24"/>
          <w:rtl w:val="true"/>
        </w:rPr>
        <w:t>פ</w:t>
      </w:r>
      <w:r>
        <w:rPr>
          <w:rFonts w:ascii="Century" w:hAnsi="Century" w:eastAsia="Century" w:cs="Century"/>
          <w:b/>
          <w:b/>
          <w:spacing w:val="0"/>
          <w:szCs w:val="24"/>
          <w:rtl w:val="true"/>
        </w:rPr>
        <w:t xml:space="preserve"> </w:t>
      </w:r>
      <w:r>
        <w:rPr>
          <w:rFonts w:cs="Miriam" w:ascii="Century" w:hAnsi="Century"/>
          <w:b/>
          <w:spacing w:val="0"/>
          <w:szCs w:val="24"/>
        </w:rPr>
        <w:t>8347/17</w:t>
      </w:r>
      <w:r>
        <w:rPr>
          <w:rFonts w:cs="Miriam" w:ascii="Century" w:hAnsi="Century"/>
          <w:b/>
          <w:spacing w:val="0"/>
          <w:szCs w:val="24"/>
          <w:rtl w:val="true"/>
        </w:rPr>
        <w:t>)</w:t>
      </w:r>
    </w:p>
    <w:p>
      <w:pPr>
        <w:pStyle w:val="Ruller43"/>
        <w:numPr>
          <w:ilvl w:val="0"/>
          <w:numId w:val="0"/>
        </w:numPr>
        <w:ind w:hanging="0" w:start="0" w:end="0"/>
        <w:jc w:val="both"/>
        <w:rPr>
          <w:rFonts w:ascii="Century" w:hAnsi="Century" w:cs="Miriam"/>
          <w:b/>
          <w:spacing w:val="0"/>
          <w:sz w:val="22"/>
          <w:szCs w:val="24"/>
        </w:rPr>
      </w:pP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הרקע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לערעור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וטענות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הצדדים</w:t>
      </w:r>
    </w:p>
    <w:p>
      <w:pPr>
        <w:pStyle w:val="Ruller43"/>
        <w:numPr>
          <w:ilvl w:val="0"/>
          <w:numId w:val="1"/>
        </w:numPr>
        <w:ind w:end="0"/>
        <w:jc w:val="both"/>
        <w:rPr>
          <w:rFonts w:ascii="Century" w:hAnsi="Century" w:cs="Century"/>
        </w:rPr>
      </w:pPr>
      <w:r>
        <w:rPr>
          <w:rFonts w:ascii="Century" w:hAnsi="Century" w:cs="Century"/>
          <w:sz w:val="22"/>
          <w:sz w:val="22"/>
          <w:rtl w:val="true"/>
        </w:rPr>
        <w:t>המשיב הורשע בעבירות של סחר בנשק וקשירת קשר לסחר בנשק</w:t>
      </w:r>
      <w:r>
        <w:rPr>
          <w:rFonts w:cs="Century" w:ascii="Century" w:hAnsi="Century"/>
          <w:sz w:val="22"/>
          <w:rtl w:val="true"/>
        </w:rPr>
        <w:t xml:space="preserve">, </w:t>
      </w:r>
      <w:r>
        <w:rPr>
          <w:rFonts w:ascii="Century" w:hAnsi="Century" w:cs="Century"/>
          <w:sz w:val="22"/>
          <w:sz w:val="22"/>
          <w:rtl w:val="true"/>
        </w:rPr>
        <w:t>בגין מעורבותו בשתי עסקאות נשק בהן נמכרו תת</w:t>
      </w:r>
      <w:r>
        <w:rPr>
          <w:rFonts w:cs="Century" w:ascii="Century" w:hAnsi="Century"/>
          <w:sz w:val="22"/>
          <w:rtl w:val="true"/>
        </w:rPr>
        <w:t>-</w:t>
      </w:r>
      <w:r>
        <w:rPr>
          <w:rFonts w:ascii="Century" w:hAnsi="Century" w:cs="Century"/>
          <w:sz w:val="22"/>
          <w:sz w:val="22"/>
          <w:rtl w:val="true"/>
        </w:rPr>
        <w:t>מקלע מסוג קרלו וקלאצ</w:t>
      </w:r>
      <w:r>
        <w:rPr>
          <w:rFonts w:cs="Century" w:ascii="Century" w:hAnsi="Century"/>
          <w:sz w:val="22"/>
          <w:rtl w:val="true"/>
        </w:rPr>
        <w:t>'</w:t>
      </w:r>
      <w:r>
        <w:rPr>
          <w:rFonts w:ascii="Century" w:hAnsi="Century" w:cs="Century"/>
          <w:sz w:val="22"/>
          <w:sz w:val="22"/>
          <w:rtl w:val="true"/>
        </w:rPr>
        <w:t>ניקוב</w:t>
      </w:r>
      <w:r>
        <w:rPr>
          <w:rFonts w:cs="Century" w:ascii="Century" w:hAnsi="Century"/>
          <w:sz w:val="22"/>
          <w:rtl w:val="true"/>
        </w:rPr>
        <w:t xml:space="preserve">, </w:t>
      </w:r>
      <w:r>
        <w:rPr>
          <w:rFonts w:ascii="Century" w:hAnsi="Century" w:cs="Century"/>
          <w:sz w:val="22"/>
          <w:sz w:val="22"/>
          <w:rtl w:val="true"/>
        </w:rPr>
        <w:t xml:space="preserve">תמורת סך כולל של </w:t>
      </w:r>
      <w:r>
        <w:rPr>
          <w:rFonts w:cs="Century" w:ascii="Century" w:hAnsi="Century"/>
          <w:sz w:val="22"/>
        </w:rPr>
        <w:t>44,300</w:t>
      </w:r>
      <w:r>
        <w:rPr>
          <w:rFonts w:cs="Century" w:ascii="Century" w:hAnsi="Century"/>
          <w:sz w:val="22"/>
          <w:rtl w:val="true"/>
        </w:rPr>
        <w:t xml:space="preserve"> </w:t>
      </w:r>
      <w:r>
        <w:rPr>
          <w:rFonts w:ascii="Century" w:hAnsi="Century" w:cs="Century"/>
          <w:sz w:val="22"/>
          <w:sz w:val="22"/>
          <w:rtl w:val="true"/>
        </w:rPr>
        <w:t>ש</w:t>
      </w:r>
      <w:r>
        <w:rPr>
          <w:rFonts w:cs="Century" w:ascii="Century" w:hAnsi="Century"/>
          <w:sz w:val="22"/>
          <w:rtl w:val="true"/>
        </w:rPr>
        <w:t>"</w:t>
      </w:r>
      <w:r>
        <w:rPr>
          <w:rFonts w:ascii="Century" w:hAnsi="Century" w:cs="Century"/>
          <w:sz w:val="22"/>
          <w:sz w:val="22"/>
          <w:rtl w:val="true"/>
        </w:rPr>
        <w:t>ח</w:t>
      </w:r>
      <w:r>
        <w:rPr>
          <w:rFonts w:cs="Century" w:ascii="Century" w:hAnsi="Century"/>
          <w:sz w:val="22"/>
          <w:rtl w:val="true"/>
        </w:rPr>
        <w:t xml:space="preserve">, </w:t>
      </w:r>
      <w:r>
        <w:rPr>
          <w:rFonts w:ascii="Century" w:hAnsi="Century" w:cs="Century"/>
          <w:sz w:val="22"/>
          <w:sz w:val="22"/>
          <w:rtl w:val="true"/>
        </w:rPr>
        <w:t xml:space="preserve">מתוכם קיבל לידיו עבור חלקו בעסקה סך של </w:t>
      </w:r>
      <w:r>
        <w:rPr>
          <w:rFonts w:cs="Century" w:ascii="Century" w:hAnsi="Century"/>
          <w:sz w:val="22"/>
        </w:rPr>
        <w:t>1,000</w:t>
      </w:r>
      <w:r>
        <w:rPr>
          <w:rFonts w:cs="Century" w:ascii="Century" w:hAnsi="Century"/>
          <w:sz w:val="22"/>
          <w:rtl w:val="true"/>
        </w:rPr>
        <w:t xml:space="preserve"> </w:t>
      </w:r>
      <w:r>
        <w:rPr>
          <w:rFonts w:ascii="Century" w:hAnsi="Century" w:cs="Century"/>
          <w:sz w:val="22"/>
          <w:sz w:val="22"/>
          <w:rtl w:val="true"/>
        </w:rPr>
        <w:t>ש</w:t>
      </w:r>
      <w:r>
        <w:rPr>
          <w:rFonts w:cs="Century" w:ascii="Century" w:hAnsi="Century"/>
          <w:sz w:val="22"/>
          <w:rtl w:val="true"/>
        </w:rPr>
        <w:t>"</w:t>
      </w:r>
      <w:r>
        <w:rPr>
          <w:rFonts w:ascii="Century" w:hAnsi="Century" w:cs="Century"/>
          <w:sz w:val="22"/>
          <w:sz w:val="22"/>
          <w:rtl w:val="true"/>
        </w:rPr>
        <w:t>ח</w:t>
      </w:r>
      <w:r>
        <w:rPr>
          <w:rFonts w:cs="Century" w:ascii="Century" w:hAnsi="Century"/>
          <w:sz w:val="22"/>
          <w:rtl w:val="true"/>
        </w:rPr>
        <w:t xml:space="preserve">. </w:t>
      </w:r>
    </w:p>
    <w:p>
      <w:pPr>
        <w:pStyle w:val="Ruller42"/>
        <w:ind w:end="0"/>
        <w:jc w:val="both"/>
        <w:rPr>
          <w:rFonts w:ascii="Century" w:hAnsi="Century" w:cs="Century"/>
        </w:rPr>
      </w:pPr>
      <w:r>
        <w:rPr>
          <w:rFonts w:cs="Century" w:ascii="Century" w:hAnsi="Century"/>
          <w:rtl w:val="true"/>
        </w:rPr>
      </w:r>
    </w:p>
    <w:p>
      <w:pPr>
        <w:pStyle w:val="Ruller43"/>
        <w:numPr>
          <w:ilvl w:val="0"/>
          <w:numId w:val="1"/>
        </w:numPr>
        <w:ind w:end="0"/>
        <w:jc w:val="both"/>
        <w:rPr/>
      </w:pPr>
      <w:r>
        <w:rPr>
          <w:rtl w:val="true"/>
        </w:rPr>
        <w:t>מתסקיר שירות המבחן שהוגש לבית המשפט המחוזי עלה כי המשיב צעיר בן כ</w:t>
      </w:r>
      <w:r>
        <w:rPr>
          <w:rtl w:val="true"/>
        </w:rPr>
        <w:t>-</w:t>
      </w:r>
      <w:r>
        <w:rPr/>
        <w:t>21</w:t>
      </w:r>
      <w:r>
        <w:rPr>
          <w:rtl w:val="true"/>
        </w:rPr>
        <w:t xml:space="preserve"> </w:t>
      </w:r>
      <w:r>
        <w:rPr>
          <w:rtl w:val="true"/>
        </w:rPr>
        <w:t>שנים</w:t>
      </w:r>
      <w:r>
        <w:rPr>
          <w:rtl w:val="true"/>
        </w:rPr>
        <w:t xml:space="preserve">, </w:t>
      </w:r>
      <w:r>
        <w:rPr>
          <w:rtl w:val="true"/>
        </w:rPr>
        <w:t>לקח אחריות על מעשיו ורמת הסיכון להישנות ההתנהגות האלימה מצדו הוערכה כנמוכה</w:t>
      </w:r>
      <w:r>
        <w:rPr>
          <w:rtl w:val="true"/>
        </w:rPr>
        <w:t xml:space="preserve">. </w:t>
      </w:r>
      <w:r>
        <w:rPr>
          <w:rtl w:val="true"/>
        </w:rPr>
        <w:t>על כן</w:t>
      </w:r>
      <w:r>
        <w:rPr>
          <w:rtl w:val="true"/>
        </w:rPr>
        <w:t xml:space="preserve">, </w:t>
      </w:r>
      <w:r>
        <w:rPr>
          <w:rtl w:val="true"/>
        </w:rPr>
        <w:t>הומלץ על התערבות טיפולית ומתן צו מבחן למשך שנה</w:t>
      </w:r>
      <w:r>
        <w:rPr>
          <w:rtl w:val="true"/>
        </w:rPr>
        <w:t xml:space="preserve">, </w:t>
      </w:r>
      <w:r>
        <w:rPr>
          <w:rtl w:val="true"/>
        </w:rPr>
        <w:t>לצד עונש מאסר מותנה מרתיע</w:t>
      </w:r>
      <w:r>
        <w:rPr>
          <w:rtl w:val="true"/>
        </w:rPr>
        <w:t>.</w:t>
      </w:r>
    </w:p>
    <w:p>
      <w:pPr>
        <w:pStyle w:val="Ruller42"/>
        <w:ind w:end="0"/>
        <w:jc w:val="both"/>
        <w:rPr/>
      </w:pPr>
      <w:r>
        <w:rPr>
          <w:rtl w:val="true"/>
        </w:rPr>
      </w:r>
    </w:p>
    <w:p>
      <w:pPr>
        <w:pStyle w:val="Ruller43"/>
        <w:numPr>
          <w:ilvl w:val="0"/>
          <w:numId w:val="1"/>
        </w:numPr>
        <w:ind w:end="0"/>
        <w:jc w:val="both"/>
        <w:rPr/>
      </w:pPr>
      <w:r>
        <w:rPr>
          <w:rtl w:val="true"/>
        </w:rPr>
        <w:t>בגזר הדין נקבע כי כל אחת משתי העסקאות מהווה אירוע עברייני נפרד</w:t>
      </w:r>
      <w:r>
        <w:rPr>
          <w:rtl w:val="true"/>
        </w:rPr>
        <w:t xml:space="preserve">, </w:t>
      </w:r>
      <w:r>
        <w:rPr>
          <w:rtl w:val="true"/>
        </w:rPr>
        <w:t>וכי בשתי העסקאות המשיב לקח חלק פעיל</w:t>
      </w:r>
      <w:r>
        <w:rPr>
          <w:rtl w:val="true"/>
        </w:rPr>
        <w:t xml:space="preserve">. </w:t>
      </w:r>
      <w:r>
        <w:rPr>
          <w:rtl w:val="true"/>
        </w:rPr>
        <w:t>בעסקה הראשונה</w:t>
      </w:r>
      <w:r>
        <w:rPr>
          <w:rtl w:val="true"/>
        </w:rPr>
        <w:t xml:space="preserve">, </w:t>
      </w:r>
      <w:r>
        <w:rPr>
          <w:rtl w:val="true"/>
        </w:rPr>
        <w:t>הוא נשא את כלי הנשק</w:t>
      </w:r>
      <w:r>
        <w:rPr>
          <w:rtl w:val="true"/>
        </w:rPr>
        <w:t xml:space="preserve">, </w:t>
      </w:r>
      <w:r>
        <w:rPr>
          <w:rtl w:val="true"/>
        </w:rPr>
        <w:t>הרכיב אותו</w:t>
      </w:r>
      <w:r>
        <w:rPr>
          <w:rtl w:val="true"/>
        </w:rPr>
        <w:t xml:space="preserve">, </w:t>
      </w:r>
      <w:r>
        <w:rPr>
          <w:rtl w:val="true"/>
        </w:rPr>
        <w:t>מסר אותו לידי הסוכן</w:t>
      </w:r>
      <w:r>
        <w:rPr>
          <w:rtl w:val="true"/>
        </w:rPr>
        <w:t xml:space="preserve">, </w:t>
      </w:r>
      <w:r>
        <w:rPr>
          <w:rtl w:val="true"/>
        </w:rPr>
        <w:t>קיבל לידיו את כספי התמורה והנחה את הסוכן לפנות אליו ישירות ככל שיצטרך כלי נשק נוספים</w:t>
      </w:r>
      <w:r>
        <w:rPr>
          <w:rtl w:val="true"/>
        </w:rPr>
        <w:t xml:space="preserve">. </w:t>
      </w:r>
      <w:r>
        <w:rPr>
          <w:rtl w:val="true"/>
        </w:rPr>
        <w:t>בעסקה השנייה</w:t>
      </w:r>
      <w:r>
        <w:rPr>
          <w:rtl w:val="true"/>
        </w:rPr>
        <w:t xml:space="preserve">, </w:t>
      </w:r>
      <w:r>
        <w:rPr>
          <w:rtl w:val="true"/>
        </w:rPr>
        <w:t>הוא זה אשר יזם את ההצעה לקיום העסקה</w:t>
      </w:r>
      <w:r>
        <w:rPr>
          <w:rtl w:val="true"/>
        </w:rPr>
        <w:t xml:space="preserve">, </w:t>
      </w:r>
      <w:r>
        <w:rPr>
          <w:rtl w:val="true"/>
        </w:rPr>
        <w:t>הנחה את הסוכן להגיע אל מקום ביצועה</w:t>
      </w:r>
      <w:r>
        <w:rPr>
          <w:rtl w:val="true"/>
        </w:rPr>
        <w:t xml:space="preserve">, </w:t>
      </w:r>
      <w:r>
        <w:rPr>
          <w:rtl w:val="true"/>
        </w:rPr>
        <w:t xml:space="preserve">קיבל את כספי התמורה וידוע כי העביר רק חלק מהם לידי אחר </w:t>
      </w:r>
      <w:r>
        <w:rPr>
          <w:rtl w:val="true"/>
        </w:rPr>
        <w:t>(</w:t>
      </w:r>
      <w:r>
        <w:rPr>
          <w:rtl w:val="true"/>
        </w:rPr>
        <w:t xml:space="preserve">סך של </w:t>
      </w:r>
      <w:r>
        <w:rPr/>
        <w:t>32,000</w:t>
      </w:r>
      <w:r>
        <w:rPr>
          <w:rtl w:val="true"/>
        </w:rPr>
        <w:t xml:space="preserve"> </w:t>
      </w:r>
      <w:r>
        <w:rPr>
          <w:rtl w:val="true"/>
        </w:rPr>
        <w:t>ש</w:t>
      </w:r>
      <w:r>
        <w:rPr>
          <w:rtl w:val="true"/>
        </w:rPr>
        <w:t>"</w:t>
      </w:r>
      <w:r>
        <w:rPr>
          <w:rtl w:val="true"/>
        </w:rPr>
        <w:t xml:space="preserve">ח מתוך התמורה שהתקבלה בסך של </w:t>
      </w:r>
      <w:r>
        <w:rPr/>
        <w:t>35,000</w:t>
      </w:r>
      <w:r>
        <w:rPr>
          <w:rtl w:val="true"/>
        </w:rPr>
        <w:t xml:space="preserve"> </w:t>
      </w:r>
      <w:r>
        <w:rPr>
          <w:rtl w:val="true"/>
        </w:rPr>
        <w:t>ש</w:t>
      </w:r>
      <w:r>
        <w:rPr>
          <w:rtl w:val="true"/>
        </w:rPr>
        <w:t>"</w:t>
      </w:r>
      <w:r>
        <w:rPr>
          <w:rtl w:val="true"/>
        </w:rPr>
        <w:t>ח</w:t>
      </w:r>
      <w:r>
        <w:rPr>
          <w:rtl w:val="true"/>
        </w:rPr>
        <w:t xml:space="preserve">), </w:t>
      </w:r>
      <w:r>
        <w:rPr>
          <w:rtl w:val="true"/>
        </w:rPr>
        <w:t xml:space="preserve">זאת בנוסף לסך של </w:t>
      </w:r>
      <w:r>
        <w:rPr/>
        <w:t>1,000</w:t>
      </w:r>
      <w:r>
        <w:rPr>
          <w:rtl w:val="true"/>
        </w:rPr>
        <w:t xml:space="preserve"> </w:t>
      </w:r>
      <w:r>
        <w:rPr>
          <w:rtl w:val="true"/>
        </w:rPr>
        <w:t>ש</w:t>
      </w:r>
      <w:r>
        <w:rPr>
          <w:rtl w:val="true"/>
        </w:rPr>
        <w:t>"</w:t>
      </w:r>
      <w:r>
        <w:rPr>
          <w:rtl w:val="true"/>
        </w:rPr>
        <w:t>ח ששולמו למשיב עבור חלקו</w:t>
      </w:r>
      <w:r>
        <w:rPr>
          <w:rtl w:val="true"/>
        </w:rPr>
        <w:t xml:space="preserve">. </w:t>
      </w:r>
      <w:r>
        <w:rPr>
          <w:rtl w:val="true"/>
        </w:rPr>
        <w:t>על כן</w:t>
      </w:r>
      <w:r>
        <w:rPr>
          <w:rtl w:val="true"/>
        </w:rPr>
        <w:t xml:space="preserve">, </w:t>
      </w:r>
      <w:r>
        <w:rPr>
          <w:rtl w:val="true"/>
        </w:rPr>
        <w:t xml:space="preserve">מתחם העונש לכל אחת משתי העסקאות הועמד על </w:t>
      </w:r>
      <w:r>
        <w:rPr/>
        <w:t>5-2</w:t>
      </w:r>
      <w:r>
        <w:rPr>
          <w:rtl w:val="true"/>
        </w:rPr>
        <w:t xml:space="preserve"> </w:t>
      </w:r>
      <w:r>
        <w:rPr>
          <w:rtl w:val="true"/>
        </w:rPr>
        <w:t>שנות מאסר בפועל</w:t>
      </w:r>
      <w:r>
        <w:rPr>
          <w:rtl w:val="true"/>
        </w:rPr>
        <w:t xml:space="preserve">. </w:t>
      </w:r>
      <w:r>
        <w:rPr>
          <w:rtl w:val="true"/>
        </w:rPr>
        <w:t xml:space="preserve">בית המשפט לקח בחשבון גם את נסיבותיו האישיות של המשיב ובין היתר את גילו הצעיר בעת ביצוע העבירה </w:t>
      </w:r>
      <w:r>
        <w:rPr>
          <w:rtl w:val="true"/>
        </w:rPr>
        <w:t>(</w:t>
      </w:r>
      <w:r>
        <w:rPr>
          <w:rtl w:val="true"/>
        </w:rPr>
        <w:t>כ</w:t>
      </w:r>
      <w:r>
        <w:rPr>
          <w:rtl w:val="true"/>
        </w:rPr>
        <w:t>-</w:t>
      </w:r>
      <w:r>
        <w:rPr/>
        <w:t>19</w:t>
      </w:r>
      <w:r>
        <w:rPr>
          <w:rtl w:val="true"/>
        </w:rPr>
        <w:t xml:space="preserve"> </w:t>
      </w:r>
      <w:r>
        <w:rPr>
          <w:rtl w:val="true"/>
        </w:rPr>
        <w:t>שנים</w:t>
      </w:r>
      <w:r>
        <w:rPr>
          <w:rtl w:val="true"/>
        </w:rPr>
        <w:t xml:space="preserve">) </w:t>
      </w:r>
      <w:r>
        <w:rPr>
          <w:rtl w:val="true"/>
        </w:rPr>
        <w:t>ואת הרקע שבו גדל</w:t>
      </w:r>
      <w:r>
        <w:rPr>
          <w:rtl w:val="true"/>
        </w:rPr>
        <w:t xml:space="preserve">, </w:t>
      </w:r>
      <w:r>
        <w:rPr>
          <w:rtl w:val="true"/>
        </w:rPr>
        <w:t xml:space="preserve">וסופו של יום גזר עליו עונש של </w:t>
      </w:r>
      <w:r>
        <w:rPr/>
        <w:t>3.5</w:t>
      </w:r>
      <w:r>
        <w:rPr>
          <w:rtl w:val="true"/>
        </w:rPr>
        <w:t xml:space="preserve"> </w:t>
      </w:r>
      <w:r>
        <w:rPr>
          <w:rtl w:val="true"/>
        </w:rPr>
        <w:t>שנות מאסר בפועל</w:t>
      </w:r>
      <w:r>
        <w:rPr>
          <w:rtl w:val="true"/>
        </w:rPr>
        <w:t xml:space="preserve">, </w:t>
      </w:r>
      <w:r>
        <w:rPr>
          <w:rtl w:val="true"/>
        </w:rPr>
        <w:t xml:space="preserve">מאסר על תנאי וקנס כספי בסך של </w:t>
      </w:r>
      <w:r>
        <w:rPr/>
        <w:t>12,000</w:t>
      </w:r>
      <w:r>
        <w:rPr>
          <w:rtl w:val="true"/>
        </w:rPr>
        <w:t xml:space="preserve"> </w:t>
      </w:r>
      <w:r>
        <w:rPr>
          <w:rtl w:val="true"/>
        </w:rPr>
        <w:t>ש</w:t>
      </w:r>
      <w:r>
        <w:rPr>
          <w:rtl w:val="true"/>
        </w:rPr>
        <w:t>"</w:t>
      </w:r>
      <w:r>
        <w:rPr>
          <w:rtl w:val="true"/>
        </w:rPr>
        <w:t>ח</w:t>
      </w:r>
      <w:r>
        <w:rPr>
          <w:rtl w:val="true"/>
        </w:rPr>
        <w:t>.</w:t>
      </w:r>
    </w:p>
    <w:p>
      <w:pPr>
        <w:pStyle w:val="Ruller42"/>
        <w:ind w:end="0"/>
        <w:jc w:val="both"/>
        <w:rPr/>
      </w:pPr>
      <w:r>
        <w:rPr>
          <w:rtl w:val="true"/>
        </w:rPr>
      </w:r>
    </w:p>
    <w:p>
      <w:pPr>
        <w:pStyle w:val="Ruller43"/>
        <w:numPr>
          <w:ilvl w:val="0"/>
          <w:numId w:val="1"/>
        </w:numPr>
        <w:ind w:end="0"/>
        <w:jc w:val="both"/>
        <w:rPr/>
      </w:pPr>
      <w:r>
        <w:rPr>
          <w:rtl w:val="true"/>
        </w:rPr>
        <w:t>לטענת המדינה</w:t>
      </w:r>
      <w:r>
        <w:rPr>
          <w:rtl w:val="true"/>
        </w:rPr>
        <w:t xml:space="preserve">, </w:t>
      </w:r>
      <w:r>
        <w:rPr>
          <w:rtl w:val="true"/>
        </w:rPr>
        <w:t>על אף שהעונשים אינם קלים</w:t>
      </w:r>
      <w:r>
        <w:rPr>
          <w:rtl w:val="true"/>
        </w:rPr>
        <w:t xml:space="preserve">, </w:t>
      </w:r>
      <w:r>
        <w:rPr>
          <w:rtl w:val="true"/>
        </w:rPr>
        <w:t>אין בהם כדי לבטא את חומרת הפגיעה בערכים המוגנים ואת הסכנה הגדולה לביטחון הציבור</w:t>
      </w:r>
      <w:r>
        <w:rPr>
          <w:rtl w:val="true"/>
        </w:rPr>
        <w:t xml:space="preserve">, </w:t>
      </w:r>
      <w:r>
        <w:rPr>
          <w:rtl w:val="true"/>
        </w:rPr>
        <w:t>הנובעת ממעשיו של המשיב ומסוג כלי הנשק שבהם סחר</w:t>
      </w:r>
      <w:r>
        <w:rPr>
          <w:rtl w:val="true"/>
        </w:rPr>
        <w:t xml:space="preserve">. </w:t>
      </w:r>
      <w:r>
        <w:rPr>
          <w:rtl w:val="true"/>
        </w:rPr>
        <w:t>בית המשפט לא נתן מספיק משקל לכך שמדובר בכלי נשק אוטומטיים קטלניים בעלי טווח ירי ארוך יחסית</w:t>
      </w:r>
      <w:r>
        <w:rPr>
          <w:rtl w:val="true"/>
        </w:rPr>
        <w:t xml:space="preserve">. </w:t>
      </w:r>
      <w:r>
        <w:rPr>
          <w:rtl w:val="true"/>
        </w:rPr>
        <w:t>מעבר לדומיננטיות הרבה שהפגין</w:t>
      </w:r>
      <w:r>
        <w:rPr>
          <w:rtl w:val="true"/>
        </w:rPr>
        <w:t xml:space="preserve">, </w:t>
      </w:r>
      <w:r>
        <w:rPr>
          <w:rtl w:val="true"/>
        </w:rPr>
        <w:t>התנהלותו של המשיב גם מלמדת על נגישותו הרבה לכלי נשק מסוגים שונים</w:t>
      </w:r>
      <w:r>
        <w:rPr>
          <w:rtl w:val="true"/>
        </w:rPr>
        <w:t xml:space="preserve">. </w:t>
      </w:r>
      <w:r>
        <w:rPr>
          <w:rtl w:val="true"/>
        </w:rPr>
        <w:t>לא רק שמתחמי העונש שנקבעו מקלים מדי</w:t>
      </w:r>
      <w:r>
        <w:rPr>
          <w:rtl w:val="true"/>
        </w:rPr>
        <w:t xml:space="preserve">, </w:t>
      </w:r>
      <w:r>
        <w:rPr>
          <w:rtl w:val="true"/>
        </w:rPr>
        <w:t>אלא שגם בתוך המתחמים בית המשפט סטה לקולא</w:t>
      </w:r>
      <w:r>
        <w:rPr>
          <w:rtl w:val="true"/>
        </w:rPr>
        <w:t xml:space="preserve">, </w:t>
      </w:r>
      <w:r>
        <w:rPr>
          <w:rtl w:val="true"/>
        </w:rPr>
        <w:t>באופן שאינו מגשים את התכלית של הרתעת היחיד והרבים</w:t>
      </w:r>
      <w:r>
        <w:rPr>
          <w:rtl w:val="true"/>
        </w:rPr>
        <w:t>.</w:t>
      </w:r>
    </w:p>
    <w:p>
      <w:pPr>
        <w:pStyle w:val="Ruller42"/>
        <w:ind w:end="0"/>
        <w:jc w:val="both"/>
        <w:rPr/>
      </w:pPr>
      <w:r>
        <w:rPr>
          <w:rtl w:val="true"/>
        </w:rPr>
      </w:r>
    </w:p>
    <w:p>
      <w:pPr>
        <w:pStyle w:val="Ruller43"/>
        <w:numPr>
          <w:ilvl w:val="0"/>
          <w:numId w:val="1"/>
        </w:numPr>
        <w:ind w:end="0"/>
        <w:jc w:val="both"/>
        <w:rPr/>
      </w:pPr>
      <w:r>
        <w:rPr>
          <w:rtl w:val="true"/>
        </w:rPr>
        <w:t>מנגד</w:t>
      </w:r>
      <w:r>
        <w:rPr>
          <w:rtl w:val="true"/>
        </w:rPr>
        <w:t xml:space="preserve">, </w:t>
      </w:r>
      <w:r>
        <w:rPr>
          <w:rtl w:val="true"/>
        </w:rPr>
        <w:t>המשיב טען כי אין המדובר בעונש קל</w:t>
      </w:r>
      <w:r>
        <w:rPr>
          <w:rtl w:val="true"/>
        </w:rPr>
        <w:t xml:space="preserve">, </w:t>
      </w:r>
      <w:r>
        <w:rPr>
          <w:rtl w:val="true"/>
        </w:rPr>
        <w:t>ובוודאי לא כזה החורג ממתחם הסבירות באופן המצדיק את התערבות ערכאת הערעור</w:t>
      </w:r>
      <w:r>
        <w:rPr>
          <w:rtl w:val="true"/>
        </w:rPr>
        <w:t xml:space="preserve">. </w:t>
      </w:r>
      <w:r>
        <w:rPr>
          <w:rtl w:val="true"/>
        </w:rPr>
        <w:t>בית המשפט המחוזי התייחס לכל השיקולים והטענות שהעלתה המדינה והביאם בחשבון בעת גזירת העונש</w:t>
      </w:r>
      <w:r>
        <w:rPr>
          <w:rtl w:val="true"/>
        </w:rPr>
        <w:t xml:space="preserve">. </w:t>
      </w:r>
      <w:r>
        <w:rPr>
          <w:rtl w:val="true"/>
        </w:rPr>
        <w:t>מדובר בנאשם צעיר ונעדר עבר פלילי</w:t>
      </w:r>
      <w:r>
        <w:rPr>
          <w:rtl w:val="true"/>
        </w:rPr>
        <w:t xml:space="preserve">. </w:t>
      </w:r>
      <w:r>
        <w:rPr>
          <w:rtl w:val="true"/>
        </w:rPr>
        <w:t>הסיכון להישנות ההתנהגות האלימה הוערך כנמוך והתרשמות גורמי הטיפול ממנו היא חיובית</w:t>
      </w:r>
      <w:r>
        <w:rPr>
          <w:rtl w:val="true"/>
        </w:rPr>
        <w:t xml:space="preserve">. </w:t>
      </w:r>
      <w:r>
        <w:rPr>
          <w:rtl w:val="true"/>
        </w:rPr>
        <w:t>באשר להשוואת עניינו לעניינם של יתר הנאשמים בפרשה</w:t>
      </w:r>
      <w:r>
        <w:rPr>
          <w:rtl w:val="true"/>
        </w:rPr>
        <w:t xml:space="preserve">, </w:t>
      </w:r>
      <w:r>
        <w:rPr>
          <w:rtl w:val="true"/>
        </w:rPr>
        <w:t>אך טבעי כי דינו של מי שחלקו בביצוע העבירות אינו מרכזי ושבעניינו קיים אופק שיקומי</w:t>
      </w:r>
      <w:r>
        <w:rPr>
          <w:rtl w:val="true"/>
        </w:rPr>
        <w:t xml:space="preserve">, </w:t>
      </w:r>
      <w:r>
        <w:rPr>
          <w:rtl w:val="true"/>
        </w:rPr>
        <w:t>לא יהיה כדינו של מי שסחר בכלי נשק רבים ונעדר אופק שיקומי</w:t>
      </w:r>
      <w:r>
        <w:rPr>
          <w:rtl w:val="true"/>
        </w:rPr>
        <w:t xml:space="preserve">. </w:t>
      </w:r>
      <w:r>
        <w:rPr>
          <w:rtl w:val="true"/>
        </w:rPr>
        <w:t>כן נטען כי יש לתת משקל לכך שהרווח הכלכלי שהפיק המשיב מהעסקאות הוא זניח ביחס להיקפן הכספי הכולל</w:t>
      </w:r>
      <w:r>
        <w:rPr>
          <w:rtl w:val="true"/>
        </w:rPr>
        <w:t xml:space="preserve">, </w:t>
      </w:r>
      <w:r>
        <w:rPr>
          <w:rtl w:val="true"/>
        </w:rPr>
        <w:t>לחרטה הכנה שהביע ולתהליך הטיפולי החיובי שהוא עובר</w:t>
      </w:r>
      <w:r>
        <w:rPr>
          <w:rtl w:val="true"/>
        </w:rPr>
        <w:t xml:space="preserve">. </w:t>
      </w:r>
    </w:p>
    <w:p>
      <w:pPr>
        <w:pStyle w:val="Ruller43"/>
        <w:numPr>
          <w:ilvl w:val="0"/>
          <w:numId w:val="0"/>
        </w:numPr>
        <w:ind w:hanging="0" w:start="0" w:end="0"/>
        <w:jc w:val="both"/>
        <w:rPr/>
      </w:pPr>
      <w:r>
        <w:rPr>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ב</w:t>
      </w:r>
      <w:r>
        <w:rPr>
          <w:rFonts w:cs="Miriam" w:ascii="Century" w:hAnsi="Century"/>
          <w:b/>
          <w:spacing w:val="0"/>
          <w:szCs w:val="24"/>
          <w:rtl w:val="true"/>
        </w:rPr>
        <w:t xml:space="preserve">. </w:t>
      </w:r>
      <w:r>
        <w:rPr>
          <w:rFonts w:ascii="Century" w:hAnsi="Century" w:cs="Miriam"/>
          <w:b/>
          <w:b/>
          <w:spacing w:val="0"/>
          <w:szCs w:val="24"/>
          <w:rtl w:val="true"/>
        </w:rPr>
        <w:t>דיון</w:t>
      </w:r>
      <w:r>
        <w:rPr>
          <w:rFonts w:ascii="Century" w:hAnsi="Century" w:eastAsia="Century" w:cs="Century"/>
          <w:b/>
          <w:b/>
          <w:spacing w:val="0"/>
          <w:szCs w:val="24"/>
          <w:rtl w:val="true"/>
        </w:rPr>
        <w:t xml:space="preserve"> </w:t>
      </w:r>
      <w:r>
        <w:rPr>
          <w:rFonts w:ascii="Century" w:hAnsi="Century" w:cs="Miriam"/>
          <w:b/>
          <w:b/>
          <w:spacing w:val="0"/>
          <w:szCs w:val="24"/>
          <w:rtl w:val="true"/>
        </w:rPr>
        <w:t>והכרעה</w:t>
      </w:r>
    </w:p>
    <w:p>
      <w:pPr>
        <w:pStyle w:val="Ruller43"/>
        <w:numPr>
          <w:ilvl w:val="0"/>
          <w:numId w:val="1"/>
        </w:numPr>
        <w:ind w:end="0"/>
        <w:jc w:val="both"/>
        <w:rPr/>
      </w:pPr>
      <w:r>
        <w:rPr>
          <w:rtl w:val="true"/>
        </w:rPr>
        <w:t>המשיב הורשע בגין מעורבות בשתי עסקאות</w:t>
      </w:r>
      <w:r>
        <w:rPr>
          <w:rtl w:val="true"/>
        </w:rPr>
        <w:t xml:space="preserve">, </w:t>
      </w:r>
      <w:r>
        <w:rPr>
          <w:rtl w:val="true"/>
        </w:rPr>
        <w:t xml:space="preserve">בכל אחת מהן לקח חלק פעיל </w:t>
      </w:r>
      <w:r>
        <w:rPr>
          <w:rtl w:val="true"/>
        </w:rPr>
        <w:t>–</w:t>
      </w:r>
      <w:r>
        <w:rPr>
          <w:rtl w:val="true"/>
        </w:rPr>
        <w:t xml:space="preserve"> מסר את כלי הנשק לסוכן וגם הביע בפניו כי יוכל לספק לו כלי נשק נוספים</w:t>
      </w:r>
      <w:r>
        <w:rPr>
          <w:rtl w:val="true"/>
        </w:rPr>
        <w:t xml:space="preserve">. </w:t>
      </w:r>
      <w:r>
        <w:rPr>
          <w:rtl w:val="true"/>
        </w:rPr>
        <w:t>מעשיו חמורים</w:t>
      </w:r>
      <w:r>
        <w:rPr>
          <w:rtl w:val="true"/>
        </w:rPr>
        <w:t xml:space="preserve">, </w:t>
      </w:r>
      <w:r>
        <w:rPr>
          <w:rtl w:val="true"/>
        </w:rPr>
        <w:t>והסכנה הנשקפת מהם לשלום הציבור הרחב ובטחונו הינה גדולה</w:t>
      </w:r>
      <w:r>
        <w:rPr>
          <w:rtl w:val="true"/>
        </w:rPr>
        <w:t xml:space="preserve">. </w:t>
      </w:r>
      <w:r>
        <w:rPr>
          <w:rtl w:val="true"/>
        </w:rPr>
        <w:t>עם זאת</w:t>
      </w:r>
      <w:r>
        <w:rPr>
          <w:rtl w:val="true"/>
        </w:rPr>
        <w:t xml:space="preserve">, </w:t>
      </w:r>
      <w:r>
        <w:rPr>
          <w:rtl w:val="true"/>
        </w:rPr>
        <w:t>ואף בהתחשב במגמת ההחמרה בענישה בעבירות מעין אלו</w:t>
      </w:r>
      <w:r>
        <w:rPr>
          <w:rtl w:val="true"/>
        </w:rPr>
        <w:t xml:space="preserve">, </w:t>
      </w:r>
      <w:r>
        <w:rPr>
          <w:rtl w:val="true"/>
        </w:rPr>
        <w:t>לא מצאתי כי בית המשפט סטה באופן ממשי מרמת הענישה המקובלת או הראויה בנסיבות דומות</w:t>
      </w:r>
      <w:r>
        <w:rPr>
          <w:rtl w:val="true"/>
        </w:rPr>
        <w:t xml:space="preserve">, </w:t>
      </w:r>
      <w:r>
        <w:rPr>
          <w:rtl w:val="true"/>
        </w:rPr>
        <w:t>באופן המצדיק את התערבותנו</w:t>
      </w:r>
      <w:r>
        <w:rPr>
          <w:rtl w:val="true"/>
        </w:rPr>
        <w:t xml:space="preserve">. </w:t>
      </w:r>
    </w:p>
    <w:p>
      <w:pPr>
        <w:pStyle w:val="Ruller43"/>
        <w:numPr>
          <w:ilvl w:val="0"/>
          <w:numId w:val="0"/>
        </w:numPr>
        <w:ind w:hanging="0" w:start="0" w:end="0"/>
        <w:jc w:val="both"/>
        <w:rPr/>
      </w:pPr>
      <w:r>
        <w:rPr>
          <w:rtl w:val="true"/>
        </w:rPr>
      </w:r>
    </w:p>
    <w:p>
      <w:pPr>
        <w:pStyle w:val="Ruller43"/>
        <w:numPr>
          <w:ilvl w:val="0"/>
          <w:numId w:val="1"/>
        </w:numPr>
        <w:ind w:end="0"/>
        <w:jc w:val="both"/>
        <w:rPr/>
      </w:pPr>
      <w:r>
        <w:rPr>
          <w:rtl w:val="true"/>
        </w:rPr>
        <w:t>בגזר דינו בית המשפט לקח בחשבון הן את נסיבות ביצוע העבירות ואת חומרת המעשים</w:t>
      </w:r>
      <w:r>
        <w:rPr>
          <w:rtl w:val="true"/>
        </w:rPr>
        <w:t xml:space="preserve">, </w:t>
      </w:r>
      <w:r>
        <w:rPr>
          <w:rtl w:val="true"/>
        </w:rPr>
        <w:t xml:space="preserve">בקובעו שני מתחמי ענישה הנעים כל אחד בין </w:t>
      </w:r>
      <w:r>
        <w:rPr/>
        <w:t>2</w:t>
      </w:r>
      <w:r>
        <w:rPr>
          <w:rtl w:val="true"/>
        </w:rPr>
        <w:t xml:space="preserve"> </w:t>
      </w:r>
      <w:r>
        <w:rPr>
          <w:rtl w:val="true"/>
        </w:rPr>
        <w:t>ל</w:t>
      </w:r>
      <w:r>
        <w:rPr>
          <w:rtl w:val="true"/>
        </w:rPr>
        <w:t>-</w:t>
      </w:r>
      <w:r>
        <w:rPr/>
        <w:t>5</w:t>
      </w:r>
      <w:r>
        <w:rPr>
          <w:rtl w:val="true"/>
        </w:rPr>
        <w:t xml:space="preserve"> </w:t>
      </w:r>
      <w:r>
        <w:rPr>
          <w:rtl w:val="true"/>
        </w:rPr>
        <w:t>שנות מאסר</w:t>
      </w:r>
      <w:r>
        <w:rPr>
          <w:rtl w:val="true"/>
        </w:rPr>
        <w:t xml:space="preserve">, </w:t>
      </w:r>
      <w:r>
        <w:rPr>
          <w:rtl w:val="true"/>
        </w:rPr>
        <w:t>והן את נסיבותיו האישיות של המשיב</w:t>
      </w:r>
      <w:r>
        <w:rPr>
          <w:rtl w:val="true"/>
        </w:rPr>
        <w:t xml:space="preserve">, </w:t>
      </w:r>
      <w:r>
        <w:rPr>
          <w:rtl w:val="true"/>
        </w:rPr>
        <w:t>תוך שימת לב לעונש שהושת על שאר הנאשמים בפרשה</w:t>
      </w:r>
      <w:r>
        <w:rPr>
          <w:rtl w:val="true"/>
        </w:rPr>
        <w:t xml:space="preserve">, </w:t>
      </w:r>
      <w:r>
        <w:rPr>
          <w:rtl w:val="true"/>
        </w:rPr>
        <w:t xml:space="preserve">ובמיוחד על נאשם </w:t>
      </w:r>
      <w:r>
        <w:rPr/>
        <w:t>6</w:t>
      </w:r>
      <w:r>
        <w:rPr>
          <w:rtl w:val="true"/>
        </w:rPr>
        <w:t xml:space="preserve"> (</w:t>
      </w:r>
      <w:r>
        <w:rPr>
          <w:rtl w:val="true"/>
        </w:rPr>
        <w:t>המשיב ב</w:t>
      </w:r>
      <w:r>
        <w:rPr>
          <w:rtl w:val="true"/>
        </w:rPr>
        <w:t>ע</w:t>
      </w:r>
      <w:r>
        <w:rPr>
          <w:rtl w:val="true"/>
        </w:rPr>
        <w:t>"</w:t>
      </w:r>
      <w:r>
        <w:rPr>
          <w:rtl w:val="true"/>
        </w:rPr>
        <w:t>פ</w:t>
      </w:r>
      <w:r>
        <w:rPr>
          <w:rtl w:val="true"/>
        </w:rPr>
        <w:t xml:space="preserve"> </w:t>
      </w:r>
      <w:r>
        <w:rPr/>
        <w:t>8347/17</w:t>
      </w:r>
      <w:r>
        <w:rPr>
          <w:rtl w:val="true"/>
        </w:rPr>
        <w:t xml:space="preserve">) </w:t>
      </w:r>
      <w:r>
        <w:rPr>
          <w:rtl w:val="true"/>
        </w:rPr>
        <w:t xml:space="preserve">אשר הורשע אף הוא במעורבות בשתי עסקאות </w:t>
      </w:r>
      <w:r>
        <w:rPr>
          <w:rtl w:val="true"/>
        </w:rPr>
        <w:t>(</w:t>
      </w:r>
      <w:r>
        <w:rPr>
          <w:rtl w:val="true"/>
        </w:rPr>
        <w:t xml:space="preserve">ואף עליו הושת עונש של </w:t>
      </w:r>
      <w:r>
        <w:rPr/>
        <w:t>3</w:t>
      </w:r>
      <w:r>
        <w:rPr>
          <w:rtl w:val="true"/>
        </w:rPr>
        <w:t xml:space="preserve"> </w:t>
      </w:r>
      <w:r>
        <w:rPr>
          <w:rtl w:val="true"/>
        </w:rPr>
        <w:t>שנות מאסר בפועל</w:t>
      </w:r>
      <w:r>
        <w:rPr>
          <w:rtl w:val="true"/>
        </w:rPr>
        <w:t xml:space="preserve">). </w:t>
      </w:r>
      <w:r>
        <w:rPr>
          <w:rtl w:val="true"/>
        </w:rPr>
        <w:t>סופו של יום</w:t>
      </w:r>
      <w:r>
        <w:rPr>
          <w:rtl w:val="true"/>
        </w:rPr>
        <w:t xml:space="preserve">, </w:t>
      </w:r>
      <w:r>
        <w:rPr>
          <w:rtl w:val="true"/>
        </w:rPr>
        <w:t xml:space="preserve">הושתו על המשיב </w:t>
      </w:r>
      <w:r>
        <w:rPr/>
        <w:t>3.5</w:t>
      </w:r>
      <w:r>
        <w:rPr>
          <w:rtl w:val="true"/>
        </w:rPr>
        <w:t xml:space="preserve"> </w:t>
      </w:r>
      <w:r>
        <w:rPr>
          <w:rtl w:val="true"/>
        </w:rPr>
        <w:t>שנות מאסר בפועל</w:t>
      </w:r>
      <w:r>
        <w:rPr>
          <w:rtl w:val="true"/>
        </w:rPr>
        <w:t xml:space="preserve">, </w:t>
      </w:r>
      <w:r>
        <w:rPr>
          <w:rtl w:val="true"/>
        </w:rPr>
        <w:t>ואף אם יש בעונש זה משום יחס מקל למשיב</w:t>
      </w:r>
      <w:r>
        <w:rPr>
          <w:rtl w:val="true"/>
        </w:rPr>
        <w:t xml:space="preserve">, </w:t>
      </w:r>
      <w:r>
        <w:rPr>
          <w:rtl w:val="true"/>
        </w:rPr>
        <w:t>אין הוא מצדיק כאמור התערבות בו</w:t>
      </w:r>
      <w:r>
        <w:rPr>
          <w:rtl w:val="true"/>
        </w:rPr>
        <w:t xml:space="preserve">. </w:t>
      </w:r>
      <w:r>
        <w:rPr>
          <w:rtl w:val="true"/>
        </w:rPr>
        <w:t>לפיכך</w:t>
      </w:r>
      <w:r>
        <w:rPr>
          <w:rtl w:val="true"/>
        </w:rPr>
        <w:t xml:space="preserve">, </w:t>
      </w:r>
      <w:r>
        <w:rPr>
          <w:rtl w:val="true"/>
        </w:rPr>
        <w:t>אם תשמע דעתי דין ערעור זה להידחות</w:t>
      </w:r>
      <w:r>
        <w:rPr>
          <w:rtl w:val="true"/>
        </w:rPr>
        <w:t xml:space="preserve">. </w:t>
      </w:r>
    </w:p>
    <w:p>
      <w:pPr>
        <w:pStyle w:val="Ruller42"/>
        <w:ind w:end="0"/>
        <w:jc w:val="both"/>
        <w:rPr/>
      </w:pPr>
      <w:r>
        <w:rPr>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נאשם</w:t>
      </w:r>
      <w:r>
        <w:rPr>
          <w:rFonts w:ascii="Century" w:hAnsi="Century" w:eastAsia="Century" w:cs="Century"/>
          <w:b/>
          <w:b/>
          <w:spacing w:val="0"/>
          <w:szCs w:val="24"/>
          <w:rtl w:val="true"/>
        </w:rPr>
        <w:t xml:space="preserve"> </w:t>
      </w:r>
      <w:r>
        <w:rPr>
          <w:rFonts w:cs="Miriam" w:ascii="Century" w:hAnsi="Century"/>
          <w:b/>
          <w:spacing w:val="0"/>
          <w:szCs w:val="24"/>
        </w:rPr>
        <w:t>13</w:t>
      </w:r>
      <w:r>
        <w:rPr>
          <w:rFonts w:cs="Miriam" w:ascii="Century" w:hAnsi="Century"/>
          <w:b/>
          <w:spacing w:val="0"/>
          <w:szCs w:val="24"/>
          <w:rtl w:val="true"/>
        </w:rPr>
        <w:t xml:space="preserve"> (</w:t>
      </w:r>
      <w:r>
        <w:rPr>
          <w:rFonts w:ascii="Century" w:hAnsi="Century" w:cs="Miriam"/>
          <w:b/>
          <w:b/>
          <w:spacing w:val="0"/>
          <w:szCs w:val="24"/>
          <w:rtl w:val="true"/>
        </w:rPr>
        <w:t>משיב</w:t>
      </w:r>
      <w:r>
        <w:rPr>
          <w:rFonts w:ascii="Century" w:hAnsi="Century" w:eastAsia="Century" w:cs="Century"/>
          <w:b/>
          <w:b/>
          <w:spacing w:val="0"/>
          <w:szCs w:val="24"/>
          <w:rtl w:val="true"/>
        </w:rPr>
        <w:t xml:space="preserve"> </w:t>
      </w:r>
      <w:r>
        <w:rPr>
          <w:rFonts w:cs="Miriam" w:ascii="Century" w:hAnsi="Century"/>
          <w:b/>
          <w:spacing w:val="0"/>
          <w:szCs w:val="24"/>
        </w:rPr>
        <w:t>2</w:t>
      </w:r>
      <w:r>
        <w:rPr>
          <w:rFonts w:cs="Miriam" w:ascii="Century" w:hAnsi="Century"/>
          <w:b/>
          <w:spacing w:val="0"/>
          <w:szCs w:val="24"/>
          <w:rtl w:val="true"/>
        </w:rPr>
        <w:t xml:space="preserve"> </w:t>
      </w:r>
      <w:r>
        <w:rPr>
          <w:rFonts w:ascii="Century" w:hAnsi="Century" w:cs="Miriam"/>
          <w:b/>
          <w:b/>
          <w:spacing w:val="0"/>
          <w:szCs w:val="24"/>
          <w:rtl w:val="true"/>
        </w:rPr>
        <w:t>ב</w:t>
      </w:r>
      <w:r>
        <w:rPr>
          <w:rFonts w:ascii="Century" w:hAnsi="Century" w:cs="Miriam"/>
          <w:b/>
          <w:b/>
          <w:spacing w:val="0"/>
          <w:szCs w:val="24"/>
          <w:rtl w:val="true"/>
        </w:rPr>
        <w:t>ע</w:t>
      </w:r>
      <w:r>
        <w:rPr>
          <w:rFonts w:cs="Miriam" w:ascii="Century" w:hAnsi="Century"/>
          <w:b/>
          <w:spacing w:val="0"/>
          <w:szCs w:val="24"/>
          <w:rtl w:val="true"/>
        </w:rPr>
        <w:t>"</w:t>
      </w:r>
      <w:r>
        <w:rPr>
          <w:rFonts w:ascii="Century" w:hAnsi="Century" w:cs="Miriam"/>
          <w:b/>
          <w:b/>
          <w:spacing w:val="0"/>
          <w:szCs w:val="24"/>
          <w:rtl w:val="true"/>
        </w:rPr>
        <w:t>פ</w:t>
      </w:r>
      <w:r>
        <w:rPr>
          <w:rFonts w:ascii="Century" w:hAnsi="Century" w:eastAsia="Century" w:cs="Century"/>
          <w:b/>
          <w:b/>
          <w:spacing w:val="0"/>
          <w:szCs w:val="24"/>
          <w:rtl w:val="true"/>
        </w:rPr>
        <w:t xml:space="preserve"> </w:t>
      </w:r>
      <w:r>
        <w:rPr>
          <w:rFonts w:cs="Miriam" w:ascii="Century" w:hAnsi="Century"/>
          <w:b/>
          <w:spacing w:val="0"/>
          <w:szCs w:val="24"/>
        </w:rPr>
        <w:t>999/18</w:t>
      </w:r>
      <w:r>
        <w:rPr>
          <w:rFonts w:cs="Miriam" w:ascii="Century" w:hAnsi="Century"/>
          <w:b/>
          <w:spacing w:val="0"/>
          <w:szCs w:val="24"/>
          <w:rtl w:val="true"/>
        </w:rPr>
        <w:t>)</w:t>
      </w:r>
    </w:p>
    <w:p>
      <w:pPr>
        <w:pStyle w:val="Ruller43"/>
        <w:numPr>
          <w:ilvl w:val="0"/>
          <w:numId w:val="0"/>
        </w:numPr>
        <w:ind w:hanging="0" w:start="0" w:end="0"/>
        <w:jc w:val="both"/>
        <w:rPr>
          <w:rFonts w:ascii="Century" w:hAnsi="Century" w:cs="Miriam"/>
          <w:b/>
          <w:spacing w:val="0"/>
          <w:sz w:val="22"/>
          <w:szCs w:val="24"/>
        </w:rPr>
      </w:pP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הרקע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לערעור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וטענות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הצדדים</w:t>
      </w:r>
    </w:p>
    <w:p>
      <w:pPr>
        <w:pStyle w:val="Ruller43"/>
        <w:numPr>
          <w:ilvl w:val="0"/>
          <w:numId w:val="1"/>
        </w:numPr>
        <w:ind w:end="0"/>
        <w:jc w:val="both"/>
        <w:rPr>
          <w:rFonts w:ascii="Century" w:hAnsi="Century" w:cs="Century"/>
          <w:sz w:val="22"/>
        </w:rPr>
      </w:pPr>
      <w:r>
        <w:rPr>
          <w:rFonts w:ascii="Century" w:hAnsi="Century" w:cs="Century"/>
          <w:sz w:val="22"/>
          <w:sz w:val="22"/>
          <w:rtl w:val="true"/>
        </w:rPr>
        <w:t>המשיב הורשע בעבירות של סחר בנשק וקשירת קשר לסחר בנשק</w:t>
      </w:r>
      <w:r>
        <w:rPr>
          <w:rFonts w:cs="Century" w:ascii="Century" w:hAnsi="Century"/>
          <w:sz w:val="22"/>
          <w:rtl w:val="true"/>
        </w:rPr>
        <w:t xml:space="preserve">, </w:t>
      </w:r>
      <w:r>
        <w:rPr>
          <w:rFonts w:ascii="Century" w:hAnsi="Century" w:cs="Century"/>
          <w:sz w:val="22"/>
          <w:sz w:val="22"/>
          <w:rtl w:val="true"/>
        </w:rPr>
        <w:t>בגין מעורבותו בעסקה במסגרתה נמכרו לסוכן שלושה תתי</w:t>
      </w:r>
      <w:r>
        <w:rPr>
          <w:rFonts w:cs="Century" w:ascii="Century" w:hAnsi="Century"/>
          <w:sz w:val="22"/>
          <w:rtl w:val="true"/>
        </w:rPr>
        <w:t>-</w:t>
      </w:r>
      <w:r>
        <w:rPr>
          <w:rFonts w:ascii="Century" w:hAnsi="Century" w:cs="Century"/>
          <w:sz w:val="22"/>
          <w:sz w:val="22"/>
          <w:rtl w:val="true"/>
        </w:rPr>
        <w:t>מקלע מסוג קרלו</w:t>
      </w:r>
      <w:r>
        <w:rPr>
          <w:rFonts w:cs="Century" w:ascii="Century" w:hAnsi="Century"/>
          <w:sz w:val="22"/>
          <w:rtl w:val="true"/>
        </w:rPr>
        <w:t xml:space="preserve">, </w:t>
      </w:r>
      <w:r>
        <w:rPr>
          <w:rFonts w:ascii="Century" w:hAnsi="Century" w:cs="Century"/>
          <w:sz w:val="22"/>
          <w:sz w:val="22"/>
          <w:rtl w:val="true"/>
        </w:rPr>
        <w:t>שלוש מחסניות ו</w:t>
      </w:r>
      <w:r>
        <w:rPr>
          <w:rFonts w:cs="Century" w:ascii="Century" w:hAnsi="Century"/>
          <w:sz w:val="22"/>
          <w:rtl w:val="true"/>
        </w:rPr>
        <w:t>-</w:t>
      </w:r>
      <w:r>
        <w:rPr>
          <w:rFonts w:cs="Century" w:ascii="Century" w:hAnsi="Century"/>
          <w:sz w:val="22"/>
        </w:rPr>
        <w:t>150</w:t>
      </w:r>
      <w:r>
        <w:rPr>
          <w:rFonts w:cs="Century" w:ascii="Century" w:hAnsi="Century"/>
          <w:sz w:val="22"/>
          <w:rtl w:val="true"/>
        </w:rPr>
        <w:t xml:space="preserve"> </w:t>
      </w:r>
      <w:r>
        <w:rPr>
          <w:rFonts w:ascii="Century" w:hAnsi="Century" w:cs="Century"/>
          <w:sz w:val="22"/>
          <w:sz w:val="22"/>
          <w:rtl w:val="true"/>
        </w:rPr>
        <w:t>קליעים</w:t>
      </w:r>
      <w:r>
        <w:rPr>
          <w:rFonts w:cs="Century" w:ascii="Century" w:hAnsi="Century"/>
          <w:sz w:val="22"/>
          <w:rtl w:val="true"/>
        </w:rPr>
        <w:t xml:space="preserve">, </w:t>
      </w:r>
      <w:r>
        <w:rPr>
          <w:rFonts w:ascii="Century" w:hAnsi="Century" w:cs="Century"/>
          <w:sz w:val="22"/>
          <w:sz w:val="22"/>
          <w:rtl w:val="true"/>
        </w:rPr>
        <w:t>תמורת סך כולל ש</w:t>
      </w:r>
      <w:r>
        <w:rPr>
          <w:rtl w:val="true"/>
        </w:rPr>
        <w:t xml:space="preserve">ל </w:t>
      </w:r>
      <w:r>
        <w:rPr/>
        <w:t>21,000</w:t>
      </w:r>
      <w:r>
        <w:rPr>
          <w:rtl w:val="true"/>
        </w:rPr>
        <w:t xml:space="preserve"> </w:t>
      </w:r>
      <w:r>
        <w:rPr>
          <w:rtl w:val="true"/>
        </w:rPr>
        <w:t>ש</w:t>
      </w:r>
      <w:r>
        <w:rPr>
          <w:rtl w:val="true"/>
        </w:rPr>
        <w:t>"</w:t>
      </w:r>
      <w:r>
        <w:rPr>
          <w:rtl w:val="true"/>
        </w:rPr>
        <w:t>ח</w:t>
      </w:r>
      <w:r>
        <w:rPr>
          <w:rFonts w:cs="Century" w:ascii="Century" w:hAnsi="Century"/>
          <w:sz w:val="22"/>
          <w:rtl w:val="true"/>
        </w:rPr>
        <w:t>.</w:t>
      </w:r>
    </w:p>
    <w:p>
      <w:pPr>
        <w:pStyle w:val="Ruller42"/>
        <w:ind w:end="0"/>
        <w:jc w:val="both"/>
        <w:rPr>
          <w:rFonts w:ascii="Century" w:hAnsi="Century" w:cs="Century"/>
          <w:sz w:val="22"/>
        </w:rPr>
      </w:pPr>
      <w:r>
        <w:rPr>
          <w:rFonts w:cs="Century" w:ascii="Century" w:hAnsi="Century"/>
          <w:sz w:val="22"/>
          <w:rtl w:val="true"/>
        </w:rPr>
      </w:r>
    </w:p>
    <w:p>
      <w:pPr>
        <w:pStyle w:val="Ruller43"/>
        <w:numPr>
          <w:ilvl w:val="0"/>
          <w:numId w:val="1"/>
        </w:numPr>
        <w:ind w:end="0"/>
        <w:jc w:val="both"/>
        <w:rPr/>
      </w:pPr>
      <w:r>
        <w:rPr>
          <w:rtl w:val="true"/>
        </w:rPr>
        <w:t>מתסקיר שירות המבחן שהוגש לפני בית המשפט המחוזי עלה</w:t>
      </w:r>
      <w:r>
        <w:rPr>
          <w:rtl w:val="true"/>
        </w:rPr>
        <w:t xml:space="preserve">, </w:t>
      </w:r>
      <w:r>
        <w:rPr>
          <w:rtl w:val="true"/>
        </w:rPr>
        <w:t>כי מדובר באדם צעיר אשר נסיבות חייו קשות</w:t>
      </w:r>
      <w:r>
        <w:rPr>
          <w:rtl w:val="true"/>
        </w:rPr>
        <w:t xml:space="preserve">. </w:t>
      </w:r>
      <w:r>
        <w:rPr>
          <w:rtl w:val="true"/>
        </w:rPr>
        <w:t>רמת הסיכון להישנות ההתנהגות האלימה מצדו הוערכה כבינונית</w:t>
      </w:r>
      <w:r>
        <w:rPr>
          <w:rtl w:val="true"/>
        </w:rPr>
        <w:t xml:space="preserve">, </w:t>
      </w:r>
      <w:r>
        <w:rPr>
          <w:rtl w:val="true"/>
        </w:rPr>
        <w:t>אם כי צוין כי ההליכים המשפטיים שננקטו נגדו הביאו להפחתה מסוימת בסיכון זה</w:t>
      </w:r>
      <w:r>
        <w:rPr>
          <w:rtl w:val="true"/>
        </w:rPr>
        <w:t xml:space="preserve">. </w:t>
      </w:r>
      <w:r>
        <w:rPr>
          <w:rtl w:val="true"/>
        </w:rPr>
        <w:t>לא ניתנה בעניינו המלצה על הליך טיפולי</w:t>
      </w:r>
      <w:r>
        <w:rPr>
          <w:rtl w:val="true"/>
        </w:rPr>
        <w:t xml:space="preserve">, </w:t>
      </w:r>
      <w:r>
        <w:rPr>
          <w:rtl w:val="true"/>
        </w:rPr>
        <w:t>אלא על תקופת מאסר קצרה</w:t>
      </w:r>
      <w:r>
        <w:rPr>
          <w:rtl w:val="true"/>
        </w:rPr>
        <w:t>.</w:t>
      </w:r>
    </w:p>
    <w:p>
      <w:pPr>
        <w:pStyle w:val="Ruller42"/>
        <w:ind w:end="0"/>
        <w:jc w:val="both"/>
        <w:rPr/>
      </w:pPr>
      <w:r>
        <w:rPr>
          <w:rtl w:val="true"/>
        </w:rPr>
      </w:r>
    </w:p>
    <w:p>
      <w:pPr>
        <w:pStyle w:val="Ruller43"/>
        <w:numPr>
          <w:ilvl w:val="0"/>
          <w:numId w:val="1"/>
        </w:numPr>
        <w:ind w:end="0"/>
        <w:jc w:val="both"/>
        <w:rPr>
          <w:rFonts w:ascii="Century" w:hAnsi="Century" w:cs="Century"/>
          <w:sz w:val="22"/>
        </w:rPr>
      </w:pPr>
      <w:r>
        <w:rPr>
          <w:rtl w:val="true"/>
        </w:rPr>
        <w:t xml:space="preserve">בגזר הדין </w:t>
      </w:r>
      <w:r>
        <w:rPr>
          <w:rFonts w:ascii="Century" w:hAnsi="Century" w:cs="Century"/>
          <w:sz w:val="22"/>
          <w:sz w:val="22"/>
          <w:rtl w:val="true"/>
        </w:rPr>
        <w:t xml:space="preserve">צוין כי העובדה שנאשם </w:t>
      </w:r>
      <w:r>
        <w:rPr>
          <w:rFonts w:cs="Century" w:ascii="Century" w:hAnsi="Century"/>
          <w:sz w:val="22"/>
        </w:rPr>
        <w:t>2</w:t>
      </w:r>
      <w:r>
        <w:rPr>
          <w:rFonts w:cs="Century" w:ascii="Century" w:hAnsi="Century"/>
          <w:sz w:val="22"/>
          <w:rtl w:val="true"/>
        </w:rPr>
        <w:t xml:space="preserve"> (</w:t>
      </w:r>
      <w:r>
        <w:rPr>
          <w:rFonts w:ascii="Century" w:hAnsi="Century" w:cs="Century"/>
          <w:sz w:val="22"/>
          <w:sz w:val="22"/>
          <w:rtl w:val="true"/>
        </w:rPr>
        <w:t>המערער ב</w:t>
      </w:r>
      <w:r>
        <w:rPr>
          <w:rFonts w:ascii="Century" w:hAnsi="Century" w:cs="Century"/>
          <w:sz w:val="22"/>
          <w:sz w:val="22"/>
          <w:rtl w:val="true"/>
        </w:rPr>
        <w:t>ע</w:t>
      </w:r>
      <w:r>
        <w:rPr>
          <w:rFonts w:cs="Century" w:ascii="Century" w:hAnsi="Century"/>
          <w:sz w:val="22"/>
          <w:rtl w:val="true"/>
        </w:rPr>
        <w:t>"</w:t>
      </w:r>
      <w:r>
        <w:rPr>
          <w:rFonts w:ascii="Century" w:hAnsi="Century" w:cs="Century"/>
          <w:sz w:val="22"/>
          <w:sz w:val="22"/>
          <w:rtl w:val="true"/>
        </w:rPr>
        <w:t>פ</w:t>
      </w:r>
      <w:r>
        <w:rPr>
          <w:rFonts w:ascii="Century" w:hAnsi="Century" w:cs="Century"/>
          <w:sz w:val="22"/>
          <w:sz w:val="22"/>
          <w:rtl w:val="true"/>
        </w:rPr>
        <w:t xml:space="preserve"> </w:t>
      </w:r>
      <w:r>
        <w:rPr>
          <w:rFonts w:cs="Century" w:ascii="Century" w:hAnsi="Century"/>
          <w:sz w:val="22"/>
        </w:rPr>
        <w:t>8341/17</w:t>
      </w:r>
      <w:r>
        <w:rPr>
          <w:rFonts w:cs="Century" w:ascii="Century" w:hAnsi="Century"/>
          <w:sz w:val="22"/>
          <w:rtl w:val="true"/>
        </w:rPr>
        <w:t xml:space="preserve">) </w:t>
      </w:r>
      <w:r>
        <w:rPr>
          <w:rFonts w:ascii="Century" w:hAnsi="Century" w:cs="Century"/>
          <w:sz w:val="22"/>
          <w:sz w:val="22"/>
          <w:rtl w:val="true"/>
        </w:rPr>
        <w:t>פנה למשיב בענייננו ועדכן אותו כי נמצא קונה</w:t>
      </w:r>
      <w:r>
        <w:rPr>
          <w:rFonts w:cs="Century" w:ascii="Century" w:hAnsi="Century"/>
          <w:sz w:val="22"/>
          <w:rtl w:val="true"/>
        </w:rPr>
        <w:t xml:space="preserve">, </w:t>
      </w:r>
      <w:r>
        <w:rPr>
          <w:rFonts w:ascii="Century" w:hAnsi="Century" w:cs="Century"/>
          <w:sz w:val="22"/>
          <w:sz w:val="22"/>
          <w:rtl w:val="true"/>
        </w:rPr>
        <w:t>מלמדת על כך שסבר כי ביכולתו של המשיב להשיג את כלי הנשק לצורך המכירה</w:t>
      </w:r>
      <w:r>
        <w:rPr>
          <w:rFonts w:cs="Century" w:ascii="Century" w:hAnsi="Century"/>
          <w:sz w:val="22"/>
          <w:rtl w:val="true"/>
        </w:rPr>
        <w:t xml:space="preserve">. </w:t>
      </w:r>
      <w:r>
        <w:rPr>
          <w:rFonts w:ascii="Century" w:hAnsi="Century" w:cs="Century"/>
          <w:sz w:val="22"/>
          <w:sz w:val="22"/>
          <w:rtl w:val="true"/>
        </w:rPr>
        <w:t>עם זאת</w:t>
      </w:r>
      <w:r>
        <w:rPr>
          <w:rFonts w:cs="Century" w:ascii="Century" w:hAnsi="Century"/>
          <w:sz w:val="22"/>
          <w:rtl w:val="true"/>
        </w:rPr>
        <w:t xml:space="preserve">, </w:t>
      </w:r>
      <w:r>
        <w:rPr>
          <w:rFonts w:ascii="Century" w:hAnsi="Century" w:cs="Century"/>
          <w:sz w:val="22"/>
          <w:sz w:val="22"/>
          <w:rtl w:val="true"/>
        </w:rPr>
        <w:t>חלקו של המשיב בעסקה פחוּת ביחס לחלקם של שני הנאשמים האחרים המעורבים באותה עסקה</w:t>
      </w:r>
      <w:r>
        <w:rPr>
          <w:rFonts w:cs="Century" w:ascii="Century" w:hAnsi="Century"/>
          <w:sz w:val="22"/>
          <w:rtl w:val="true"/>
        </w:rPr>
        <w:t xml:space="preserve">, </w:t>
      </w:r>
      <w:r>
        <w:rPr>
          <w:rFonts w:ascii="Century" w:hAnsi="Century" w:cs="Century"/>
          <w:sz w:val="22"/>
          <w:sz w:val="22"/>
          <w:rtl w:val="true"/>
        </w:rPr>
        <w:t>והוא גם לא קיבל לידיו את התמורה הכספית</w:t>
      </w:r>
      <w:r>
        <w:rPr>
          <w:rFonts w:cs="Century" w:ascii="Century" w:hAnsi="Century"/>
          <w:sz w:val="22"/>
          <w:rtl w:val="true"/>
        </w:rPr>
        <w:t xml:space="preserve">. </w:t>
      </w:r>
      <w:r>
        <w:rPr>
          <w:rFonts w:ascii="Century" w:hAnsi="Century" w:cs="Century"/>
          <w:sz w:val="22"/>
          <w:sz w:val="22"/>
          <w:rtl w:val="true"/>
        </w:rPr>
        <w:t xml:space="preserve">על כן מתחם העונש ההולם בעניינו נקבע בשים לב למתחם שנקבע בעניינו של נאשם </w:t>
      </w:r>
      <w:r>
        <w:rPr>
          <w:rFonts w:cs="Century" w:ascii="Century" w:hAnsi="Century"/>
          <w:sz w:val="22"/>
        </w:rPr>
        <w:t>2</w:t>
      </w:r>
      <w:r>
        <w:rPr>
          <w:rFonts w:cs="Century" w:ascii="Century" w:hAnsi="Century"/>
          <w:sz w:val="22"/>
          <w:rtl w:val="true"/>
        </w:rPr>
        <w:t xml:space="preserve">, </w:t>
      </w:r>
      <w:r>
        <w:rPr>
          <w:rFonts w:ascii="Century" w:hAnsi="Century" w:cs="Century"/>
          <w:sz w:val="22"/>
          <w:sz w:val="22"/>
          <w:rtl w:val="true"/>
        </w:rPr>
        <w:t xml:space="preserve">והוא הועמד על </w:t>
      </w:r>
      <w:r>
        <w:rPr>
          <w:rFonts w:cs="Century" w:ascii="Century" w:hAnsi="Century"/>
          <w:sz w:val="22"/>
        </w:rPr>
        <w:t>66-30</w:t>
      </w:r>
      <w:r>
        <w:rPr>
          <w:rFonts w:cs="Century" w:ascii="Century" w:hAnsi="Century"/>
          <w:sz w:val="22"/>
          <w:rtl w:val="true"/>
        </w:rPr>
        <w:t xml:space="preserve"> </w:t>
      </w:r>
      <w:r>
        <w:rPr>
          <w:rFonts w:ascii="Century" w:hAnsi="Century" w:cs="Century"/>
          <w:sz w:val="22"/>
          <w:sz w:val="22"/>
          <w:rtl w:val="true"/>
        </w:rPr>
        <w:t>חודשי מאסר בפועל</w:t>
      </w:r>
      <w:r>
        <w:rPr>
          <w:rFonts w:cs="Century" w:ascii="Century" w:hAnsi="Century"/>
          <w:sz w:val="22"/>
          <w:rtl w:val="true"/>
        </w:rPr>
        <w:t xml:space="preserve">. </w:t>
      </w:r>
      <w:r>
        <w:rPr>
          <w:rFonts w:ascii="Century" w:hAnsi="Century" w:cs="Century"/>
          <w:sz w:val="22"/>
          <w:sz w:val="22"/>
          <w:rtl w:val="true"/>
        </w:rPr>
        <w:t>באשר לנסיבות שאינן קשורות בביצוע העבירה</w:t>
      </w:r>
      <w:r>
        <w:rPr>
          <w:rFonts w:cs="Century" w:ascii="Century" w:hAnsi="Century"/>
          <w:sz w:val="22"/>
          <w:rtl w:val="true"/>
        </w:rPr>
        <w:t xml:space="preserve">, </w:t>
      </w:r>
      <w:r>
        <w:rPr>
          <w:rFonts w:ascii="Century" w:hAnsi="Century" w:cs="Century"/>
          <w:sz w:val="22"/>
          <w:sz w:val="22"/>
          <w:rtl w:val="true"/>
        </w:rPr>
        <w:t>צוין כי מצד אחד</w:t>
      </w:r>
      <w:r>
        <w:rPr>
          <w:rFonts w:cs="Century" w:ascii="Century" w:hAnsi="Century"/>
          <w:sz w:val="22"/>
          <w:rtl w:val="true"/>
        </w:rPr>
        <w:t xml:space="preserve">, </w:t>
      </w:r>
      <w:r>
        <w:rPr>
          <w:rFonts w:ascii="Century" w:hAnsi="Century" w:cs="Century"/>
          <w:sz w:val="22"/>
          <w:sz w:val="22"/>
          <w:rtl w:val="true"/>
        </w:rPr>
        <w:t>המשיב מפגין התנהגות תוקפנית וממזער את הבעייתיות שבמעשיו</w:t>
      </w:r>
      <w:r>
        <w:rPr>
          <w:rFonts w:cs="Century" w:ascii="Century" w:hAnsi="Century"/>
          <w:sz w:val="22"/>
          <w:rtl w:val="true"/>
        </w:rPr>
        <w:t xml:space="preserve">, </w:t>
      </w:r>
      <w:r>
        <w:rPr>
          <w:rFonts w:ascii="Century" w:hAnsi="Century" w:cs="Century"/>
          <w:sz w:val="22"/>
          <w:sz w:val="22"/>
          <w:rtl w:val="true"/>
        </w:rPr>
        <w:t>אך מצד שני</w:t>
      </w:r>
      <w:r>
        <w:rPr>
          <w:rFonts w:cs="Century" w:ascii="Century" w:hAnsi="Century"/>
          <w:sz w:val="22"/>
          <w:rtl w:val="true"/>
        </w:rPr>
        <w:t xml:space="preserve">, </w:t>
      </w:r>
      <w:r>
        <w:rPr>
          <w:rFonts w:ascii="Century" w:hAnsi="Century" w:cs="Century"/>
          <w:sz w:val="22"/>
          <w:sz w:val="22"/>
          <w:rtl w:val="true"/>
        </w:rPr>
        <w:t>הוא הודה במיוחס לו ויש להתחשב בגילו הצעיר ובתנאים הקשים בהם גדל</w:t>
      </w:r>
      <w:r>
        <w:rPr>
          <w:rFonts w:cs="Century" w:ascii="Century" w:hAnsi="Century"/>
          <w:sz w:val="22"/>
          <w:rtl w:val="true"/>
        </w:rPr>
        <w:t xml:space="preserve">. </w:t>
      </w:r>
      <w:r>
        <w:rPr>
          <w:rFonts w:ascii="Century" w:hAnsi="Century" w:cs="Century"/>
          <w:sz w:val="22"/>
          <w:sz w:val="22"/>
          <w:rtl w:val="true"/>
        </w:rPr>
        <w:t xml:space="preserve">בגין מעשיו של המשיב הושת עליו עונש של </w:t>
      </w:r>
      <w:r>
        <w:rPr>
          <w:rFonts w:cs="Century" w:ascii="Century" w:hAnsi="Century"/>
          <w:sz w:val="22"/>
        </w:rPr>
        <w:t>30</w:t>
      </w:r>
      <w:r>
        <w:rPr>
          <w:rFonts w:cs="Century" w:ascii="Century" w:hAnsi="Century"/>
          <w:sz w:val="22"/>
          <w:rtl w:val="true"/>
        </w:rPr>
        <w:t xml:space="preserve"> </w:t>
      </w:r>
      <w:r>
        <w:rPr>
          <w:rFonts w:ascii="Century" w:hAnsi="Century" w:cs="Century"/>
          <w:sz w:val="22"/>
          <w:sz w:val="22"/>
          <w:rtl w:val="true"/>
        </w:rPr>
        <w:t>חודשי מאסר בפועל</w:t>
      </w:r>
      <w:r>
        <w:rPr>
          <w:rFonts w:cs="Century" w:ascii="Century" w:hAnsi="Century"/>
          <w:sz w:val="22"/>
          <w:rtl w:val="true"/>
        </w:rPr>
        <w:t xml:space="preserve">, </w:t>
      </w:r>
      <w:r>
        <w:rPr>
          <w:rFonts w:ascii="Century" w:hAnsi="Century" w:cs="Century"/>
          <w:sz w:val="22"/>
          <w:sz w:val="22"/>
          <w:rtl w:val="true"/>
        </w:rPr>
        <w:t xml:space="preserve">מאסר על תנאי וקנס כספי בסך של </w:t>
      </w:r>
      <w:r>
        <w:rPr>
          <w:rFonts w:cs="Century" w:ascii="Century" w:hAnsi="Century"/>
          <w:sz w:val="22"/>
        </w:rPr>
        <w:t>10,000</w:t>
      </w:r>
      <w:r>
        <w:rPr>
          <w:rFonts w:cs="Century" w:ascii="Century" w:hAnsi="Century"/>
          <w:sz w:val="22"/>
          <w:rtl w:val="true"/>
        </w:rPr>
        <w:t xml:space="preserve"> </w:t>
      </w:r>
      <w:r>
        <w:rPr>
          <w:rFonts w:ascii="Century" w:hAnsi="Century" w:cs="Century"/>
          <w:sz w:val="22"/>
          <w:sz w:val="22"/>
          <w:rtl w:val="true"/>
        </w:rPr>
        <w:t>ש</w:t>
      </w:r>
      <w:r>
        <w:rPr>
          <w:rFonts w:cs="Century" w:ascii="Century" w:hAnsi="Century"/>
          <w:sz w:val="22"/>
          <w:rtl w:val="true"/>
        </w:rPr>
        <w:t>"</w:t>
      </w:r>
      <w:r>
        <w:rPr>
          <w:rFonts w:ascii="Century" w:hAnsi="Century" w:cs="Century"/>
          <w:sz w:val="22"/>
          <w:sz w:val="22"/>
          <w:rtl w:val="true"/>
        </w:rPr>
        <w:t>ח</w:t>
      </w:r>
      <w:r>
        <w:rPr>
          <w:rFonts w:cs="Century" w:ascii="Century" w:hAnsi="Century"/>
          <w:sz w:val="22"/>
          <w:rtl w:val="true"/>
        </w:rPr>
        <w:t>.</w:t>
      </w:r>
    </w:p>
    <w:p>
      <w:pPr>
        <w:pStyle w:val="Ruller43"/>
        <w:numPr>
          <w:ilvl w:val="0"/>
          <w:numId w:val="0"/>
        </w:numPr>
        <w:ind w:hanging="0" w:start="0" w:end="0"/>
        <w:jc w:val="both"/>
        <w:rPr>
          <w:rFonts w:ascii="Century" w:hAnsi="Century" w:cs="Century"/>
          <w:sz w:val="22"/>
        </w:rPr>
      </w:pPr>
      <w:r>
        <w:rPr>
          <w:rFonts w:cs="Century" w:ascii="Century" w:hAnsi="Century"/>
          <w:sz w:val="22"/>
          <w:rtl w:val="true"/>
        </w:rPr>
      </w:r>
    </w:p>
    <w:p>
      <w:pPr>
        <w:pStyle w:val="Ruller43"/>
        <w:numPr>
          <w:ilvl w:val="0"/>
          <w:numId w:val="1"/>
        </w:numPr>
        <w:ind w:end="0"/>
        <w:jc w:val="both"/>
        <w:rPr/>
      </w:pPr>
      <w:r>
        <w:rPr>
          <w:rtl w:val="true"/>
        </w:rPr>
        <w:t xml:space="preserve">יצוין כי מהתסקיר המשלים שהוגש לפנינו עולה כי החל מיום </w:t>
      </w:r>
      <w:r>
        <w:rPr/>
        <w:t>23.4.2018</w:t>
      </w:r>
      <w:r>
        <w:rPr>
          <w:rtl w:val="true"/>
        </w:rPr>
        <w:t xml:space="preserve"> </w:t>
      </w:r>
      <w:r>
        <w:rPr>
          <w:rtl w:val="true"/>
        </w:rPr>
        <w:t xml:space="preserve">המשיב </w:t>
      </w:r>
      <w:r>
        <w:rPr>
          <w:rFonts w:ascii="Century" w:hAnsi="Century" w:cs="Miriam"/>
          <w:b/>
          <w:b/>
          <w:spacing w:val="0"/>
          <w:sz w:val="22"/>
          <w:sz w:val="22"/>
          <w:szCs w:val="24"/>
          <w:rtl w:val="true"/>
        </w:rPr>
        <w:t>שוחרר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במסגרת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שחרור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מוקדם</w:t>
      </w:r>
      <w:r>
        <w:rPr>
          <w:rtl w:val="true"/>
        </w:rPr>
        <w:t xml:space="preserve"> בכפוף למספר תנאים</w:t>
      </w:r>
      <w:r>
        <w:rPr>
          <w:rtl w:val="true"/>
        </w:rPr>
        <w:t xml:space="preserve">. </w:t>
      </w:r>
      <w:r>
        <w:rPr>
          <w:rtl w:val="true"/>
        </w:rPr>
        <w:t>צוין כי בבסיס מעשיו לא עומדים מאפיינים עברייניים מושרשים ולהתרשמות שירות המבחן עונש המאסר בפועל הבהיר לו את חומרת מעשיו והיווה גורם הרתעה משמעותי עבורו</w:t>
      </w:r>
      <w:r>
        <w:rPr>
          <w:rtl w:val="true"/>
        </w:rPr>
        <w:t xml:space="preserve">. </w:t>
      </w:r>
      <w:r>
        <w:rPr>
          <w:rtl w:val="true"/>
        </w:rPr>
        <w:t>על כן הומלץ לאפשר לו להמשיך בתוכנית השיקום של הרשות לשיקום האסיר</w:t>
      </w:r>
      <w:r>
        <w:rPr>
          <w:rtl w:val="true"/>
        </w:rPr>
        <w:t xml:space="preserve">, </w:t>
      </w:r>
      <w:r>
        <w:rPr>
          <w:rtl w:val="true"/>
        </w:rPr>
        <w:t>שיש בה כדי להפחית את הסיכון הנשקף ממנו</w:t>
      </w:r>
      <w:r>
        <w:rPr>
          <w:rtl w:val="true"/>
        </w:rPr>
        <w:t xml:space="preserve">, </w:t>
      </w:r>
      <w:r>
        <w:rPr>
          <w:rtl w:val="true"/>
        </w:rPr>
        <w:t>ולא להחמיר את עונשו</w:t>
      </w:r>
      <w:r>
        <w:rPr>
          <w:rtl w:val="true"/>
        </w:rPr>
        <w:t>.</w:t>
      </w:r>
    </w:p>
    <w:p>
      <w:pPr>
        <w:pStyle w:val="Ruller42"/>
        <w:ind w:end="0"/>
        <w:jc w:val="both"/>
        <w:rPr/>
      </w:pPr>
      <w:r>
        <w:rPr>
          <w:rtl w:val="true"/>
        </w:rPr>
      </w:r>
    </w:p>
    <w:p>
      <w:pPr>
        <w:pStyle w:val="Ruller43"/>
        <w:numPr>
          <w:ilvl w:val="0"/>
          <w:numId w:val="1"/>
        </w:numPr>
        <w:ind w:end="0"/>
        <w:jc w:val="both"/>
        <w:rPr/>
      </w:pPr>
      <w:r>
        <w:rPr>
          <w:rtl w:val="true"/>
        </w:rPr>
        <w:t>בערעורה השיגה המדינה על קולת העונש</w:t>
      </w:r>
      <w:r>
        <w:rPr>
          <w:rtl w:val="true"/>
        </w:rPr>
        <w:t xml:space="preserve">. </w:t>
      </w:r>
      <w:r>
        <w:rPr>
          <w:rtl w:val="true"/>
        </w:rPr>
        <w:t>הגם שהמשיב הורשע באישום אחד</w:t>
      </w:r>
      <w:r>
        <w:rPr>
          <w:rtl w:val="true"/>
        </w:rPr>
        <w:t xml:space="preserve">, </w:t>
      </w:r>
      <w:r>
        <w:rPr>
          <w:rtl w:val="true"/>
        </w:rPr>
        <w:t>מדובר בסחר של שלושה תתי</w:t>
      </w:r>
      <w:r>
        <w:rPr>
          <w:rtl w:val="true"/>
        </w:rPr>
        <w:t>-</w:t>
      </w:r>
      <w:r>
        <w:rPr>
          <w:rtl w:val="true"/>
        </w:rPr>
        <w:t>מקלע</w:t>
      </w:r>
      <w:r>
        <w:rPr>
          <w:rtl w:val="true"/>
        </w:rPr>
        <w:t xml:space="preserve">, </w:t>
      </w:r>
      <w:r>
        <w:rPr>
          <w:rtl w:val="true"/>
        </w:rPr>
        <w:t xml:space="preserve">מחסניות ותחמושת בסך של </w:t>
      </w:r>
      <w:r>
        <w:rPr/>
        <w:t>21,000</w:t>
      </w:r>
      <w:r>
        <w:rPr>
          <w:rtl w:val="true"/>
        </w:rPr>
        <w:t xml:space="preserve"> </w:t>
      </w:r>
      <w:r>
        <w:rPr>
          <w:rtl w:val="true"/>
        </w:rPr>
        <w:t>ש</w:t>
      </w:r>
      <w:r>
        <w:rPr>
          <w:rtl w:val="true"/>
        </w:rPr>
        <w:t>"</w:t>
      </w:r>
      <w:r>
        <w:rPr>
          <w:rtl w:val="true"/>
        </w:rPr>
        <w:t>ח</w:t>
      </w:r>
      <w:r>
        <w:rPr>
          <w:rtl w:val="true"/>
        </w:rPr>
        <w:t xml:space="preserve">. </w:t>
      </w:r>
      <w:r>
        <w:rPr>
          <w:rtl w:val="true"/>
        </w:rPr>
        <w:t>המשיב עודכן על ידי נאשם אחר כי נמצא רוכש לנשק</w:t>
      </w:r>
      <w:r>
        <w:rPr>
          <w:rtl w:val="true"/>
        </w:rPr>
        <w:t xml:space="preserve">, </w:t>
      </w:r>
      <w:r>
        <w:rPr>
          <w:rtl w:val="true"/>
        </w:rPr>
        <w:t>הוא סיפק את כלי הנשק והוכיח נגישות לספקים בשוק בלתי חוקי זה</w:t>
      </w:r>
      <w:r>
        <w:rPr>
          <w:rtl w:val="true"/>
        </w:rPr>
        <w:t xml:space="preserve">. </w:t>
      </w:r>
      <w:r>
        <w:rPr>
          <w:rtl w:val="true"/>
        </w:rPr>
        <w:t>בשעת ביצוע העסקה הוא אף הסתתר בקרבת מקום על מנת לפקח עליה מקרוב</w:t>
      </w:r>
      <w:r>
        <w:rPr>
          <w:rtl w:val="true"/>
        </w:rPr>
        <w:t xml:space="preserve">. </w:t>
      </w:r>
      <w:r>
        <w:rPr>
          <w:rtl w:val="true"/>
        </w:rPr>
        <w:t>לפיכך</w:t>
      </w:r>
      <w:r>
        <w:rPr>
          <w:rtl w:val="true"/>
        </w:rPr>
        <w:t xml:space="preserve">, </w:t>
      </w:r>
      <w:r>
        <w:rPr>
          <w:rtl w:val="true"/>
        </w:rPr>
        <w:t>לגישת המדינה שגה בית המשפט בקבעו כי המשיב לא היה דומיננטי בעסקה</w:t>
      </w:r>
      <w:r>
        <w:rPr>
          <w:rtl w:val="true"/>
        </w:rPr>
        <w:t xml:space="preserve">. </w:t>
      </w:r>
      <w:r>
        <w:rPr>
          <w:rtl w:val="true"/>
        </w:rPr>
        <w:t>הן מתחם העונש והן העונש שנקבע לבסוף</w:t>
      </w:r>
      <w:r>
        <w:rPr>
          <w:rtl w:val="true"/>
        </w:rPr>
        <w:t xml:space="preserve">, </w:t>
      </w:r>
      <w:r>
        <w:rPr>
          <w:rtl w:val="true"/>
        </w:rPr>
        <w:t>סוטים משמעותית ממדיניות הענישה הנוהגת ואינם מבטאים את המשקל הראוי לשיקולי ההרתעה</w:t>
      </w:r>
      <w:r>
        <w:rPr>
          <w:rtl w:val="true"/>
        </w:rPr>
        <w:t xml:space="preserve">. </w:t>
      </w:r>
      <w:r>
        <w:rPr>
          <w:rtl w:val="true"/>
        </w:rPr>
        <w:t xml:space="preserve">כן נטען כי עונש מאסר בפועל בן </w:t>
      </w:r>
      <w:r>
        <w:rPr/>
        <w:t>30</w:t>
      </w:r>
      <w:r>
        <w:rPr>
          <w:rtl w:val="true"/>
        </w:rPr>
        <w:t xml:space="preserve"> </w:t>
      </w:r>
      <w:r>
        <w:rPr>
          <w:rtl w:val="true"/>
        </w:rPr>
        <w:t>חודשים בלבד אינו הולם</w:t>
      </w:r>
      <w:r>
        <w:rPr>
          <w:rtl w:val="true"/>
        </w:rPr>
        <w:t xml:space="preserve">, </w:t>
      </w:r>
      <w:r>
        <w:rPr>
          <w:rtl w:val="true"/>
        </w:rPr>
        <w:t>אף אם היה מדובר בסחר בכלי נשק אחד</w:t>
      </w:r>
      <w:r>
        <w:rPr>
          <w:rtl w:val="true"/>
        </w:rPr>
        <w:t xml:space="preserve">, </w:t>
      </w:r>
      <w:r>
        <w:rPr>
          <w:rtl w:val="true"/>
        </w:rPr>
        <w:t>ומכאן שבוודאי אינו הולם כאשר מדובר בסחר בשלושה תתי</w:t>
      </w:r>
      <w:r>
        <w:rPr>
          <w:rtl w:val="true"/>
        </w:rPr>
        <w:t>-</w:t>
      </w:r>
      <w:r>
        <w:rPr>
          <w:rtl w:val="true"/>
        </w:rPr>
        <w:t>מקלע</w:t>
      </w:r>
      <w:r>
        <w:rPr>
          <w:rtl w:val="true"/>
        </w:rPr>
        <w:t xml:space="preserve">. </w:t>
      </w:r>
      <w:r>
        <w:rPr>
          <w:rtl w:val="true"/>
        </w:rPr>
        <w:t>צוין כי אין למנוע את החמרת עונשו של המשיב על ידי בית המשפט</w:t>
      </w:r>
      <w:r>
        <w:rPr>
          <w:rtl w:val="true"/>
        </w:rPr>
        <w:t xml:space="preserve">, </w:t>
      </w:r>
      <w:r>
        <w:rPr>
          <w:rtl w:val="true"/>
        </w:rPr>
        <w:t>על אף ששוחרר בשחרור מוקדם</w:t>
      </w:r>
      <w:r>
        <w:rPr>
          <w:rtl w:val="true"/>
        </w:rPr>
        <w:t xml:space="preserve">, </w:t>
      </w:r>
      <w:r>
        <w:rPr>
          <w:rtl w:val="true"/>
        </w:rPr>
        <w:t>לאחר שבשל תקלה לא הובא לידיעת הוועדה דבר קיומו של הערעור שהוגש על קולת עונש</w:t>
      </w:r>
      <w:r>
        <w:rPr>
          <w:rtl w:val="true"/>
        </w:rPr>
        <w:t xml:space="preserve">. </w:t>
      </w:r>
      <w:r>
        <w:rPr>
          <w:rtl w:val="true"/>
        </w:rPr>
        <w:t>כמו כן</w:t>
      </w:r>
      <w:r>
        <w:rPr>
          <w:rtl w:val="true"/>
        </w:rPr>
        <w:t xml:space="preserve">, </w:t>
      </w:r>
      <w:r>
        <w:rPr>
          <w:rtl w:val="true"/>
        </w:rPr>
        <w:t>בית המשפט זקף לזכות המשיב את עברו הפלילי הנקי</w:t>
      </w:r>
      <w:r>
        <w:rPr>
          <w:rtl w:val="true"/>
        </w:rPr>
        <w:t xml:space="preserve">, </w:t>
      </w:r>
      <w:r>
        <w:rPr>
          <w:rtl w:val="true"/>
        </w:rPr>
        <w:t>אך הלכה למעשה תלויים ועומדים נגדו מספר תיקים</w:t>
      </w:r>
      <w:r>
        <w:rPr>
          <w:rtl w:val="true"/>
        </w:rPr>
        <w:t>.</w:t>
      </w:r>
    </w:p>
    <w:p>
      <w:pPr>
        <w:pStyle w:val="Ruller43"/>
        <w:numPr>
          <w:ilvl w:val="0"/>
          <w:numId w:val="0"/>
        </w:numPr>
        <w:ind w:hanging="0" w:start="0" w:end="0"/>
        <w:jc w:val="both"/>
        <w:rPr>
          <w:rFonts w:ascii="Arial TUR;Arial" w:hAnsi="Arial TUR;Arial" w:cs="Arial TUR;Arial"/>
          <w:sz w:val="22"/>
        </w:rPr>
      </w:pPr>
      <w:r>
        <w:rPr>
          <w:rFonts w:cs="Arial TUR;Arial" w:ascii="Arial TUR;Arial" w:hAnsi="Arial TUR;Arial"/>
          <w:sz w:val="22"/>
          <w:rtl w:val="true"/>
        </w:rPr>
      </w:r>
    </w:p>
    <w:p>
      <w:pPr>
        <w:pStyle w:val="Ruller43"/>
        <w:numPr>
          <w:ilvl w:val="0"/>
          <w:numId w:val="1"/>
        </w:numPr>
        <w:ind w:end="0"/>
        <w:jc w:val="both"/>
        <w:rPr/>
      </w:pPr>
      <w:r>
        <w:rPr>
          <w:rtl w:val="true"/>
        </w:rPr>
        <w:t>מנגד</w:t>
      </w:r>
      <w:r>
        <w:rPr>
          <w:rtl w:val="true"/>
        </w:rPr>
        <w:t xml:space="preserve">, </w:t>
      </w:r>
      <w:r>
        <w:rPr>
          <w:rtl w:val="true"/>
        </w:rPr>
        <w:t>המשיב סמך את ידיו על הערכת גורמי הטיפול כי הוא עובר תהליך טיפולי חיובי</w:t>
      </w:r>
      <w:r>
        <w:rPr>
          <w:rtl w:val="true"/>
        </w:rPr>
        <w:t xml:space="preserve">, </w:t>
      </w:r>
      <w:r>
        <w:rPr>
          <w:rtl w:val="true"/>
        </w:rPr>
        <w:t>עומד בתוכנית שהותוותה על ידי הרשות לשיקום האסיר</w:t>
      </w:r>
      <w:r>
        <w:rPr>
          <w:rtl w:val="true"/>
        </w:rPr>
        <w:t xml:space="preserve">, </w:t>
      </w:r>
      <w:r>
        <w:rPr>
          <w:rtl w:val="true"/>
        </w:rPr>
        <w:t>עובד למחייתו וחוזר אל דרך הישר</w:t>
      </w:r>
      <w:r>
        <w:rPr>
          <w:rtl w:val="true"/>
        </w:rPr>
        <w:t xml:space="preserve">. </w:t>
      </w:r>
      <w:r>
        <w:rPr>
          <w:rtl w:val="true"/>
        </w:rPr>
        <w:t>בנסיבות אלו</w:t>
      </w:r>
      <w:r>
        <w:rPr>
          <w:rtl w:val="true"/>
        </w:rPr>
        <w:t xml:space="preserve">, </w:t>
      </w:r>
      <w:r>
        <w:rPr>
          <w:rtl w:val="true"/>
        </w:rPr>
        <w:t>השבתו אל מאחורי סורג ובריח תפגע קשות בו ובתחושת הצדק</w:t>
      </w:r>
      <w:r>
        <w:rPr>
          <w:rtl w:val="true"/>
        </w:rPr>
        <w:t xml:space="preserve">. </w:t>
      </w:r>
      <w:r>
        <w:rPr>
          <w:rtl w:val="true"/>
        </w:rPr>
        <w:t>לגופו של עניין</w:t>
      </w:r>
      <w:r>
        <w:rPr>
          <w:rtl w:val="true"/>
        </w:rPr>
        <w:t xml:space="preserve">, </w:t>
      </w:r>
      <w:r>
        <w:rPr>
          <w:rtl w:val="true"/>
        </w:rPr>
        <w:t>על אף שהוא סחר בשלושה כלי נשק</w:t>
      </w:r>
      <w:r>
        <w:rPr>
          <w:rtl w:val="true"/>
        </w:rPr>
        <w:t xml:space="preserve">, </w:t>
      </w:r>
      <w:r>
        <w:rPr>
          <w:rtl w:val="true"/>
        </w:rPr>
        <w:t>כולם נמכרו במסגרת עסקה אחת בלבד ויש בכך משום נסיבה לקולא</w:t>
      </w:r>
      <w:r>
        <w:rPr>
          <w:rtl w:val="true"/>
        </w:rPr>
        <w:t xml:space="preserve">. </w:t>
      </w:r>
      <w:r>
        <w:rPr>
          <w:rtl w:val="true"/>
        </w:rPr>
        <w:t>לפיכך</w:t>
      </w:r>
      <w:r>
        <w:rPr>
          <w:rtl w:val="true"/>
        </w:rPr>
        <w:t xml:space="preserve">, </w:t>
      </w:r>
      <w:r>
        <w:rPr>
          <w:rtl w:val="true"/>
        </w:rPr>
        <w:t>ובשים לב לנסיבותיו האישיות המורכבות ולגילו הצעיר בעת ביצוע העבירה</w:t>
      </w:r>
      <w:r>
        <w:rPr>
          <w:rtl w:val="true"/>
        </w:rPr>
        <w:t xml:space="preserve">, </w:t>
      </w:r>
      <w:r>
        <w:rPr>
          <w:rtl w:val="true"/>
        </w:rPr>
        <w:t>אין מקום להחמיר בעונשו</w:t>
      </w:r>
      <w:r>
        <w:rPr>
          <w:rtl w:val="true"/>
        </w:rPr>
        <w:t>.</w:t>
      </w:r>
    </w:p>
    <w:p>
      <w:pPr>
        <w:pStyle w:val="Ruller42"/>
        <w:ind w:end="0"/>
        <w:jc w:val="both"/>
        <w:rPr/>
      </w:pPr>
      <w:r>
        <w:rPr>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ב</w:t>
      </w:r>
      <w:r>
        <w:rPr>
          <w:rFonts w:cs="Miriam" w:ascii="Century" w:hAnsi="Century"/>
          <w:b/>
          <w:spacing w:val="0"/>
          <w:szCs w:val="24"/>
          <w:rtl w:val="true"/>
        </w:rPr>
        <w:t xml:space="preserve">. </w:t>
      </w:r>
      <w:r>
        <w:rPr>
          <w:rFonts w:ascii="Century" w:hAnsi="Century" w:cs="Miriam"/>
          <w:b/>
          <w:b/>
          <w:spacing w:val="0"/>
          <w:szCs w:val="24"/>
          <w:rtl w:val="true"/>
        </w:rPr>
        <w:t>דיון</w:t>
      </w:r>
      <w:r>
        <w:rPr>
          <w:rFonts w:ascii="Century" w:hAnsi="Century" w:eastAsia="Century" w:cs="Century"/>
          <w:b/>
          <w:b/>
          <w:spacing w:val="0"/>
          <w:szCs w:val="24"/>
          <w:rtl w:val="true"/>
        </w:rPr>
        <w:t xml:space="preserve"> </w:t>
      </w:r>
      <w:r>
        <w:rPr>
          <w:rFonts w:ascii="Century" w:hAnsi="Century" w:cs="Miriam"/>
          <w:b/>
          <w:b/>
          <w:spacing w:val="0"/>
          <w:szCs w:val="24"/>
          <w:rtl w:val="true"/>
        </w:rPr>
        <w:t>והכרעה</w:t>
      </w:r>
    </w:p>
    <w:p>
      <w:pPr>
        <w:pStyle w:val="Ruller43"/>
        <w:numPr>
          <w:ilvl w:val="0"/>
          <w:numId w:val="1"/>
        </w:numPr>
        <w:ind w:end="0"/>
        <w:jc w:val="both"/>
        <w:rPr/>
      </w:pPr>
      <w:r>
        <w:rPr>
          <w:rtl w:val="true"/>
        </w:rPr>
        <w:t>עיקר טענת המדינה</w:t>
      </w:r>
      <w:r>
        <w:rPr>
          <w:rtl w:val="true"/>
        </w:rPr>
        <w:t xml:space="preserve">, </w:t>
      </w:r>
      <w:r>
        <w:rPr>
          <w:rtl w:val="true"/>
        </w:rPr>
        <w:t>כי על המשיב הושת עונש מאסר על הצד הנמוך</w:t>
      </w:r>
      <w:r>
        <w:rPr>
          <w:rtl w:val="true"/>
        </w:rPr>
        <w:t xml:space="preserve">, </w:t>
      </w:r>
      <w:r>
        <w:rPr>
          <w:rtl w:val="true"/>
        </w:rPr>
        <w:t>בשל כך שהיה מעורב בעסקה אחת בלבד</w:t>
      </w:r>
      <w:r>
        <w:rPr>
          <w:rtl w:val="true"/>
        </w:rPr>
        <w:t xml:space="preserve">, </w:t>
      </w:r>
      <w:r>
        <w:rPr>
          <w:rtl w:val="true"/>
        </w:rPr>
        <w:t>מבלי שניתן די משקל למעורבותו הדומיננטית במסגרת אותה עסקה ולמספר הנשקים שנסחרו בה</w:t>
      </w:r>
      <w:r>
        <w:rPr>
          <w:rtl w:val="true"/>
        </w:rPr>
        <w:t xml:space="preserve">. </w:t>
      </w:r>
      <w:r>
        <w:rPr>
          <w:rtl w:val="true"/>
        </w:rPr>
        <w:t>מלבד העובדה שספק בעיני אם טענה זו מבוססת דיה</w:t>
      </w:r>
      <w:r>
        <w:rPr>
          <w:rtl w:val="true"/>
        </w:rPr>
        <w:t xml:space="preserve">, </w:t>
      </w:r>
      <w:r>
        <w:rPr>
          <w:rtl w:val="true"/>
        </w:rPr>
        <w:t>ומבלי להקל ראש במעשי המערער ובחומרתם</w:t>
      </w:r>
      <w:r>
        <w:rPr>
          <w:rtl w:val="true"/>
        </w:rPr>
        <w:t xml:space="preserve">, </w:t>
      </w:r>
      <w:r>
        <w:rPr>
          <w:rtl w:val="true"/>
        </w:rPr>
        <w:t>יש לזכור כי על אף מגמת ההחמרה בענישה של עברייני נשק</w:t>
      </w:r>
      <w:r>
        <w:rPr>
          <w:rtl w:val="true"/>
        </w:rPr>
        <w:t xml:space="preserve">, </w:t>
      </w:r>
      <w:r>
        <w:rPr>
          <w:rtl w:val="true"/>
        </w:rPr>
        <w:t xml:space="preserve">אין בית המשפט פטור מבחינה פרטנית של כל מקרה לגופו </w:t>
      </w:r>
      <w:r>
        <w:rPr>
          <w:rtl w:val="true"/>
        </w:rPr>
        <w:t>(</w:t>
      </w:r>
      <w:r>
        <w:rPr>
          <w:rtl w:val="true"/>
        </w:rPr>
        <w:t>ראו גם</w:t>
      </w:r>
      <w:r>
        <w:rPr>
          <w:rtl w:val="true"/>
        </w:rPr>
        <w:t xml:space="preserve">: </w:t>
      </w:r>
      <w:hyperlink r:id="rId6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4862/11</w:t>
        </w:r>
        <w:r>
          <w:rPr>
            <w:rStyle w:val="Hyperlink"/>
            <w:color w:val="0000FF"/>
            <w:u w:val="single"/>
            <w:rtl w:val="true"/>
          </w:rPr>
          <w:t xml:space="preserve"> </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9.1.2012</w:t>
      </w:r>
      <w:r>
        <w:rPr>
          <w:rtl w:val="true"/>
        </w:rPr>
        <w:t xml:space="preserve">)). </w:t>
      </w:r>
      <w:r>
        <w:rPr>
          <w:rtl w:val="true"/>
        </w:rPr>
        <w:t>אכן</w:t>
      </w:r>
      <w:r>
        <w:rPr>
          <w:rtl w:val="true"/>
        </w:rPr>
        <w:t xml:space="preserve">, </w:t>
      </w:r>
      <w:r>
        <w:rPr>
          <w:rtl w:val="true"/>
        </w:rPr>
        <w:t>בית המשפט המחוזי לקח בחשבון את נסיבות המקרה בהשוואה ליתר המעורבים בפרשה</w:t>
      </w:r>
      <w:r>
        <w:rPr>
          <w:rtl w:val="true"/>
        </w:rPr>
        <w:t xml:space="preserve">, </w:t>
      </w:r>
      <w:r>
        <w:rPr>
          <w:rtl w:val="true"/>
        </w:rPr>
        <w:t>את העובדה שמדובר היה בעסקה אחת ואת סוג כלי הנשק שנמכר בעת בחינת נסיבות ביצוע העבירה</w:t>
      </w:r>
      <w:r>
        <w:rPr>
          <w:rtl w:val="true"/>
        </w:rPr>
        <w:t xml:space="preserve">, </w:t>
      </w:r>
      <w:r>
        <w:rPr>
          <w:rtl w:val="true"/>
        </w:rPr>
        <w:t>ואת נסיבותיו האישיות של המשיב ואת המלצת שירות המבחן בבחינת הנסיבות שאינן קשורות בביצוע העבירה</w:t>
      </w:r>
      <w:r>
        <w:rPr>
          <w:rtl w:val="true"/>
        </w:rPr>
        <w:t xml:space="preserve">. </w:t>
      </w:r>
      <w:r>
        <w:rPr>
          <w:rtl w:val="true"/>
        </w:rPr>
        <w:t>סופו של יום העונש שהוטל על המשיב הוא על הצד המקל</w:t>
      </w:r>
      <w:r>
        <w:rPr>
          <w:rtl w:val="true"/>
        </w:rPr>
        <w:t xml:space="preserve">, </w:t>
      </w:r>
      <w:r>
        <w:rPr>
          <w:rtl w:val="true"/>
        </w:rPr>
        <w:t>אך בהשוואה למעשיהם של יתר המעורבים בפרשה</w:t>
      </w:r>
      <w:r>
        <w:rPr>
          <w:rtl w:val="true"/>
        </w:rPr>
        <w:t xml:space="preserve">, </w:t>
      </w:r>
      <w:r>
        <w:rPr>
          <w:rtl w:val="true"/>
        </w:rPr>
        <w:t>קשה לומר כי מדובר בחריגה משמעותית מנורמת הענישה המקובלת או הראויה</w:t>
      </w:r>
      <w:r>
        <w:rPr>
          <w:rtl w:val="true"/>
        </w:rPr>
        <w:t>.</w:t>
      </w:r>
    </w:p>
    <w:p>
      <w:pPr>
        <w:pStyle w:val="Ruller43"/>
        <w:numPr>
          <w:ilvl w:val="0"/>
          <w:numId w:val="0"/>
        </w:numPr>
        <w:ind w:hanging="0" w:start="0" w:end="0"/>
        <w:jc w:val="both"/>
        <w:rPr/>
      </w:pPr>
      <w:r>
        <w:rPr>
          <w:rtl w:val="true"/>
        </w:rPr>
      </w:r>
    </w:p>
    <w:p>
      <w:pPr>
        <w:pStyle w:val="Ruller43"/>
        <w:numPr>
          <w:ilvl w:val="0"/>
          <w:numId w:val="1"/>
        </w:numPr>
        <w:ind w:end="0"/>
        <w:jc w:val="both"/>
        <w:rPr/>
      </w:pPr>
      <w:r>
        <w:rPr>
          <w:rtl w:val="true"/>
        </w:rPr>
        <w:t>מכל מקום</w:t>
      </w:r>
      <w:r>
        <w:rPr>
          <w:rtl w:val="true"/>
        </w:rPr>
        <w:t xml:space="preserve">, </w:t>
      </w:r>
      <w:r>
        <w:rPr>
          <w:rtl w:val="true"/>
        </w:rPr>
        <w:t>קשה היום להידרש לטענות המדינה</w:t>
      </w:r>
      <w:r>
        <w:rPr>
          <w:rtl w:val="true"/>
        </w:rPr>
        <w:t xml:space="preserve">, </w:t>
      </w:r>
      <w:r>
        <w:rPr>
          <w:rtl w:val="true"/>
        </w:rPr>
        <w:t xml:space="preserve">שעה שהמשיב </w:t>
      </w:r>
      <w:r>
        <w:rPr>
          <w:rFonts w:ascii="Century" w:hAnsi="Century" w:cs="Century"/>
          <w:sz w:val="22"/>
          <w:sz w:val="22"/>
          <w:rtl w:val="true"/>
        </w:rPr>
        <w:t>כבר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שוחרר</w:t>
      </w:r>
      <w:r>
        <w:rPr>
          <w:rtl w:val="true"/>
        </w:rPr>
        <w:t xml:space="preserve"> במסגרת שחרור מוקדם על ידי ועדת השחרורים</w:t>
      </w:r>
      <w:r>
        <w:rPr>
          <w:rtl w:val="true"/>
        </w:rPr>
        <w:t xml:space="preserve">. </w:t>
      </w:r>
      <w:r>
        <w:rPr>
          <w:rtl w:val="true"/>
        </w:rPr>
        <w:t>ככלל</w:t>
      </w:r>
      <w:r>
        <w:rPr>
          <w:rtl w:val="true"/>
        </w:rPr>
        <w:t xml:space="preserve">, </w:t>
      </w:r>
      <w:r>
        <w:rPr>
          <w:rtl w:val="true"/>
        </w:rPr>
        <w:t>מקום שבו תלוי ועומד ערעור על קולת העונש שנגזר על אסיר</w:t>
      </w:r>
      <w:r>
        <w:rPr>
          <w:rtl w:val="true"/>
        </w:rPr>
        <w:t xml:space="preserve">, </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תדון</w:t>
      </w:r>
      <w:r>
        <w:rPr>
          <w:rtl w:val="true"/>
        </w:rPr>
        <w:t xml:space="preserve"> </w:t>
      </w:r>
      <w:r>
        <w:rPr>
          <w:rFonts w:ascii="Century" w:hAnsi="Century" w:cs="Miriam"/>
          <w:b/>
          <w:b/>
          <w:spacing w:val="0"/>
          <w:sz w:val="22"/>
          <w:sz w:val="22"/>
          <w:szCs w:val="24"/>
          <w:rtl w:val="true"/>
        </w:rPr>
        <w:t>ועדת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השחרורים</w:t>
      </w:r>
      <w:r>
        <w:rPr>
          <w:rtl w:val="true"/>
        </w:rPr>
        <w:t xml:space="preserve"> בבקשתו לשחרור מוקדם </w:t>
      </w:r>
      <w:r>
        <w:rPr>
          <w:rtl w:val="true"/>
        </w:rPr>
        <w:t>(</w:t>
      </w:r>
      <w:hyperlink r:id="rId70">
        <w:r>
          <w:rPr>
            <w:rStyle w:val="Hyperlink"/>
            <w:color w:val="0000FF"/>
            <w:u w:val="single"/>
            <w:rtl w:val="true"/>
          </w:rPr>
          <w:t>רע</w:t>
        </w:r>
        <w:r>
          <w:rPr>
            <w:rStyle w:val="Hyperlink"/>
            <w:color w:val="0000FF"/>
            <w:u w:val="single"/>
            <w:rtl w:val="true"/>
          </w:rPr>
          <w:t>"</w:t>
        </w:r>
        <w:r>
          <w:rPr>
            <w:rStyle w:val="Hyperlink"/>
            <w:color w:val="0000FF"/>
            <w:u w:val="single"/>
            <w:rtl w:val="true"/>
          </w:rPr>
          <w:t>ב</w:t>
        </w:r>
        <w:r>
          <w:rPr>
            <w:rStyle w:val="Hyperlink"/>
            <w:color w:val="0000FF"/>
            <w:u w:val="single"/>
            <w:rtl w:val="true"/>
          </w:rPr>
          <w:t xml:space="preserve"> </w:t>
        </w:r>
        <w:r>
          <w:rPr>
            <w:rStyle w:val="Hyperlink"/>
            <w:color w:val="0000FF"/>
            <w:u w:val="single"/>
          </w:rPr>
          <w:t>5268/05</w:t>
        </w:r>
      </w:hyperlink>
      <w:r>
        <w:rPr>
          <w:rtl w:val="true"/>
        </w:rPr>
        <w:t xml:space="preserve"> </w:t>
      </w:r>
      <w:r>
        <w:rPr>
          <w:rFonts w:ascii="Century" w:hAnsi="Century" w:cs="Miriam"/>
          <w:b/>
          <w:b/>
          <w:spacing w:val="0"/>
          <w:sz w:val="22"/>
          <w:sz w:val="22"/>
          <w:szCs w:val="24"/>
          <w:rtl w:val="true"/>
        </w:rPr>
        <w:t>אבישר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שירות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בתי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הסוהר</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19.6.2005</w:t>
      </w:r>
      <w:r>
        <w:rPr>
          <w:rtl w:val="true"/>
        </w:rPr>
        <w:t xml:space="preserve">)). </w:t>
      </w:r>
      <w:r>
        <w:rPr>
          <w:rtl w:val="true"/>
        </w:rPr>
        <w:t>בענייננו</w:t>
      </w:r>
      <w:r>
        <w:rPr>
          <w:rtl w:val="true"/>
        </w:rPr>
        <w:t xml:space="preserve">, </w:t>
      </w:r>
      <w:r>
        <w:rPr>
          <w:rtl w:val="true"/>
        </w:rPr>
        <w:t>המדינה התנגדה לשחרורו המוקדם של המשיב</w:t>
      </w:r>
      <w:r>
        <w:rPr>
          <w:rtl w:val="true"/>
        </w:rPr>
        <w:t xml:space="preserve">, </w:t>
      </w:r>
      <w:r>
        <w:rPr>
          <w:rtl w:val="true"/>
        </w:rPr>
        <w:t>אך לדברי בא</w:t>
      </w:r>
      <w:r>
        <w:rPr>
          <w:rtl w:val="true"/>
        </w:rPr>
        <w:t>-</w:t>
      </w:r>
      <w:r>
        <w:rPr>
          <w:rtl w:val="true"/>
        </w:rPr>
        <w:t>כוחה</w:t>
      </w:r>
      <w:r>
        <w:rPr>
          <w:rtl w:val="true"/>
        </w:rPr>
        <w:t>, "</w:t>
      </w:r>
      <w:r>
        <w:rPr>
          <w:rtl w:val="true"/>
        </w:rPr>
        <w:t>בשל תקלה</w:t>
      </w:r>
      <w:r>
        <w:rPr>
          <w:rtl w:val="true"/>
        </w:rPr>
        <w:t xml:space="preserve">" </w:t>
      </w:r>
      <w:r>
        <w:rPr>
          <w:rtl w:val="true"/>
        </w:rPr>
        <w:t xml:space="preserve">לא הובא לידיעת הוועדה </w:t>
      </w:r>
      <w:r>
        <w:rPr>
          <w:rtl w:val="true"/>
        </w:rPr>
        <w:t>(</w:t>
      </w:r>
      <w:r>
        <w:rPr>
          <w:rtl w:val="true"/>
        </w:rPr>
        <w:t xml:space="preserve">אשר דנה בעניינו של המשיב ביום </w:t>
      </w:r>
      <w:r>
        <w:rPr/>
        <w:t>23.4.2018</w:t>
      </w:r>
      <w:r>
        <w:rPr>
          <w:rtl w:val="true"/>
        </w:rPr>
        <w:t xml:space="preserve">) </w:t>
      </w:r>
      <w:r>
        <w:rPr>
          <w:rtl w:val="true"/>
        </w:rPr>
        <w:t>כי הוגש זה מכבר</w:t>
      </w:r>
      <w:r>
        <w:rPr>
          <w:rtl w:val="true"/>
        </w:rPr>
        <w:t xml:space="preserve">, </w:t>
      </w:r>
      <w:r>
        <w:rPr>
          <w:rtl w:val="true"/>
        </w:rPr>
        <w:t xml:space="preserve">ביום </w:t>
      </w:r>
      <w:r>
        <w:rPr/>
        <w:t>4.2.2018</w:t>
      </w:r>
      <w:r>
        <w:rPr>
          <w:rtl w:val="true"/>
        </w:rPr>
        <w:t xml:space="preserve">, </w:t>
      </w:r>
      <w:r>
        <w:rPr>
          <w:rtl w:val="true"/>
        </w:rPr>
        <w:t>ערעור על קולת העונש</w:t>
      </w:r>
      <w:r>
        <w:rPr>
          <w:rtl w:val="true"/>
        </w:rPr>
        <w:t xml:space="preserve">. </w:t>
      </w:r>
      <w:r>
        <w:rPr>
          <w:rtl w:val="true"/>
        </w:rPr>
        <w:t>בנסיבות אלו</w:t>
      </w:r>
      <w:r>
        <w:rPr>
          <w:rtl w:val="true"/>
        </w:rPr>
        <w:t xml:space="preserve">, </w:t>
      </w:r>
      <w:r>
        <w:rPr>
          <w:rtl w:val="true"/>
        </w:rPr>
        <w:t>ובהתחשב באמור בתסקיר המשלים על פיו המשיב משתלב בתכנית השיקומית שנבנתה לו</w:t>
      </w:r>
      <w:r>
        <w:rPr>
          <w:rtl w:val="true"/>
        </w:rPr>
        <w:t xml:space="preserve">, </w:t>
      </w:r>
      <w:r>
        <w:rPr>
          <w:rtl w:val="true"/>
        </w:rPr>
        <w:t>אין מקום להורות על החזרתו של המשיב לבית המאסר</w:t>
      </w:r>
      <w:r>
        <w:rPr>
          <w:rtl w:val="true"/>
        </w:rPr>
        <w:t xml:space="preserve">. </w:t>
      </w:r>
      <w:r>
        <w:rPr>
          <w:rtl w:val="true"/>
        </w:rPr>
        <w:t>על כן אם תשמע דעתי</w:t>
      </w:r>
      <w:r>
        <w:rPr>
          <w:rtl w:val="true"/>
        </w:rPr>
        <w:t xml:space="preserve">, </w:t>
      </w:r>
      <w:r>
        <w:rPr>
          <w:rtl w:val="true"/>
        </w:rPr>
        <w:t>דין הערעור להידחות</w:t>
      </w:r>
      <w:r>
        <w:rPr>
          <w:rtl w:val="true"/>
        </w:rPr>
        <w:t>.</w:t>
      </w:r>
    </w:p>
    <w:p>
      <w:pPr>
        <w:pStyle w:val="Ruller43"/>
        <w:numPr>
          <w:ilvl w:val="0"/>
          <w:numId w:val="0"/>
        </w:numPr>
        <w:ind w:hanging="0" w:start="0" w:end="0"/>
        <w:jc w:val="both"/>
        <w:rPr/>
      </w:pPr>
      <w:r>
        <w:rPr>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נאשם</w:t>
      </w:r>
      <w:r>
        <w:rPr>
          <w:rFonts w:ascii="Century" w:hAnsi="Century" w:eastAsia="Century" w:cs="Century"/>
          <w:b/>
          <w:b/>
          <w:spacing w:val="0"/>
          <w:szCs w:val="24"/>
          <w:rtl w:val="true"/>
        </w:rPr>
        <w:t xml:space="preserve"> </w:t>
      </w:r>
      <w:r>
        <w:rPr>
          <w:rFonts w:cs="Miriam" w:ascii="Century" w:hAnsi="Century"/>
          <w:b/>
          <w:spacing w:val="0"/>
          <w:szCs w:val="24"/>
        </w:rPr>
        <w:t>15</w:t>
      </w:r>
      <w:r>
        <w:rPr>
          <w:rFonts w:cs="Miriam" w:ascii="Century" w:hAnsi="Century"/>
          <w:b/>
          <w:spacing w:val="0"/>
          <w:szCs w:val="24"/>
          <w:rtl w:val="true"/>
        </w:rPr>
        <w:t xml:space="preserve"> (</w:t>
      </w:r>
      <w:r>
        <w:rPr>
          <w:rFonts w:ascii="Century" w:hAnsi="Century" w:cs="Miriam"/>
          <w:b/>
          <w:b/>
          <w:spacing w:val="0"/>
          <w:szCs w:val="24"/>
          <w:rtl w:val="true"/>
        </w:rPr>
        <w:t>משיב</w:t>
      </w:r>
      <w:r>
        <w:rPr>
          <w:rFonts w:ascii="Century" w:hAnsi="Century" w:eastAsia="Century" w:cs="Century"/>
          <w:b/>
          <w:b/>
          <w:spacing w:val="0"/>
          <w:szCs w:val="24"/>
          <w:rtl w:val="true"/>
        </w:rPr>
        <w:t xml:space="preserve"> </w:t>
      </w:r>
      <w:r>
        <w:rPr>
          <w:rFonts w:cs="Miriam" w:ascii="Century" w:hAnsi="Century"/>
          <w:b/>
          <w:spacing w:val="0"/>
          <w:szCs w:val="24"/>
        </w:rPr>
        <w:t>3</w:t>
      </w:r>
      <w:r>
        <w:rPr>
          <w:rFonts w:cs="Miriam" w:ascii="Century" w:hAnsi="Century"/>
          <w:b/>
          <w:spacing w:val="0"/>
          <w:szCs w:val="24"/>
          <w:rtl w:val="true"/>
        </w:rPr>
        <w:t xml:space="preserve"> </w:t>
      </w:r>
      <w:r>
        <w:rPr>
          <w:rFonts w:ascii="Century" w:hAnsi="Century" w:cs="Miriam"/>
          <w:b/>
          <w:b/>
          <w:spacing w:val="0"/>
          <w:szCs w:val="24"/>
          <w:rtl w:val="true"/>
        </w:rPr>
        <w:t>ב</w:t>
      </w:r>
      <w:r>
        <w:rPr>
          <w:rFonts w:ascii="Century" w:hAnsi="Century" w:cs="Miriam"/>
          <w:b/>
          <w:b/>
          <w:spacing w:val="0"/>
          <w:szCs w:val="24"/>
          <w:rtl w:val="true"/>
        </w:rPr>
        <w:t>ע</w:t>
      </w:r>
      <w:r>
        <w:rPr>
          <w:rFonts w:cs="Miriam" w:ascii="Century" w:hAnsi="Century"/>
          <w:b/>
          <w:spacing w:val="0"/>
          <w:szCs w:val="24"/>
          <w:rtl w:val="true"/>
        </w:rPr>
        <w:t>"</w:t>
      </w:r>
      <w:r>
        <w:rPr>
          <w:rFonts w:ascii="Century" w:hAnsi="Century" w:cs="Miriam"/>
          <w:b/>
          <w:b/>
          <w:spacing w:val="0"/>
          <w:szCs w:val="24"/>
          <w:rtl w:val="true"/>
        </w:rPr>
        <w:t>פ</w:t>
      </w:r>
      <w:r>
        <w:rPr>
          <w:rFonts w:ascii="Century" w:hAnsi="Century" w:eastAsia="Century" w:cs="Century"/>
          <w:b/>
          <w:b/>
          <w:spacing w:val="0"/>
          <w:szCs w:val="24"/>
          <w:rtl w:val="true"/>
        </w:rPr>
        <w:t xml:space="preserve"> </w:t>
      </w:r>
      <w:r>
        <w:rPr>
          <w:rFonts w:cs="Miriam" w:ascii="Century" w:hAnsi="Century"/>
          <w:b/>
          <w:spacing w:val="0"/>
          <w:szCs w:val="24"/>
        </w:rPr>
        <w:t>999/18</w:t>
      </w:r>
      <w:r>
        <w:rPr>
          <w:rFonts w:cs="Miriam" w:ascii="Century" w:hAnsi="Century"/>
          <w:b/>
          <w:spacing w:val="0"/>
          <w:szCs w:val="24"/>
          <w:rtl w:val="true"/>
        </w:rPr>
        <w:t>)</w:t>
      </w:r>
    </w:p>
    <w:p>
      <w:pPr>
        <w:pStyle w:val="Ruller43"/>
        <w:numPr>
          <w:ilvl w:val="0"/>
          <w:numId w:val="0"/>
        </w:numPr>
        <w:ind w:hanging="0" w:start="0" w:end="0"/>
        <w:jc w:val="both"/>
        <w:rPr>
          <w:rFonts w:ascii="Century" w:hAnsi="Century" w:cs="Miriam"/>
          <w:b/>
          <w:spacing w:val="0"/>
          <w:sz w:val="22"/>
          <w:szCs w:val="24"/>
        </w:rPr>
      </w:pP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הרקע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לערעור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וטענות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הצדדים</w:t>
      </w:r>
    </w:p>
    <w:p>
      <w:pPr>
        <w:pStyle w:val="Ruller43"/>
        <w:numPr>
          <w:ilvl w:val="0"/>
          <w:numId w:val="1"/>
        </w:numPr>
        <w:ind w:end="0"/>
        <w:jc w:val="both"/>
        <w:rPr/>
      </w:pPr>
      <w:r>
        <w:rPr>
          <w:rFonts w:ascii="Century" w:hAnsi="Century" w:cs="Century"/>
          <w:sz w:val="22"/>
          <w:sz w:val="22"/>
          <w:rtl w:val="true"/>
        </w:rPr>
        <w:t>המשיב הורשע כאמור בעבירה של סיוע לסחר בנשק בגין מעורבותו בעסקה במסגרתה נמכרו קלאצ</w:t>
      </w:r>
      <w:r>
        <w:rPr>
          <w:rFonts w:cs="Century" w:ascii="Century" w:hAnsi="Century"/>
          <w:sz w:val="22"/>
          <w:rtl w:val="true"/>
        </w:rPr>
        <w:t>'</w:t>
      </w:r>
      <w:r>
        <w:rPr>
          <w:rFonts w:ascii="Century" w:hAnsi="Century" w:cs="Century"/>
          <w:sz w:val="22"/>
          <w:sz w:val="22"/>
          <w:rtl w:val="true"/>
        </w:rPr>
        <w:t xml:space="preserve">ניקוב ושתי מחסניות תואמות תמורת סך של </w:t>
      </w:r>
      <w:r>
        <w:rPr>
          <w:rFonts w:cs="Century" w:ascii="Century" w:hAnsi="Century"/>
          <w:sz w:val="22"/>
        </w:rPr>
        <w:t>35,000</w:t>
      </w:r>
      <w:r>
        <w:rPr>
          <w:rFonts w:cs="Century" w:ascii="Century" w:hAnsi="Century"/>
          <w:sz w:val="22"/>
          <w:rtl w:val="true"/>
        </w:rPr>
        <w:t xml:space="preserve"> </w:t>
      </w:r>
      <w:r>
        <w:rPr>
          <w:rFonts w:ascii="Century" w:hAnsi="Century" w:cs="Century"/>
          <w:sz w:val="22"/>
          <w:sz w:val="22"/>
          <w:rtl w:val="true"/>
        </w:rPr>
        <w:t>ש</w:t>
      </w:r>
      <w:r>
        <w:rPr>
          <w:rFonts w:cs="Century" w:ascii="Century" w:hAnsi="Century"/>
          <w:sz w:val="22"/>
          <w:rtl w:val="true"/>
        </w:rPr>
        <w:t>"</w:t>
      </w:r>
      <w:r>
        <w:rPr>
          <w:rFonts w:ascii="Century" w:hAnsi="Century" w:cs="Century"/>
          <w:sz w:val="22"/>
          <w:sz w:val="22"/>
          <w:rtl w:val="true"/>
        </w:rPr>
        <w:t>ח</w:t>
      </w:r>
      <w:r>
        <w:rPr>
          <w:rFonts w:cs="Century" w:ascii="Century" w:hAnsi="Century"/>
          <w:sz w:val="22"/>
          <w:rtl w:val="true"/>
        </w:rPr>
        <w:t>.</w:t>
      </w:r>
    </w:p>
    <w:p>
      <w:pPr>
        <w:pStyle w:val="Ruller42"/>
        <w:ind w:end="0"/>
        <w:jc w:val="both"/>
        <w:rPr/>
      </w:pPr>
      <w:r>
        <w:rPr>
          <w:rtl w:val="true"/>
        </w:rPr>
      </w:r>
    </w:p>
    <w:p>
      <w:pPr>
        <w:pStyle w:val="Ruller43"/>
        <w:numPr>
          <w:ilvl w:val="0"/>
          <w:numId w:val="1"/>
        </w:numPr>
        <w:ind w:end="0"/>
        <w:jc w:val="both"/>
        <w:rPr/>
      </w:pPr>
      <w:r>
        <w:rPr>
          <w:rtl w:val="true"/>
        </w:rPr>
        <w:t>מתסקיר שירות המבחן שהוגש לבית המשפט המחוזי עלה</w:t>
      </w:r>
      <w:r>
        <w:rPr>
          <w:rtl w:val="true"/>
        </w:rPr>
        <w:t xml:space="preserve">, </w:t>
      </w:r>
      <w:r>
        <w:rPr>
          <w:rtl w:val="true"/>
        </w:rPr>
        <w:t xml:space="preserve">כי המשיב ביצע את העבירה בעת ששהה </w:t>
      </w:r>
      <w:r>
        <w:rPr>
          <w:rFonts w:ascii="Century" w:hAnsi="Century" w:cs="Miriam"/>
          <w:b/>
          <w:b/>
          <w:spacing w:val="0"/>
          <w:sz w:val="22"/>
          <w:sz w:val="22"/>
          <w:szCs w:val="24"/>
          <w:rtl w:val="true"/>
        </w:rPr>
        <w:t>במעצר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בפיקוח</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אלקטרוני</w:t>
      </w:r>
      <w:r>
        <w:rPr>
          <w:rtl w:val="true"/>
        </w:rPr>
        <w:t xml:space="preserve"> בבית סבתו</w:t>
      </w:r>
      <w:r>
        <w:rPr>
          <w:rtl w:val="true"/>
        </w:rPr>
        <w:t xml:space="preserve">, </w:t>
      </w:r>
      <w:r>
        <w:rPr>
          <w:rtl w:val="true"/>
        </w:rPr>
        <w:t>כי הוא התקשה להתייחס לבעייתיות שבכך ולהתנהלותו העבריינית בכלל</w:t>
      </w:r>
      <w:r>
        <w:rPr>
          <w:rtl w:val="true"/>
        </w:rPr>
        <w:t xml:space="preserve">. </w:t>
      </w:r>
      <w:r>
        <w:rPr>
          <w:rtl w:val="true"/>
        </w:rPr>
        <w:t>שירות המבחן לא בא בהמלצה שיקומית בעניינו אלא המליץ על ענישה מוחשית ומאסר מאחורי סורג ובריח</w:t>
      </w:r>
      <w:r>
        <w:rPr>
          <w:rtl w:val="true"/>
        </w:rPr>
        <w:t>.</w:t>
      </w:r>
    </w:p>
    <w:p>
      <w:pPr>
        <w:pStyle w:val="Ruller42"/>
        <w:ind w:end="0"/>
        <w:jc w:val="both"/>
        <w:rPr/>
      </w:pPr>
      <w:r>
        <w:rPr>
          <w:rtl w:val="true"/>
        </w:rPr>
      </w:r>
    </w:p>
    <w:p>
      <w:pPr>
        <w:pStyle w:val="Ruller43"/>
        <w:numPr>
          <w:ilvl w:val="0"/>
          <w:numId w:val="1"/>
        </w:numPr>
        <w:ind w:end="0"/>
        <w:jc w:val="both"/>
        <w:rPr/>
      </w:pPr>
      <w:r>
        <w:rPr>
          <w:rtl w:val="true"/>
        </w:rPr>
        <w:t xml:space="preserve">בגזר הדין צוין כי אין חולק שמעורבותו של המשיב הסתכמה בסיוע לנאשם </w:t>
      </w:r>
      <w:r>
        <w:rPr/>
        <w:t>8</w:t>
      </w:r>
      <w:r>
        <w:rPr>
          <w:rtl w:val="true"/>
        </w:rPr>
        <w:t xml:space="preserve"> (</w:t>
      </w:r>
      <w:r>
        <w:rPr>
          <w:rtl w:val="true"/>
        </w:rPr>
        <w:t xml:space="preserve">משיב </w:t>
      </w:r>
      <w:r>
        <w:rPr/>
        <w:t>2</w:t>
      </w:r>
      <w:r>
        <w:rPr>
          <w:rtl w:val="true"/>
        </w:rPr>
        <w:t xml:space="preserve"> </w:t>
      </w:r>
      <w:r>
        <w:rPr>
          <w:rtl w:val="true"/>
        </w:rPr>
        <w:t>ב</w:t>
      </w:r>
      <w:r>
        <w:rPr>
          <w:rtl w:val="true"/>
        </w:rPr>
        <w:t>ע</w:t>
      </w:r>
      <w:r>
        <w:rPr>
          <w:rtl w:val="true"/>
        </w:rPr>
        <w:t>"</w:t>
      </w:r>
      <w:r>
        <w:rPr>
          <w:rtl w:val="true"/>
        </w:rPr>
        <w:t>פ</w:t>
      </w:r>
      <w:r>
        <w:rPr>
          <w:rtl w:val="true"/>
        </w:rPr>
        <w:t xml:space="preserve"> </w:t>
      </w:r>
      <w:r>
        <w:rPr/>
        <w:t>8347/17</w:t>
      </w:r>
      <w:r>
        <w:rPr>
          <w:rtl w:val="true"/>
        </w:rPr>
        <w:t xml:space="preserve">), </w:t>
      </w:r>
      <w:r>
        <w:rPr>
          <w:rtl w:val="true"/>
        </w:rPr>
        <w:t>שהיה המבצע העיקרי</w:t>
      </w:r>
      <w:r>
        <w:rPr>
          <w:rtl w:val="true"/>
        </w:rPr>
        <w:t xml:space="preserve">. </w:t>
      </w:r>
      <w:r>
        <w:rPr>
          <w:rtl w:val="true"/>
        </w:rPr>
        <w:t>צוין כי באמתחתו של המשיב עבר פלילי בעבירות נשק והוא אף מתייחס באופן מצמצם לפסול שבמעשיו</w:t>
      </w:r>
      <w:r>
        <w:rPr>
          <w:rtl w:val="true"/>
        </w:rPr>
        <w:t xml:space="preserve">, </w:t>
      </w:r>
      <w:r>
        <w:rPr>
          <w:rtl w:val="true"/>
        </w:rPr>
        <w:t>אך נזקפו לקולא הודאתו במיוחס לו</w:t>
      </w:r>
      <w:r>
        <w:rPr>
          <w:rtl w:val="true"/>
        </w:rPr>
        <w:t xml:space="preserve">, </w:t>
      </w:r>
      <w:r>
        <w:rPr>
          <w:rtl w:val="true"/>
        </w:rPr>
        <w:t>גילו הצעיר ותקופת מעצרו</w:t>
      </w:r>
      <w:r>
        <w:rPr>
          <w:rtl w:val="true"/>
        </w:rPr>
        <w:t xml:space="preserve">. </w:t>
      </w:r>
      <w:r>
        <w:rPr>
          <w:rtl w:val="true"/>
        </w:rPr>
        <w:t xml:space="preserve">מתחם העונש ההולם בעניינו הועמד על </w:t>
      </w:r>
      <w:r>
        <w:rPr/>
        <w:t>20-8</w:t>
      </w:r>
      <w:r>
        <w:rPr>
          <w:rtl w:val="true"/>
        </w:rPr>
        <w:t xml:space="preserve"> </w:t>
      </w:r>
      <w:r>
        <w:rPr>
          <w:rtl w:val="true"/>
        </w:rPr>
        <w:t>חודשי מאסר בפועל</w:t>
      </w:r>
      <w:r>
        <w:rPr>
          <w:rtl w:val="true"/>
        </w:rPr>
        <w:t xml:space="preserve">, </w:t>
      </w:r>
      <w:r>
        <w:rPr>
          <w:rtl w:val="true"/>
        </w:rPr>
        <w:t xml:space="preserve">והושתו עליו </w:t>
      </w:r>
      <w:r>
        <w:rPr/>
        <w:t>12</w:t>
      </w:r>
      <w:r>
        <w:rPr>
          <w:rtl w:val="true"/>
        </w:rPr>
        <w:t xml:space="preserve"> </w:t>
      </w:r>
      <w:r>
        <w:rPr>
          <w:rtl w:val="true"/>
        </w:rPr>
        <w:t>חודשי מאסר בפועל</w:t>
      </w:r>
      <w:r>
        <w:rPr>
          <w:rtl w:val="true"/>
        </w:rPr>
        <w:t xml:space="preserve">, </w:t>
      </w:r>
      <w:r>
        <w:rPr>
          <w:rtl w:val="true"/>
        </w:rPr>
        <w:t xml:space="preserve">מאסר על תנאי וקנס בסך של </w:t>
      </w:r>
      <w:r>
        <w:rPr/>
        <w:t>7,500</w:t>
      </w:r>
      <w:r>
        <w:rPr>
          <w:rtl w:val="true"/>
        </w:rPr>
        <w:t xml:space="preserve"> </w:t>
      </w:r>
      <w:r>
        <w:rPr>
          <w:rtl w:val="true"/>
        </w:rPr>
        <w:t>ש</w:t>
      </w:r>
      <w:r>
        <w:rPr>
          <w:rtl w:val="true"/>
        </w:rPr>
        <w:t>"</w:t>
      </w:r>
      <w:r>
        <w:rPr>
          <w:rtl w:val="true"/>
        </w:rPr>
        <w:t>ח</w:t>
      </w:r>
      <w:r>
        <w:rPr>
          <w:rtl w:val="true"/>
        </w:rPr>
        <w:t>.</w:t>
      </w:r>
    </w:p>
    <w:p>
      <w:pPr>
        <w:pStyle w:val="Ruller42"/>
        <w:ind w:end="0"/>
        <w:jc w:val="both"/>
        <w:rPr/>
      </w:pPr>
      <w:r>
        <w:rPr>
          <w:rtl w:val="true"/>
        </w:rPr>
      </w:r>
    </w:p>
    <w:p>
      <w:pPr>
        <w:pStyle w:val="Ruller43"/>
        <w:numPr>
          <w:ilvl w:val="0"/>
          <w:numId w:val="1"/>
        </w:numPr>
        <w:ind w:end="0"/>
        <w:jc w:val="both"/>
        <w:rPr/>
      </w:pPr>
      <w:r>
        <w:rPr>
          <w:rtl w:val="true"/>
        </w:rPr>
        <w:t>לטענת המדינה</w:t>
      </w:r>
      <w:r>
        <w:rPr>
          <w:rtl w:val="true"/>
        </w:rPr>
        <w:t xml:space="preserve">, </w:t>
      </w:r>
      <w:r>
        <w:rPr>
          <w:rtl w:val="true"/>
        </w:rPr>
        <w:t>בית המשפט המחוזי לא נתן די משקל בעת קביעת מתחם העונש</w:t>
      </w:r>
      <w:r>
        <w:rPr>
          <w:rtl w:val="true"/>
        </w:rPr>
        <w:t xml:space="preserve">, </w:t>
      </w:r>
      <w:r>
        <w:rPr>
          <w:rtl w:val="true"/>
        </w:rPr>
        <w:t>לסוג כלי הנשק שהמשיב סייע לסחור בו</w:t>
      </w:r>
      <w:r>
        <w:rPr>
          <w:rtl w:val="true"/>
        </w:rPr>
        <w:t xml:space="preserve">, </w:t>
      </w:r>
      <w:r>
        <w:rPr>
          <w:rtl w:val="true"/>
        </w:rPr>
        <w:t>כמו גם לעובדה שביצוע העבירה נעשה בשעה שהוא נתון במעצר בפיקוח אלקטרוני וכאשר מתנהל נגדו תיק אחר של עבירות בנשק</w:t>
      </w:r>
      <w:r>
        <w:rPr>
          <w:rtl w:val="true"/>
        </w:rPr>
        <w:t xml:space="preserve">. </w:t>
      </w:r>
      <w:r>
        <w:rPr>
          <w:rtl w:val="true"/>
        </w:rPr>
        <w:t>המתחם צריך היה להביא לידי ביטוי את התעוזה הרבה שהפגין המשיב</w:t>
      </w:r>
      <w:r>
        <w:rPr>
          <w:rtl w:val="true"/>
        </w:rPr>
        <w:t xml:space="preserve">, </w:t>
      </w:r>
      <w:r>
        <w:rPr>
          <w:rtl w:val="true"/>
        </w:rPr>
        <w:t>את היעדר המורא מפני החוק</w:t>
      </w:r>
      <w:r>
        <w:rPr>
          <w:rtl w:val="true"/>
        </w:rPr>
        <w:t xml:space="preserve">, </w:t>
      </w:r>
      <w:r>
        <w:rPr>
          <w:rtl w:val="true"/>
        </w:rPr>
        <w:t>את חומרת המעשים ואת הקושי בהשגת כלי נשק מסוג זה</w:t>
      </w:r>
      <w:r>
        <w:rPr>
          <w:rtl w:val="true"/>
        </w:rPr>
        <w:t xml:space="preserve">. </w:t>
      </w:r>
      <w:r>
        <w:rPr>
          <w:rtl w:val="true"/>
        </w:rPr>
        <w:t>מה גם</w:t>
      </w:r>
      <w:r>
        <w:rPr>
          <w:rtl w:val="true"/>
        </w:rPr>
        <w:t xml:space="preserve">, </w:t>
      </w:r>
      <w:r>
        <w:rPr>
          <w:rtl w:val="true"/>
        </w:rPr>
        <w:t>העונש שהושת עליו הלכה למעשה נמצא בחלק התחתון של המתחם שנקבע</w:t>
      </w:r>
      <w:r>
        <w:rPr>
          <w:rtl w:val="true"/>
        </w:rPr>
        <w:t xml:space="preserve">, </w:t>
      </w:r>
      <w:r>
        <w:rPr>
          <w:rtl w:val="true"/>
        </w:rPr>
        <w:t>וזאת על אף שתסקיר שירות המבחן היה שלילי והמלצתו הייתה לענישה מוחשית</w:t>
      </w:r>
      <w:r>
        <w:rPr>
          <w:rtl w:val="true"/>
        </w:rPr>
        <w:t xml:space="preserve">. </w:t>
      </w:r>
    </w:p>
    <w:p>
      <w:pPr>
        <w:pStyle w:val="Ruller42"/>
        <w:ind w:end="0"/>
        <w:jc w:val="both"/>
        <w:rPr/>
      </w:pPr>
      <w:r>
        <w:rPr>
          <w:rtl w:val="true"/>
        </w:rPr>
      </w:r>
    </w:p>
    <w:p>
      <w:pPr>
        <w:pStyle w:val="Ruller43"/>
        <w:numPr>
          <w:ilvl w:val="0"/>
          <w:numId w:val="1"/>
        </w:numPr>
        <w:ind w:end="0"/>
        <w:jc w:val="both"/>
        <w:rPr/>
      </w:pPr>
      <w:r>
        <w:rPr>
          <w:rtl w:val="true"/>
        </w:rPr>
        <w:t>מנגד</w:t>
      </w:r>
      <w:r>
        <w:rPr>
          <w:rtl w:val="true"/>
        </w:rPr>
        <w:t xml:space="preserve">, </w:t>
      </w:r>
      <w:r>
        <w:rPr>
          <w:rtl w:val="true"/>
        </w:rPr>
        <w:t>המשיב עמד על כך שהוא לא סיפק כל תרומה להתגבשות המעשים העברייניים</w:t>
      </w:r>
      <w:r>
        <w:rPr>
          <w:rtl w:val="true"/>
        </w:rPr>
        <w:t xml:space="preserve">, </w:t>
      </w:r>
      <w:r>
        <w:rPr>
          <w:rtl w:val="true"/>
        </w:rPr>
        <w:t>למעט נוכחותו במקום ביצוע העבירה</w:t>
      </w:r>
      <w:r>
        <w:rPr>
          <w:rtl w:val="true"/>
        </w:rPr>
        <w:t xml:space="preserve">. </w:t>
      </w:r>
      <w:r>
        <w:rPr>
          <w:rtl w:val="true"/>
        </w:rPr>
        <w:t xml:space="preserve">מעורבות מינורית זו היא שעמדה בבסיס קביעת מתחם עונש הולם שעמד על </w:t>
      </w:r>
      <w:r>
        <w:rPr/>
        <w:t>24-8</w:t>
      </w:r>
      <w:r>
        <w:rPr>
          <w:rtl w:val="true"/>
        </w:rPr>
        <w:t xml:space="preserve"> </w:t>
      </w:r>
      <w:r>
        <w:rPr>
          <w:rtl w:val="true"/>
        </w:rPr>
        <w:t>חודשי מאסר בפועל</w:t>
      </w:r>
      <w:r>
        <w:rPr>
          <w:rtl w:val="true"/>
        </w:rPr>
        <w:t xml:space="preserve">. </w:t>
      </w:r>
      <w:r>
        <w:rPr>
          <w:rtl w:val="true"/>
        </w:rPr>
        <w:t>בית המשפט המחוזי אף החמיר בקביעת העונש בתוך המתחם</w:t>
      </w:r>
      <w:r>
        <w:rPr>
          <w:rtl w:val="true"/>
        </w:rPr>
        <w:t xml:space="preserve">, </w:t>
      </w:r>
      <w:r>
        <w:rPr>
          <w:rtl w:val="true"/>
        </w:rPr>
        <w:t>זאת בשים לב לעונשים שהוטלו על נאשמים אחרים בפרשה</w:t>
      </w:r>
      <w:r>
        <w:rPr>
          <w:rtl w:val="true"/>
        </w:rPr>
        <w:t xml:space="preserve">, </w:t>
      </w:r>
      <w:r>
        <w:rPr>
          <w:rtl w:val="true"/>
        </w:rPr>
        <w:t xml:space="preserve">ובפרט נאשמים </w:t>
      </w:r>
      <w:r>
        <w:rPr/>
        <w:t>12</w:t>
      </w:r>
      <w:r>
        <w:rPr>
          <w:rtl w:val="true"/>
        </w:rPr>
        <w:t xml:space="preserve"> </w:t>
      </w:r>
      <w:r>
        <w:rPr>
          <w:rtl w:val="true"/>
        </w:rPr>
        <w:t>ו</w:t>
      </w:r>
      <w:r>
        <w:rPr>
          <w:rtl w:val="true"/>
        </w:rPr>
        <w:t>-</w:t>
      </w:r>
      <w:r>
        <w:rPr/>
        <w:t>16</w:t>
      </w:r>
      <w:r>
        <w:rPr>
          <w:rtl w:val="true"/>
        </w:rPr>
        <w:t xml:space="preserve">. </w:t>
      </w:r>
      <w:r>
        <w:rPr>
          <w:rtl w:val="true"/>
        </w:rPr>
        <w:t xml:space="preserve">בעת ביצוע העבירה היה בן </w:t>
      </w:r>
      <w:r>
        <w:rPr/>
        <w:t>17.5</w:t>
      </w:r>
      <w:r>
        <w:rPr>
          <w:rtl w:val="true"/>
        </w:rPr>
        <w:t xml:space="preserve"> </w:t>
      </w:r>
      <w:r>
        <w:rPr>
          <w:rtl w:val="true"/>
        </w:rPr>
        <w:t>שנים ולאחרונה אף החל תהליך שיקום</w:t>
      </w:r>
      <w:r>
        <w:rPr>
          <w:rtl w:val="true"/>
        </w:rPr>
        <w:t xml:space="preserve">. </w:t>
      </w:r>
    </w:p>
    <w:p>
      <w:pPr>
        <w:pStyle w:val="Ruller42"/>
        <w:ind w:end="0"/>
        <w:jc w:val="both"/>
        <w:rPr/>
      </w:pPr>
      <w:r>
        <w:rPr>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ב</w:t>
      </w:r>
      <w:r>
        <w:rPr>
          <w:rFonts w:cs="Miriam" w:ascii="Century" w:hAnsi="Century"/>
          <w:b/>
          <w:spacing w:val="0"/>
          <w:szCs w:val="24"/>
          <w:rtl w:val="true"/>
        </w:rPr>
        <w:t xml:space="preserve">. </w:t>
      </w:r>
      <w:r>
        <w:rPr>
          <w:rFonts w:ascii="Century" w:hAnsi="Century" w:cs="Miriam"/>
          <w:b/>
          <w:b/>
          <w:spacing w:val="0"/>
          <w:szCs w:val="24"/>
          <w:rtl w:val="true"/>
        </w:rPr>
        <w:t>דיון</w:t>
      </w:r>
      <w:r>
        <w:rPr>
          <w:rFonts w:ascii="Century" w:hAnsi="Century" w:eastAsia="Century" w:cs="Century"/>
          <w:b/>
          <w:b/>
          <w:spacing w:val="0"/>
          <w:szCs w:val="24"/>
          <w:rtl w:val="true"/>
        </w:rPr>
        <w:t xml:space="preserve"> </w:t>
      </w:r>
      <w:r>
        <w:rPr>
          <w:rFonts w:ascii="Century" w:hAnsi="Century" w:cs="Miriam"/>
          <w:b/>
          <w:b/>
          <w:spacing w:val="0"/>
          <w:szCs w:val="24"/>
          <w:rtl w:val="true"/>
        </w:rPr>
        <w:t>והכרעה</w:t>
      </w:r>
    </w:p>
    <w:p>
      <w:pPr>
        <w:pStyle w:val="Ruller43"/>
        <w:numPr>
          <w:ilvl w:val="0"/>
          <w:numId w:val="1"/>
        </w:numPr>
        <w:ind w:end="0"/>
        <w:jc w:val="both"/>
        <w:rPr/>
      </w:pPr>
      <w:r>
        <w:rPr>
          <w:rtl w:val="true"/>
        </w:rPr>
        <w:t>בגזר הדין שניתן בעניינו של המשיב</w:t>
      </w:r>
      <w:r>
        <w:rPr>
          <w:rtl w:val="true"/>
        </w:rPr>
        <w:t xml:space="preserve">, </w:t>
      </w:r>
      <w:r>
        <w:rPr>
          <w:rtl w:val="true"/>
        </w:rPr>
        <w:t>בית המשפט לקח בחשבון את העובדה שהוא פעל כמסייע בלבד בעוד שנאשם אחר היה המעורב הדומיננטי בעסקה</w:t>
      </w:r>
      <w:r>
        <w:rPr>
          <w:rtl w:val="true"/>
        </w:rPr>
        <w:t xml:space="preserve">, </w:t>
      </w:r>
      <w:r>
        <w:rPr>
          <w:rtl w:val="true"/>
        </w:rPr>
        <w:t>ועל כן ובהתחשב בכלל נסיבות ביצוע העבירה</w:t>
      </w:r>
      <w:r>
        <w:rPr>
          <w:rtl w:val="true"/>
        </w:rPr>
        <w:t xml:space="preserve">, </w:t>
      </w:r>
      <w:r>
        <w:rPr>
          <w:rtl w:val="true"/>
        </w:rPr>
        <w:t xml:space="preserve">העמיד את מתחם העונש ההולם על </w:t>
      </w:r>
      <w:r>
        <w:rPr/>
        <w:t>20-8</w:t>
      </w:r>
      <w:r>
        <w:rPr>
          <w:rtl w:val="true"/>
        </w:rPr>
        <w:t xml:space="preserve"> </w:t>
      </w:r>
      <w:r>
        <w:rPr>
          <w:rtl w:val="true"/>
        </w:rPr>
        <w:t>חודשים מאסר בפועל</w:t>
      </w:r>
      <w:r>
        <w:rPr>
          <w:rtl w:val="true"/>
        </w:rPr>
        <w:t xml:space="preserve">. </w:t>
      </w:r>
      <w:r>
        <w:rPr>
          <w:rtl w:val="true"/>
        </w:rPr>
        <w:t>בית המשפט לקח בחשבון את עיקרון אחידות הענישה</w:t>
      </w:r>
      <w:r>
        <w:rPr>
          <w:rtl w:val="true"/>
        </w:rPr>
        <w:t xml:space="preserve">, </w:t>
      </w:r>
      <w:r>
        <w:rPr>
          <w:rtl w:val="true"/>
        </w:rPr>
        <w:t xml:space="preserve">כאשר נתן דעתו לעונש שהושת על נאשם </w:t>
      </w:r>
      <w:r>
        <w:rPr/>
        <w:t>8</w:t>
      </w:r>
      <w:r>
        <w:rPr>
          <w:rtl w:val="true"/>
        </w:rPr>
        <w:t xml:space="preserve"> (</w:t>
      </w:r>
      <w:r>
        <w:rPr/>
        <w:t>3.5</w:t>
      </w:r>
      <w:r>
        <w:rPr>
          <w:rtl w:val="true"/>
        </w:rPr>
        <w:t xml:space="preserve"> </w:t>
      </w:r>
      <w:r>
        <w:rPr>
          <w:rtl w:val="true"/>
        </w:rPr>
        <w:t>שנות מאסר בפועל</w:t>
      </w:r>
      <w:r>
        <w:rPr>
          <w:rtl w:val="true"/>
        </w:rPr>
        <w:t xml:space="preserve">) </w:t>
      </w:r>
      <w:r>
        <w:rPr>
          <w:rtl w:val="true"/>
        </w:rPr>
        <w:t>שמעורבותו הייתה גדולה יותר במסגרת אותה עסקה</w:t>
      </w:r>
      <w:r>
        <w:rPr>
          <w:rtl w:val="true"/>
        </w:rPr>
        <w:t xml:space="preserve">. </w:t>
      </w:r>
      <w:r>
        <w:rPr>
          <w:rtl w:val="true"/>
        </w:rPr>
        <w:t>בכך לא מצאתי כל פגם המצדיק התערבותנו</w:t>
      </w:r>
      <w:r>
        <w:rPr>
          <w:rtl w:val="true"/>
        </w:rPr>
        <w:t xml:space="preserve">. </w:t>
      </w:r>
      <w:r>
        <w:rPr>
          <w:rtl w:val="true"/>
        </w:rPr>
        <w:t>אלא שבצדק טענה המדינה</w:t>
      </w:r>
      <w:r>
        <w:rPr>
          <w:rtl w:val="true"/>
        </w:rPr>
        <w:t xml:space="preserve">, </w:t>
      </w:r>
      <w:r>
        <w:rPr>
          <w:rtl w:val="true"/>
        </w:rPr>
        <w:t>כי בית המשפט לא נתן ביטוי מספק במסגרת בחינת נסיבותיו האישיות של המשיב</w:t>
      </w:r>
      <w:r>
        <w:rPr>
          <w:rtl w:val="true"/>
        </w:rPr>
        <w:t xml:space="preserve">, </w:t>
      </w:r>
      <w:r>
        <w:rPr>
          <w:rtl w:val="true"/>
        </w:rPr>
        <w:t>לעובדה שהעבירות בוצעו על ידי המשיב בעודו שוהה במעצר בפיקוח אלקטרוני</w:t>
      </w:r>
      <w:r>
        <w:rPr>
          <w:rtl w:val="true"/>
        </w:rPr>
        <w:t>.</w:t>
      </w:r>
    </w:p>
    <w:p>
      <w:pPr>
        <w:pStyle w:val="Ruller42"/>
        <w:ind w:end="0"/>
        <w:jc w:val="both"/>
        <w:rPr/>
      </w:pPr>
      <w:r>
        <w:rPr>
          <w:rtl w:val="true"/>
        </w:rPr>
      </w:r>
    </w:p>
    <w:p>
      <w:pPr>
        <w:pStyle w:val="Ruller43"/>
        <w:numPr>
          <w:ilvl w:val="0"/>
          <w:numId w:val="1"/>
        </w:numPr>
        <w:ind w:end="0"/>
        <w:jc w:val="both"/>
        <w:rPr/>
      </w:pPr>
      <w:r>
        <w:rPr>
          <w:rtl w:val="true"/>
        </w:rPr>
        <w:t>כך</w:t>
      </w:r>
      <w:r>
        <w:rPr>
          <w:rtl w:val="true"/>
        </w:rPr>
        <w:t xml:space="preserve">, </w:t>
      </w:r>
      <w:r>
        <w:rPr>
          <w:rtl w:val="true"/>
        </w:rPr>
        <w:t>המשיב היה מעורב בפרשת נשק נוספת</w:t>
      </w:r>
      <w:r>
        <w:rPr>
          <w:rtl w:val="true"/>
        </w:rPr>
        <w:t xml:space="preserve">, </w:t>
      </w:r>
      <w:r>
        <w:rPr>
          <w:rtl w:val="true"/>
        </w:rPr>
        <w:t>בגינה הורשע בסופו של יום בעבירות של נשיאת נשק</w:t>
      </w:r>
      <w:r>
        <w:rPr>
          <w:rtl w:val="true"/>
        </w:rPr>
        <w:t xml:space="preserve">, </w:t>
      </w:r>
      <w:r>
        <w:rPr>
          <w:rtl w:val="true"/>
        </w:rPr>
        <w:t>ירי באזור מגורים ואיומים</w:t>
      </w:r>
      <w:r>
        <w:rPr>
          <w:rtl w:val="true"/>
        </w:rPr>
        <w:t xml:space="preserve">, </w:t>
      </w:r>
      <w:r>
        <w:rPr>
          <w:rtl w:val="true"/>
        </w:rPr>
        <w:t xml:space="preserve">ונגזר עליו עונש הכולל בין היתר מאסר בפועל </w:t>
      </w:r>
      <w:r>
        <w:rPr>
          <w:rtl w:val="true"/>
        </w:rPr>
        <w:t>(</w:t>
      </w:r>
      <w:hyperlink r:id="rId71">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tl w:val="true"/>
          </w:rPr>
          <w:t>(</w:t>
        </w:r>
        <w:r>
          <w:rPr>
            <w:rStyle w:val="Hyperlink"/>
            <w:color w:val="0000FF"/>
            <w:u w:val="single"/>
            <w:rtl w:val="true"/>
          </w:rPr>
          <w:t>מחוזי</w:t>
        </w:r>
        <w:r>
          <w:rPr>
            <w:rStyle w:val="Hyperlink"/>
            <w:color w:val="0000FF"/>
            <w:u w:val="single"/>
            <w:rtl w:val="true"/>
          </w:rPr>
          <w:t xml:space="preserve"> </w:t>
        </w:r>
        <w:r>
          <w:rPr>
            <w:rStyle w:val="Hyperlink"/>
            <w:color w:val="0000FF"/>
            <w:u w:val="single"/>
            <w:rtl w:val="true"/>
          </w:rPr>
          <w:t>מר</w:t>
        </w:r>
        <w:r>
          <w:rPr>
            <w:rStyle w:val="Hyperlink"/>
            <w:color w:val="0000FF"/>
            <w:u w:val="single"/>
            <w:rtl w:val="true"/>
          </w:rPr>
          <w:t xml:space="preserve">') </w:t>
        </w:r>
        <w:r>
          <w:rPr>
            <w:rStyle w:val="Hyperlink"/>
            <w:color w:val="0000FF"/>
            <w:u w:val="single"/>
          </w:rPr>
          <w:t>47542-07-15</w:t>
        </w:r>
      </w:hyperlink>
      <w:r>
        <w:rPr>
          <w:rtl w:val="true"/>
        </w:rPr>
        <w:t xml:space="preserve">). </w:t>
      </w:r>
      <w:r>
        <w:rPr>
          <w:rtl w:val="true"/>
        </w:rPr>
        <w:t>במסגרת ההליכים באותו תיק</w:t>
      </w:r>
      <w:r>
        <w:rPr>
          <w:rtl w:val="true"/>
        </w:rPr>
        <w:t xml:space="preserve">, </w:t>
      </w:r>
      <w:r>
        <w:rPr>
          <w:rtl w:val="true"/>
        </w:rPr>
        <w:t>הוא היה נתון תחת מעצר בפיקוח אלקטרוני בבית סבתו</w:t>
      </w:r>
      <w:r>
        <w:rPr>
          <w:rtl w:val="true"/>
        </w:rPr>
        <w:t xml:space="preserve">, </w:t>
      </w:r>
      <w:r>
        <w:rPr>
          <w:rtl w:val="true"/>
        </w:rPr>
        <w:t xml:space="preserve">זאת לפי החלטת בית המשפט בתיק המעצרים </w:t>
      </w:r>
      <w:r>
        <w:rPr>
          <w:rtl w:val="true"/>
        </w:rPr>
        <w:t>(</w:t>
      </w:r>
      <w:hyperlink r:id="rId72">
        <w:r>
          <w:rPr>
            <w:rStyle w:val="Hyperlink"/>
            <w:color w:val="0000FF"/>
            <w:u w:val="single"/>
            <w:rtl w:val="true"/>
          </w:rPr>
          <w:t>מ</w:t>
        </w:r>
        <w:r>
          <w:rPr>
            <w:rStyle w:val="Hyperlink"/>
            <w:color w:val="0000FF"/>
            <w:u w:val="single"/>
            <w:rtl w:val="true"/>
          </w:rPr>
          <w:t>"</w:t>
        </w:r>
        <w:r>
          <w:rPr>
            <w:rStyle w:val="Hyperlink"/>
            <w:color w:val="0000FF"/>
            <w:u w:val="single"/>
            <w:rtl w:val="true"/>
          </w:rPr>
          <w:t>ת</w:t>
        </w:r>
        <w:r>
          <w:rPr>
            <w:rStyle w:val="Hyperlink"/>
            <w:color w:val="0000FF"/>
            <w:u w:val="single"/>
            <w:rtl w:val="true"/>
          </w:rPr>
          <w:t xml:space="preserve"> </w:t>
        </w:r>
        <w:r>
          <w:rPr>
            <w:rStyle w:val="Hyperlink"/>
            <w:color w:val="0000FF"/>
            <w:u w:val="single"/>
            <w:rtl w:val="true"/>
          </w:rPr>
          <w:t>(</w:t>
        </w:r>
        <w:r>
          <w:rPr>
            <w:rStyle w:val="Hyperlink"/>
            <w:color w:val="0000FF"/>
            <w:u w:val="single"/>
            <w:rtl w:val="true"/>
          </w:rPr>
          <w:t>מחוזי</w:t>
        </w:r>
        <w:r>
          <w:rPr>
            <w:rStyle w:val="Hyperlink"/>
            <w:color w:val="0000FF"/>
            <w:u w:val="single"/>
            <w:rtl w:val="true"/>
          </w:rPr>
          <w:t xml:space="preserve"> </w:t>
        </w:r>
        <w:r>
          <w:rPr>
            <w:rStyle w:val="Hyperlink"/>
            <w:color w:val="0000FF"/>
            <w:u w:val="single"/>
            <w:rtl w:val="true"/>
          </w:rPr>
          <w:t>מר</w:t>
        </w:r>
        <w:r>
          <w:rPr>
            <w:rStyle w:val="Hyperlink"/>
            <w:color w:val="0000FF"/>
            <w:u w:val="single"/>
            <w:rtl w:val="true"/>
          </w:rPr>
          <w:t xml:space="preserve">') </w:t>
        </w:r>
        <w:r>
          <w:rPr>
            <w:rStyle w:val="Hyperlink"/>
            <w:color w:val="0000FF"/>
            <w:u w:val="single"/>
          </w:rPr>
          <w:t>47585-07-15</w:t>
        </w:r>
      </w:hyperlink>
      <w:r>
        <w:rPr>
          <w:rtl w:val="true"/>
        </w:rPr>
        <w:t xml:space="preserve">). </w:t>
      </w:r>
      <w:r>
        <w:rPr>
          <w:rtl w:val="true"/>
        </w:rPr>
        <w:t>העבירות מושא כתב האישום המתוקן שעל פיו הורשע המשיב בעניינו</w:t>
      </w:r>
      <w:r>
        <w:rPr>
          <w:rtl w:val="true"/>
        </w:rPr>
        <w:t xml:space="preserve">, </w:t>
      </w:r>
      <w:r>
        <w:rPr>
          <w:rtl w:val="true"/>
        </w:rPr>
        <w:t>נעשו באותה עת שהיה המשיב נתון כאמור במעצר בפיקוח אלקטרוני</w:t>
      </w:r>
      <w:r>
        <w:rPr>
          <w:rtl w:val="true"/>
        </w:rPr>
        <w:t xml:space="preserve">. </w:t>
      </w:r>
      <w:r>
        <w:rPr>
          <w:rtl w:val="true"/>
        </w:rPr>
        <w:t>היינו</w:t>
      </w:r>
      <w:r>
        <w:rPr>
          <w:rtl w:val="true"/>
        </w:rPr>
        <w:t xml:space="preserve">, </w:t>
      </w:r>
      <w:r>
        <w:rPr>
          <w:rtl w:val="true"/>
        </w:rPr>
        <w:t>לא רק שהמשיב הפר את תנאי מעצרו</w:t>
      </w:r>
      <w:r>
        <w:rPr>
          <w:rtl w:val="true"/>
        </w:rPr>
        <w:t xml:space="preserve">, </w:t>
      </w:r>
      <w:r>
        <w:rPr>
          <w:rtl w:val="true"/>
        </w:rPr>
        <w:t>אלא הוא עשה כן לצורך ביצוע עבירה דומה לזו שבגינה הושם במעצר</w:t>
      </w:r>
      <w:r>
        <w:rPr>
          <w:rtl w:val="true"/>
        </w:rPr>
        <w:t xml:space="preserve">. </w:t>
      </w:r>
      <w:r>
        <w:rPr>
          <w:rtl w:val="true"/>
        </w:rPr>
        <w:t>המשיב לא נרתע מלשוב למעשיו בעודו נתון במעצר בפיקוח אלקטרוני כאמור</w:t>
      </w:r>
      <w:r>
        <w:rPr>
          <w:rtl w:val="true"/>
        </w:rPr>
        <w:t xml:space="preserve">, </w:t>
      </w:r>
      <w:r>
        <w:rPr>
          <w:rtl w:val="true"/>
        </w:rPr>
        <w:t>ונדמה כי על אף שבית המשפט המחוזי נתן דעתו לנסיבה זו</w:t>
      </w:r>
      <w:r>
        <w:rPr>
          <w:rtl w:val="true"/>
        </w:rPr>
        <w:t xml:space="preserve">, </w:t>
      </w:r>
      <w:r>
        <w:rPr>
          <w:rtl w:val="true"/>
        </w:rPr>
        <w:t>לא ניתן לה משקל די הצורך</w:t>
      </w:r>
      <w:r>
        <w:rPr>
          <w:rtl w:val="true"/>
        </w:rPr>
        <w:t xml:space="preserve">. </w:t>
      </w:r>
      <w:r>
        <w:rPr>
          <w:rtl w:val="true"/>
        </w:rPr>
        <w:t>התנהלות מעין זו מקימה צורך משמעותי בהרתעת המשיב הפעם הזו לבל ישוב על מעשיו</w:t>
      </w:r>
      <w:r>
        <w:rPr>
          <w:rtl w:val="true"/>
        </w:rPr>
        <w:t xml:space="preserve">, </w:t>
      </w:r>
      <w:r>
        <w:rPr>
          <w:rtl w:val="true"/>
        </w:rPr>
        <w:t>ומחייבת גזירת עונש משמעותי אשר יביא לידי ביטוי את חומרת המעשים והתעוזה הנלמדת מהם</w:t>
      </w:r>
      <w:r>
        <w:rPr>
          <w:rtl w:val="true"/>
        </w:rPr>
        <w:t xml:space="preserve">. </w:t>
      </w:r>
      <w:r>
        <w:rPr>
          <w:rtl w:val="true"/>
        </w:rPr>
        <w:t>על כן יש מקום להחמרה בעונשו</w:t>
      </w:r>
      <w:r>
        <w:rPr>
          <w:rtl w:val="true"/>
        </w:rPr>
        <w:t xml:space="preserve">. </w:t>
      </w:r>
      <w:r>
        <w:rPr>
          <w:rtl w:val="true"/>
        </w:rPr>
        <w:t>יצוין כי גם עיון בתסקירי שירות המבחן מלמד כי המשיב אינו מפנים את מלוא חומרת מעשיו ומתקשה להבין את הפסול שבהם</w:t>
      </w:r>
      <w:r>
        <w:rPr>
          <w:rtl w:val="true"/>
        </w:rPr>
        <w:t>.</w:t>
      </w:r>
    </w:p>
    <w:p>
      <w:pPr>
        <w:pStyle w:val="Ruller42"/>
        <w:ind w:end="0"/>
        <w:jc w:val="both"/>
        <w:rPr/>
      </w:pPr>
      <w:r>
        <w:rPr>
          <w:rtl w:val="true"/>
        </w:rPr>
      </w:r>
    </w:p>
    <w:p>
      <w:pPr>
        <w:pStyle w:val="Ruller42"/>
        <w:ind w:end="0"/>
        <w:jc w:val="both"/>
        <w:rPr/>
      </w:pPr>
      <w:r>
        <w:rPr>
          <w:rtl w:val="true"/>
        </w:rPr>
        <w:tab/>
      </w:r>
      <w:r>
        <w:rPr>
          <w:rtl w:val="true"/>
        </w:rPr>
        <w:t>אשר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כן</w:t>
      </w:r>
      <w:r>
        <w:rPr>
          <w:rtl w:val="true"/>
        </w:rPr>
        <w:t xml:space="preserve">, </w:t>
      </w:r>
      <w:r>
        <w:rPr>
          <w:rtl w:val="true"/>
        </w:rPr>
        <w:t>אם</w:t>
      </w:r>
      <w:r>
        <w:rPr>
          <w:rFonts w:eastAsia="Arial TUR;Arial" w:cs="Arial TUR;Arial"/>
          <w:rtl w:val="true"/>
        </w:rPr>
        <w:t xml:space="preserve"> </w:t>
      </w:r>
      <w:r>
        <w:rPr>
          <w:rtl w:val="true"/>
        </w:rPr>
        <w:t>תשמע</w:t>
      </w:r>
      <w:r>
        <w:rPr>
          <w:rFonts w:eastAsia="Arial TUR;Arial" w:cs="Arial TUR;Arial"/>
          <w:rtl w:val="true"/>
        </w:rPr>
        <w:t xml:space="preserve"> </w:t>
      </w:r>
      <w:r>
        <w:rPr>
          <w:rtl w:val="true"/>
        </w:rPr>
        <w:t>דעתי</w:t>
      </w:r>
      <w:r>
        <w:rPr>
          <w:rFonts w:eastAsia="Arial TUR;Arial" w:cs="Arial TUR;Arial"/>
          <w:rtl w:val="true"/>
        </w:rPr>
        <w:t xml:space="preserve"> </w:t>
      </w:r>
      <w:r>
        <w:rPr>
          <w:rtl w:val="true"/>
        </w:rPr>
        <w:t>דין</w:t>
      </w:r>
      <w:r>
        <w:rPr>
          <w:rFonts w:eastAsia="Arial TUR;Arial" w:cs="Arial TUR;Arial"/>
          <w:rtl w:val="true"/>
        </w:rPr>
        <w:t xml:space="preserve"> </w:t>
      </w:r>
      <w:r>
        <w:rPr>
          <w:rtl w:val="true"/>
        </w:rPr>
        <w:t>ערעור</w:t>
      </w:r>
      <w:r>
        <w:rPr>
          <w:rFonts w:eastAsia="Arial TUR;Arial" w:cs="Arial TUR;Arial"/>
          <w:rtl w:val="true"/>
        </w:rPr>
        <w:t xml:space="preserve"> </w:t>
      </w:r>
      <w:r>
        <w:rPr>
          <w:rtl w:val="true"/>
        </w:rPr>
        <w:t>המדינה</w:t>
      </w:r>
      <w:r>
        <w:rPr>
          <w:rFonts w:eastAsia="Arial TUR;Arial" w:cs="Arial TUR;Arial"/>
          <w:rtl w:val="true"/>
        </w:rPr>
        <w:t xml:space="preserve"> </w:t>
      </w:r>
      <w:r>
        <w:rPr>
          <w:rtl w:val="true"/>
        </w:rPr>
        <w:t>להתקבל</w:t>
      </w:r>
      <w:r>
        <w:rPr>
          <w:rtl w:val="true"/>
        </w:rPr>
        <w:t xml:space="preserve">. </w:t>
      </w:r>
      <w:r>
        <w:rPr>
          <w:rtl w:val="true"/>
        </w:rPr>
        <w:t>עונשו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משיב</w:t>
      </w:r>
      <w:r>
        <w:rPr>
          <w:rFonts w:eastAsia="Arial TUR;Arial" w:cs="Arial TUR;Arial"/>
          <w:rtl w:val="true"/>
        </w:rPr>
        <w:t xml:space="preserve"> </w:t>
      </w:r>
      <w:r>
        <w:rPr/>
        <w:t>3</w:t>
      </w:r>
      <w:r>
        <w:rPr>
          <w:rtl w:val="true"/>
        </w:rPr>
        <w:t xml:space="preserve"> </w:t>
      </w:r>
      <w:r>
        <w:rPr>
          <w:rtl w:val="true"/>
        </w:rPr>
        <w:t>ב</w:t>
      </w:r>
      <w:r>
        <w:rPr>
          <w:rtl w:val="true"/>
        </w:rPr>
        <w:t>ע</w:t>
      </w:r>
      <w:r>
        <w:rPr>
          <w:rtl w:val="true"/>
        </w:rPr>
        <w:t>"</w:t>
      </w:r>
      <w:r>
        <w:rPr>
          <w:rtl w:val="true"/>
        </w:rPr>
        <w:t>פ</w:t>
      </w:r>
      <w:r>
        <w:rPr>
          <w:rFonts w:eastAsia="Arial TUR;Arial" w:cs="Arial TUR;Arial"/>
          <w:rtl w:val="true"/>
        </w:rPr>
        <w:t xml:space="preserve"> </w:t>
      </w:r>
      <w:r>
        <w:rPr/>
        <w:t>999/18</w:t>
      </w:r>
      <w:r>
        <w:rPr>
          <w:rtl w:val="true"/>
        </w:rPr>
        <w:t xml:space="preserve"> </w:t>
      </w:r>
      <w:r>
        <w:rPr>
          <w:rtl w:val="true"/>
        </w:rPr>
        <w:t>יעמוד</w:t>
      </w:r>
      <w:r>
        <w:rPr>
          <w:rFonts w:eastAsia="Arial TUR;Arial" w:cs="Arial TUR;Arial"/>
          <w:rtl w:val="true"/>
        </w:rPr>
        <w:t xml:space="preserve"> </w:t>
      </w:r>
      <w:r>
        <w:rPr>
          <w:rtl w:val="true"/>
        </w:rPr>
        <w:t>על</w:t>
      </w:r>
      <w:r>
        <w:rPr>
          <w:rFonts w:eastAsia="Arial TUR;Arial" w:cs="Arial TUR;Arial"/>
          <w:rtl w:val="true"/>
        </w:rPr>
        <w:t xml:space="preserve"> </w:t>
      </w:r>
      <w:r>
        <w:rPr/>
        <w:t>20</w:t>
      </w:r>
      <w:r>
        <w:rPr>
          <w:rtl w:val="true"/>
        </w:rPr>
        <w:t xml:space="preserve"> </w:t>
      </w:r>
      <w:r>
        <w:rPr>
          <w:rtl w:val="true"/>
        </w:rPr>
        <w:t>חודשי</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בפועל</w:t>
      </w:r>
      <w:r>
        <w:rPr>
          <w:rtl w:val="true"/>
        </w:rPr>
        <w:t xml:space="preserve">. </w:t>
      </w:r>
      <w:r>
        <w:rPr>
          <w:rtl w:val="true"/>
        </w:rPr>
        <w:t>יתר</w:t>
      </w:r>
      <w:r>
        <w:rPr>
          <w:rFonts w:eastAsia="Arial TUR;Arial" w:cs="Arial TUR;Arial"/>
          <w:rtl w:val="true"/>
        </w:rPr>
        <w:t xml:space="preserve"> </w:t>
      </w:r>
      <w:r>
        <w:rPr>
          <w:rtl w:val="true"/>
        </w:rPr>
        <w:t>רכיבי</w:t>
      </w:r>
      <w:r>
        <w:rPr>
          <w:rFonts w:eastAsia="Arial TUR;Arial" w:cs="Arial TUR;Arial"/>
          <w:rtl w:val="true"/>
        </w:rPr>
        <w:t xml:space="preserve"> </w:t>
      </w:r>
      <w:r>
        <w:rPr>
          <w:rtl w:val="true"/>
        </w:rPr>
        <w:t>העונש</w:t>
      </w:r>
      <w:r>
        <w:rPr>
          <w:rFonts w:eastAsia="Arial TUR;Arial" w:cs="Arial TUR;Arial"/>
          <w:rtl w:val="true"/>
        </w:rPr>
        <w:t xml:space="preserve"> </w:t>
      </w:r>
      <w:r>
        <w:rPr>
          <w:rtl w:val="true"/>
        </w:rPr>
        <w:t>שנקבעו</w:t>
      </w:r>
      <w:r>
        <w:rPr>
          <w:rFonts w:eastAsia="Arial TUR;Arial" w:cs="Arial TUR;Arial"/>
          <w:rtl w:val="true"/>
        </w:rPr>
        <w:t xml:space="preserve"> </w:t>
      </w:r>
      <w:r>
        <w:rPr>
          <w:rtl w:val="true"/>
        </w:rPr>
        <w:t>בבית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יעמדו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מכונם</w:t>
      </w:r>
      <w:r>
        <w:rPr>
          <w:rtl w:val="true"/>
        </w:rPr>
        <w:t>.</w:t>
      </w:r>
    </w:p>
    <w:p>
      <w:pPr>
        <w:pStyle w:val="Ruller42"/>
        <w:ind w:end="0"/>
        <w:jc w:val="both"/>
        <w:rPr/>
      </w:pPr>
      <w:r>
        <w:rPr>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נאשם</w:t>
      </w:r>
      <w:r>
        <w:rPr>
          <w:rFonts w:ascii="Century" w:hAnsi="Century" w:eastAsia="Century" w:cs="Century"/>
          <w:b/>
          <w:b/>
          <w:spacing w:val="0"/>
          <w:szCs w:val="24"/>
          <w:rtl w:val="true"/>
        </w:rPr>
        <w:t xml:space="preserve"> </w:t>
      </w:r>
      <w:r>
        <w:rPr>
          <w:rFonts w:cs="Miriam" w:ascii="Century" w:hAnsi="Century"/>
          <w:b/>
          <w:spacing w:val="0"/>
          <w:szCs w:val="24"/>
        </w:rPr>
        <w:t>17</w:t>
      </w:r>
      <w:r>
        <w:rPr>
          <w:rFonts w:cs="Miriam" w:ascii="Century" w:hAnsi="Century"/>
          <w:b/>
          <w:spacing w:val="0"/>
          <w:szCs w:val="24"/>
          <w:rtl w:val="true"/>
        </w:rPr>
        <w:t xml:space="preserve"> (</w:t>
      </w:r>
      <w:r>
        <w:rPr>
          <w:rFonts w:ascii="Century" w:hAnsi="Century" w:cs="Miriam"/>
          <w:b/>
          <w:b/>
          <w:spacing w:val="0"/>
          <w:szCs w:val="24"/>
          <w:rtl w:val="true"/>
        </w:rPr>
        <w:t>משיב</w:t>
      </w:r>
      <w:r>
        <w:rPr>
          <w:rFonts w:ascii="Century" w:hAnsi="Century" w:eastAsia="Century" w:cs="Century"/>
          <w:b/>
          <w:b/>
          <w:spacing w:val="0"/>
          <w:szCs w:val="24"/>
          <w:rtl w:val="true"/>
        </w:rPr>
        <w:t xml:space="preserve"> </w:t>
      </w:r>
      <w:r>
        <w:rPr>
          <w:rFonts w:cs="Miriam" w:ascii="Century" w:hAnsi="Century"/>
          <w:b/>
          <w:spacing w:val="0"/>
          <w:szCs w:val="24"/>
        </w:rPr>
        <w:t>4</w:t>
      </w:r>
      <w:r>
        <w:rPr>
          <w:rFonts w:cs="Miriam" w:ascii="Century" w:hAnsi="Century"/>
          <w:b/>
          <w:spacing w:val="0"/>
          <w:szCs w:val="24"/>
          <w:rtl w:val="true"/>
        </w:rPr>
        <w:t xml:space="preserve"> </w:t>
      </w:r>
      <w:r>
        <w:rPr>
          <w:rFonts w:ascii="Century" w:hAnsi="Century" w:cs="Miriam"/>
          <w:b/>
          <w:b/>
          <w:spacing w:val="0"/>
          <w:szCs w:val="24"/>
          <w:rtl w:val="true"/>
        </w:rPr>
        <w:t>ב</w:t>
      </w:r>
      <w:r>
        <w:rPr>
          <w:rFonts w:ascii="Century" w:hAnsi="Century" w:cs="Miriam"/>
          <w:b/>
          <w:b/>
          <w:spacing w:val="0"/>
          <w:szCs w:val="24"/>
          <w:rtl w:val="true"/>
        </w:rPr>
        <w:t>ע</w:t>
      </w:r>
      <w:r>
        <w:rPr>
          <w:rFonts w:cs="Miriam" w:ascii="Century" w:hAnsi="Century"/>
          <w:b/>
          <w:spacing w:val="0"/>
          <w:szCs w:val="24"/>
          <w:rtl w:val="true"/>
        </w:rPr>
        <w:t>"</w:t>
      </w:r>
      <w:r>
        <w:rPr>
          <w:rFonts w:ascii="Century" w:hAnsi="Century" w:cs="Miriam"/>
          <w:b/>
          <w:b/>
          <w:spacing w:val="0"/>
          <w:szCs w:val="24"/>
          <w:rtl w:val="true"/>
        </w:rPr>
        <w:t>פ</w:t>
      </w:r>
      <w:r>
        <w:rPr>
          <w:rFonts w:ascii="Century" w:hAnsi="Century" w:eastAsia="Century" w:cs="Century"/>
          <w:b/>
          <w:b/>
          <w:spacing w:val="0"/>
          <w:szCs w:val="24"/>
          <w:rtl w:val="true"/>
        </w:rPr>
        <w:t xml:space="preserve"> </w:t>
      </w:r>
      <w:r>
        <w:rPr>
          <w:rFonts w:cs="Miriam" w:ascii="Century" w:hAnsi="Century"/>
          <w:b/>
          <w:spacing w:val="0"/>
          <w:szCs w:val="24"/>
        </w:rPr>
        <w:t>999/18</w:t>
      </w:r>
      <w:r>
        <w:rPr>
          <w:rFonts w:cs="Miriam" w:ascii="Century" w:hAnsi="Century"/>
          <w:b/>
          <w:spacing w:val="0"/>
          <w:szCs w:val="24"/>
          <w:rtl w:val="true"/>
        </w:rPr>
        <w:t>)</w:t>
      </w:r>
    </w:p>
    <w:p>
      <w:pPr>
        <w:pStyle w:val="Ruller43"/>
        <w:numPr>
          <w:ilvl w:val="0"/>
          <w:numId w:val="0"/>
        </w:numPr>
        <w:ind w:hanging="0" w:start="0" w:end="0"/>
        <w:jc w:val="both"/>
        <w:rPr>
          <w:rFonts w:ascii="Century" w:hAnsi="Century" w:cs="Miriam"/>
          <w:b/>
          <w:spacing w:val="0"/>
          <w:sz w:val="22"/>
          <w:szCs w:val="24"/>
        </w:rPr>
      </w:pP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הרקע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לערעור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וטענות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הצדדים</w:t>
      </w:r>
    </w:p>
    <w:p>
      <w:pPr>
        <w:pStyle w:val="Ruller43"/>
        <w:numPr>
          <w:ilvl w:val="0"/>
          <w:numId w:val="1"/>
        </w:numPr>
        <w:ind w:end="0"/>
        <w:jc w:val="both"/>
        <w:rPr/>
      </w:pPr>
      <w:r>
        <w:rPr>
          <w:rtl w:val="true"/>
        </w:rPr>
        <w:t>המשיב הורשע בשתי עבירות של סחר בנשק וקשירת קשר לסחר</w:t>
      </w:r>
      <w:r>
        <w:rPr>
          <w:rtl w:val="true"/>
        </w:rPr>
        <w:t xml:space="preserve">, </w:t>
      </w:r>
      <w:r>
        <w:rPr>
          <w:rtl w:val="true"/>
        </w:rPr>
        <w:t>בגין מעורבותו בשתי עסקאות במסגרתן נמכר לסוכן אקדח מסוג זיג זאואר</w:t>
      </w:r>
      <w:r>
        <w:rPr>
          <w:rtl w:val="true"/>
        </w:rPr>
        <w:t xml:space="preserve">, </w:t>
      </w:r>
      <w:r>
        <w:rPr>
          <w:rtl w:val="true"/>
        </w:rPr>
        <w:t>ו</w:t>
      </w:r>
      <w:r>
        <w:rPr>
          <w:rFonts w:ascii="Century" w:hAnsi="Century" w:cs="Century"/>
          <w:sz w:val="22"/>
          <w:sz w:val="22"/>
          <w:rtl w:val="true"/>
        </w:rPr>
        <w:t xml:space="preserve">אקדח מסוג גלוק תמורת סך כולל של </w:t>
      </w:r>
      <w:r>
        <w:rPr>
          <w:rFonts w:cs="Century" w:ascii="Century" w:hAnsi="Century"/>
          <w:sz w:val="22"/>
        </w:rPr>
        <w:t>70,000</w:t>
      </w:r>
      <w:r>
        <w:rPr>
          <w:rFonts w:cs="Century" w:ascii="Century" w:hAnsi="Century"/>
          <w:sz w:val="22"/>
          <w:rtl w:val="true"/>
        </w:rPr>
        <w:t xml:space="preserve"> </w:t>
      </w:r>
      <w:r>
        <w:rPr>
          <w:rFonts w:ascii="Century" w:hAnsi="Century" w:cs="Century"/>
          <w:sz w:val="22"/>
          <w:sz w:val="22"/>
          <w:rtl w:val="true"/>
        </w:rPr>
        <w:t>ש</w:t>
      </w:r>
      <w:r>
        <w:rPr>
          <w:rFonts w:cs="Century" w:ascii="Century" w:hAnsi="Century"/>
          <w:sz w:val="22"/>
          <w:rtl w:val="true"/>
        </w:rPr>
        <w:t>"</w:t>
      </w:r>
      <w:r>
        <w:rPr>
          <w:rFonts w:ascii="Century" w:hAnsi="Century" w:cs="Century"/>
          <w:sz w:val="22"/>
          <w:sz w:val="22"/>
          <w:rtl w:val="true"/>
        </w:rPr>
        <w:t>ח</w:t>
      </w:r>
      <w:r>
        <w:rPr>
          <w:rFonts w:cs="Century" w:ascii="Century" w:hAnsi="Century"/>
          <w:sz w:val="22"/>
          <w:rtl w:val="true"/>
        </w:rPr>
        <w:t xml:space="preserve">. </w:t>
      </w:r>
      <w:r>
        <w:rPr>
          <w:rFonts w:ascii="Century" w:hAnsi="Century" w:cs="Century"/>
          <w:sz w:val="22"/>
          <w:sz w:val="22"/>
          <w:rtl w:val="true"/>
        </w:rPr>
        <w:t>בעסקה השנייה</w:t>
      </w:r>
      <w:r>
        <w:rPr>
          <w:rFonts w:cs="Century" w:ascii="Century" w:hAnsi="Century"/>
          <w:sz w:val="22"/>
          <w:rtl w:val="true"/>
        </w:rPr>
        <w:t xml:space="preserve">, </w:t>
      </w:r>
      <w:r>
        <w:rPr>
          <w:rFonts w:ascii="Century" w:hAnsi="Century" w:cs="Century"/>
          <w:sz w:val="22"/>
          <w:sz w:val="22"/>
          <w:rtl w:val="true"/>
        </w:rPr>
        <w:t>המשיב הוא זה אשר סיפק לנאשם אחר את הנשק ואת התחמושת לאחר שקיבל אותו מידי אחר</w:t>
      </w:r>
      <w:r>
        <w:rPr>
          <w:rFonts w:cs="Century" w:ascii="Century" w:hAnsi="Century"/>
          <w:sz w:val="22"/>
          <w:rtl w:val="true"/>
        </w:rPr>
        <w:t xml:space="preserve">, </w:t>
      </w:r>
      <w:r>
        <w:rPr>
          <w:rFonts w:ascii="Century" w:hAnsi="Century" w:cs="Century"/>
          <w:sz w:val="22"/>
          <w:sz w:val="22"/>
          <w:rtl w:val="true"/>
        </w:rPr>
        <w:t>ואף קבע את המחיר שישולם תמורתו</w:t>
      </w:r>
      <w:r>
        <w:rPr>
          <w:rFonts w:cs="Century" w:ascii="Century" w:hAnsi="Century"/>
          <w:sz w:val="22"/>
          <w:rtl w:val="true"/>
        </w:rPr>
        <w:t>.</w:t>
      </w:r>
    </w:p>
    <w:p>
      <w:pPr>
        <w:pStyle w:val="Ruller42"/>
        <w:ind w:end="0"/>
        <w:jc w:val="both"/>
        <w:rPr/>
      </w:pPr>
      <w:r>
        <w:rPr>
          <w:rtl w:val="true"/>
        </w:rPr>
      </w:r>
    </w:p>
    <w:p>
      <w:pPr>
        <w:pStyle w:val="Ruller43"/>
        <w:numPr>
          <w:ilvl w:val="0"/>
          <w:numId w:val="1"/>
        </w:numPr>
        <w:ind w:end="0"/>
        <w:jc w:val="both"/>
        <w:rPr/>
      </w:pPr>
      <w:r>
        <w:rPr>
          <w:rtl w:val="true"/>
        </w:rPr>
        <w:t>בתסקירי שירות המבחן שהוגשו לפני בית המשפט המחוזי צוין כי המשיב מתקשה להבין את המניעים למעשיו ונוטה להשליך על שותפיו את היוזמה לביצוע העבירות</w:t>
      </w:r>
      <w:r>
        <w:rPr>
          <w:rtl w:val="true"/>
        </w:rPr>
        <w:t xml:space="preserve">. </w:t>
      </w:r>
      <w:r>
        <w:rPr>
          <w:rtl w:val="true"/>
        </w:rPr>
        <w:t>בהתחשב בגישתו לאירועים</w:t>
      </w:r>
      <w:r>
        <w:rPr>
          <w:rtl w:val="true"/>
        </w:rPr>
        <w:t xml:space="preserve">, </w:t>
      </w:r>
      <w:r>
        <w:rPr>
          <w:rtl w:val="true"/>
        </w:rPr>
        <w:t>באי</w:t>
      </w:r>
      <w:r>
        <w:rPr>
          <w:rtl w:val="true"/>
        </w:rPr>
        <w:t>-</w:t>
      </w:r>
      <w:r>
        <w:rPr>
          <w:rtl w:val="true"/>
        </w:rPr>
        <w:t>הבנה של חומרתם ושל צרכיו הטיפוליים ובשל היעדר ההתקדמות במישור הטיפולי</w:t>
      </w:r>
      <w:r>
        <w:rPr>
          <w:rtl w:val="true"/>
        </w:rPr>
        <w:t xml:space="preserve">, </w:t>
      </w:r>
      <w:r>
        <w:rPr>
          <w:rtl w:val="true"/>
        </w:rPr>
        <w:t>שירות המבחן הביע ספק לגבי יכולתו להירתם להליך טיפולי ולא בא בהמלצה בעניינו</w:t>
      </w:r>
      <w:r>
        <w:rPr>
          <w:rtl w:val="true"/>
        </w:rPr>
        <w:t>.</w:t>
      </w:r>
    </w:p>
    <w:p>
      <w:pPr>
        <w:pStyle w:val="Ruller42"/>
        <w:ind w:end="0"/>
        <w:jc w:val="both"/>
        <w:rPr/>
      </w:pPr>
      <w:r>
        <w:rPr>
          <w:rtl w:val="true"/>
        </w:rPr>
      </w:r>
    </w:p>
    <w:p>
      <w:pPr>
        <w:pStyle w:val="Ruller43"/>
        <w:numPr>
          <w:ilvl w:val="0"/>
          <w:numId w:val="1"/>
        </w:numPr>
        <w:ind w:end="0"/>
        <w:jc w:val="both"/>
        <w:rPr/>
      </w:pPr>
      <w:r>
        <w:rPr>
          <w:rtl w:val="true"/>
        </w:rPr>
        <w:t xml:space="preserve">בגזר הדין מיום </w:t>
      </w:r>
      <w:r>
        <w:rPr/>
        <w:t>21.12.2017</w:t>
      </w:r>
      <w:r>
        <w:rPr>
          <w:rtl w:val="true"/>
        </w:rPr>
        <w:t xml:space="preserve"> </w:t>
      </w:r>
      <w:r>
        <w:rPr>
          <w:rtl w:val="true"/>
        </w:rPr>
        <w:t>נקבע כי חרף פער הזמנים בין שתי העסקאות</w:t>
      </w:r>
      <w:r>
        <w:rPr>
          <w:rtl w:val="true"/>
        </w:rPr>
        <w:t xml:space="preserve">, </w:t>
      </w:r>
      <w:r>
        <w:rPr>
          <w:rtl w:val="true"/>
        </w:rPr>
        <w:t>שתיהן מאופיינות בדפוס פעולה זהה מבחינת חלקו של המשיב ועל כן מדובר באירוע עברייני אחד לצורך קביעת מתחם העונש</w:t>
      </w:r>
      <w:r>
        <w:rPr>
          <w:rtl w:val="true"/>
        </w:rPr>
        <w:t xml:space="preserve">. </w:t>
      </w:r>
      <w:r>
        <w:rPr>
          <w:rtl w:val="true"/>
        </w:rPr>
        <w:t xml:space="preserve">אין חולק כי נאשם </w:t>
      </w:r>
      <w:r>
        <w:rPr/>
        <w:t>6</w:t>
      </w:r>
      <w:r>
        <w:rPr>
          <w:rtl w:val="true"/>
        </w:rPr>
        <w:t xml:space="preserve"> (</w:t>
      </w:r>
      <w:r>
        <w:rPr>
          <w:rtl w:val="true"/>
        </w:rPr>
        <w:t xml:space="preserve">משיב </w:t>
      </w:r>
      <w:r>
        <w:rPr/>
        <w:t>1</w:t>
      </w:r>
      <w:r>
        <w:rPr>
          <w:rtl w:val="true"/>
        </w:rPr>
        <w:t xml:space="preserve"> </w:t>
      </w:r>
      <w:r>
        <w:rPr>
          <w:rtl w:val="true"/>
        </w:rPr>
        <w:t>ב</w:t>
      </w:r>
      <w:r>
        <w:rPr>
          <w:rtl w:val="true"/>
        </w:rPr>
        <w:t>ע</w:t>
      </w:r>
      <w:r>
        <w:rPr>
          <w:rtl w:val="true"/>
        </w:rPr>
        <w:t>"</w:t>
      </w:r>
      <w:r>
        <w:rPr>
          <w:rtl w:val="true"/>
        </w:rPr>
        <w:t>פ</w:t>
      </w:r>
      <w:r>
        <w:rPr>
          <w:rtl w:val="true"/>
        </w:rPr>
        <w:t xml:space="preserve"> </w:t>
      </w:r>
      <w:r>
        <w:rPr/>
        <w:t>8347/17</w:t>
      </w:r>
      <w:r>
        <w:rPr>
          <w:rtl w:val="true"/>
        </w:rPr>
        <w:t xml:space="preserve">) </w:t>
      </w:r>
      <w:r>
        <w:rPr>
          <w:rtl w:val="true"/>
        </w:rPr>
        <w:t>היה הגורם הדומיננטי באינטראקציה אל מול הסוכן</w:t>
      </w:r>
      <w:r>
        <w:rPr>
          <w:rtl w:val="true"/>
        </w:rPr>
        <w:t xml:space="preserve">, </w:t>
      </w:r>
      <w:r>
        <w:rPr>
          <w:rtl w:val="true"/>
        </w:rPr>
        <w:t>הוא זה שיצר קשר עם המשיב ואין אינדיקציה לכך שהאחרון קיבל את כספי התמורה בגין העסקאות</w:t>
      </w:r>
      <w:r>
        <w:rPr>
          <w:rtl w:val="true"/>
        </w:rPr>
        <w:t xml:space="preserve">. </w:t>
      </w:r>
      <w:r>
        <w:rPr>
          <w:rtl w:val="true"/>
        </w:rPr>
        <w:t>אולם</w:t>
      </w:r>
      <w:r>
        <w:rPr>
          <w:rtl w:val="true"/>
        </w:rPr>
        <w:t xml:space="preserve">, </w:t>
      </w:r>
      <w:r>
        <w:rPr>
          <w:rtl w:val="true"/>
        </w:rPr>
        <w:t>המשיב הוא זה שסיפק את הגישה הישירה לכלי הנשק</w:t>
      </w:r>
      <w:r>
        <w:rPr>
          <w:rtl w:val="true"/>
        </w:rPr>
        <w:t xml:space="preserve">. </w:t>
      </w:r>
      <w:r>
        <w:rPr>
          <w:rtl w:val="true"/>
        </w:rPr>
        <w:t xml:space="preserve">בעסקה השנייה ניכר כי הוא </w:t>
      </w:r>
      <w:r>
        <w:rPr>
          <w:rtl w:val="true"/>
        </w:rPr>
        <w:t>"</w:t>
      </w:r>
      <w:r>
        <w:rPr>
          <w:rtl w:val="true"/>
        </w:rPr>
        <w:t>בעל המילה האחרונה</w:t>
      </w:r>
      <w:r>
        <w:rPr>
          <w:rtl w:val="true"/>
        </w:rPr>
        <w:t xml:space="preserve">" </w:t>
      </w:r>
      <w:r>
        <w:rPr>
          <w:rtl w:val="true"/>
        </w:rPr>
        <w:t>בכל הנוגע למחיר העסקה</w:t>
      </w:r>
      <w:r>
        <w:rPr>
          <w:rtl w:val="true"/>
        </w:rPr>
        <w:t xml:space="preserve">. </w:t>
      </w:r>
      <w:r>
        <w:rPr>
          <w:rtl w:val="true"/>
        </w:rPr>
        <w:t xml:space="preserve">על כן מתחם העונש ההולם הועמד על </w:t>
      </w:r>
      <w:r>
        <w:rPr/>
        <w:t>5-3</w:t>
      </w:r>
      <w:r>
        <w:rPr>
          <w:rtl w:val="true"/>
        </w:rPr>
        <w:t xml:space="preserve"> </w:t>
      </w:r>
      <w:r>
        <w:rPr>
          <w:rtl w:val="true"/>
        </w:rPr>
        <w:t>שנות מאסר בפועל</w:t>
      </w:r>
      <w:r>
        <w:rPr>
          <w:rtl w:val="true"/>
        </w:rPr>
        <w:t xml:space="preserve">. </w:t>
      </w:r>
      <w:r>
        <w:rPr>
          <w:rtl w:val="true"/>
        </w:rPr>
        <w:t>בית המשפט המחוזי בחן את הנסיבות שאינן קשורות בביצוע העבירה</w:t>
      </w:r>
      <w:r>
        <w:rPr>
          <w:rtl w:val="true"/>
        </w:rPr>
        <w:t xml:space="preserve">, </w:t>
      </w:r>
      <w:r>
        <w:rPr>
          <w:rtl w:val="true"/>
        </w:rPr>
        <w:t>לרבות אלה שצוינו בתסקירים בעניינו של המשיב</w:t>
      </w:r>
      <w:r>
        <w:rPr>
          <w:rtl w:val="true"/>
        </w:rPr>
        <w:t xml:space="preserve">, </w:t>
      </w:r>
      <w:r>
        <w:rPr>
          <w:rtl w:val="true"/>
        </w:rPr>
        <w:t>ותוך שהביא בחשבון כי הלה עומד לראשונה לפני ריצוי עונש מאסר בפועל</w:t>
      </w:r>
      <w:r>
        <w:rPr>
          <w:rtl w:val="true"/>
        </w:rPr>
        <w:t xml:space="preserve">. </w:t>
      </w:r>
      <w:r>
        <w:rPr>
          <w:rtl w:val="true"/>
        </w:rPr>
        <w:t>צוין כי היה ראוי להעמיד את עונשו מעל לרף התחתון</w:t>
      </w:r>
      <w:r>
        <w:rPr>
          <w:rtl w:val="true"/>
        </w:rPr>
        <w:t xml:space="preserve">, </w:t>
      </w:r>
      <w:r>
        <w:rPr>
          <w:rtl w:val="true"/>
        </w:rPr>
        <w:t xml:space="preserve">אך בהתחשב בעונש שנגזר על נאשם </w:t>
      </w:r>
      <w:r>
        <w:rPr/>
        <w:t>6</w:t>
      </w:r>
      <w:r>
        <w:rPr>
          <w:rtl w:val="true"/>
        </w:rPr>
        <w:t xml:space="preserve">, </w:t>
      </w:r>
      <w:r>
        <w:rPr>
          <w:rtl w:val="true"/>
        </w:rPr>
        <w:t>נקבע עונשו של המשיב על הרף התחתון של המתחם</w:t>
      </w:r>
      <w:r>
        <w:rPr>
          <w:rtl w:val="true"/>
        </w:rPr>
        <w:t xml:space="preserve">: </w:t>
      </w:r>
      <w:r>
        <w:rPr/>
        <w:t>3</w:t>
      </w:r>
      <w:r>
        <w:rPr>
          <w:rtl w:val="true"/>
        </w:rPr>
        <w:t xml:space="preserve"> </w:t>
      </w:r>
      <w:r>
        <w:rPr>
          <w:rtl w:val="true"/>
        </w:rPr>
        <w:t>שנות מאסר בפועל</w:t>
      </w:r>
      <w:r>
        <w:rPr>
          <w:rtl w:val="true"/>
        </w:rPr>
        <w:t xml:space="preserve">, </w:t>
      </w:r>
      <w:r>
        <w:rPr>
          <w:rtl w:val="true"/>
        </w:rPr>
        <w:t xml:space="preserve">מאסר על תנאי וקנס כספי בסך של </w:t>
      </w:r>
      <w:r>
        <w:rPr/>
        <w:t>10,000</w:t>
      </w:r>
      <w:r>
        <w:rPr>
          <w:rtl w:val="true"/>
        </w:rPr>
        <w:t xml:space="preserve"> </w:t>
      </w:r>
      <w:r>
        <w:rPr>
          <w:rtl w:val="true"/>
        </w:rPr>
        <w:t>ש</w:t>
      </w:r>
      <w:r>
        <w:rPr>
          <w:rtl w:val="true"/>
        </w:rPr>
        <w:t>"</w:t>
      </w:r>
      <w:r>
        <w:rPr>
          <w:rtl w:val="true"/>
        </w:rPr>
        <w:t>ח</w:t>
      </w:r>
      <w:r>
        <w:rPr>
          <w:rtl w:val="true"/>
        </w:rPr>
        <w:t>.</w:t>
      </w:r>
    </w:p>
    <w:p>
      <w:pPr>
        <w:pStyle w:val="Ruller42"/>
        <w:ind w:end="0"/>
        <w:jc w:val="both"/>
        <w:rPr/>
      </w:pPr>
      <w:r>
        <w:rPr>
          <w:rtl w:val="true"/>
        </w:rPr>
      </w:r>
    </w:p>
    <w:p>
      <w:pPr>
        <w:pStyle w:val="Ruller43"/>
        <w:numPr>
          <w:ilvl w:val="0"/>
          <w:numId w:val="1"/>
        </w:numPr>
        <w:ind w:end="0"/>
        <w:jc w:val="both"/>
        <w:rPr/>
      </w:pPr>
      <w:r>
        <w:rPr>
          <w:rtl w:val="true"/>
        </w:rPr>
        <w:t>לטענת המדינה</w:t>
      </w:r>
      <w:r>
        <w:rPr>
          <w:rtl w:val="true"/>
        </w:rPr>
        <w:t xml:space="preserve">, </w:t>
      </w:r>
      <w:r>
        <w:rPr>
          <w:rtl w:val="true"/>
        </w:rPr>
        <w:t>גזר הדין שהושת על המשיב מופרז לקולא</w:t>
      </w:r>
      <w:r>
        <w:rPr>
          <w:rtl w:val="true"/>
        </w:rPr>
        <w:t xml:space="preserve">. </w:t>
      </w:r>
      <w:r>
        <w:rPr>
          <w:rtl w:val="true"/>
        </w:rPr>
        <w:t>לשיטתה</w:t>
      </w:r>
      <w:r>
        <w:rPr>
          <w:rtl w:val="true"/>
        </w:rPr>
        <w:t xml:space="preserve">, </w:t>
      </w:r>
      <w:r>
        <w:rPr>
          <w:rtl w:val="true"/>
        </w:rPr>
        <w:t>שגה בית המשפט בקבעו כי מדובר באירוע עברייני אחד</w:t>
      </w:r>
      <w:r>
        <w:rPr>
          <w:rtl w:val="true"/>
        </w:rPr>
        <w:t xml:space="preserve">, </w:t>
      </w:r>
      <w:r>
        <w:rPr>
          <w:rtl w:val="true"/>
        </w:rPr>
        <w:t xml:space="preserve">שכן הגם שבשתי העסקאות נמכר אותו סוג כלי נשק ובשתיהן היה מעורב נאשם </w:t>
      </w:r>
      <w:r>
        <w:rPr/>
        <w:t>6</w:t>
      </w:r>
      <w:r>
        <w:rPr>
          <w:rtl w:val="true"/>
        </w:rPr>
        <w:t xml:space="preserve"> </w:t>
      </w:r>
      <w:r>
        <w:rPr>
          <w:rtl w:val="true"/>
        </w:rPr>
        <w:t>–</w:t>
      </w:r>
      <w:r>
        <w:rPr>
          <w:rtl w:val="true"/>
        </w:rPr>
        <w:t xml:space="preserve"> </w:t>
      </w:r>
      <w:r>
        <w:rPr>
          <w:rtl w:val="true"/>
        </w:rPr>
        <w:t>הרי שחלפה תקופה של כחודש ביניהן ולכן אין לראותן כחלק מאותה מסכת עבריינית</w:t>
      </w:r>
      <w:r>
        <w:rPr>
          <w:rtl w:val="true"/>
        </w:rPr>
        <w:t xml:space="preserve">. </w:t>
      </w:r>
      <w:r>
        <w:rPr>
          <w:rtl w:val="true"/>
        </w:rPr>
        <w:t xml:space="preserve">גם מתחם העונש שנקבע לאותו אירוע מקל מדי ואינו מבטא את החומרה היתרה שעולה ממעשי סחר בשני אקדחים במחיר כולל של </w:t>
      </w:r>
      <w:r>
        <w:rPr/>
        <w:t>70,000</w:t>
      </w:r>
      <w:r>
        <w:rPr>
          <w:rtl w:val="true"/>
        </w:rPr>
        <w:t xml:space="preserve"> </w:t>
      </w:r>
      <w:r>
        <w:rPr>
          <w:rtl w:val="true"/>
        </w:rPr>
        <w:t>ש</w:t>
      </w:r>
      <w:r>
        <w:rPr>
          <w:rtl w:val="true"/>
        </w:rPr>
        <w:t>"</w:t>
      </w:r>
      <w:r>
        <w:rPr>
          <w:rtl w:val="true"/>
        </w:rPr>
        <w:t>ח</w:t>
      </w:r>
      <w:r>
        <w:rPr>
          <w:rtl w:val="true"/>
        </w:rPr>
        <w:t xml:space="preserve">. </w:t>
      </w:r>
      <w:r>
        <w:rPr>
          <w:rtl w:val="true"/>
        </w:rPr>
        <w:t>כן השיגה המדינה על מיקום העונש בתוך המתחם שנקבע</w:t>
      </w:r>
      <w:r>
        <w:rPr>
          <w:rtl w:val="true"/>
        </w:rPr>
        <w:t xml:space="preserve">. </w:t>
      </w:r>
      <w:r>
        <w:rPr>
          <w:rtl w:val="true"/>
        </w:rPr>
        <w:t>משני התסקירים שהוגשו בעניינו עלה כי המשיב איננו משתף פעולה ולכן לא ניתנה המלצה טיפולית בעניינו</w:t>
      </w:r>
      <w:r>
        <w:rPr>
          <w:rtl w:val="true"/>
        </w:rPr>
        <w:t xml:space="preserve">. </w:t>
      </w:r>
    </w:p>
    <w:p>
      <w:pPr>
        <w:pStyle w:val="Ruller42"/>
        <w:ind w:end="0"/>
        <w:jc w:val="both"/>
        <w:rPr/>
      </w:pPr>
      <w:r>
        <w:rPr>
          <w:rtl w:val="true"/>
        </w:rPr>
      </w:r>
    </w:p>
    <w:p>
      <w:pPr>
        <w:pStyle w:val="Ruller43"/>
        <w:numPr>
          <w:ilvl w:val="0"/>
          <w:numId w:val="1"/>
        </w:numPr>
        <w:ind w:end="0"/>
        <w:jc w:val="both"/>
        <w:rPr/>
      </w:pPr>
      <w:r>
        <w:rPr>
          <w:rtl w:val="true"/>
        </w:rPr>
        <w:t>מנגד</w:t>
      </w:r>
      <w:r>
        <w:rPr>
          <w:rtl w:val="true"/>
        </w:rPr>
        <w:t xml:space="preserve">, </w:t>
      </w:r>
      <w:r>
        <w:rPr>
          <w:rtl w:val="true"/>
        </w:rPr>
        <w:t>המשיב טען כי דין ערעור המדינה להידחות</w:t>
      </w:r>
      <w:r>
        <w:rPr>
          <w:rtl w:val="true"/>
        </w:rPr>
        <w:t xml:space="preserve">. </w:t>
      </w:r>
      <w:r>
        <w:rPr>
          <w:rtl w:val="true"/>
        </w:rPr>
        <w:t>לגישתו</w:t>
      </w:r>
      <w:r>
        <w:rPr>
          <w:rtl w:val="true"/>
        </w:rPr>
        <w:t xml:space="preserve">, </w:t>
      </w:r>
      <w:r>
        <w:rPr>
          <w:rtl w:val="true"/>
        </w:rPr>
        <w:t>בצדק נקבע כי מדובר באירוע עברייני אחד</w:t>
      </w:r>
      <w:r>
        <w:rPr>
          <w:rtl w:val="true"/>
        </w:rPr>
        <w:t xml:space="preserve">. </w:t>
      </w:r>
      <w:r>
        <w:rPr>
          <w:rtl w:val="true"/>
        </w:rPr>
        <w:t>כן נטען כי מתחם העונש שנקבע אף עולה בקנה אחד עם הנחיית פרקליט המדינה</w:t>
      </w:r>
      <w:r>
        <w:rPr>
          <w:rtl w:val="true"/>
        </w:rPr>
        <w:t xml:space="preserve">, </w:t>
      </w:r>
      <w:r>
        <w:rPr>
          <w:rtl w:val="true"/>
        </w:rPr>
        <w:t>לפיה הרשעה בגין סחר באקדח מצדיקה מתחם עונש המתחיל בעונש מאסר של שנתיים</w:t>
      </w:r>
      <w:r>
        <w:rPr>
          <w:rtl w:val="true"/>
        </w:rPr>
        <w:t xml:space="preserve">, </w:t>
      </w:r>
      <w:r>
        <w:rPr>
          <w:rtl w:val="true"/>
        </w:rPr>
        <w:t>ואילו בענייננו המתחם התחיל בעונש של שלוש שנות מאסר</w:t>
      </w:r>
      <w:r>
        <w:rPr>
          <w:rtl w:val="true"/>
        </w:rPr>
        <w:t xml:space="preserve">. </w:t>
      </w:r>
      <w:r>
        <w:rPr>
          <w:rtl w:val="true"/>
        </w:rPr>
        <w:t>עוד נטען כי חרף החומרה שהמדינה ביקשה לייחס לשווי העסקאות</w:t>
      </w:r>
      <w:r>
        <w:rPr>
          <w:rtl w:val="true"/>
        </w:rPr>
        <w:t xml:space="preserve">, </w:t>
      </w:r>
      <w:r>
        <w:rPr>
          <w:rtl w:val="true"/>
        </w:rPr>
        <w:t>אין כל קביעה כי המשיב קיבל לידיו את כספי התמורה וגם אין לראותו כמי שהיה המקור לכלי הנשק והתחמושת</w:t>
      </w:r>
      <w:r>
        <w:rPr>
          <w:rtl w:val="true"/>
        </w:rPr>
        <w:t xml:space="preserve">. </w:t>
      </w:r>
      <w:r>
        <w:rPr>
          <w:rtl w:val="true"/>
        </w:rPr>
        <w:t>כמו כן</w:t>
      </w:r>
      <w:r>
        <w:rPr>
          <w:rtl w:val="true"/>
        </w:rPr>
        <w:t xml:space="preserve">, </w:t>
      </w:r>
      <w:r>
        <w:rPr>
          <w:rtl w:val="true"/>
        </w:rPr>
        <w:t xml:space="preserve">מי שקבע את מחיר העסקה באישום השני אינו המשיב אלא נאשם </w:t>
      </w:r>
      <w:r>
        <w:rPr/>
        <w:t>6</w:t>
      </w:r>
      <w:r>
        <w:rPr>
          <w:rtl w:val="true"/>
        </w:rPr>
        <w:t xml:space="preserve">. </w:t>
      </w:r>
      <w:r>
        <w:rPr>
          <w:rtl w:val="true"/>
        </w:rPr>
        <w:t>כן צוין כי הרקע לביצוע המעשים לא היה בטחוני וגם לא במסגרת ארגון פשיעה</w:t>
      </w:r>
      <w:r>
        <w:rPr>
          <w:rtl w:val="true"/>
        </w:rPr>
        <w:t xml:space="preserve">. </w:t>
      </w:r>
      <w:r>
        <w:rPr>
          <w:rtl w:val="true"/>
        </w:rPr>
        <w:t>החמרת הענישה אינה מוצדקת גם נוכח הנסיבות שאינן קשורות בביצוע העבירה</w:t>
      </w:r>
      <w:r>
        <w:rPr>
          <w:rtl w:val="true"/>
        </w:rPr>
        <w:t xml:space="preserve">, </w:t>
      </w:r>
      <w:r>
        <w:rPr>
          <w:rtl w:val="true"/>
        </w:rPr>
        <w:t>ובכלל זה היותו בן למשפחה נורמטיבית ולכך שנטל אחריות על מעשיו בהזדמנות הראשונה</w:t>
      </w:r>
      <w:r>
        <w:rPr>
          <w:rtl w:val="true"/>
        </w:rPr>
        <w:t xml:space="preserve">. </w:t>
      </w:r>
    </w:p>
    <w:p>
      <w:pPr>
        <w:pStyle w:val="Ruller43"/>
        <w:numPr>
          <w:ilvl w:val="0"/>
          <w:numId w:val="0"/>
        </w:numPr>
        <w:ind w:hanging="0" w:start="0" w:end="0"/>
        <w:jc w:val="both"/>
        <w:rPr/>
      </w:pPr>
      <w:r>
        <w:rPr>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ב</w:t>
      </w:r>
      <w:r>
        <w:rPr>
          <w:rFonts w:cs="Miriam" w:ascii="Century" w:hAnsi="Century"/>
          <w:b/>
          <w:spacing w:val="0"/>
          <w:szCs w:val="24"/>
          <w:rtl w:val="true"/>
        </w:rPr>
        <w:t xml:space="preserve">. </w:t>
      </w:r>
      <w:r>
        <w:rPr>
          <w:rFonts w:ascii="Century" w:hAnsi="Century" w:cs="Miriam"/>
          <w:b/>
          <w:b/>
          <w:spacing w:val="0"/>
          <w:szCs w:val="24"/>
          <w:rtl w:val="true"/>
        </w:rPr>
        <w:t>דיון</w:t>
      </w:r>
      <w:r>
        <w:rPr>
          <w:rFonts w:ascii="Century" w:hAnsi="Century" w:eastAsia="Century" w:cs="Century"/>
          <w:b/>
          <w:b/>
          <w:spacing w:val="0"/>
          <w:szCs w:val="24"/>
          <w:rtl w:val="true"/>
        </w:rPr>
        <w:t xml:space="preserve"> </w:t>
      </w:r>
      <w:r>
        <w:rPr>
          <w:rFonts w:ascii="Century" w:hAnsi="Century" w:cs="Miriam"/>
          <w:b/>
          <w:b/>
          <w:spacing w:val="0"/>
          <w:szCs w:val="24"/>
          <w:rtl w:val="true"/>
        </w:rPr>
        <w:t>והכרעה</w:t>
      </w:r>
    </w:p>
    <w:p>
      <w:pPr>
        <w:pStyle w:val="Ruller43"/>
        <w:numPr>
          <w:ilvl w:val="0"/>
          <w:numId w:val="1"/>
        </w:numPr>
        <w:ind w:end="0"/>
        <w:jc w:val="both"/>
        <w:rPr/>
      </w:pPr>
      <w:r>
        <w:rPr>
          <w:rtl w:val="true"/>
        </w:rPr>
        <w:t>המשיב הורשע כאמור בגין ביצוע שתי עסקאות</w:t>
      </w:r>
      <w:r>
        <w:rPr>
          <w:rtl w:val="true"/>
        </w:rPr>
        <w:t xml:space="preserve">, </w:t>
      </w:r>
      <w:r>
        <w:rPr>
          <w:rtl w:val="true"/>
        </w:rPr>
        <w:t>במסגרתן סיפק את כלי הנשק</w:t>
      </w:r>
      <w:r>
        <w:rPr>
          <w:rtl w:val="true"/>
        </w:rPr>
        <w:t xml:space="preserve">. </w:t>
      </w:r>
      <w:r>
        <w:rPr>
          <w:rtl w:val="true"/>
        </w:rPr>
        <w:t>המשיב גם נטל תפקיד משמעותי בשרשרת הסחר שכן הוא זה אשר קבע את המחיר הסופי של כלי הנשק בעסקה השנייה מביניהן</w:t>
      </w:r>
      <w:r>
        <w:rPr>
          <w:rtl w:val="true"/>
        </w:rPr>
        <w:t xml:space="preserve">. </w:t>
      </w:r>
      <w:r>
        <w:rPr>
          <w:rtl w:val="true"/>
        </w:rPr>
        <w:t>אכן</w:t>
      </w:r>
      <w:r>
        <w:rPr>
          <w:rtl w:val="true"/>
        </w:rPr>
        <w:t xml:space="preserve">, </w:t>
      </w:r>
      <w:r>
        <w:rPr>
          <w:rtl w:val="true"/>
        </w:rPr>
        <w:t>המעשים שביצע המשיב חמורים הם</w:t>
      </w:r>
      <w:r>
        <w:rPr>
          <w:rtl w:val="true"/>
        </w:rPr>
        <w:t xml:space="preserve">, </w:t>
      </w:r>
      <w:r>
        <w:rPr>
          <w:rtl w:val="true"/>
        </w:rPr>
        <w:t>ועל בית המשפט ליתן ביטוי עונשי ממשי ההולם את הסכנה הנשקפת מהעבירות בהן הורשע</w:t>
      </w:r>
      <w:r>
        <w:rPr>
          <w:rtl w:val="true"/>
        </w:rPr>
        <w:t xml:space="preserve">. </w:t>
      </w:r>
      <w:r>
        <w:rPr>
          <w:rtl w:val="true"/>
        </w:rPr>
        <w:t>גם אין לקבל את טענת בא</w:t>
      </w:r>
      <w:r>
        <w:rPr>
          <w:rtl w:val="true"/>
        </w:rPr>
        <w:t>-</w:t>
      </w:r>
      <w:r>
        <w:rPr>
          <w:rtl w:val="true"/>
        </w:rPr>
        <w:t>כוח המשיב אשר בקש לשוות לענייננו נסיבות מקלות</w:t>
      </w:r>
      <w:r>
        <w:rPr>
          <w:rtl w:val="true"/>
        </w:rPr>
        <w:t xml:space="preserve">, </w:t>
      </w:r>
      <w:r>
        <w:rPr>
          <w:rtl w:val="true"/>
        </w:rPr>
        <w:t>בהתבסס על כך שכלי הנשק שבהם סחר לא יועדו לפעילות טרור או לפעילות עבריינית במסגרת ארגוני פשיעה</w:t>
      </w:r>
      <w:r>
        <w:rPr>
          <w:rtl w:val="true"/>
        </w:rPr>
        <w:t xml:space="preserve">. </w:t>
      </w:r>
      <w:r>
        <w:rPr>
          <w:rtl w:val="true"/>
        </w:rPr>
        <w:t xml:space="preserve">זאת שעה שסחר בלתי חוקי בנשק טומן בחובו באופן תמידי את החשש כי נשק יתגלגל לידיים עברייניות ולידיהם של המבקשים להוציא אל הפועל פעילות חבלנית עוינת </w:t>
      </w:r>
      <w:r>
        <w:rPr>
          <w:rtl w:val="true"/>
        </w:rPr>
        <w:t>(</w:t>
      </w:r>
      <w:r>
        <w:rPr>
          <w:rtl w:val="true"/>
        </w:rPr>
        <w:t xml:space="preserve">עניין </w:t>
      </w:r>
      <w:r>
        <w:rPr>
          <w:rFonts w:ascii="Century" w:hAnsi="Century" w:cs="Miriam"/>
          <w:b/>
          <w:b/>
          <w:spacing w:val="0"/>
          <w:sz w:val="22"/>
          <w:sz w:val="22"/>
          <w:szCs w:val="24"/>
          <w:rtl w:val="true"/>
        </w:rPr>
        <w:t>נפאע</w:t>
      </w:r>
      <w:r>
        <w:rPr>
          <w:rtl w:val="true"/>
        </w:rPr>
        <w:t xml:space="preserve">, </w:t>
      </w:r>
      <w:r>
        <w:rPr>
          <w:rtl w:val="true"/>
        </w:rPr>
        <w:t xml:space="preserve">פסקה </w:t>
      </w:r>
      <w:r>
        <w:rPr/>
        <w:t>5</w:t>
      </w:r>
      <w:r>
        <w:rPr>
          <w:rtl w:val="true"/>
        </w:rPr>
        <w:t xml:space="preserve">; </w:t>
      </w:r>
      <w:r>
        <w:rPr>
          <w:rtl w:val="true"/>
        </w:rPr>
        <w:t xml:space="preserve">עניין </w:t>
      </w:r>
      <w:r>
        <w:rPr>
          <w:rFonts w:ascii="Century" w:hAnsi="Century" w:cs="Miriam"/>
          <w:b/>
          <w:b/>
          <w:spacing w:val="0"/>
          <w:szCs w:val="24"/>
          <w:rtl w:val="true"/>
        </w:rPr>
        <w:t>עיסא</w:t>
      </w:r>
      <w:r>
        <w:rPr>
          <w:rFonts w:cs="Century" w:ascii="Century" w:hAnsi="Century"/>
          <w:rtl w:val="true"/>
        </w:rPr>
        <w:t xml:space="preserve">, </w:t>
      </w:r>
      <w:r>
        <w:rPr>
          <w:rFonts w:ascii="Century" w:hAnsi="Century" w:cs="Century"/>
          <w:rtl w:val="true"/>
        </w:rPr>
        <w:t xml:space="preserve">פסקה </w:t>
      </w:r>
      <w:r>
        <w:rPr>
          <w:rFonts w:cs="Century" w:ascii="Century" w:hAnsi="Century"/>
        </w:rPr>
        <w:t>13</w:t>
      </w:r>
      <w:r>
        <w:rPr>
          <w:rFonts w:cs="Century" w:ascii="Century" w:hAnsi="Century"/>
          <w:rtl w:val="true"/>
        </w:rPr>
        <w:t xml:space="preserve">; </w:t>
      </w:r>
      <w:r>
        <w:rPr>
          <w:rFonts w:ascii="Century" w:hAnsi="Century" w:cs="Century"/>
          <w:rtl w:val="true"/>
        </w:rPr>
        <w:t xml:space="preserve">עניין </w:t>
      </w:r>
      <w:r>
        <w:rPr>
          <w:rFonts w:ascii="Century" w:hAnsi="Century" w:cs="Miriam"/>
          <w:b/>
          <w:b/>
          <w:spacing w:val="0"/>
          <w:szCs w:val="24"/>
          <w:rtl w:val="true"/>
        </w:rPr>
        <w:t>עספור</w:t>
      </w:r>
      <w:r>
        <w:rPr>
          <w:rFonts w:cs="Century" w:ascii="Century" w:hAnsi="Century"/>
          <w:rtl w:val="true"/>
        </w:rPr>
        <w:t xml:space="preserve">, </w:t>
      </w:r>
      <w:r>
        <w:rPr>
          <w:rFonts w:ascii="Century" w:hAnsi="Century" w:cs="Century"/>
          <w:rtl w:val="true"/>
        </w:rPr>
        <w:t xml:space="preserve">פסקה </w:t>
      </w:r>
      <w:r>
        <w:rPr>
          <w:rFonts w:cs="Century" w:ascii="Century" w:hAnsi="Century"/>
        </w:rPr>
        <w:t>6</w:t>
      </w:r>
      <w:r>
        <w:rPr>
          <w:rtl w:val="true"/>
        </w:rPr>
        <w:t xml:space="preserve">). </w:t>
      </w:r>
    </w:p>
    <w:p>
      <w:pPr>
        <w:pStyle w:val="Ruller43"/>
        <w:numPr>
          <w:ilvl w:val="0"/>
          <w:numId w:val="0"/>
        </w:numPr>
        <w:ind w:hanging="0" w:start="0" w:end="0"/>
        <w:jc w:val="both"/>
        <w:rPr/>
      </w:pPr>
      <w:r>
        <w:rPr>
          <w:rtl w:val="true"/>
        </w:rPr>
      </w:r>
    </w:p>
    <w:p>
      <w:pPr>
        <w:pStyle w:val="Ruller43"/>
        <w:numPr>
          <w:ilvl w:val="0"/>
          <w:numId w:val="1"/>
        </w:numPr>
        <w:ind w:end="0"/>
        <w:jc w:val="both"/>
        <w:rPr/>
      </w:pPr>
      <w:r>
        <w:rPr>
          <w:rtl w:val="true"/>
        </w:rPr>
        <w:t>עם זאת</w:t>
      </w:r>
      <w:r>
        <w:rPr>
          <w:rtl w:val="true"/>
        </w:rPr>
        <w:t xml:space="preserve">, </w:t>
      </w:r>
      <w:r>
        <w:rPr>
          <w:rtl w:val="true"/>
        </w:rPr>
        <w:t>לא מצאתי כי יש בטענות המדינה כדי להצדיק התערבות בעונש שהושת על המשיב</w:t>
      </w:r>
      <w:r>
        <w:rPr>
          <w:rtl w:val="true"/>
        </w:rPr>
        <w:t xml:space="preserve">, </w:t>
      </w:r>
      <w:r>
        <w:rPr/>
        <w:t>3</w:t>
      </w:r>
      <w:r>
        <w:rPr>
          <w:rtl w:val="true"/>
        </w:rPr>
        <w:t xml:space="preserve"> </w:t>
      </w:r>
      <w:r>
        <w:rPr>
          <w:rtl w:val="true"/>
        </w:rPr>
        <w:t>שנות מאסר בפועל</w:t>
      </w:r>
      <w:r>
        <w:rPr>
          <w:rtl w:val="true"/>
        </w:rPr>
        <w:t xml:space="preserve">, </w:t>
      </w:r>
      <w:r>
        <w:rPr>
          <w:rtl w:val="true"/>
        </w:rPr>
        <w:t>אשר אף אם ניתן על הצד הנמוך</w:t>
      </w:r>
      <w:r>
        <w:rPr>
          <w:rtl w:val="true"/>
        </w:rPr>
        <w:t xml:space="preserve">, </w:t>
      </w:r>
      <w:r>
        <w:rPr>
          <w:rtl w:val="true"/>
        </w:rPr>
        <w:t>הוא ממשי</w:t>
      </w:r>
      <w:r>
        <w:rPr>
          <w:rtl w:val="true"/>
        </w:rPr>
        <w:t xml:space="preserve">. </w:t>
      </w:r>
      <w:r>
        <w:rPr>
          <w:rtl w:val="true"/>
        </w:rPr>
        <w:t>בקביעת העונש ניתן משקל לשיקולים השונים ובין היתר להגנה על הערך החברתי שנפגע כתוצאה מהפעילות העבריינית בה היה מעורב המשיב</w:t>
      </w:r>
      <w:r>
        <w:rPr>
          <w:rtl w:val="true"/>
        </w:rPr>
        <w:t xml:space="preserve">, </w:t>
      </w:r>
      <w:r>
        <w:rPr>
          <w:rtl w:val="true"/>
        </w:rPr>
        <w:t xml:space="preserve">אך גם לנסיבותיו האישיות של המשיב ולעונש אשר הושת על מעורב אחר באותן עסקאות </w:t>
      </w:r>
      <w:r>
        <w:rPr>
          <w:rtl w:val="true"/>
        </w:rPr>
        <w:t>–</w:t>
      </w:r>
      <w:r>
        <w:rPr>
          <w:rtl w:val="true"/>
        </w:rPr>
        <w:t xml:space="preserve"> נאשם </w:t>
      </w:r>
      <w:r>
        <w:rPr/>
        <w:t>6</w:t>
      </w:r>
      <w:r>
        <w:rPr>
          <w:rtl w:val="true"/>
        </w:rPr>
        <w:t xml:space="preserve">. </w:t>
      </w:r>
      <w:r>
        <w:rPr>
          <w:rtl w:val="true"/>
        </w:rPr>
        <w:t>בהתחשב באלה</w:t>
      </w:r>
      <w:r>
        <w:rPr>
          <w:rtl w:val="true"/>
        </w:rPr>
        <w:t xml:space="preserve">, </w:t>
      </w:r>
      <w:r>
        <w:rPr>
          <w:rtl w:val="true"/>
        </w:rPr>
        <w:t>לא ניתן לומר כי חרג בית משפט ממלאכתו באופן המצדיק התערבות</w:t>
      </w:r>
      <w:r>
        <w:rPr>
          <w:rtl w:val="true"/>
        </w:rPr>
        <w:t>.</w:t>
      </w:r>
      <w:r>
        <w:rPr>
          <w:rFonts w:cs="Century" w:ascii="Century" w:hAnsi="Century"/>
          <w:sz w:val="22"/>
          <w:rtl w:val="true"/>
        </w:rPr>
        <w:t xml:space="preserve"> </w:t>
      </w:r>
      <w:r>
        <w:rPr>
          <w:rtl w:val="true"/>
        </w:rPr>
        <w:t>זאת גם בשים לב לכלל לפיו אין ערכאת הערעור ממצה את הדין עם נאשם</w:t>
      </w:r>
      <w:r>
        <w:rPr>
          <w:rtl w:val="true"/>
        </w:rPr>
        <w:t>.</w:t>
      </w:r>
    </w:p>
    <w:p>
      <w:pPr>
        <w:pStyle w:val="Ruller42"/>
        <w:ind w:end="0"/>
        <w:jc w:val="both"/>
        <w:rPr/>
      </w:pPr>
      <w:r>
        <w:rPr>
          <w:rtl w:val="true"/>
        </w:rPr>
      </w:r>
    </w:p>
    <w:p>
      <w:pPr>
        <w:pStyle w:val="Ruller43"/>
        <w:numPr>
          <w:ilvl w:val="0"/>
          <w:numId w:val="1"/>
        </w:numPr>
        <w:ind w:end="0"/>
        <w:jc w:val="both"/>
        <w:rPr/>
      </w:pPr>
      <w:r>
        <w:rPr>
          <w:rtl w:val="true"/>
        </w:rPr>
        <w:t xml:space="preserve">המדינה עמדה על כך ששגה בית המשפט המחוזי בקבעו כי שתי העסקאות באות בגדריו של אותו </w:t>
      </w:r>
      <w:r>
        <w:rPr>
          <w:rtl w:val="true"/>
        </w:rPr>
        <w:t>"</w:t>
      </w:r>
      <w:r>
        <w:rPr>
          <w:rtl w:val="true"/>
        </w:rPr>
        <w:t>אירוע</w:t>
      </w:r>
      <w:r>
        <w:rPr>
          <w:rtl w:val="true"/>
        </w:rPr>
        <w:t xml:space="preserve">", </w:t>
      </w:r>
      <w:r>
        <w:rPr>
          <w:rtl w:val="true"/>
        </w:rPr>
        <w:t xml:space="preserve">נוכח העובדה שבכל אחת מהעסקאות נמכר כלי נשק אחר </w:t>
      </w:r>
      <w:r>
        <w:rPr>
          <w:rtl w:val="true"/>
        </w:rPr>
        <w:t>(</w:t>
      </w:r>
      <w:r>
        <w:rPr>
          <w:rtl w:val="true"/>
        </w:rPr>
        <w:t>אף כי מאותו סוג</w:t>
      </w:r>
      <w:r>
        <w:rPr>
          <w:rtl w:val="true"/>
        </w:rPr>
        <w:t xml:space="preserve">) </w:t>
      </w:r>
      <w:r>
        <w:rPr>
          <w:rtl w:val="true"/>
        </w:rPr>
        <w:t xml:space="preserve">ובשל פער </w:t>
      </w:r>
      <w:r>
        <w:rPr>
          <w:rFonts w:ascii="Century" w:hAnsi="Century" w:cs="Century"/>
          <w:sz w:val="22"/>
          <w:sz w:val="22"/>
          <w:rtl w:val="true"/>
        </w:rPr>
        <w:t>הזמנים בין השתיים</w:t>
      </w:r>
      <w:r>
        <w:rPr>
          <w:rFonts w:cs="Century" w:ascii="Century" w:hAnsi="Century"/>
          <w:sz w:val="22"/>
          <w:rtl w:val="true"/>
        </w:rPr>
        <w:t xml:space="preserve">. </w:t>
      </w:r>
      <w:r>
        <w:rPr>
          <w:rFonts w:ascii="Century" w:hAnsi="Century" w:cs="Century"/>
          <w:sz w:val="22"/>
          <w:sz w:val="22"/>
          <w:rtl w:val="true"/>
        </w:rPr>
        <w:t>אלא שאף אם היו נקבעים גדרי המתחם באופן שונה</w:t>
      </w:r>
      <w:r>
        <w:rPr>
          <w:rFonts w:cs="Century" w:ascii="Century" w:hAnsi="Century"/>
          <w:sz w:val="22"/>
          <w:rtl w:val="true"/>
        </w:rPr>
        <w:t xml:space="preserve">, </w:t>
      </w:r>
      <w:r>
        <w:rPr>
          <w:rFonts w:ascii="Century" w:hAnsi="Century" w:cs="Century"/>
          <w:sz w:val="22"/>
          <w:sz w:val="22"/>
          <w:rtl w:val="true"/>
        </w:rPr>
        <w:t>שעה שהעונש שהושת על המשיב בסופו של יום מקיים את עיקרון ההלימה שבבסיס החוק</w:t>
      </w:r>
      <w:r>
        <w:rPr>
          <w:rFonts w:cs="Century" w:ascii="Century" w:hAnsi="Century"/>
          <w:sz w:val="22"/>
          <w:rtl w:val="true"/>
        </w:rPr>
        <w:t xml:space="preserve">, </w:t>
      </w:r>
      <w:r>
        <w:rPr>
          <w:rFonts w:ascii="Century" w:hAnsi="Century" w:cs="Century"/>
          <w:sz w:val="22"/>
          <w:sz w:val="22"/>
          <w:rtl w:val="true"/>
        </w:rPr>
        <w:t>אף אם נוטה מעט לצד המקל</w:t>
      </w:r>
      <w:r>
        <w:rPr>
          <w:rFonts w:cs="Century" w:ascii="Century" w:hAnsi="Century"/>
          <w:sz w:val="22"/>
          <w:rtl w:val="true"/>
        </w:rPr>
        <w:t xml:space="preserve">, </w:t>
      </w:r>
      <w:r>
        <w:rPr>
          <w:rFonts w:ascii="Century" w:hAnsi="Century" w:cs="Century"/>
          <w:sz w:val="22"/>
          <w:sz w:val="22"/>
          <w:rtl w:val="true"/>
        </w:rPr>
        <w:t xml:space="preserve">אין מקום להתערבותנו </w:t>
      </w:r>
      <w:r>
        <w:rPr>
          <w:rFonts w:cs="Century" w:ascii="Century" w:hAnsi="Century"/>
          <w:sz w:val="22"/>
          <w:rtl w:val="true"/>
        </w:rPr>
        <w:t>(</w:t>
      </w:r>
      <w:r>
        <w:rPr>
          <w:rFonts w:ascii="Century" w:hAnsi="Century" w:cs="Century"/>
          <w:sz w:val="22"/>
          <w:sz w:val="22"/>
          <w:rtl w:val="true"/>
        </w:rPr>
        <w:t>השוו</w:t>
      </w:r>
      <w:r>
        <w:rPr>
          <w:rFonts w:cs="Century" w:ascii="Century" w:hAnsi="Century"/>
          <w:sz w:val="22"/>
          <w:rtl w:val="true"/>
        </w:rPr>
        <w:t xml:space="preserve">: </w:t>
      </w:r>
      <w:r>
        <w:rPr>
          <w:rFonts w:ascii="Century" w:hAnsi="Century" w:cs="Century"/>
          <w:sz w:val="22"/>
          <w:sz w:val="22"/>
          <w:rtl w:val="true"/>
        </w:rPr>
        <w:t xml:space="preserve">עניין </w:t>
      </w:r>
      <w:r>
        <w:rPr>
          <w:rFonts w:ascii="Century" w:hAnsi="Century" w:cs="Miriam"/>
          <w:b/>
          <w:b/>
          <w:spacing w:val="0"/>
          <w:sz w:val="22"/>
          <w:sz w:val="22"/>
          <w:szCs w:val="24"/>
          <w:rtl w:val="true"/>
        </w:rPr>
        <w:t>חסן</w:t>
      </w:r>
      <w:r>
        <w:rPr>
          <w:rFonts w:cs="Century" w:ascii="Century" w:hAnsi="Century"/>
          <w:sz w:val="22"/>
          <w:rtl w:val="true"/>
        </w:rPr>
        <w:t xml:space="preserve">; </w:t>
      </w:r>
      <w:hyperlink r:id="rId73">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9702/16</w:t>
        </w:r>
      </w:hyperlink>
      <w:r>
        <w:rPr>
          <w:rFonts w:cs="Century" w:ascii="Century" w:hAnsi="Century"/>
          <w:sz w:val="22"/>
          <w:rtl w:val="true"/>
        </w:rPr>
        <w:t xml:space="preserve"> </w:t>
      </w:r>
      <w:r>
        <w:rPr>
          <w:rFonts w:ascii="Century" w:hAnsi="Century" w:cs="Miriam"/>
          <w:b/>
          <w:b/>
          <w:spacing w:val="0"/>
          <w:sz w:val="22"/>
          <w:sz w:val="22"/>
          <w:szCs w:val="24"/>
          <w:rtl w:val="true"/>
        </w:rPr>
        <w:t>אבו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אלוליאיה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cs="Century"/>
          <w:sz w:val="22"/>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Century" w:ascii="Century" w:hAnsi="Century"/>
          <w:sz w:val="22"/>
          <w:rtl w:val="true"/>
        </w:rPr>
        <w:t>(</w:t>
      </w:r>
      <w:r>
        <w:rPr>
          <w:rFonts w:cs="Century" w:ascii="Century" w:hAnsi="Century"/>
          <w:sz w:val="22"/>
        </w:rPr>
        <w:t>13.9.2017</w:t>
      </w:r>
      <w:r>
        <w:rPr>
          <w:rFonts w:cs="Century" w:ascii="Century" w:hAnsi="Century"/>
          <w:sz w:val="22"/>
          <w:rtl w:val="true"/>
        </w:rPr>
        <w:t>)).</w:t>
      </w:r>
    </w:p>
    <w:p>
      <w:pPr>
        <w:pStyle w:val="Ruller42"/>
        <w:ind w:end="0"/>
        <w:jc w:val="both"/>
        <w:rPr/>
      </w:pPr>
      <w:r>
        <w:rPr>
          <w:rtl w:val="true"/>
        </w:rPr>
      </w:r>
    </w:p>
    <w:p>
      <w:pPr>
        <w:pStyle w:val="Ruller42"/>
        <w:ind w:end="0"/>
        <w:jc w:val="both"/>
        <w:rPr/>
      </w:pPr>
      <w:r>
        <w:rPr>
          <w:rtl w:val="true"/>
        </w:rPr>
        <w:tab/>
      </w:r>
      <w:r>
        <w:rPr>
          <w:rtl w:val="true"/>
        </w:rPr>
        <w:t>על</w:t>
      </w:r>
      <w:r>
        <w:rPr>
          <w:rFonts w:eastAsia="Arial TUR;Arial" w:cs="Arial TUR;Arial"/>
          <w:rtl w:val="true"/>
        </w:rPr>
        <w:t xml:space="preserve"> </w:t>
      </w:r>
      <w:r>
        <w:rPr>
          <w:rtl w:val="true"/>
        </w:rPr>
        <w:t>יסוד</w:t>
      </w:r>
      <w:r>
        <w:rPr>
          <w:rFonts w:eastAsia="Arial TUR;Arial" w:cs="Arial TUR;Arial"/>
          <w:rtl w:val="true"/>
        </w:rPr>
        <w:t xml:space="preserve"> </w:t>
      </w:r>
      <w:r>
        <w:rPr>
          <w:rtl w:val="true"/>
        </w:rPr>
        <w:t>האמור</w:t>
      </w:r>
      <w:r>
        <w:rPr>
          <w:rtl w:val="true"/>
        </w:rPr>
        <w:t xml:space="preserve">, </w:t>
      </w:r>
      <w:r>
        <w:rPr>
          <w:rtl w:val="true"/>
        </w:rPr>
        <w:t>אם</w:t>
      </w:r>
      <w:r>
        <w:rPr>
          <w:rFonts w:eastAsia="Arial TUR;Arial" w:cs="Arial TUR;Arial"/>
          <w:rtl w:val="true"/>
        </w:rPr>
        <w:t xml:space="preserve"> </w:t>
      </w:r>
      <w:r>
        <w:rPr>
          <w:rtl w:val="true"/>
        </w:rPr>
        <w:t>תשמע</w:t>
      </w:r>
      <w:r>
        <w:rPr>
          <w:rFonts w:eastAsia="Arial TUR;Arial" w:cs="Arial TUR;Arial"/>
          <w:rtl w:val="true"/>
        </w:rPr>
        <w:t xml:space="preserve"> </w:t>
      </w:r>
      <w:r>
        <w:rPr>
          <w:rtl w:val="true"/>
        </w:rPr>
        <w:t>דעתי</w:t>
      </w:r>
      <w:r>
        <w:rPr>
          <w:rtl w:val="true"/>
        </w:rPr>
        <w:t xml:space="preserve">, </w:t>
      </w:r>
      <w:r>
        <w:rPr>
          <w:rtl w:val="true"/>
        </w:rPr>
        <w:t>דין</w:t>
      </w:r>
      <w:r>
        <w:rPr>
          <w:rFonts w:eastAsia="Arial TUR;Arial" w:cs="Arial TUR;Arial"/>
          <w:rtl w:val="true"/>
        </w:rPr>
        <w:t xml:space="preserve"> </w:t>
      </w:r>
      <w:r>
        <w:rPr>
          <w:rtl w:val="true"/>
        </w:rPr>
        <w:t>הערעור</w:t>
      </w:r>
      <w:r>
        <w:rPr>
          <w:rFonts w:eastAsia="Arial TUR;Arial" w:cs="Arial TUR;Arial"/>
          <w:rtl w:val="true"/>
        </w:rPr>
        <w:t xml:space="preserve"> </w:t>
      </w:r>
      <w:r>
        <w:rPr>
          <w:rtl w:val="true"/>
        </w:rPr>
        <w:t>להידחות</w:t>
      </w:r>
      <w:r>
        <w:rPr>
          <w:rtl w:val="true"/>
        </w:rPr>
        <w:t xml:space="preserve">. </w:t>
      </w:r>
    </w:p>
    <w:p>
      <w:pPr>
        <w:pStyle w:val="Ruller42"/>
        <w:ind w:end="0"/>
        <w:jc w:val="both"/>
        <w:rPr/>
      </w:pPr>
      <w:r>
        <w:rPr>
          <w:rtl w:val="true"/>
        </w:rPr>
      </w:r>
    </w:p>
    <w:p>
      <w:pPr>
        <w:pStyle w:val="Ruller42"/>
        <w:ind w:end="0"/>
        <w:jc w:val="both"/>
        <w:rPr>
          <w:rFonts w:ascii="Century" w:hAnsi="Century" w:cs="Miriam"/>
          <w:b/>
          <w:spacing w:val="0"/>
          <w:szCs w:val="24"/>
          <w:u w:val="single"/>
        </w:rPr>
      </w:pPr>
      <w:r>
        <w:rPr>
          <w:rFonts w:ascii="Century" w:hAnsi="Century" w:cs="Miriam"/>
          <w:b/>
          <w:b/>
          <w:spacing w:val="0"/>
          <w:szCs w:val="24"/>
          <w:u w:val="single"/>
          <w:rtl w:val="true"/>
        </w:rPr>
        <w:t>ערעור</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וערעור</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שכנגד</w:t>
      </w:r>
    </w:p>
    <w:p>
      <w:pPr>
        <w:pStyle w:val="Ruller42"/>
        <w:ind w:end="0"/>
        <w:jc w:val="both"/>
        <w:rPr>
          <w:rFonts w:ascii="Century" w:hAnsi="Century" w:cs="Miriam"/>
          <w:b/>
          <w:spacing w:val="0"/>
          <w:szCs w:val="24"/>
        </w:rPr>
      </w:pPr>
      <w:r>
        <w:rPr>
          <w:rFonts w:ascii="Century" w:hAnsi="Century" w:cs="Miriam"/>
          <w:b/>
          <w:b/>
          <w:spacing w:val="0"/>
          <w:szCs w:val="24"/>
          <w:rtl w:val="true"/>
        </w:rPr>
        <w:t>נאשם</w:t>
      </w:r>
      <w:r>
        <w:rPr>
          <w:rFonts w:ascii="Century" w:hAnsi="Century" w:eastAsia="Century" w:cs="Century"/>
          <w:b/>
          <w:b/>
          <w:spacing w:val="0"/>
          <w:szCs w:val="24"/>
          <w:rtl w:val="true"/>
        </w:rPr>
        <w:t xml:space="preserve"> </w:t>
      </w:r>
      <w:r>
        <w:rPr>
          <w:rFonts w:cs="Miriam" w:ascii="Century" w:hAnsi="Century"/>
          <w:b/>
          <w:spacing w:val="0"/>
          <w:szCs w:val="24"/>
        </w:rPr>
        <w:t>5</w:t>
      </w:r>
      <w:r>
        <w:rPr>
          <w:rFonts w:cs="Miriam" w:ascii="Century" w:hAnsi="Century"/>
          <w:b/>
          <w:spacing w:val="0"/>
          <w:szCs w:val="24"/>
          <w:rtl w:val="true"/>
        </w:rPr>
        <w:t xml:space="preserve"> (</w:t>
      </w:r>
      <w:r>
        <w:rPr>
          <w:rFonts w:ascii="Century" w:hAnsi="Century" w:cs="Miriam"/>
          <w:b/>
          <w:b/>
          <w:spacing w:val="0"/>
          <w:szCs w:val="24"/>
          <w:rtl w:val="true"/>
        </w:rPr>
        <w:t>המערער</w:t>
      </w:r>
      <w:r>
        <w:rPr>
          <w:rFonts w:ascii="Century" w:hAnsi="Century" w:eastAsia="Century" w:cs="Century"/>
          <w:b/>
          <w:b/>
          <w:spacing w:val="0"/>
          <w:szCs w:val="24"/>
          <w:rtl w:val="true"/>
        </w:rPr>
        <w:t xml:space="preserve"> </w:t>
      </w:r>
      <w:r>
        <w:rPr>
          <w:rFonts w:ascii="Century" w:hAnsi="Century" w:cs="Miriam"/>
          <w:b/>
          <w:b/>
          <w:spacing w:val="0"/>
          <w:szCs w:val="24"/>
          <w:rtl w:val="true"/>
        </w:rPr>
        <w:t>ב</w:t>
      </w:r>
      <w:hyperlink r:id="rId74">
        <w:r>
          <w:rPr>
            <w:rStyle w:val="Hyperlink"/>
            <w:rFonts w:ascii="Century" w:hAnsi="Century" w:cs="Miriam"/>
            <w:b/>
            <w:b/>
            <w:color w:val="0000FF"/>
            <w:spacing w:val="0"/>
            <w:szCs w:val="24"/>
            <w:u w:val="single"/>
            <w:rtl w:val="true"/>
          </w:rPr>
          <w:t>ע</w:t>
        </w:r>
        <w:r>
          <w:rPr>
            <w:rStyle w:val="Hyperlink"/>
            <w:rFonts w:cs="Miriam" w:ascii="Century" w:hAnsi="Century"/>
            <w:b/>
            <w:color w:val="0000FF"/>
            <w:spacing w:val="0"/>
            <w:szCs w:val="24"/>
            <w:u w:val="single"/>
            <w:rtl w:val="true"/>
          </w:rPr>
          <w:t>"</w:t>
        </w:r>
        <w:r>
          <w:rPr>
            <w:rStyle w:val="Hyperlink"/>
            <w:rFonts w:ascii="Century" w:hAnsi="Century" w:cs="Miriam"/>
            <w:b/>
            <w:b/>
            <w:color w:val="0000FF"/>
            <w:spacing w:val="0"/>
            <w:szCs w:val="24"/>
            <w:u w:val="single"/>
            <w:rtl w:val="true"/>
          </w:rPr>
          <w:t>פ</w:t>
        </w:r>
        <w:r>
          <w:rPr>
            <w:rStyle w:val="Hyperlink"/>
            <w:rFonts w:ascii="Century" w:hAnsi="Century" w:eastAsia="Century" w:cs="Century"/>
            <w:b/>
            <w:b/>
            <w:color w:val="0000FF"/>
            <w:spacing w:val="0"/>
            <w:szCs w:val="24"/>
            <w:u w:val="single"/>
            <w:rtl w:val="true"/>
          </w:rPr>
          <w:t xml:space="preserve"> </w:t>
        </w:r>
        <w:r>
          <w:rPr>
            <w:rStyle w:val="Hyperlink"/>
            <w:rFonts w:cs="Miriam" w:ascii="Century" w:hAnsi="Century"/>
            <w:b/>
            <w:color w:val="0000FF"/>
            <w:spacing w:val="0"/>
            <w:szCs w:val="24"/>
            <w:u w:val="single"/>
          </w:rPr>
          <w:t>1060/18</w:t>
        </w:r>
      </w:hyperlink>
      <w:r>
        <w:rPr>
          <w:rFonts w:cs="Miriam" w:ascii="Century" w:hAnsi="Century"/>
          <w:b/>
          <w:spacing w:val="0"/>
          <w:szCs w:val="24"/>
          <w:rtl w:val="true"/>
        </w:rPr>
        <w:t xml:space="preserve"> </w:t>
      </w:r>
      <w:r>
        <w:rPr>
          <w:rFonts w:ascii="Century" w:hAnsi="Century" w:cs="Miriam"/>
          <w:b/>
          <w:b/>
          <w:spacing w:val="0"/>
          <w:szCs w:val="24"/>
          <w:rtl w:val="true"/>
        </w:rPr>
        <w:t>ומשיב</w:t>
      </w:r>
      <w:r>
        <w:rPr>
          <w:rFonts w:ascii="Century" w:hAnsi="Century" w:eastAsia="Century" w:cs="Century"/>
          <w:b/>
          <w:b/>
          <w:spacing w:val="0"/>
          <w:szCs w:val="24"/>
          <w:rtl w:val="true"/>
        </w:rPr>
        <w:t xml:space="preserve"> </w:t>
      </w:r>
      <w:r>
        <w:rPr>
          <w:rFonts w:cs="Miriam" w:ascii="Century" w:hAnsi="Century"/>
          <w:b/>
          <w:spacing w:val="0"/>
          <w:szCs w:val="24"/>
        </w:rPr>
        <w:t>1</w:t>
      </w:r>
      <w:r>
        <w:rPr>
          <w:rFonts w:cs="Miriam" w:ascii="Century" w:hAnsi="Century"/>
          <w:b/>
          <w:spacing w:val="0"/>
          <w:szCs w:val="24"/>
          <w:rtl w:val="true"/>
        </w:rPr>
        <w:t xml:space="preserve"> </w:t>
      </w:r>
      <w:r>
        <w:rPr>
          <w:rFonts w:ascii="Century" w:hAnsi="Century" w:cs="Miriam"/>
          <w:b/>
          <w:b/>
          <w:spacing w:val="0"/>
          <w:szCs w:val="24"/>
          <w:rtl w:val="true"/>
        </w:rPr>
        <w:t>ב</w:t>
      </w:r>
      <w:hyperlink r:id="rId75">
        <w:r>
          <w:rPr>
            <w:rStyle w:val="Hyperlink"/>
            <w:rFonts w:ascii="Century" w:hAnsi="Century" w:cs="Miriam"/>
            <w:b/>
            <w:b/>
            <w:color w:val="0000FF"/>
            <w:spacing w:val="0"/>
            <w:szCs w:val="24"/>
            <w:u w:val="single"/>
            <w:rtl w:val="true"/>
          </w:rPr>
          <w:t>ע</w:t>
        </w:r>
        <w:r>
          <w:rPr>
            <w:rStyle w:val="Hyperlink"/>
            <w:rFonts w:cs="Miriam" w:ascii="Century" w:hAnsi="Century"/>
            <w:b/>
            <w:color w:val="0000FF"/>
            <w:spacing w:val="0"/>
            <w:szCs w:val="24"/>
            <w:u w:val="single"/>
            <w:rtl w:val="true"/>
          </w:rPr>
          <w:t>"</w:t>
        </w:r>
        <w:r>
          <w:rPr>
            <w:rStyle w:val="Hyperlink"/>
            <w:rFonts w:ascii="Century" w:hAnsi="Century" w:cs="Miriam"/>
            <w:b/>
            <w:b/>
            <w:color w:val="0000FF"/>
            <w:spacing w:val="0"/>
            <w:szCs w:val="24"/>
            <w:u w:val="single"/>
            <w:rtl w:val="true"/>
          </w:rPr>
          <w:t>פ</w:t>
        </w:r>
        <w:r>
          <w:rPr>
            <w:rStyle w:val="Hyperlink"/>
            <w:rFonts w:ascii="Century" w:hAnsi="Century" w:eastAsia="Century" w:cs="Century"/>
            <w:b/>
            <w:b/>
            <w:color w:val="0000FF"/>
            <w:spacing w:val="0"/>
            <w:szCs w:val="24"/>
            <w:u w:val="single"/>
            <w:rtl w:val="true"/>
          </w:rPr>
          <w:t xml:space="preserve"> </w:t>
        </w:r>
        <w:r>
          <w:rPr>
            <w:rStyle w:val="Hyperlink"/>
            <w:rFonts w:cs="Miriam" w:ascii="Century" w:hAnsi="Century"/>
            <w:b/>
            <w:color w:val="0000FF"/>
            <w:spacing w:val="0"/>
            <w:szCs w:val="24"/>
            <w:u w:val="single"/>
          </w:rPr>
          <w:t>999/18</w:t>
        </w:r>
      </w:hyperlink>
      <w:r>
        <w:rPr>
          <w:rFonts w:cs="Miriam" w:ascii="Century" w:hAnsi="Century"/>
          <w:b/>
          <w:spacing w:val="0"/>
          <w:szCs w:val="24"/>
          <w:rtl w:val="true"/>
        </w:rPr>
        <w:t xml:space="preserve">) </w:t>
      </w:r>
    </w:p>
    <w:p>
      <w:pPr>
        <w:pStyle w:val="Ruller43"/>
        <w:numPr>
          <w:ilvl w:val="0"/>
          <w:numId w:val="0"/>
        </w:numPr>
        <w:ind w:hanging="0" w:start="0" w:end="0"/>
        <w:jc w:val="both"/>
        <w:rPr>
          <w:rFonts w:ascii="Century" w:hAnsi="Century" w:cs="Miriam"/>
          <w:b/>
          <w:spacing w:val="0"/>
          <w:sz w:val="22"/>
          <w:szCs w:val="24"/>
        </w:rPr>
      </w:pP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הרקע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לערעור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וטענות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הצדדים</w:t>
      </w:r>
    </w:p>
    <w:p>
      <w:pPr>
        <w:pStyle w:val="Ruller43"/>
        <w:numPr>
          <w:ilvl w:val="0"/>
          <w:numId w:val="1"/>
        </w:numPr>
        <w:ind w:end="0"/>
        <w:jc w:val="both"/>
        <w:rPr/>
      </w:pPr>
      <w:r>
        <w:rPr>
          <w:rtl w:val="true"/>
        </w:rPr>
        <w:t xml:space="preserve">נאשם </w:t>
      </w:r>
      <w:r>
        <w:rPr/>
        <w:t>5</w:t>
      </w:r>
      <w:r>
        <w:rPr>
          <w:rtl w:val="true"/>
        </w:rPr>
        <w:t xml:space="preserve"> (</w:t>
      </w:r>
      <w:r>
        <w:rPr>
          <w:rtl w:val="true"/>
        </w:rPr>
        <w:t>אשר לשם הנוחות ייקרא להלן</w:t>
      </w:r>
      <w:r>
        <w:rPr>
          <w:rtl w:val="true"/>
        </w:rPr>
        <w:t xml:space="preserve">: </w:t>
      </w:r>
      <w:r>
        <w:rPr>
          <w:rFonts w:ascii="Century" w:hAnsi="Century" w:cs="Miriam"/>
          <w:b/>
          <w:b/>
          <w:spacing w:val="0"/>
          <w:sz w:val="22"/>
          <w:sz w:val="22"/>
          <w:szCs w:val="24"/>
          <w:rtl w:val="true"/>
        </w:rPr>
        <w:t>המערער</w:t>
      </w:r>
      <w:r>
        <w:rPr>
          <w:rtl w:val="true"/>
        </w:rPr>
        <w:t xml:space="preserve">) </w:t>
      </w:r>
      <w:r>
        <w:rPr>
          <w:rtl w:val="true"/>
        </w:rPr>
        <w:t>הורשע בשתי עבירות של סחר בנשק</w:t>
      </w:r>
      <w:r>
        <w:rPr>
          <w:rtl w:val="true"/>
        </w:rPr>
        <w:t xml:space="preserve">, </w:t>
      </w:r>
      <w:r>
        <w:rPr>
          <w:rtl w:val="true"/>
        </w:rPr>
        <w:t>שתי עבירות של קשירת קשר לסחר בנשק ועבירה של ניסיון לסחר בנשק</w:t>
      </w:r>
      <w:r>
        <w:rPr>
          <w:rtl w:val="true"/>
        </w:rPr>
        <w:t xml:space="preserve">, </w:t>
      </w:r>
      <w:r>
        <w:rPr>
          <w:rtl w:val="true"/>
        </w:rPr>
        <w:t>בגין מעורבותו בשתי עסקאות נשק</w:t>
      </w:r>
      <w:r>
        <w:rPr>
          <w:rtl w:val="true"/>
        </w:rPr>
        <w:t xml:space="preserve">, </w:t>
      </w:r>
      <w:r>
        <w:rPr>
          <w:rtl w:val="true"/>
        </w:rPr>
        <w:t xml:space="preserve">במהלכן נמכרו לסוכן </w:t>
      </w:r>
      <w:r>
        <w:rPr/>
        <w:t>2</w:t>
      </w:r>
      <w:r>
        <w:rPr>
          <w:rtl w:val="true"/>
        </w:rPr>
        <w:t xml:space="preserve"> </w:t>
      </w:r>
      <w:r>
        <w:rPr>
          <w:rtl w:val="true"/>
        </w:rPr>
        <w:t>תתי</w:t>
      </w:r>
      <w:r>
        <w:rPr>
          <w:rtl w:val="true"/>
        </w:rPr>
        <w:t>-</w:t>
      </w:r>
      <w:r>
        <w:rPr>
          <w:rtl w:val="true"/>
        </w:rPr>
        <w:t xml:space="preserve">מקלע מסוג קרלו תמורת סך כולל של </w:t>
      </w:r>
      <w:r>
        <w:rPr/>
        <w:t>13,900</w:t>
      </w:r>
      <w:r>
        <w:rPr>
          <w:rtl w:val="true"/>
        </w:rPr>
        <w:t xml:space="preserve"> </w:t>
      </w:r>
      <w:r>
        <w:rPr>
          <w:rtl w:val="true"/>
        </w:rPr>
        <w:t>ש</w:t>
      </w:r>
      <w:r>
        <w:rPr>
          <w:rtl w:val="true"/>
        </w:rPr>
        <w:t>"</w:t>
      </w:r>
      <w:r>
        <w:rPr>
          <w:rtl w:val="true"/>
        </w:rPr>
        <w:t>ח</w:t>
      </w:r>
      <w:r>
        <w:rPr>
          <w:rtl w:val="true"/>
        </w:rPr>
        <w:t xml:space="preserve">. </w:t>
      </w:r>
      <w:r>
        <w:rPr>
          <w:rtl w:val="true"/>
        </w:rPr>
        <w:t>במסגרת העסקה השנייה</w:t>
      </w:r>
      <w:r>
        <w:rPr>
          <w:rtl w:val="true"/>
        </w:rPr>
        <w:t xml:space="preserve">, </w:t>
      </w:r>
      <w:r>
        <w:rPr>
          <w:rtl w:val="true"/>
        </w:rPr>
        <w:t>המערער גם ביצע ירי באזור מגורים כחלק מבדיקת תקינות הקרלו</w:t>
      </w:r>
      <w:r>
        <w:rPr>
          <w:rtl w:val="true"/>
        </w:rPr>
        <w:t xml:space="preserve">. </w:t>
      </w:r>
      <w:r>
        <w:rPr>
          <w:rtl w:val="true"/>
        </w:rPr>
        <w:t>בנוסף</w:t>
      </w:r>
      <w:r>
        <w:rPr>
          <w:rtl w:val="true"/>
        </w:rPr>
        <w:t xml:space="preserve">, </w:t>
      </w:r>
      <w:r>
        <w:rPr>
          <w:rtl w:val="true"/>
        </w:rPr>
        <w:t xml:space="preserve">המערער היה מעורב בניסיון למכור לסוכן כלי נשק דמוי </w:t>
      </w:r>
      <w:r>
        <w:rPr>
          <w:rFonts w:cs="Century" w:ascii="Century" w:hAnsi="Century"/>
          <w:sz w:val="22"/>
        </w:rPr>
        <w:t>16</w:t>
      </w:r>
      <w:r>
        <w:rPr>
          <w:rFonts w:cs="Century" w:ascii="Century" w:hAnsi="Century"/>
          <w:sz w:val="22"/>
        </w:rPr>
        <w:t>M</w:t>
      </w:r>
      <w:r>
        <w:rPr>
          <w:rtl w:val="true"/>
        </w:rPr>
        <w:t xml:space="preserve"> </w:t>
      </w:r>
      <w:r>
        <w:rPr>
          <w:rtl w:val="true"/>
        </w:rPr>
        <w:t xml:space="preserve">תמורת סך של </w:t>
      </w:r>
      <w:r>
        <w:rPr/>
        <w:t>13,000</w:t>
      </w:r>
      <w:r>
        <w:rPr>
          <w:rtl w:val="true"/>
        </w:rPr>
        <w:t xml:space="preserve"> </w:t>
      </w:r>
      <w:r>
        <w:rPr>
          <w:rtl w:val="true"/>
        </w:rPr>
        <w:t>ש</w:t>
      </w:r>
      <w:r>
        <w:rPr>
          <w:rtl w:val="true"/>
        </w:rPr>
        <w:t>"</w:t>
      </w:r>
      <w:r>
        <w:rPr>
          <w:rtl w:val="true"/>
        </w:rPr>
        <w:t>ח</w:t>
      </w:r>
      <w:r>
        <w:rPr>
          <w:rtl w:val="true"/>
        </w:rPr>
        <w:t>.</w:t>
      </w:r>
    </w:p>
    <w:p>
      <w:pPr>
        <w:pStyle w:val="Ruller42"/>
        <w:ind w:end="0"/>
        <w:jc w:val="both"/>
        <w:rPr/>
      </w:pPr>
      <w:r>
        <w:rPr>
          <w:rtl w:val="true"/>
        </w:rPr>
      </w:r>
    </w:p>
    <w:p>
      <w:pPr>
        <w:pStyle w:val="Ruller43"/>
        <w:numPr>
          <w:ilvl w:val="0"/>
          <w:numId w:val="1"/>
        </w:numPr>
        <w:ind w:end="0"/>
        <w:jc w:val="both"/>
        <w:rPr/>
      </w:pPr>
      <w:r>
        <w:rPr>
          <w:rtl w:val="true"/>
        </w:rPr>
        <w:t xml:space="preserve">בגזר הדין </w:t>
      </w:r>
      <w:r>
        <w:rPr>
          <w:rFonts w:ascii="Century" w:hAnsi="Century" w:cs="Century"/>
          <w:sz w:val="22"/>
          <w:sz w:val="22"/>
          <w:rtl w:val="true"/>
        </w:rPr>
        <w:t>נקבע כי מעשי המערער בשני האישומים מהווים אירוע עברייני אחד</w:t>
      </w:r>
      <w:r>
        <w:rPr>
          <w:rFonts w:cs="Century" w:ascii="Century" w:hAnsi="Century"/>
          <w:sz w:val="22"/>
          <w:rtl w:val="true"/>
        </w:rPr>
        <w:t xml:space="preserve">. </w:t>
      </w:r>
      <w:r>
        <w:rPr>
          <w:rFonts w:ascii="Century" w:hAnsi="Century" w:cs="Century"/>
          <w:sz w:val="22"/>
          <w:sz w:val="22"/>
          <w:rtl w:val="true"/>
        </w:rPr>
        <w:t>באשר לנסיבות ביצוע העבירות</w:t>
      </w:r>
      <w:r>
        <w:rPr>
          <w:rFonts w:cs="Century" w:ascii="Century" w:hAnsi="Century"/>
          <w:sz w:val="22"/>
          <w:rtl w:val="true"/>
        </w:rPr>
        <w:t xml:space="preserve">, </w:t>
      </w:r>
      <w:r>
        <w:rPr>
          <w:rFonts w:ascii="Century" w:hAnsi="Century" w:cs="Century"/>
          <w:sz w:val="22"/>
          <w:sz w:val="22"/>
          <w:rtl w:val="true"/>
        </w:rPr>
        <w:t xml:space="preserve">צוין כי </w:t>
      </w:r>
      <w:r>
        <w:rPr>
          <w:rtl w:val="true"/>
        </w:rPr>
        <w:t>בעסקה הראשונה המערער ניהל משא ומתן על המחיר</w:t>
      </w:r>
      <w:r>
        <w:rPr>
          <w:rtl w:val="true"/>
        </w:rPr>
        <w:t xml:space="preserve">, </w:t>
      </w:r>
      <w:r>
        <w:rPr>
          <w:rtl w:val="true"/>
        </w:rPr>
        <w:t>חלקו היה דומיננטי</w:t>
      </w:r>
      <w:r>
        <w:rPr>
          <w:rtl w:val="true"/>
        </w:rPr>
        <w:t xml:space="preserve">, </w:t>
      </w:r>
      <w:r>
        <w:rPr>
          <w:rtl w:val="true"/>
        </w:rPr>
        <w:t>הוא קיבל את כספי התמורה ואף ניקה את כלי הנשק מטביעות אצבע</w:t>
      </w:r>
      <w:r>
        <w:rPr>
          <w:rtl w:val="true"/>
        </w:rPr>
        <w:t xml:space="preserve">. </w:t>
      </w:r>
      <w:r>
        <w:rPr>
          <w:rtl w:val="true"/>
        </w:rPr>
        <w:t>בעסקה השנייה הוא יזם את הקשר עם הסוכן</w:t>
      </w:r>
      <w:r>
        <w:rPr>
          <w:rtl w:val="true"/>
        </w:rPr>
        <w:t xml:space="preserve">, </w:t>
      </w:r>
      <w:r>
        <w:rPr>
          <w:rtl w:val="true"/>
        </w:rPr>
        <w:t>הסליק את כלי הנשק על גופו ואף ביצע בו ירי להוכחת תקינותו</w:t>
      </w:r>
      <w:r>
        <w:rPr>
          <w:rtl w:val="true"/>
        </w:rPr>
        <w:t xml:space="preserve">. </w:t>
      </w:r>
      <w:r>
        <w:rPr>
          <w:rtl w:val="true"/>
        </w:rPr>
        <w:t>לפיכך</w:t>
      </w:r>
      <w:r>
        <w:rPr>
          <w:rtl w:val="true"/>
        </w:rPr>
        <w:t xml:space="preserve">, </w:t>
      </w:r>
      <w:r>
        <w:rPr>
          <w:rtl w:val="true"/>
        </w:rPr>
        <w:t xml:space="preserve">מתחם העונש בעניינו הועמד על </w:t>
      </w:r>
      <w:r>
        <w:rPr/>
        <w:t>6-3</w:t>
      </w:r>
      <w:r>
        <w:rPr>
          <w:rtl w:val="true"/>
        </w:rPr>
        <w:t xml:space="preserve"> </w:t>
      </w:r>
      <w:r>
        <w:rPr>
          <w:rtl w:val="true"/>
        </w:rPr>
        <w:t>שנות מאסר בפועל</w:t>
      </w:r>
      <w:r>
        <w:rPr>
          <w:rtl w:val="true"/>
        </w:rPr>
        <w:t xml:space="preserve">. </w:t>
      </w:r>
      <w:r>
        <w:rPr>
          <w:rtl w:val="true"/>
        </w:rPr>
        <w:t>באשר לנסיבות שאינן קשורות בביצוע העבירה</w:t>
      </w:r>
      <w:r>
        <w:rPr>
          <w:rtl w:val="true"/>
        </w:rPr>
        <w:t xml:space="preserve">, </w:t>
      </w:r>
      <w:r>
        <w:rPr>
          <w:rtl w:val="true"/>
        </w:rPr>
        <w:t>נלקחה בחשבון בין היתר העובדה שעברו הפלילי אינו נקי</w:t>
      </w:r>
      <w:r>
        <w:rPr>
          <w:rtl w:val="true"/>
        </w:rPr>
        <w:t xml:space="preserve">, </w:t>
      </w:r>
      <w:r>
        <w:rPr>
          <w:rtl w:val="true"/>
        </w:rPr>
        <w:t xml:space="preserve">ובסופו של דבר הושת עליו עונש של </w:t>
      </w:r>
      <w:r>
        <w:rPr/>
        <w:t>40</w:t>
      </w:r>
      <w:r>
        <w:rPr>
          <w:rtl w:val="true"/>
        </w:rPr>
        <w:t xml:space="preserve"> </w:t>
      </w:r>
      <w:r>
        <w:rPr>
          <w:rtl w:val="true"/>
        </w:rPr>
        <w:t>חודשי מאסר בפועל</w:t>
      </w:r>
      <w:r>
        <w:rPr>
          <w:rtl w:val="true"/>
        </w:rPr>
        <w:t xml:space="preserve">, </w:t>
      </w:r>
      <w:r>
        <w:rPr>
          <w:rtl w:val="true"/>
        </w:rPr>
        <w:t xml:space="preserve">מאסר על תנאי וקנס כספי בסך של </w:t>
      </w:r>
      <w:r>
        <w:rPr/>
        <w:t>10,000</w:t>
      </w:r>
      <w:r>
        <w:rPr>
          <w:rtl w:val="true"/>
        </w:rPr>
        <w:t xml:space="preserve"> </w:t>
      </w:r>
      <w:r>
        <w:rPr>
          <w:rtl w:val="true"/>
        </w:rPr>
        <w:t>ש</w:t>
      </w:r>
      <w:r>
        <w:rPr>
          <w:rtl w:val="true"/>
        </w:rPr>
        <w:t>"</w:t>
      </w:r>
      <w:r>
        <w:rPr>
          <w:rtl w:val="true"/>
        </w:rPr>
        <w:t>ח</w:t>
      </w:r>
      <w:r>
        <w:rPr>
          <w:rtl w:val="true"/>
        </w:rPr>
        <w:t>.</w:t>
      </w:r>
    </w:p>
    <w:p>
      <w:pPr>
        <w:pStyle w:val="Ruller42"/>
        <w:ind w:end="0"/>
        <w:jc w:val="both"/>
        <w:rPr/>
      </w:pPr>
      <w:r>
        <w:rPr>
          <w:rtl w:val="true"/>
        </w:rPr>
      </w:r>
    </w:p>
    <w:p>
      <w:pPr>
        <w:pStyle w:val="Ruller43"/>
        <w:numPr>
          <w:ilvl w:val="0"/>
          <w:numId w:val="0"/>
        </w:numPr>
        <w:ind w:hanging="0" w:start="0" w:end="0"/>
        <w:jc w:val="both"/>
        <w:rPr/>
      </w:pPr>
      <w:r>
        <w:rPr>
          <w:rFonts w:cs="Miriam" w:ascii="Century" w:hAnsi="Century"/>
          <w:b/>
          <w:spacing w:val="0"/>
          <w:szCs w:val="24"/>
          <w:rtl w:val="true"/>
        </w:rPr>
        <w:tab/>
      </w:r>
      <w:r>
        <w:rPr>
          <w:rtl w:val="true"/>
        </w:rPr>
        <w:t xml:space="preserve">בעניינו של המערער הוגשו שני ערעורים </w:t>
      </w:r>
      <w:r>
        <w:rPr>
          <w:rtl w:val="true"/>
        </w:rPr>
        <w:t>–</w:t>
      </w:r>
      <w:r>
        <w:rPr>
          <w:rtl w:val="true"/>
        </w:rPr>
        <w:t xml:space="preserve"> ערעור המערער על חומרת העונש מזה</w:t>
      </w:r>
      <w:r>
        <w:rPr>
          <w:rtl w:val="true"/>
        </w:rPr>
        <w:t xml:space="preserve">, </w:t>
      </w:r>
      <w:r>
        <w:rPr>
          <w:rtl w:val="true"/>
        </w:rPr>
        <w:t>וערעור המדינה על קולת העונש מזה</w:t>
      </w:r>
      <w:r>
        <w:rPr>
          <w:rtl w:val="true"/>
        </w:rPr>
        <w:t>.</w:t>
      </w:r>
    </w:p>
    <w:p>
      <w:pPr>
        <w:pStyle w:val="Ruller42"/>
        <w:ind w:end="0"/>
        <w:jc w:val="both"/>
        <w:rPr/>
      </w:pPr>
      <w:r>
        <w:rPr>
          <w:rtl w:val="true"/>
        </w:rPr>
      </w:r>
    </w:p>
    <w:p>
      <w:pPr>
        <w:pStyle w:val="Ruller43"/>
        <w:numPr>
          <w:ilvl w:val="0"/>
          <w:numId w:val="1"/>
        </w:numPr>
        <w:ind w:end="0"/>
        <w:jc w:val="both"/>
        <w:rPr/>
      </w:pPr>
      <w:r>
        <w:rPr>
          <w:rtl w:val="true"/>
        </w:rPr>
        <w:t>בערעורו טען המערער</w:t>
      </w:r>
      <w:r>
        <w:rPr>
          <w:rtl w:val="true"/>
        </w:rPr>
        <w:t xml:space="preserve">, </w:t>
      </w:r>
      <w:r>
        <w:rPr>
          <w:rtl w:val="true"/>
        </w:rPr>
        <w:t>כי בית המשפט המחוזי החמיר עמו הן בקביעת מתחם עונש החורג מרמת הענישה המקובלת והן במיקום העונש בתוך המתחם</w:t>
      </w:r>
      <w:r>
        <w:rPr>
          <w:rtl w:val="true"/>
        </w:rPr>
        <w:t xml:space="preserve">. </w:t>
      </w:r>
      <w:r>
        <w:rPr>
          <w:rtl w:val="true"/>
        </w:rPr>
        <w:t>בקביעת המתחם היה מקום להביא בחשבון את העובדה שהסוכן פעל באופן אגרסיבי בקרב אוכלוסייה חלשה מבחינה סוציו</w:t>
      </w:r>
      <w:r>
        <w:rPr>
          <w:rtl w:val="true"/>
        </w:rPr>
        <w:t>-</w:t>
      </w:r>
      <w:r>
        <w:rPr>
          <w:rtl w:val="true"/>
        </w:rPr>
        <w:t>אקונומית</w:t>
      </w:r>
      <w:r>
        <w:rPr>
          <w:rtl w:val="true"/>
        </w:rPr>
        <w:t xml:space="preserve">, </w:t>
      </w:r>
      <w:r>
        <w:rPr>
          <w:rtl w:val="true"/>
        </w:rPr>
        <w:t>עד אשר השיג את מבוקשו</w:t>
      </w:r>
      <w:r>
        <w:rPr>
          <w:rtl w:val="true"/>
        </w:rPr>
        <w:t xml:space="preserve">. </w:t>
      </w:r>
      <w:r>
        <w:rPr>
          <w:rtl w:val="true"/>
        </w:rPr>
        <w:t>אומנם אין המדובר בסוכן משדל או מדיח</w:t>
      </w:r>
      <w:r>
        <w:rPr>
          <w:rtl w:val="true"/>
        </w:rPr>
        <w:t xml:space="preserve">, </w:t>
      </w:r>
      <w:r>
        <w:rPr>
          <w:rtl w:val="true"/>
        </w:rPr>
        <w:t>אך יש לראותו כמי שהיה רק פסע מהגדרה זו והדבר צריך לקבל ביטוי בגזר הדין</w:t>
      </w:r>
      <w:r>
        <w:rPr>
          <w:rtl w:val="true"/>
        </w:rPr>
        <w:t xml:space="preserve">. </w:t>
      </w:r>
      <w:r>
        <w:rPr>
          <w:rtl w:val="true"/>
        </w:rPr>
        <w:t>כן נטען כי לא ניתן משקל די הצורך לנסיבות חייו של המערער</w:t>
      </w:r>
      <w:r>
        <w:rPr>
          <w:rtl w:val="true"/>
        </w:rPr>
        <w:t xml:space="preserve">, </w:t>
      </w:r>
      <w:r>
        <w:rPr>
          <w:rtl w:val="true"/>
        </w:rPr>
        <w:t>אשר יש במורכבותן כדי למקם את העונש דווקא בתחתית מתחם העונש ההולם</w:t>
      </w:r>
      <w:r>
        <w:rPr>
          <w:rtl w:val="true"/>
        </w:rPr>
        <w:t>.</w:t>
      </w:r>
    </w:p>
    <w:p>
      <w:pPr>
        <w:pStyle w:val="Ruller42"/>
        <w:ind w:end="0"/>
        <w:jc w:val="both"/>
        <w:rPr/>
      </w:pPr>
      <w:r>
        <w:rPr>
          <w:rtl w:val="true"/>
        </w:rPr>
      </w:r>
    </w:p>
    <w:p>
      <w:pPr>
        <w:pStyle w:val="Ruller43"/>
        <w:numPr>
          <w:ilvl w:val="0"/>
          <w:numId w:val="1"/>
        </w:numPr>
        <w:ind w:end="0"/>
        <w:jc w:val="both"/>
        <w:rPr/>
      </w:pPr>
      <w:r>
        <w:rPr>
          <w:rtl w:val="true"/>
        </w:rPr>
        <w:t>לעומת זאת</w:t>
      </w:r>
      <w:r>
        <w:rPr>
          <w:rtl w:val="true"/>
        </w:rPr>
        <w:t xml:space="preserve">, </w:t>
      </w:r>
      <w:r>
        <w:rPr>
          <w:rtl w:val="true"/>
        </w:rPr>
        <w:t>לשיטת המדינה</w:t>
      </w:r>
      <w:r>
        <w:rPr>
          <w:rtl w:val="true"/>
        </w:rPr>
        <w:t xml:space="preserve">, </w:t>
      </w:r>
      <w:r>
        <w:rPr>
          <w:rtl w:val="true"/>
        </w:rPr>
        <w:t>גזר דינו של בית המשפט המחוזי חורג באופן מהותי ממדיניות הענישה הראויה בגין עבירות כגון אלו</w:t>
      </w:r>
      <w:r>
        <w:rPr>
          <w:rtl w:val="true"/>
        </w:rPr>
        <w:t xml:space="preserve">. </w:t>
      </w:r>
      <w:r>
        <w:rPr>
          <w:rtl w:val="true"/>
        </w:rPr>
        <w:t xml:space="preserve">כן נטען כי </w:t>
      </w:r>
      <w:r>
        <w:rPr>
          <w:rFonts w:ascii="Century" w:hAnsi="Century" w:cs="Century"/>
          <w:sz w:val="22"/>
          <w:sz w:val="22"/>
          <w:rtl w:val="true"/>
        </w:rPr>
        <w:t>לא היה מקום לקבוע כי מדובר באירוע אחד</w:t>
      </w:r>
      <w:r>
        <w:rPr>
          <w:rFonts w:cs="Century" w:ascii="Century" w:hAnsi="Century"/>
          <w:sz w:val="22"/>
          <w:rtl w:val="true"/>
        </w:rPr>
        <w:t xml:space="preserve">, </w:t>
      </w:r>
      <w:r>
        <w:rPr>
          <w:rFonts w:ascii="Century" w:hAnsi="Century" w:cs="Century"/>
          <w:sz w:val="22"/>
          <w:sz w:val="22"/>
          <w:rtl w:val="true"/>
        </w:rPr>
        <w:t>לנוכח השוני בנסיבות ופער הזמנים שבין העסקאות</w:t>
      </w:r>
      <w:r>
        <w:rPr>
          <w:rFonts w:cs="Century" w:ascii="Century" w:hAnsi="Century"/>
          <w:sz w:val="22"/>
          <w:rtl w:val="true"/>
        </w:rPr>
        <w:t xml:space="preserve">. </w:t>
      </w:r>
      <w:r>
        <w:rPr>
          <w:rFonts w:ascii="Century" w:hAnsi="Century" w:cs="Century"/>
          <w:sz w:val="22"/>
          <w:sz w:val="22"/>
          <w:rtl w:val="true"/>
        </w:rPr>
        <w:t>זאת ועוד</w:t>
      </w:r>
      <w:r>
        <w:rPr>
          <w:rFonts w:cs="Century" w:ascii="Century" w:hAnsi="Century"/>
          <w:sz w:val="22"/>
          <w:rtl w:val="true"/>
        </w:rPr>
        <w:t xml:space="preserve">, </w:t>
      </w:r>
      <w:r>
        <w:rPr>
          <w:rFonts w:ascii="Century" w:hAnsi="Century" w:cs="Century"/>
          <w:sz w:val="22"/>
          <w:sz w:val="22"/>
          <w:rtl w:val="true"/>
        </w:rPr>
        <w:t>מתחם העונש שנקבע אינו מבטא כיאות את פוטנציאל הסכנה הנשקף מהמערער</w:t>
      </w:r>
      <w:r>
        <w:rPr>
          <w:rFonts w:cs="Century" w:ascii="Century" w:hAnsi="Century"/>
          <w:sz w:val="22"/>
          <w:rtl w:val="true"/>
        </w:rPr>
        <w:t xml:space="preserve">, </w:t>
      </w:r>
      <w:r>
        <w:rPr>
          <w:rFonts w:ascii="Century" w:hAnsi="Century" w:cs="Century"/>
          <w:sz w:val="22"/>
          <w:sz w:val="22"/>
          <w:rtl w:val="true"/>
        </w:rPr>
        <w:t>אשר סלל את הדרך להשלמת העסקאות וביצוען</w:t>
      </w:r>
      <w:r>
        <w:rPr>
          <w:rFonts w:cs="Century" w:ascii="Century" w:hAnsi="Century"/>
          <w:sz w:val="22"/>
          <w:rtl w:val="true"/>
        </w:rPr>
        <w:t xml:space="preserve">, </w:t>
      </w:r>
      <w:r>
        <w:rPr>
          <w:rFonts w:ascii="Century" w:hAnsi="Century" w:cs="Century"/>
          <w:sz w:val="22"/>
          <w:sz w:val="22"/>
          <w:rtl w:val="true"/>
        </w:rPr>
        <w:t>הציג לפני הסוכן הצעות חוזרות ונשנות לרכישת כלי נשק מסוגים שונים</w:t>
      </w:r>
      <w:r>
        <w:rPr>
          <w:rFonts w:cs="Century" w:ascii="Century" w:hAnsi="Century"/>
          <w:sz w:val="22"/>
          <w:rtl w:val="true"/>
        </w:rPr>
        <w:t xml:space="preserve">, </w:t>
      </w:r>
      <w:r>
        <w:rPr>
          <w:rFonts w:ascii="Century" w:hAnsi="Century" w:cs="Century"/>
          <w:sz w:val="22"/>
          <w:sz w:val="22"/>
          <w:rtl w:val="true"/>
        </w:rPr>
        <w:t>ניקה את כלי הנשק מטביעות אצבע ואף ביצע ירי להוכחת תקינות הכלים</w:t>
      </w:r>
      <w:r>
        <w:rPr>
          <w:rFonts w:cs="Century" w:ascii="Century" w:hAnsi="Century"/>
          <w:sz w:val="22"/>
          <w:rtl w:val="true"/>
        </w:rPr>
        <w:t xml:space="preserve">. </w:t>
      </w:r>
      <w:r>
        <w:rPr>
          <w:rFonts w:ascii="Century" w:hAnsi="Century" w:cs="Century"/>
          <w:sz w:val="22"/>
          <w:sz w:val="22"/>
          <w:rtl w:val="true"/>
        </w:rPr>
        <w:t>גם העונש שהוטל הלכה למעשה גבוה רק במעט מהרף התחתון של מתחם העונש ההולם</w:t>
      </w:r>
      <w:r>
        <w:rPr>
          <w:rFonts w:cs="Century" w:ascii="Century" w:hAnsi="Century"/>
          <w:sz w:val="22"/>
          <w:rtl w:val="true"/>
        </w:rPr>
        <w:t xml:space="preserve">, </w:t>
      </w:r>
      <w:r>
        <w:rPr>
          <w:rFonts w:ascii="Century" w:hAnsi="Century" w:cs="Century"/>
          <w:sz w:val="22"/>
          <w:sz w:val="22"/>
          <w:rtl w:val="true"/>
        </w:rPr>
        <w:t>אשר גם הוא מקל עמו כאמור</w:t>
      </w:r>
      <w:r>
        <w:rPr>
          <w:rFonts w:cs="Century" w:ascii="Century" w:hAnsi="Century"/>
          <w:sz w:val="22"/>
          <w:rtl w:val="true"/>
        </w:rPr>
        <w:t xml:space="preserve">. </w:t>
      </w:r>
      <w:r>
        <w:rPr>
          <w:rFonts w:ascii="Century" w:hAnsi="Century" w:cs="Century"/>
          <w:sz w:val="22"/>
          <w:sz w:val="22"/>
          <w:rtl w:val="true"/>
        </w:rPr>
        <w:t>מיקום זה של העונש בתוך המתחם אינו מתיישב עם העובדה כי אין זו הרשעתו הראשונה של המערער</w:t>
      </w:r>
      <w:r>
        <w:rPr>
          <w:rFonts w:cs="Century" w:ascii="Century" w:hAnsi="Century"/>
          <w:sz w:val="22"/>
          <w:rtl w:val="true"/>
        </w:rPr>
        <w:t xml:space="preserve">, </w:t>
      </w:r>
      <w:r>
        <w:rPr>
          <w:rFonts w:ascii="Century" w:hAnsi="Century" w:cs="Century"/>
          <w:sz w:val="22"/>
          <w:sz w:val="22"/>
          <w:rtl w:val="true"/>
        </w:rPr>
        <w:t>וכי הלה סירב שיוגש בעניינו תסקיר שירות המבחן</w:t>
      </w:r>
      <w:r>
        <w:rPr>
          <w:rFonts w:cs="Century" w:ascii="Century" w:hAnsi="Century"/>
          <w:sz w:val="22"/>
          <w:rtl w:val="true"/>
        </w:rPr>
        <w:t xml:space="preserve">. </w:t>
      </w:r>
    </w:p>
    <w:p>
      <w:pPr>
        <w:pStyle w:val="Ruller42"/>
        <w:ind w:end="0"/>
        <w:jc w:val="both"/>
        <w:rPr/>
      </w:pPr>
      <w:r>
        <w:rPr>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ב</w:t>
      </w:r>
      <w:r>
        <w:rPr>
          <w:rFonts w:cs="Miriam" w:ascii="Century" w:hAnsi="Century"/>
          <w:b/>
          <w:spacing w:val="0"/>
          <w:szCs w:val="24"/>
          <w:rtl w:val="true"/>
        </w:rPr>
        <w:t xml:space="preserve">. </w:t>
      </w:r>
      <w:r>
        <w:rPr>
          <w:rFonts w:ascii="Century" w:hAnsi="Century" w:cs="Miriam"/>
          <w:b/>
          <w:b/>
          <w:spacing w:val="0"/>
          <w:szCs w:val="24"/>
          <w:rtl w:val="true"/>
        </w:rPr>
        <w:t>דיון</w:t>
      </w:r>
      <w:r>
        <w:rPr>
          <w:rFonts w:ascii="Century" w:hAnsi="Century" w:eastAsia="Century" w:cs="Century"/>
          <w:b/>
          <w:b/>
          <w:spacing w:val="0"/>
          <w:szCs w:val="24"/>
          <w:rtl w:val="true"/>
        </w:rPr>
        <w:t xml:space="preserve"> </w:t>
      </w:r>
      <w:r>
        <w:rPr>
          <w:rFonts w:ascii="Century" w:hAnsi="Century" w:cs="Miriam"/>
          <w:b/>
          <w:b/>
          <w:spacing w:val="0"/>
          <w:szCs w:val="24"/>
          <w:rtl w:val="true"/>
        </w:rPr>
        <w:t>והכרעה</w:t>
      </w:r>
    </w:p>
    <w:p>
      <w:pPr>
        <w:pStyle w:val="Ruller43"/>
        <w:numPr>
          <w:ilvl w:val="0"/>
          <w:numId w:val="1"/>
        </w:numPr>
        <w:ind w:end="0"/>
        <w:jc w:val="both"/>
        <w:rPr/>
      </w:pPr>
      <w:r>
        <w:rPr>
          <w:rtl w:val="true"/>
        </w:rPr>
        <w:t>אכן</w:t>
      </w:r>
      <w:r>
        <w:rPr>
          <w:rtl w:val="true"/>
        </w:rPr>
        <w:t xml:space="preserve">, </w:t>
      </w:r>
      <w:r>
        <w:rPr>
          <w:rtl w:val="true"/>
        </w:rPr>
        <w:t>מעשי המערער מצויים במדרג חומרה גבוה ונשקפת מהם מסוכנות רבה לביטחון ושלום הציבור</w:t>
      </w:r>
      <w:r>
        <w:rPr>
          <w:rtl w:val="true"/>
        </w:rPr>
        <w:t xml:space="preserve">. </w:t>
      </w:r>
      <w:r>
        <w:rPr>
          <w:rtl w:val="true"/>
        </w:rPr>
        <w:t>המערער לקח חלק פעיל במסגרת העסקאות</w:t>
      </w:r>
      <w:r>
        <w:rPr>
          <w:rtl w:val="true"/>
        </w:rPr>
        <w:t xml:space="preserve">. </w:t>
      </w:r>
      <w:r>
        <w:rPr>
          <w:rtl w:val="true"/>
        </w:rPr>
        <w:t>באחת העסקאות היה זה הוא אשר ניהל את המשא ומתן עם הסוכן ובעסקה השנייה הוא זה אשר יזם את הקשר עם הסוכן וגם ביצע ירי בכלי הנשק על מנת להוכיח תקינותו</w:t>
      </w:r>
      <w:r>
        <w:rPr>
          <w:rtl w:val="true"/>
        </w:rPr>
        <w:t xml:space="preserve">. </w:t>
      </w:r>
      <w:r>
        <w:rPr>
          <w:rtl w:val="true"/>
        </w:rPr>
        <w:t xml:space="preserve">מתחם העונש בעניינו אשר הועמד על </w:t>
      </w:r>
      <w:r>
        <w:rPr/>
        <w:t>6-3</w:t>
      </w:r>
      <w:r>
        <w:rPr>
          <w:rtl w:val="true"/>
        </w:rPr>
        <w:t xml:space="preserve"> </w:t>
      </w:r>
      <w:r>
        <w:rPr>
          <w:rtl w:val="true"/>
        </w:rPr>
        <w:t>שנות מאסר בפועל לקח בחשבון נסיבות אלו</w:t>
      </w:r>
      <w:r>
        <w:rPr>
          <w:rtl w:val="true"/>
        </w:rPr>
        <w:t xml:space="preserve">, </w:t>
      </w:r>
      <w:r>
        <w:rPr>
          <w:rtl w:val="true"/>
        </w:rPr>
        <w:t xml:space="preserve">כמו גם את מספר העסקאות וסוג כלי הנשק שנמכר </w:t>
      </w:r>
      <w:r>
        <w:rPr>
          <w:rtl w:val="true"/>
        </w:rPr>
        <w:t>–</w:t>
      </w:r>
      <w:r>
        <w:rPr>
          <w:rtl w:val="true"/>
        </w:rPr>
        <w:t xml:space="preserve"> תתי מקלע מסוג קרלו</w:t>
      </w:r>
      <w:r>
        <w:rPr>
          <w:rtl w:val="true"/>
        </w:rPr>
        <w:t xml:space="preserve">. </w:t>
      </w:r>
      <w:r>
        <w:rPr>
          <w:rtl w:val="true"/>
        </w:rPr>
        <w:t>בית המשפט גם הביא בחשבון את נסיבותיו האישיות של המערער</w:t>
      </w:r>
      <w:r>
        <w:rPr>
          <w:rtl w:val="true"/>
        </w:rPr>
        <w:t xml:space="preserve">, </w:t>
      </w:r>
      <w:r>
        <w:rPr>
          <w:rtl w:val="true"/>
        </w:rPr>
        <w:t>כמו גם את העובדה שהוא הגורם המפרנס במשפחה לאחר מות אביו</w:t>
      </w:r>
      <w:r>
        <w:rPr>
          <w:rtl w:val="true"/>
        </w:rPr>
        <w:t xml:space="preserve">, </w:t>
      </w:r>
      <w:r>
        <w:rPr>
          <w:rtl w:val="true"/>
        </w:rPr>
        <w:t>והדברים שביטא המערער לפני בית המשפט על אודות הטלטלה שעברה על משפחתו בעקבות המעשים</w:t>
      </w:r>
      <w:r>
        <w:rPr>
          <w:rtl w:val="true"/>
        </w:rPr>
        <w:t xml:space="preserve">. </w:t>
      </w:r>
      <w:r>
        <w:rPr>
          <w:rtl w:val="true"/>
        </w:rPr>
        <w:t>מכאן</w:t>
      </w:r>
      <w:r>
        <w:rPr>
          <w:rtl w:val="true"/>
        </w:rPr>
        <w:t xml:space="preserve">, </w:t>
      </w:r>
      <w:r>
        <w:rPr>
          <w:rtl w:val="true"/>
        </w:rPr>
        <w:t>כי על אף הצורך להחמיר בעונשי המאסר המוטלים בעבירות אלה</w:t>
      </w:r>
      <w:r>
        <w:rPr>
          <w:rtl w:val="true"/>
        </w:rPr>
        <w:t xml:space="preserve">, </w:t>
      </w:r>
      <w:r>
        <w:rPr>
          <w:rtl w:val="true"/>
        </w:rPr>
        <w:t>אין בכך כדי לחתור תחת האופי האינדיבידואלי שבמלאכת הענישה המחייבת בחינת כל מקרה ומקרה לגופו</w:t>
      </w:r>
      <w:r>
        <w:rPr>
          <w:rtl w:val="true"/>
        </w:rPr>
        <w:t xml:space="preserve">. </w:t>
      </w:r>
      <w:r>
        <w:rPr>
          <w:rtl w:val="true"/>
        </w:rPr>
        <w:t>בית המשפט לקח בחשבון את מכלול שיקולי הענישה הרלוונטיים לעניין</w:t>
      </w:r>
      <w:r>
        <w:rPr>
          <w:rtl w:val="true"/>
        </w:rPr>
        <w:t xml:space="preserve">, </w:t>
      </w:r>
      <w:r>
        <w:rPr>
          <w:rtl w:val="true"/>
        </w:rPr>
        <w:t>ואף אם הקל עם המערער במובן מסוים</w:t>
      </w:r>
      <w:r>
        <w:rPr>
          <w:rtl w:val="true"/>
        </w:rPr>
        <w:t xml:space="preserve">, </w:t>
      </w:r>
      <w:r>
        <w:rPr>
          <w:rtl w:val="true"/>
        </w:rPr>
        <w:t xml:space="preserve">הרי שהעונש שהושת עליו בסופו של יום אינו חריג </w:t>
      </w:r>
      <w:r>
        <w:rPr>
          <w:rtl w:val="true"/>
        </w:rPr>
        <w:t>–</w:t>
      </w:r>
      <w:r>
        <w:rPr>
          <w:rtl w:val="true"/>
        </w:rPr>
        <w:t xml:space="preserve"> בוודאי שלא לחומרה</w:t>
      </w:r>
      <w:r>
        <w:rPr>
          <w:rtl w:val="true"/>
        </w:rPr>
        <w:t xml:space="preserve">, </w:t>
      </w:r>
      <w:r>
        <w:rPr>
          <w:rtl w:val="true"/>
        </w:rPr>
        <w:t xml:space="preserve">אך גם לא לקולא </w:t>
      </w:r>
      <w:r>
        <w:rPr>
          <w:rtl w:val="true"/>
        </w:rPr>
        <w:t>–</w:t>
      </w:r>
      <w:r>
        <w:rPr>
          <w:rtl w:val="true"/>
        </w:rPr>
        <w:t xml:space="preserve"> באופן המצדיק את התערבותנו</w:t>
      </w:r>
      <w:r>
        <w:rPr>
          <w:rtl w:val="true"/>
        </w:rPr>
        <w:t xml:space="preserve">. </w:t>
      </w:r>
    </w:p>
    <w:p>
      <w:pPr>
        <w:pStyle w:val="Ruller43"/>
        <w:numPr>
          <w:ilvl w:val="0"/>
          <w:numId w:val="0"/>
        </w:numPr>
        <w:ind w:hanging="0" w:start="0" w:end="0"/>
        <w:jc w:val="both"/>
        <w:rPr/>
      </w:pPr>
      <w:r>
        <w:rPr>
          <w:rtl w:val="true"/>
        </w:rPr>
      </w:r>
    </w:p>
    <w:p>
      <w:pPr>
        <w:pStyle w:val="Ruller43"/>
        <w:numPr>
          <w:ilvl w:val="0"/>
          <w:numId w:val="1"/>
        </w:numPr>
        <w:ind w:end="0"/>
        <w:jc w:val="both"/>
        <w:rPr/>
      </w:pPr>
      <w:r>
        <w:rPr>
          <w:rtl w:val="true"/>
        </w:rPr>
        <w:t>גם אין בידי לקבל את טענת המדינה בערעורה לעניין קביעת מספר האירועים על ידי בית המשפט המחוזי</w:t>
      </w:r>
      <w:r>
        <w:rPr>
          <w:rtl w:val="true"/>
        </w:rPr>
        <w:t xml:space="preserve">, </w:t>
      </w:r>
      <w:r>
        <w:rPr>
          <w:rtl w:val="true"/>
        </w:rPr>
        <w:t xml:space="preserve">אשר מצא לנכון להתייחס לשתי עסקאות כאל </w:t>
      </w:r>
      <w:r>
        <w:rPr>
          <w:rtl w:val="true"/>
        </w:rPr>
        <w:t>"</w:t>
      </w:r>
      <w:r>
        <w:rPr>
          <w:rtl w:val="true"/>
        </w:rPr>
        <w:t>אירוע אחד</w:t>
      </w:r>
      <w:r>
        <w:rPr>
          <w:rtl w:val="true"/>
        </w:rPr>
        <w:t xml:space="preserve">" </w:t>
      </w:r>
      <w:r>
        <w:rPr>
          <w:rtl w:val="true"/>
        </w:rPr>
        <w:t>לעניין קביעת מתחם העונש ההולם</w:t>
      </w:r>
      <w:r>
        <w:rPr>
          <w:rtl w:val="true"/>
        </w:rPr>
        <w:t xml:space="preserve">. </w:t>
      </w:r>
      <w:r>
        <w:rPr>
          <w:rtl w:val="true"/>
        </w:rPr>
        <w:t>המערער הורשע כאמור בגין מעורבותו בשתי עסקאות נשק שהתבצעו בפער של כשבועיים ימים</w:t>
      </w:r>
      <w:r>
        <w:rPr>
          <w:rtl w:val="true"/>
        </w:rPr>
        <w:t xml:space="preserve">. </w:t>
      </w:r>
      <w:r>
        <w:rPr>
          <w:rtl w:val="true"/>
        </w:rPr>
        <w:t>כאמור</w:t>
      </w:r>
      <w:r>
        <w:rPr>
          <w:rtl w:val="true"/>
        </w:rPr>
        <w:t xml:space="preserve">, </w:t>
      </w:r>
      <w:r>
        <w:rPr>
          <w:rtl w:val="true"/>
        </w:rPr>
        <w:t xml:space="preserve">התיבה </w:t>
      </w:r>
      <w:r>
        <w:rPr>
          <w:rtl w:val="true"/>
        </w:rPr>
        <w:t>"</w:t>
      </w:r>
      <w:r>
        <w:rPr>
          <w:rtl w:val="true"/>
        </w:rPr>
        <w:t>אירוע אחד</w:t>
      </w:r>
      <w:r>
        <w:rPr>
          <w:rtl w:val="true"/>
        </w:rPr>
        <w:t xml:space="preserve">" </w:t>
      </w:r>
      <w:hyperlink r:id="rId76">
        <w:r>
          <w:rPr>
            <w:rStyle w:val="Hyperlink"/>
            <w:color w:val="0000FF"/>
            <w:u w:val="single"/>
            <w:rtl w:val="true"/>
          </w:rPr>
          <w:t>שבסעיף</w:t>
        </w:r>
        <w:r>
          <w:rPr>
            <w:rStyle w:val="Hyperlink"/>
            <w:color w:val="0000FF"/>
            <w:u w:val="single"/>
            <w:rtl w:val="true"/>
          </w:rPr>
          <w:t xml:space="preserve"> </w:t>
        </w:r>
        <w:r>
          <w:rPr>
            <w:rStyle w:val="Hyperlink"/>
            <w:color w:val="0000FF"/>
            <w:u w:val="single"/>
          </w:rPr>
          <w:t>40</w:t>
        </w:r>
      </w:hyperlink>
      <w:r>
        <w:rPr>
          <w:rtl w:val="true"/>
        </w:rPr>
        <w:t xml:space="preserve"> </w:t>
      </w:r>
      <w:r>
        <w:rPr>
          <w:rtl w:val="true"/>
        </w:rPr>
        <w:t>ל</w:t>
      </w:r>
      <w:hyperlink r:id="rId77">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רחבה דיה על מנת להביא בגדרה אירועים שהתבצעו בפער זמנים</w:t>
      </w:r>
      <w:r>
        <w:rPr>
          <w:rtl w:val="true"/>
        </w:rPr>
        <w:t xml:space="preserve">, </w:t>
      </w:r>
      <w:r>
        <w:rPr>
          <w:rtl w:val="true"/>
        </w:rPr>
        <w:t xml:space="preserve">לרבות פער זמנים כבענייננו אשר כלל איננו ממושך </w:t>
      </w:r>
      <w:r>
        <w:rPr>
          <w:rtl w:val="true"/>
        </w:rPr>
        <w:t>(</w:t>
      </w:r>
      <w:r>
        <w:rPr>
          <w:rtl w:val="true"/>
        </w:rPr>
        <w:t xml:space="preserve">עניין </w:t>
      </w:r>
      <w:r>
        <w:rPr>
          <w:rFonts w:ascii="Century" w:hAnsi="Century" w:cs="Miriam"/>
          <w:b/>
          <w:b/>
          <w:spacing w:val="0"/>
          <w:sz w:val="22"/>
          <w:sz w:val="22"/>
          <w:szCs w:val="24"/>
          <w:rtl w:val="true"/>
        </w:rPr>
        <w:t>ג</w:t>
      </w:r>
      <w:r>
        <w:rPr>
          <w:rFonts w:cs="Miriam" w:ascii="Century" w:hAnsi="Century"/>
          <w:b/>
          <w:spacing w:val="0"/>
          <w:sz w:val="22"/>
          <w:szCs w:val="24"/>
          <w:rtl w:val="true"/>
        </w:rPr>
        <w:t>'</w:t>
      </w:r>
      <w:r>
        <w:rPr>
          <w:rFonts w:ascii="Century" w:hAnsi="Century" w:cs="Miriam"/>
          <w:b/>
          <w:b/>
          <w:spacing w:val="0"/>
          <w:sz w:val="22"/>
          <w:sz w:val="22"/>
          <w:szCs w:val="24"/>
          <w:rtl w:val="true"/>
        </w:rPr>
        <w:t>אבר</w:t>
      </w:r>
      <w:r>
        <w:rPr>
          <w:rFonts w:cs="Century" w:ascii="Century" w:hAnsi="Century"/>
          <w:sz w:val="22"/>
          <w:rtl w:val="true"/>
        </w:rPr>
        <w:t xml:space="preserve">, </w:t>
      </w:r>
      <w:r>
        <w:rPr>
          <w:rFonts w:ascii="Century" w:hAnsi="Century" w:cs="Century"/>
          <w:sz w:val="22"/>
          <w:sz w:val="22"/>
          <w:rtl w:val="true"/>
        </w:rPr>
        <w:t xml:space="preserve">פסקה </w:t>
      </w:r>
      <w:r>
        <w:rPr>
          <w:rFonts w:cs="Century" w:ascii="Century" w:hAnsi="Century"/>
          <w:sz w:val="22"/>
        </w:rPr>
        <w:t>2</w:t>
      </w:r>
      <w:r>
        <w:rPr>
          <w:rFonts w:cs="Century" w:ascii="Century" w:hAnsi="Century"/>
          <w:sz w:val="22"/>
          <w:rtl w:val="true"/>
        </w:rPr>
        <w:t xml:space="preserve"> </w:t>
      </w:r>
      <w:r>
        <w:rPr>
          <w:rFonts w:ascii="Century" w:hAnsi="Century" w:cs="Century"/>
          <w:sz w:val="22"/>
          <w:sz w:val="22"/>
          <w:rtl w:val="true"/>
        </w:rPr>
        <w:t xml:space="preserve">לחוות דעתו של השופט </w:t>
      </w:r>
      <w:r>
        <w:rPr>
          <w:rFonts w:ascii="Century" w:hAnsi="Century" w:cs="Miriam"/>
          <w:b/>
          <w:b/>
          <w:spacing w:val="0"/>
          <w:sz w:val="22"/>
          <w:sz w:val="22"/>
          <w:szCs w:val="24"/>
          <w:rtl w:val="true"/>
        </w:rPr>
        <w:t>ע</w:t>
      </w:r>
      <w:r>
        <w:rPr>
          <w:rFonts w:cs="Miriam" w:ascii="Century" w:hAnsi="Century"/>
          <w:b/>
          <w:spacing w:val="0"/>
          <w:sz w:val="22"/>
          <w:szCs w:val="24"/>
          <w:rtl w:val="true"/>
        </w:rPr>
        <w:t xml:space="preserve">' </w:t>
      </w:r>
      <w:r>
        <w:rPr>
          <w:rFonts w:ascii="Century" w:hAnsi="Century" w:cs="Miriam"/>
          <w:b/>
          <w:b/>
          <w:spacing w:val="0"/>
          <w:sz w:val="22"/>
          <w:sz w:val="22"/>
          <w:szCs w:val="24"/>
          <w:rtl w:val="true"/>
        </w:rPr>
        <w:t>פוגלמן</w:t>
      </w:r>
      <w:r>
        <w:rPr>
          <w:rFonts w:cs="Century" w:ascii="Century" w:hAnsi="Century"/>
          <w:sz w:val="22"/>
          <w:rtl w:val="true"/>
        </w:rPr>
        <w:t xml:space="preserve">; </w:t>
      </w:r>
      <w:r>
        <w:rPr>
          <w:rFonts w:ascii="Century" w:hAnsi="Century" w:cs="Century"/>
          <w:sz w:val="22"/>
          <w:sz w:val="22"/>
          <w:rtl w:val="true"/>
        </w:rPr>
        <w:t xml:space="preserve">עניין </w:t>
      </w:r>
      <w:r>
        <w:rPr>
          <w:rFonts w:ascii="Century" w:hAnsi="Century" w:cs="Miriam"/>
          <w:b/>
          <w:b/>
          <w:spacing w:val="0"/>
          <w:sz w:val="22"/>
          <w:sz w:val="22"/>
          <w:szCs w:val="24"/>
          <w:rtl w:val="true"/>
        </w:rPr>
        <w:t>עיסא</w:t>
      </w:r>
      <w:r>
        <w:rPr>
          <w:rFonts w:cs="Century" w:ascii="Century" w:hAnsi="Century"/>
          <w:sz w:val="22"/>
          <w:rtl w:val="true"/>
        </w:rPr>
        <w:t xml:space="preserve">, </w:t>
      </w:r>
      <w:r>
        <w:rPr>
          <w:rFonts w:ascii="Century" w:hAnsi="Century" w:cs="Century"/>
          <w:sz w:val="22"/>
          <w:sz w:val="22"/>
          <w:rtl w:val="true"/>
        </w:rPr>
        <w:t xml:space="preserve">פסקה </w:t>
      </w:r>
      <w:r>
        <w:rPr>
          <w:rFonts w:cs="Century" w:ascii="Century" w:hAnsi="Century"/>
          <w:sz w:val="22"/>
        </w:rPr>
        <w:t>12</w:t>
      </w:r>
      <w:r>
        <w:rPr>
          <w:rtl w:val="true"/>
        </w:rPr>
        <w:t xml:space="preserve">). </w:t>
      </w:r>
      <w:r>
        <w:rPr>
          <w:rtl w:val="true"/>
        </w:rPr>
        <w:t>גם לא בהכרח מתקיים שוני מהותי בנסיבות כל אחת מהעסקאות המצדיק כשלעצמו את פיצולן כדי שני אירועים נפרדים</w:t>
      </w:r>
      <w:r>
        <w:rPr>
          <w:rtl w:val="true"/>
        </w:rPr>
        <w:t xml:space="preserve">. </w:t>
      </w:r>
      <w:r>
        <w:rPr>
          <w:rtl w:val="true"/>
        </w:rPr>
        <w:t>מכל מקום</w:t>
      </w:r>
      <w:r>
        <w:rPr>
          <w:rtl w:val="true"/>
        </w:rPr>
        <w:t xml:space="preserve">, </w:t>
      </w:r>
      <w:r>
        <w:rPr>
          <w:rtl w:val="true"/>
        </w:rPr>
        <w:t>אין מדובר בקביעה המצדיקה התערבות בית משפט זה</w:t>
      </w:r>
      <w:r>
        <w:rPr>
          <w:rtl w:val="true"/>
        </w:rPr>
        <w:t>.</w:t>
      </w:r>
    </w:p>
    <w:p>
      <w:pPr>
        <w:pStyle w:val="Ruller42"/>
        <w:ind w:end="0"/>
        <w:jc w:val="both"/>
        <w:rPr/>
      </w:pPr>
      <w:r>
        <w:rPr>
          <w:rtl w:val="true"/>
        </w:rPr>
      </w:r>
    </w:p>
    <w:p>
      <w:pPr>
        <w:pStyle w:val="Ruller43"/>
        <w:numPr>
          <w:ilvl w:val="0"/>
          <w:numId w:val="0"/>
        </w:numPr>
        <w:ind w:hanging="0" w:start="0" w:end="0"/>
        <w:jc w:val="both"/>
        <w:rPr/>
      </w:pPr>
      <w:r>
        <w:rPr>
          <w:rtl w:val="true"/>
        </w:rPr>
        <w:tab/>
      </w:r>
      <w:r>
        <w:rPr>
          <w:rtl w:val="true"/>
        </w:rPr>
        <w:t>לפיכך</w:t>
      </w:r>
      <w:r>
        <w:rPr>
          <w:rtl w:val="true"/>
        </w:rPr>
        <w:t xml:space="preserve">, </w:t>
      </w:r>
      <w:r>
        <w:rPr>
          <w:rtl w:val="true"/>
        </w:rPr>
        <w:t>אם תשמע דעתי</w:t>
      </w:r>
      <w:r>
        <w:rPr>
          <w:rtl w:val="true"/>
        </w:rPr>
        <w:t xml:space="preserve">, </w:t>
      </w:r>
      <w:r>
        <w:rPr>
          <w:rtl w:val="true"/>
        </w:rPr>
        <w:t xml:space="preserve">הן הערעור והן ערעור המדינה </w:t>
      </w:r>
      <w:r>
        <w:rPr>
          <w:rtl w:val="true"/>
        </w:rPr>
        <w:t>–</w:t>
      </w:r>
      <w:r>
        <w:rPr>
          <w:rtl w:val="true"/>
        </w:rPr>
        <w:t xml:space="preserve"> יידחו</w:t>
      </w:r>
      <w:r>
        <w:rPr>
          <w:rtl w:val="true"/>
        </w:rPr>
        <w:t>.</w:t>
      </w:r>
    </w:p>
    <w:p>
      <w:pPr>
        <w:pStyle w:val="Ruller42"/>
        <w:ind w:end="0"/>
        <w:jc w:val="both"/>
        <w:rPr/>
      </w:pPr>
      <w:r>
        <w:rPr>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סוף</w:t>
      </w:r>
      <w:r>
        <w:rPr>
          <w:rFonts w:ascii="Century" w:hAnsi="Century" w:eastAsia="Century" w:cs="Century"/>
          <w:b/>
          <w:b/>
          <w:spacing w:val="0"/>
          <w:szCs w:val="24"/>
          <w:rtl w:val="true"/>
        </w:rPr>
        <w:t xml:space="preserve"> </w:t>
      </w:r>
      <w:r>
        <w:rPr>
          <w:rFonts w:ascii="Century" w:hAnsi="Century" w:cs="Miriam"/>
          <w:b/>
          <w:b/>
          <w:spacing w:val="0"/>
          <w:szCs w:val="24"/>
          <w:rtl w:val="true"/>
        </w:rPr>
        <w:t>דבר</w:t>
      </w:r>
    </w:p>
    <w:p>
      <w:pPr>
        <w:pStyle w:val="Ruller43"/>
        <w:numPr>
          <w:ilvl w:val="0"/>
          <w:numId w:val="1"/>
        </w:numPr>
        <w:ind w:end="0"/>
        <w:jc w:val="both"/>
        <w:rPr/>
      </w:pPr>
      <w:r>
        <w:rPr>
          <w:rtl w:val="true"/>
        </w:rPr>
        <w:t>במסגרת הפרשה שלפנינו נחשפנו להיקפה הבלתי נתפס של תופעת הסחר בכלי נשק ובתחמושת</w:t>
      </w:r>
      <w:r>
        <w:rPr>
          <w:rtl w:val="true"/>
        </w:rPr>
        <w:t xml:space="preserve">. </w:t>
      </w:r>
      <w:r>
        <w:rPr>
          <w:rtl w:val="true"/>
        </w:rPr>
        <w:t>המדובר בצעירים אשר חברו יחדיו על מנת לקחת חלק בעסקאות בהיקף כספי כולל של מאות אלפי שקלים אם לא למעלה מכך</w:t>
      </w:r>
      <w:r>
        <w:rPr>
          <w:rtl w:val="true"/>
        </w:rPr>
        <w:t xml:space="preserve">, </w:t>
      </w:r>
      <w:r>
        <w:rPr>
          <w:rtl w:val="true"/>
        </w:rPr>
        <w:t xml:space="preserve">במסגרתן בוצע סחר בכלי נשק רבים ומגוונים </w:t>
      </w:r>
      <w:r>
        <w:rPr>
          <w:rtl w:val="true"/>
        </w:rPr>
        <w:t>–</w:t>
      </w:r>
      <w:r>
        <w:rPr>
          <w:rtl w:val="true"/>
        </w:rPr>
        <w:t xml:space="preserve"> אקדחים</w:t>
      </w:r>
      <w:r>
        <w:rPr>
          <w:rtl w:val="true"/>
        </w:rPr>
        <w:t xml:space="preserve">, </w:t>
      </w:r>
      <w:r>
        <w:rPr>
          <w:rtl w:val="true"/>
        </w:rPr>
        <w:t>תתי</w:t>
      </w:r>
      <w:r>
        <w:rPr>
          <w:rtl w:val="true"/>
        </w:rPr>
        <w:t>-</w:t>
      </w:r>
      <w:r>
        <w:rPr>
          <w:rtl w:val="true"/>
        </w:rPr>
        <w:t>מקלע ורובי סער</w:t>
      </w:r>
      <w:r>
        <w:rPr>
          <w:rtl w:val="true"/>
        </w:rPr>
        <w:t xml:space="preserve">, </w:t>
      </w:r>
      <w:r>
        <w:rPr>
          <w:rtl w:val="true"/>
        </w:rPr>
        <w:t>כאשר לעתים אף בוצעה בדיקת תקינות כלי הנשק בדרך של ירי חי באזור מגורים</w:t>
      </w:r>
      <w:r>
        <w:rPr>
          <w:rtl w:val="true"/>
        </w:rPr>
        <w:t xml:space="preserve">. </w:t>
      </w:r>
      <w:r>
        <w:rPr>
          <w:rtl w:val="true"/>
        </w:rPr>
        <w:t>כתוצאה ממעשי הנאשמים עלול היה להיגרם נזק כבד ורחב היקף</w:t>
      </w:r>
      <w:r>
        <w:rPr>
          <w:rtl w:val="true"/>
        </w:rPr>
        <w:t>.</w:t>
      </w:r>
    </w:p>
    <w:p>
      <w:pPr>
        <w:pStyle w:val="Ruller43"/>
        <w:numPr>
          <w:ilvl w:val="0"/>
          <w:numId w:val="0"/>
        </w:numPr>
        <w:ind w:hanging="0" w:start="0" w:end="0"/>
        <w:jc w:val="both"/>
        <w:rPr/>
      </w:pPr>
      <w:r>
        <w:rPr>
          <w:rtl w:val="true"/>
        </w:rPr>
      </w:r>
    </w:p>
    <w:p>
      <w:pPr>
        <w:pStyle w:val="Ruller43"/>
        <w:numPr>
          <w:ilvl w:val="0"/>
          <w:numId w:val="1"/>
        </w:numPr>
        <w:ind w:end="0"/>
        <w:jc w:val="both"/>
        <w:rPr/>
      </w:pPr>
      <w:r>
        <w:rPr>
          <w:rtl w:val="true"/>
        </w:rPr>
        <w:t>עמדנו כאמור על הסכנה הנשקפת כתוצאה מהמעשים ומידת הפגיעה בערך של שלום הציבור וביטחונו</w:t>
      </w:r>
      <w:r>
        <w:rPr>
          <w:rtl w:val="true"/>
        </w:rPr>
        <w:t xml:space="preserve">. </w:t>
      </w:r>
      <w:r>
        <w:rPr>
          <w:rtl w:val="true"/>
        </w:rPr>
        <w:t>כאמור</w:t>
      </w:r>
      <w:r>
        <w:rPr>
          <w:rtl w:val="true"/>
        </w:rPr>
        <w:t xml:space="preserve">, </w:t>
      </w:r>
      <w:r>
        <w:rPr>
          <w:rtl w:val="true"/>
        </w:rPr>
        <w:t>כלי נשק הנסחרים באופן בלתי חוקי עלולים להוביל בקצה הדרך לשפיכות דמים</w:t>
      </w:r>
      <w:r>
        <w:rPr>
          <w:rtl w:val="true"/>
        </w:rPr>
        <w:t xml:space="preserve">, </w:t>
      </w:r>
      <w:r>
        <w:rPr>
          <w:rtl w:val="true"/>
        </w:rPr>
        <w:t>ותחושת הביטחון של הציבור נפגמת באופן ממשי בשל תופעות כגון אלו</w:t>
      </w:r>
      <w:r>
        <w:rPr>
          <w:rtl w:val="true"/>
        </w:rPr>
        <w:t xml:space="preserve">. </w:t>
      </w:r>
      <w:r>
        <w:rPr>
          <w:rtl w:val="true"/>
        </w:rPr>
        <w:t>חומרתן של העבירות מקבלת משנה תוקף בהתחשב בריבוי המעשים</w:t>
      </w:r>
      <w:r>
        <w:rPr>
          <w:rtl w:val="true"/>
        </w:rPr>
        <w:t xml:space="preserve">, </w:t>
      </w:r>
      <w:r>
        <w:rPr>
          <w:rtl w:val="true"/>
        </w:rPr>
        <w:t>בריבוי המעורבים</w:t>
      </w:r>
      <w:r>
        <w:rPr>
          <w:rtl w:val="true"/>
        </w:rPr>
        <w:t xml:space="preserve">, </w:t>
      </w:r>
      <w:r>
        <w:rPr>
          <w:rtl w:val="true"/>
        </w:rPr>
        <w:t>בהיקפה של התופעה הקשה שנחשפה לפנינו ובמימדים שאליה היא הגיעה</w:t>
      </w:r>
      <w:r>
        <w:rPr>
          <w:rtl w:val="true"/>
        </w:rPr>
        <w:t xml:space="preserve">, </w:t>
      </w:r>
      <w:r>
        <w:rPr>
          <w:rtl w:val="true"/>
        </w:rPr>
        <w:t>נוכח הסכנה הרבה הנשקפת מעבירות אלו ופוטנציאל הפגיעה הגלום בהן</w:t>
      </w:r>
      <w:r>
        <w:rPr>
          <w:rtl w:val="true"/>
        </w:rPr>
        <w:t xml:space="preserve">. </w:t>
      </w:r>
    </w:p>
    <w:p>
      <w:pPr>
        <w:pStyle w:val="Ruller43"/>
        <w:numPr>
          <w:ilvl w:val="0"/>
          <w:numId w:val="0"/>
        </w:numPr>
        <w:ind w:hanging="0" w:start="0" w:end="0"/>
        <w:jc w:val="both"/>
        <w:rPr/>
      </w:pPr>
      <w:r>
        <w:rPr>
          <w:rtl w:val="true"/>
        </w:rPr>
      </w:r>
    </w:p>
    <w:p>
      <w:pPr>
        <w:pStyle w:val="Ruller43"/>
        <w:numPr>
          <w:ilvl w:val="0"/>
          <w:numId w:val="1"/>
        </w:numPr>
        <w:ind w:end="0"/>
        <w:jc w:val="both"/>
        <w:rPr/>
      </w:pPr>
      <w:r>
        <w:rPr>
          <w:rtl w:val="true"/>
        </w:rPr>
        <w:t>הגנה על שלום הציבור מחייבת החמרת עונשי המאסר המוטלים בגין פעילות עבריינית זו</w:t>
      </w:r>
      <w:r>
        <w:rPr>
          <w:rtl w:val="true"/>
        </w:rPr>
        <w:t xml:space="preserve">. </w:t>
      </w:r>
      <w:r>
        <w:rPr>
          <w:rtl w:val="true"/>
        </w:rPr>
        <w:t>ואכן</w:t>
      </w:r>
      <w:r>
        <w:rPr>
          <w:rtl w:val="true"/>
        </w:rPr>
        <w:t xml:space="preserve">, </w:t>
      </w:r>
      <w:r>
        <w:rPr>
          <w:rtl w:val="true"/>
        </w:rPr>
        <w:t>המגמה בשנים האחרונות לגבי עבירות נשק בכלל ועבירות סחר בלתי חוקי בפרט</w:t>
      </w:r>
      <w:r>
        <w:rPr>
          <w:rtl w:val="true"/>
        </w:rPr>
        <w:t xml:space="preserve">, </w:t>
      </w:r>
      <w:r>
        <w:rPr>
          <w:rtl w:val="true"/>
        </w:rPr>
        <w:t xml:space="preserve">היא החמרה בענישתם של המעורבים בהן באופן המביא לידי ביטוי את הסכנה הנשקפת מהן </w:t>
      </w:r>
      <w:r>
        <w:rPr>
          <w:rtl w:val="true"/>
        </w:rPr>
        <w:t>(</w:t>
      </w:r>
      <w:r>
        <w:rPr>
          <w:rtl w:val="true"/>
        </w:rPr>
        <w:t>ראו למשל</w:t>
      </w:r>
      <w:r>
        <w:rPr>
          <w:rtl w:val="true"/>
        </w:rPr>
        <w:t xml:space="preserve">: </w:t>
      </w:r>
      <w:r>
        <w:rPr>
          <w:rtl w:val="true"/>
        </w:rPr>
        <w:t xml:space="preserve">עניין </w:t>
      </w:r>
      <w:r>
        <w:rPr>
          <w:rFonts w:ascii="Century" w:hAnsi="Century" w:cs="Miriam"/>
          <w:b/>
          <w:b/>
          <w:spacing w:val="0"/>
          <w:sz w:val="22"/>
          <w:sz w:val="22"/>
          <w:szCs w:val="24"/>
          <w:rtl w:val="true"/>
        </w:rPr>
        <w:t>נפאע</w:t>
      </w:r>
      <w:r>
        <w:rPr>
          <w:rtl w:val="true"/>
        </w:rPr>
        <w:t xml:space="preserve">; </w:t>
      </w:r>
      <w:r>
        <w:rPr>
          <w:rtl w:val="true"/>
        </w:rPr>
        <w:t xml:space="preserve">עניין </w:t>
      </w:r>
      <w:r>
        <w:rPr>
          <w:rFonts w:ascii="Century" w:hAnsi="Century" w:cs="Miriam"/>
          <w:b/>
          <w:b/>
          <w:spacing w:val="0"/>
          <w:sz w:val="22"/>
          <w:sz w:val="22"/>
          <w:szCs w:val="24"/>
          <w:rtl w:val="true"/>
        </w:rPr>
        <w:t>חמאיל</w:t>
      </w:r>
      <w:r>
        <w:rPr>
          <w:rtl w:val="true"/>
        </w:rPr>
        <w:t xml:space="preserve">). </w:t>
      </w:r>
      <w:r>
        <w:rPr>
          <w:rtl w:val="true"/>
        </w:rPr>
        <w:t>כפי שפורט לעיל</w:t>
      </w:r>
      <w:r>
        <w:rPr>
          <w:rtl w:val="true"/>
        </w:rPr>
        <w:t xml:space="preserve">, </w:t>
      </w:r>
      <w:r>
        <w:rPr>
          <w:rtl w:val="true"/>
        </w:rPr>
        <w:t>עניינו של כל נאשם ונאשם ראוי לבחינה ספציפית הממוקדת בנסיבות עניינו לפי נסיבותיו ומידת אשמו</w:t>
      </w:r>
      <w:r>
        <w:rPr>
          <w:rtl w:val="true"/>
        </w:rPr>
        <w:t xml:space="preserve">, </w:t>
      </w:r>
      <w:r>
        <w:rPr>
          <w:rtl w:val="true"/>
        </w:rPr>
        <w:t>אך בשים לב גם למגמת ההחמרה אשר נועדה לתת ביטוי הולם להגנה על הערכים החברתיים החשובים שנפגמים כתוצאה מפעילות עבריינית קשה זו</w:t>
      </w:r>
      <w:r>
        <w:rPr>
          <w:rtl w:val="true"/>
        </w:rPr>
        <w:t>.</w:t>
      </w:r>
    </w:p>
    <w:p>
      <w:pPr>
        <w:pStyle w:val="Ruller42"/>
        <w:ind w:end="0"/>
        <w:jc w:val="both"/>
        <w:rPr/>
      </w:pPr>
      <w:r>
        <w:rPr>
          <w:rtl w:val="true"/>
        </w:rPr>
      </w:r>
    </w:p>
    <w:p>
      <w:pPr>
        <w:pStyle w:val="Ruller43"/>
        <w:numPr>
          <w:ilvl w:val="0"/>
          <w:numId w:val="1"/>
        </w:numPr>
        <w:ind w:end="0"/>
        <w:jc w:val="both"/>
        <w:rPr/>
      </w:pPr>
      <w:r>
        <w:rPr>
          <w:rtl w:val="true"/>
        </w:rPr>
        <w:t>סיכומו של דבר</w:t>
      </w:r>
      <w:r>
        <w:rPr>
          <w:rtl w:val="true"/>
        </w:rPr>
        <w:t xml:space="preserve">, </w:t>
      </w:r>
      <w:r>
        <w:rPr>
          <w:rtl w:val="true"/>
        </w:rPr>
        <w:t>אמליץ לחבריי לדחות את כל ערעורי הנאשמים ואת כל ערעורי המדינה</w:t>
      </w:r>
      <w:r>
        <w:rPr>
          <w:rtl w:val="true"/>
        </w:rPr>
        <w:t xml:space="preserve">, </w:t>
      </w:r>
      <w:r>
        <w:rPr>
          <w:rtl w:val="true"/>
        </w:rPr>
        <w:t>זולת ערעור המדינה ב</w:t>
      </w:r>
      <w:r>
        <w:rPr>
          <w:rtl w:val="true"/>
        </w:rPr>
        <w:t>ע</w:t>
      </w:r>
      <w:r>
        <w:rPr>
          <w:rtl w:val="true"/>
        </w:rPr>
        <w:t>"</w:t>
      </w:r>
      <w:r>
        <w:rPr>
          <w:rtl w:val="true"/>
        </w:rPr>
        <w:t>פ</w:t>
      </w:r>
      <w:r>
        <w:rPr>
          <w:rtl w:val="true"/>
        </w:rPr>
        <w:t xml:space="preserve"> </w:t>
      </w:r>
      <w:r>
        <w:rPr/>
        <w:t>999/18</w:t>
      </w:r>
      <w:r>
        <w:rPr>
          <w:rtl w:val="true"/>
        </w:rPr>
        <w:t xml:space="preserve"> </w:t>
      </w:r>
      <w:r>
        <w:rPr>
          <w:rtl w:val="true"/>
        </w:rPr>
        <w:t xml:space="preserve">לגבי משיב </w:t>
      </w:r>
      <w:r>
        <w:rPr/>
        <w:t>3</w:t>
      </w:r>
      <w:r>
        <w:rPr>
          <w:rtl w:val="true"/>
        </w:rPr>
        <w:t xml:space="preserve"> (</w:t>
      </w:r>
      <w:r>
        <w:rPr>
          <w:rtl w:val="true"/>
        </w:rPr>
        <w:t xml:space="preserve">נאשם </w:t>
      </w:r>
      <w:r>
        <w:rPr/>
        <w:t>15</w:t>
      </w:r>
      <w:r>
        <w:rPr>
          <w:rtl w:val="true"/>
        </w:rPr>
        <w:t xml:space="preserve">), </w:t>
      </w:r>
      <w:r>
        <w:rPr>
          <w:rtl w:val="true"/>
        </w:rPr>
        <w:t xml:space="preserve">במסגרתו יועמד עונש המאסר בפועל שהושת עליו על </w:t>
      </w:r>
      <w:r>
        <w:rPr/>
        <w:t>20</w:t>
      </w:r>
      <w:r>
        <w:rPr>
          <w:rtl w:val="true"/>
        </w:rPr>
        <w:t xml:space="preserve"> </w:t>
      </w:r>
      <w:r>
        <w:rPr>
          <w:rtl w:val="true"/>
        </w:rPr>
        <w:t xml:space="preserve">חודשי מאסר בפועל חלף </w:t>
      </w:r>
      <w:r>
        <w:rPr/>
        <w:t>12</w:t>
      </w:r>
      <w:r>
        <w:rPr>
          <w:rtl w:val="true"/>
        </w:rPr>
        <w:t xml:space="preserve"> </w:t>
      </w:r>
      <w:r>
        <w:rPr>
          <w:rtl w:val="true"/>
        </w:rPr>
        <w:t>חודשי המאסר בפועל שהושתו עליו על ידי בית המשפט המחוזי</w:t>
      </w:r>
      <w:r>
        <w:rPr>
          <w:rtl w:val="true"/>
        </w:rPr>
        <w:t xml:space="preserve">. </w:t>
      </w:r>
      <w:r>
        <w:rPr>
          <w:rtl w:val="true"/>
        </w:rPr>
        <w:t>יתר רכיבי גזר הדין יעמדו לגביו על כנם</w:t>
      </w:r>
      <w:r>
        <w:rPr>
          <w:rtl w:val="true"/>
        </w:rPr>
        <w:t>.</w:t>
      </w:r>
    </w:p>
    <w:p>
      <w:pPr>
        <w:pStyle w:val="Ruller42"/>
        <w:ind w:end="0"/>
        <w:jc w:val="end"/>
        <w:rPr/>
      </w:pPr>
      <w:r>
        <w:rPr>
          <w:rtl w:val="true"/>
        </w:rPr>
      </w:r>
    </w:p>
    <w:p>
      <w:pPr>
        <w:pStyle w:val="Ruller42"/>
        <w:ind w:end="0"/>
        <w:jc w:val="end"/>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p>
      <w:pPr>
        <w:pStyle w:val="Ruller42"/>
        <w:ind w:end="0"/>
        <w:jc w:val="both"/>
        <w:rPr/>
      </w:pPr>
      <w:r>
        <w:rPr>
          <w:rtl w:val="true"/>
        </w:rPr>
      </w:r>
    </w:p>
    <w:p>
      <w:pPr>
        <w:pStyle w:val="Ruller42"/>
        <w:ind w:end="0"/>
        <w:jc w:val="both"/>
        <w:rPr>
          <w:rFonts w:ascii="Times New Roman" w:hAnsi="Times New Roman" w:cs="Miriam"/>
          <w:spacing w:val="0"/>
          <w:sz w:val="28"/>
          <w:szCs w:val="24"/>
        </w:rPr>
      </w:pPr>
      <w:r>
        <w:rPr>
          <w:rFonts w:ascii="Times New Roman" w:hAnsi="Times New Roman" w:cs="Miriam"/>
          <w:spacing w:val="0"/>
          <w:sz w:val="28"/>
          <w:sz w:val="28"/>
          <w:szCs w:val="24"/>
          <w:u w:val="single"/>
          <w:rtl w:val="true"/>
        </w:rPr>
        <w:t>השופט</w:t>
      </w:r>
      <w:r>
        <w:rPr>
          <w:rFonts w:ascii="Times New Roman" w:hAnsi="Times New Roman" w:cs="Times New Roman"/>
          <w:spacing w:val="0"/>
          <w:sz w:val="28"/>
          <w:sz w:val="28"/>
          <w:szCs w:val="24"/>
          <w:u w:val="single"/>
          <w:rtl w:val="true"/>
        </w:rPr>
        <w:t xml:space="preserve"> </w:t>
      </w:r>
      <w:r>
        <w:rPr>
          <w:rFonts w:ascii="Times New Roman" w:hAnsi="Times New Roman" w:cs="Miriam"/>
          <w:spacing w:val="0"/>
          <w:sz w:val="28"/>
          <w:sz w:val="28"/>
          <w:szCs w:val="24"/>
          <w:u w:val="single"/>
          <w:rtl w:val="true"/>
        </w:rPr>
        <w:t>נ</w:t>
      </w:r>
      <w:r>
        <w:rPr>
          <w:rFonts w:cs="Miriam" w:ascii="Times New Roman" w:hAnsi="Times New Roman"/>
          <w:spacing w:val="0"/>
          <w:sz w:val="28"/>
          <w:szCs w:val="24"/>
          <w:u w:val="single"/>
          <w:rtl w:val="true"/>
        </w:rPr>
        <w:t xml:space="preserve">' </w:t>
      </w:r>
      <w:r>
        <w:rPr>
          <w:rFonts w:ascii="Times New Roman" w:hAnsi="Times New Roman" w:cs="Miriam"/>
          <w:spacing w:val="0"/>
          <w:sz w:val="28"/>
          <w:sz w:val="28"/>
          <w:szCs w:val="24"/>
          <w:u w:val="single"/>
          <w:rtl w:val="true"/>
        </w:rPr>
        <w:t>סולברג</w:t>
      </w:r>
      <w:r>
        <w:rPr>
          <w:rFonts w:cs="Miriam" w:ascii="Times New Roman" w:hAnsi="Times New Roman"/>
          <w:spacing w:val="0"/>
          <w:sz w:val="28"/>
          <w:szCs w:val="24"/>
          <w:u w:val="single"/>
          <w:rtl w:val="true"/>
        </w:rPr>
        <w:t>:</w:t>
      </w:r>
    </w:p>
    <w:p>
      <w:pPr>
        <w:pStyle w:val="Ruller42"/>
        <w:ind w:end="0"/>
        <w:jc w:val="both"/>
        <w:rPr>
          <w:rFonts w:ascii="Times New Roman" w:hAnsi="Times New Roman" w:cs="Times New Roman"/>
          <w:spacing w:val="0"/>
          <w:sz w:val="28"/>
          <w:szCs w:val="24"/>
        </w:rPr>
      </w:pPr>
      <w:r>
        <w:rPr>
          <w:rFonts w:cs="Times New Roman" w:ascii="Times New Roman" w:hAnsi="Times New Roman"/>
          <w:spacing w:val="0"/>
          <w:sz w:val="28"/>
          <w:szCs w:val="24"/>
          <w:rtl w:val="true"/>
        </w:rPr>
      </w:r>
    </w:p>
    <w:p>
      <w:pPr>
        <w:pStyle w:val="Ruller42"/>
        <w:ind w:end="0"/>
        <w:jc w:val="both"/>
        <w:rPr>
          <w:rFonts w:ascii="Times New Roman" w:hAnsi="Times New Roman" w:cs="Times New Roman"/>
        </w:rPr>
      </w:pPr>
      <w:r>
        <w:rPr>
          <w:rFonts w:cs="Times New Roman" w:ascii="Times New Roman" w:hAnsi="Times New Roman"/>
          <w:rtl w:val="true"/>
        </w:rPr>
        <w:tab/>
      </w:r>
      <w:r>
        <w:rPr>
          <w:rFonts w:ascii="Times New Roman" w:hAnsi="Times New Roman" w:cs="Times New Roman"/>
          <w:rtl w:val="true"/>
        </w:rPr>
        <w:t>אני מסכים</w:t>
      </w:r>
      <w:r>
        <w:rPr>
          <w:rFonts w:cs="Times New Roman" w:ascii="Times New Roman" w:hAnsi="Times New Roman"/>
          <w:rtl w:val="true"/>
        </w:rPr>
        <w:t>.</w:t>
      </w:r>
    </w:p>
    <w:p>
      <w:pPr>
        <w:pStyle w:val="Ruller42"/>
        <w:ind w:end="0"/>
        <w:jc w:val="end"/>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p>
      <w:pPr>
        <w:pStyle w:val="Ruller42"/>
        <w:ind w:end="0"/>
        <w:jc w:val="both"/>
        <w:rPr>
          <w:rFonts w:ascii="Times New Roman" w:hAnsi="Times New Roman" w:cs="Miriam"/>
          <w:spacing w:val="0"/>
          <w:sz w:val="28"/>
          <w:szCs w:val="24"/>
          <w:u w:val="single"/>
        </w:rPr>
      </w:pPr>
      <w:r>
        <w:rPr>
          <w:rFonts w:cs="Miriam" w:ascii="Times New Roman" w:hAnsi="Times New Roman"/>
          <w:spacing w:val="0"/>
          <w:sz w:val="28"/>
          <w:szCs w:val="24"/>
          <w:u w:val="single"/>
          <w:rtl w:val="true"/>
        </w:rPr>
      </w:r>
    </w:p>
    <w:p>
      <w:pPr>
        <w:pStyle w:val="Ruller42"/>
        <w:ind w:end="0"/>
        <w:jc w:val="both"/>
        <w:rPr>
          <w:rFonts w:ascii="Times New Roman" w:hAnsi="Times New Roman" w:cs="Miriam"/>
          <w:spacing w:val="0"/>
          <w:sz w:val="28"/>
          <w:szCs w:val="24"/>
        </w:rPr>
      </w:pPr>
      <w:r>
        <w:rPr>
          <w:rFonts w:ascii="Times New Roman" w:hAnsi="Times New Roman" w:cs="Miriam"/>
          <w:spacing w:val="0"/>
          <w:sz w:val="28"/>
          <w:sz w:val="28"/>
          <w:szCs w:val="24"/>
          <w:u w:val="single"/>
          <w:rtl w:val="true"/>
        </w:rPr>
        <w:t>השופט</w:t>
      </w:r>
      <w:r>
        <w:rPr>
          <w:rFonts w:ascii="Times New Roman" w:hAnsi="Times New Roman" w:cs="Times New Roman"/>
          <w:spacing w:val="0"/>
          <w:sz w:val="28"/>
          <w:sz w:val="28"/>
          <w:szCs w:val="24"/>
          <w:u w:val="single"/>
          <w:rtl w:val="true"/>
        </w:rPr>
        <w:t xml:space="preserve"> </w:t>
      </w:r>
      <w:r>
        <w:rPr>
          <w:rFonts w:ascii="Times New Roman" w:hAnsi="Times New Roman" w:cs="Miriam"/>
          <w:spacing w:val="0"/>
          <w:sz w:val="28"/>
          <w:sz w:val="28"/>
          <w:szCs w:val="24"/>
          <w:u w:val="single"/>
          <w:rtl w:val="true"/>
        </w:rPr>
        <w:t>ע</w:t>
      </w:r>
      <w:r>
        <w:rPr>
          <w:rFonts w:cs="Miriam" w:ascii="Times New Roman" w:hAnsi="Times New Roman"/>
          <w:spacing w:val="0"/>
          <w:sz w:val="28"/>
          <w:szCs w:val="24"/>
          <w:u w:val="single"/>
          <w:rtl w:val="true"/>
        </w:rPr>
        <w:t xml:space="preserve">' </w:t>
      </w:r>
      <w:r>
        <w:rPr>
          <w:rFonts w:ascii="Times New Roman" w:hAnsi="Times New Roman" w:cs="Miriam"/>
          <w:spacing w:val="0"/>
          <w:sz w:val="28"/>
          <w:sz w:val="28"/>
          <w:szCs w:val="24"/>
          <w:u w:val="single"/>
          <w:rtl w:val="true"/>
        </w:rPr>
        <w:t>גרוסקופף</w:t>
      </w:r>
      <w:r>
        <w:rPr>
          <w:rFonts w:cs="Miriam" w:ascii="Times New Roman" w:hAnsi="Times New Roman"/>
          <w:spacing w:val="0"/>
          <w:sz w:val="28"/>
          <w:szCs w:val="24"/>
          <w:u w:val="single"/>
          <w:rtl w:val="true"/>
        </w:rPr>
        <w:t>:</w:t>
      </w:r>
    </w:p>
    <w:p>
      <w:pPr>
        <w:pStyle w:val="Ruller42"/>
        <w:ind w:end="0"/>
        <w:jc w:val="both"/>
        <w:rPr>
          <w:rFonts w:ascii="Times New Roman" w:hAnsi="Times New Roman" w:cs="Times New Roman"/>
          <w:spacing w:val="0"/>
          <w:sz w:val="28"/>
          <w:szCs w:val="24"/>
        </w:rPr>
      </w:pPr>
      <w:r>
        <w:rPr>
          <w:rFonts w:cs="Times New Roman" w:ascii="Times New Roman" w:hAnsi="Times New Roman"/>
          <w:spacing w:val="0"/>
          <w:sz w:val="28"/>
          <w:szCs w:val="24"/>
          <w:rtl w:val="true"/>
        </w:rPr>
      </w:r>
    </w:p>
    <w:p>
      <w:pPr>
        <w:pStyle w:val="Ruller42"/>
        <w:ind w:end="0"/>
        <w:jc w:val="both"/>
        <w:rPr>
          <w:rFonts w:ascii="Times New Roman" w:hAnsi="Times New Roman" w:cs="Times New Roman"/>
        </w:rPr>
      </w:pPr>
      <w:r>
        <w:rPr>
          <w:rFonts w:cs="Times New Roman" w:ascii="Times New Roman" w:hAnsi="Times New Roman"/>
          <w:rtl w:val="true"/>
        </w:rPr>
        <w:tab/>
      </w:r>
      <w:r>
        <w:rPr>
          <w:rFonts w:ascii="Times New Roman" w:hAnsi="Times New Roman" w:cs="Times New Roman"/>
          <w:rtl w:val="true"/>
        </w:rPr>
        <w:t>אני מסכים</w:t>
      </w:r>
      <w:r>
        <w:rPr>
          <w:rFonts w:cs="Times New Roman" w:ascii="Times New Roman" w:hAnsi="Times New Roman"/>
          <w:rtl w:val="true"/>
        </w:rPr>
        <w:t>.</w:t>
      </w:r>
    </w:p>
    <w:p>
      <w:pPr>
        <w:pStyle w:val="Ruller42"/>
        <w:ind w:end="0"/>
        <w:jc w:val="end"/>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p>
      <w:pPr>
        <w:pStyle w:val="Ruller42"/>
        <w:ind w:end="0"/>
        <w:jc w:val="both"/>
        <w:rPr>
          <w:rFonts w:ascii="Times New Roman" w:hAnsi="Times New Roman" w:cs="Times New Roman"/>
        </w:rPr>
      </w:pPr>
      <w:r>
        <w:rPr>
          <w:rFonts w:cs="Times New Roman" w:ascii="Times New Roman" w:hAnsi="Times New Roman"/>
          <w:rtl w:val="true"/>
        </w:rPr>
      </w:r>
    </w:p>
    <w:p>
      <w:pPr>
        <w:pStyle w:val="Ruller42"/>
        <w:ind w:end="0"/>
        <w:jc w:val="both"/>
        <w:rPr>
          <w:rFonts w:ascii="Times New Roman" w:hAnsi="Times New Roman" w:cs="Times New Roman"/>
        </w:rPr>
      </w:pPr>
      <w:r>
        <w:rPr>
          <w:rFonts w:cs="Times New Roman" w:ascii="Times New Roman" w:hAnsi="Times New Roman"/>
          <w:rtl w:val="true"/>
        </w:rPr>
      </w:r>
    </w:p>
    <w:p>
      <w:pPr>
        <w:pStyle w:val="Ruller42"/>
        <w:ind w:end="0"/>
        <w:jc w:val="both"/>
        <w:rPr>
          <w:rFonts w:ascii="Times New Roman" w:hAnsi="Times New Roman" w:cs="Times New Roman"/>
        </w:rPr>
      </w:pPr>
      <w:r>
        <w:rPr>
          <w:rFonts w:cs="Times New Roman" w:ascii="Times New Roman" w:hAnsi="Times New Roman"/>
          <w:rtl w:val="true"/>
        </w:rPr>
        <w:tab/>
      </w:r>
      <w:r>
        <w:rPr>
          <w:rFonts w:ascii="Times New Roman" w:hAnsi="Times New Roman" w:cs="Times New Roman"/>
          <w:rtl w:val="true"/>
        </w:rPr>
        <w:t xml:space="preserve">הוחלט כאמור בפסק דינו של השופט </w:t>
      </w:r>
      <w:r>
        <w:rPr>
          <w:rFonts w:ascii="Times New Roman" w:hAnsi="Times New Roman" w:cs="Miriam"/>
          <w:spacing w:val="0"/>
          <w:sz w:val="28"/>
          <w:sz w:val="28"/>
          <w:szCs w:val="24"/>
          <w:rtl w:val="true"/>
        </w:rPr>
        <w:t>ד</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מינץ</w:t>
      </w:r>
      <w:r>
        <w:rPr>
          <w:rFonts w:cs="Times New Roman" w:ascii="Times New Roman" w:hAnsi="Times New Roman"/>
          <w:rtl w:val="true"/>
        </w:rPr>
        <w:t>.</w:t>
      </w:r>
    </w:p>
    <w:p>
      <w:pPr>
        <w:pStyle w:val="Ruller42"/>
        <w:ind w:end="0"/>
        <w:jc w:val="both"/>
        <w:rPr>
          <w:rFonts w:ascii="Times New Roman" w:hAnsi="Times New Roman" w:cs="Times New Roman"/>
        </w:rPr>
      </w:pPr>
      <w:r>
        <w:rPr>
          <w:rFonts w:cs="Times New Roman" w:ascii="Times New Roman" w:hAnsi="Times New Roman"/>
          <w:rtl w:val="true"/>
        </w:rPr>
      </w:r>
    </w:p>
    <w:p>
      <w:pPr>
        <w:pStyle w:val="Ruller42"/>
        <w:ind w:end="0"/>
        <w:jc w:val="both"/>
        <w:rPr/>
      </w:pPr>
      <w:r>
        <w:rPr>
          <w:color w:val="FFFFFF"/>
          <w:sz w:val="2"/>
          <w:szCs w:val="2"/>
        </w:rPr>
        <w:t>5129371</w:t>
      </w:r>
      <w:r>
        <w:rPr>
          <w:rtl w:val="true"/>
        </w:rPr>
        <w:t xml:space="preserve"> </w:t>
      </w:r>
      <w:r>
        <w:rPr>
          <w:rtl w:val="true"/>
        </w:rPr>
        <w:t>ניתן</w:t>
      </w:r>
      <w:r>
        <w:rPr>
          <w:rFonts w:eastAsia="Arial TUR;Arial" w:cs="Arial TUR;Arial"/>
          <w:rtl w:val="true"/>
        </w:rPr>
        <w:t xml:space="preserve"> </w:t>
      </w:r>
      <w:r>
        <w:rPr>
          <w:rtl w:val="true"/>
        </w:rPr>
        <w:t>היום</w:t>
      </w:r>
      <w:r>
        <w:rPr>
          <w:rtl w:val="true"/>
        </w:rPr>
        <w:t>, ‏</w:t>
      </w:r>
      <w:r>
        <w:rPr>
          <w:rtl w:val="true"/>
        </w:rPr>
        <w:t>ה</w:t>
      </w:r>
      <w:r>
        <w:rPr>
          <w:rtl w:val="true"/>
        </w:rPr>
        <w:t xml:space="preserve">' </w:t>
      </w:r>
      <w:r>
        <w:rPr>
          <w:rtl w:val="true"/>
        </w:rPr>
        <w:t>באלול</w:t>
      </w:r>
      <w:r>
        <w:rPr>
          <w:rFonts w:eastAsia="Arial TUR;Arial" w:cs="Arial TUR;Arial"/>
          <w:rtl w:val="true"/>
        </w:rPr>
        <w:t xml:space="preserve"> </w:t>
      </w:r>
      <w:r>
        <w:rPr>
          <w:rtl w:val="true"/>
        </w:rPr>
        <w:t>התשע</w:t>
      </w:r>
      <w:r>
        <w:rPr>
          <w:rtl w:val="true"/>
        </w:rPr>
        <w:t>"</w:t>
      </w:r>
      <w:r>
        <w:rPr>
          <w:rtl w:val="true"/>
        </w:rPr>
        <w:t>ח</w:t>
      </w:r>
      <w:r>
        <w:rPr>
          <w:rFonts w:eastAsia="Arial TUR;Arial" w:cs="Arial TUR;Arial"/>
          <w:rtl w:val="true"/>
        </w:rPr>
        <w:t xml:space="preserve"> </w:t>
      </w:r>
      <w:r>
        <w:rPr>
          <w:rtl w:val="true"/>
        </w:rPr>
        <w:t>(‏</w:t>
      </w:r>
      <w:r>
        <w:rPr/>
        <w:t>16.8.2018</w:t>
      </w:r>
      <w:r>
        <w:rPr>
          <w:rtl w:val="true"/>
        </w:rPr>
        <w:t xml:space="preserve">). </w:t>
      </w:r>
    </w:p>
    <w:tbl>
      <w:tblPr>
        <w:bidiVisual w:val="true"/>
        <w:tblW w:w="8528" w:type="dxa"/>
        <w:jc w:val="end"/>
        <w:tblInd w:w="0" w:type="dxa"/>
        <w:tblLayout w:type="fixed"/>
        <w:tblCellMar>
          <w:top w:w="0" w:type="dxa"/>
          <w:start w:w="108" w:type="dxa"/>
          <w:bottom w:w="0" w:type="dxa"/>
          <w:end w:w="108" w:type="dxa"/>
        </w:tblCellMar>
      </w:tblPr>
      <w:tblGrid>
        <w:gridCol w:w="2842"/>
        <w:gridCol w:w="2843"/>
        <w:gridCol w:w="2843"/>
      </w:tblGrid>
      <w:tr>
        <w:trPr/>
        <w:tc>
          <w:tcPr>
            <w:tcW w:w="2842" w:type="dxa"/>
            <w:tcBorders/>
          </w:tcPr>
          <w:p>
            <w:pPr>
              <w:pStyle w:val="Ruller42"/>
              <w:ind w:end="0"/>
              <w:jc w:val="center"/>
              <w:rPr/>
            </w:pPr>
            <w:r>
              <w:rPr>
                <w:color w:val="FFFFFF"/>
                <w:sz w:val="2"/>
                <w:szCs w:val="2"/>
              </w:rPr>
              <w:t>54678313</w:t>
            </w: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c>
          <w:tcPr>
            <w:tcW w:w="2843" w:type="dxa"/>
            <w:tcBorders/>
          </w:tcPr>
          <w:p>
            <w:pPr>
              <w:pStyle w:val="Ruller42"/>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c>
          <w:tcPr>
            <w:tcW w:w="2843" w:type="dxa"/>
            <w:tcBorders/>
          </w:tcPr>
          <w:p>
            <w:pPr>
              <w:pStyle w:val="Ruller42"/>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r>
    </w:tbl>
    <w:p>
      <w:pPr>
        <w:pStyle w:val="Normal"/>
        <w:ind w:end="0"/>
        <w:jc w:val="start"/>
        <w:rPr>
          <w:szCs w:val="16"/>
        </w:rPr>
      </w:pPr>
      <w:r>
        <w:rPr>
          <w:szCs w:val="16"/>
          <w:rtl w:val="true"/>
        </w:rPr>
        <w:t>_________________</w:t>
      </w:r>
      <w:r>
        <w:rPr>
          <w:szCs w:val="16"/>
          <w:rtl w:val="true"/>
        </w:rPr>
        <w:t>________</w:t>
      </w:r>
    </w:p>
    <w:p>
      <w:pPr>
        <w:pStyle w:val="Ruller381"/>
        <w:ind w:end="0"/>
        <w:jc w:val="start"/>
        <w:rPr/>
      </w:pPr>
      <w:r>
        <w:rPr>
          <w:rFonts w:cs="Times New Roman"/>
          <w:sz w:val="16"/>
          <w:rtl w:val="true"/>
        </w:rPr>
        <w:t xml:space="preserve">   </w:t>
      </w:r>
      <w:r>
        <w:rPr>
          <w:sz w:val="16"/>
        </w:rPr>
        <w:t>17080450</w:t>
      </w:r>
      <w:r>
        <w:rPr>
          <w:sz w:val="16"/>
          <w:rtl w:val="true"/>
        </w:rPr>
        <w:t>_</w:t>
      </w:r>
      <w:r>
        <w:rPr>
          <w:sz w:val="16"/>
        </w:rPr>
        <w:t>N12.doc</w:t>
      </w:r>
      <w:r>
        <w:rPr>
          <w:sz w:val="16"/>
          <w:rtl w:val="true"/>
        </w:rPr>
        <w:t xml:space="preserve">   </w:t>
      </w:r>
      <w:r>
        <w:rPr>
          <w:sz w:val="16"/>
          <w:sz w:val="16"/>
          <w:rtl w:val="true"/>
        </w:rPr>
        <w:t>רח</w:t>
      </w:r>
    </w:p>
    <w:p>
      <w:pPr>
        <w:pStyle w:val="Ruller381"/>
        <w:keepNext w:val="true"/>
        <w:ind w:end="0"/>
        <w:jc w:val="start"/>
        <w:rPr>
          <w:rFonts w:ascii="David" w:hAnsi="David" w:cs="David"/>
          <w:color w:val="000000"/>
          <w:szCs w:val="22"/>
        </w:rPr>
      </w:pPr>
      <w:r>
        <w:rPr>
          <w:rtl w:val="true"/>
        </w:rPr>
        <w:t>מרכז</w:t>
      </w:r>
      <w:r>
        <w:rPr>
          <w:rFonts w:cs="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 </w:t>
      </w:r>
      <w:r>
        <w:rPr>
          <w:rtl w:val="true"/>
        </w:rPr>
        <w:t>אתר</w:t>
      </w:r>
      <w:r>
        <w:rPr>
          <w:rFonts w:cs="Times New Roman"/>
          <w:rtl w:val="true"/>
        </w:rPr>
        <w:t xml:space="preserve"> </w:t>
      </w:r>
      <w:r>
        <w:rPr>
          <w:rtl w:val="true"/>
        </w:rPr>
        <w:t>אינטרנט</w:t>
      </w:r>
      <w:r>
        <w:rPr>
          <w:rtl w:val="true"/>
        </w:rPr>
        <w:t xml:space="preserve">,  </w:t>
      </w:r>
      <w:hyperlink r:id="rId78">
        <w:r>
          <w:rPr>
            <w:rStyle w:val="Hyperlink"/>
            <w:color w:val="548DD4"/>
            <w:sz w:val="16"/>
            <w:u w:val="single"/>
          </w:rPr>
          <w:t>supreme.court.gov.il</w:t>
        </w:r>
      </w:hyperlink>
    </w:p>
    <w:p>
      <w:pPr>
        <w:pStyle w:val="Ruller381"/>
        <w:keepNext w:val="true"/>
        <w:ind w:end="0"/>
        <w:jc w:val="start"/>
        <w:rPr>
          <w:rFonts w:ascii="David" w:hAnsi="David" w:cs="David"/>
          <w:color w:val="000000"/>
          <w:szCs w:val="22"/>
        </w:rPr>
      </w:pPr>
      <w:r>
        <w:rPr>
          <w:rFonts w:ascii="David" w:hAnsi="David"/>
          <w:color w:val="000000"/>
          <w:szCs w:val="22"/>
          <w:rtl w:val="true"/>
        </w:rPr>
        <w:t>נ</w:t>
      </w:r>
      <w:r>
        <w:rPr>
          <w:rFonts w:cs="David" w:ascii="David" w:hAnsi="David"/>
          <w:color w:val="000000"/>
          <w:szCs w:val="22"/>
          <w:rtl w:val="true"/>
        </w:rPr>
        <w:t xml:space="preserve">' </w:t>
      </w:r>
      <w:r>
        <w:rPr>
          <w:rFonts w:ascii="David" w:hAnsi="David"/>
          <w:color w:val="000000"/>
          <w:szCs w:val="22"/>
          <w:rtl w:val="true"/>
        </w:rPr>
        <w:t xml:space="preserve">סולברג </w:t>
      </w:r>
      <w:r>
        <w:rPr>
          <w:rFonts w:cs="David" w:ascii="David" w:hAnsi="David"/>
          <w:color w:val="000000"/>
          <w:szCs w:val="22"/>
        </w:rPr>
        <w:t>54678313-8045/17</w:t>
      </w:r>
    </w:p>
    <w:p>
      <w:pPr>
        <w:pStyle w:val="Ruller381"/>
        <w:ind w:end="0"/>
        <w:jc w:val="start"/>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Ruller381"/>
        <w:ind w:end="0"/>
        <w:jc w:val="start"/>
        <w:rPr/>
      </w:pPr>
      <w:r>
        <w:rPr>
          <w:rtl w:val="true"/>
        </w:rPr>
      </w:r>
    </w:p>
    <w:p>
      <w:pPr>
        <w:pStyle w:val="Ruller381"/>
        <w:ind w:end="0"/>
        <w:jc w:val="center"/>
        <w:rPr>
          <w:color w:val="0000FF"/>
          <w:szCs w:val="24"/>
          <w:u w:val="single"/>
        </w:rPr>
      </w:pPr>
      <w:hyperlink r:id="rId79">
        <w:r>
          <w:rPr>
            <w:rStyle w:val="Hyperlink"/>
            <w:color w:val="0000FF"/>
            <w:szCs w:val="24"/>
            <w:u w:val="single"/>
            <w:rtl w:val="true"/>
          </w:rPr>
          <w:t>בעניין</w:t>
        </w:r>
        <w:r>
          <w:rPr>
            <w:rStyle w:val="Hyperlink"/>
            <w:rFonts w:cs="Times New Roman"/>
            <w:color w:val="0000FF"/>
            <w:szCs w:val="24"/>
            <w:u w:val="single"/>
            <w:rtl w:val="true"/>
          </w:rPr>
          <w:t xml:space="preserve"> </w:t>
        </w:r>
        <w:r>
          <w:rPr>
            <w:rStyle w:val="Hyperlink"/>
            <w:color w:val="0000FF"/>
            <w:szCs w:val="24"/>
            <w:u w:val="single"/>
            <w:rtl w:val="true"/>
          </w:rPr>
          <w:t>עריכה</w:t>
        </w:r>
        <w:r>
          <w:rPr>
            <w:rStyle w:val="Hyperlink"/>
            <w:rFonts w:cs="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
            <w:color w:val="0000FF"/>
            <w:szCs w:val="24"/>
            <w:u w:val="single"/>
            <w:rtl w:val="true"/>
          </w:rPr>
          <w:t xml:space="preserve"> </w:t>
        </w:r>
        <w:r>
          <w:rPr>
            <w:rStyle w:val="Hyperlink"/>
            <w:color w:val="0000FF"/>
            <w:szCs w:val="24"/>
            <w:u w:val="single"/>
            <w:rtl w:val="true"/>
          </w:rPr>
          <w:t>במסמכי</w:t>
        </w:r>
        <w:r>
          <w:rPr>
            <w:rStyle w:val="Hyperlink"/>
            <w:rFonts w:cs="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
            <w:color w:val="0000FF"/>
            <w:szCs w:val="24"/>
            <w:u w:val="single"/>
            <w:rtl w:val="true"/>
          </w:rPr>
          <w:t xml:space="preserve"> </w:t>
        </w:r>
        <w:r>
          <w:rPr>
            <w:rStyle w:val="Hyperlink"/>
            <w:color w:val="0000FF"/>
            <w:szCs w:val="24"/>
            <w:u w:val="single"/>
            <w:rtl w:val="true"/>
          </w:rPr>
          <w:t>ועוד</w:t>
        </w:r>
        <w:r>
          <w:rPr>
            <w:rStyle w:val="Hyperlink"/>
            <w:rFonts w:cs="Times New Roman"/>
            <w:color w:val="0000FF"/>
            <w:szCs w:val="24"/>
            <w:u w:val="single"/>
            <w:rtl w:val="true"/>
          </w:rPr>
          <w:t xml:space="preserve"> </w:t>
        </w:r>
        <w:r>
          <w:rPr>
            <w:rStyle w:val="Hyperlink"/>
            <w:color w:val="0000FF"/>
            <w:szCs w:val="24"/>
            <w:u w:val="single"/>
            <w:rtl w:val="true"/>
          </w:rPr>
          <w:t>באתר</w:t>
        </w:r>
        <w:r>
          <w:rPr>
            <w:rStyle w:val="Hyperlink"/>
            <w:rFonts w:cs="Times New Roman"/>
            <w:color w:val="0000FF"/>
            <w:szCs w:val="24"/>
            <w:u w:val="single"/>
            <w:rtl w:val="true"/>
          </w:rPr>
          <w:t xml:space="preserve"> </w:t>
        </w:r>
        <w:r>
          <w:rPr>
            <w:rStyle w:val="Hyperlink"/>
            <w:color w:val="0000FF"/>
            <w:szCs w:val="24"/>
            <w:u w:val="single"/>
            <w:rtl w:val="true"/>
          </w:rPr>
          <w:t>נבו</w:t>
        </w:r>
        <w:r>
          <w:rPr>
            <w:rStyle w:val="Hyperlink"/>
            <w:rFonts w:cs="Times New Roman"/>
            <w:color w:val="0000FF"/>
            <w:szCs w:val="24"/>
            <w:u w:val="single"/>
            <w:rtl w:val="true"/>
          </w:rPr>
          <w:t xml:space="preserve"> </w:t>
        </w:r>
        <w:r>
          <w:rPr>
            <w:rStyle w:val="Hyperlink"/>
            <w:color w:val="0000FF"/>
            <w:szCs w:val="24"/>
            <w:u w:val="single"/>
            <w:rtl w:val="true"/>
          </w:rPr>
          <w:t>–</w:t>
        </w:r>
        <w:r>
          <w:rPr>
            <w:rStyle w:val="Hyperlink"/>
            <w:rFonts w:cs="Times New Roman"/>
            <w:color w:val="0000FF"/>
            <w:szCs w:val="24"/>
            <w:u w:val="single"/>
            <w:rtl w:val="true"/>
          </w:rPr>
          <w:t xml:space="preserve"> </w:t>
        </w:r>
        <w:r>
          <w:rPr>
            <w:rStyle w:val="Hyperlink"/>
            <w:color w:val="0000FF"/>
            <w:szCs w:val="24"/>
            <w:u w:val="single"/>
            <w:rtl w:val="true"/>
          </w:rPr>
          <w:t>הקש</w:t>
        </w:r>
        <w:r>
          <w:rPr>
            <w:rStyle w:val="Hyperlink"/>
            <w:rFonts w:cs="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80"/>
      <w:footerReference w:type="default" r:id="rId81"/>
      <w:type w:val="nextPage"/>
      <w:pgSz w:w="11906" w:h="16838"/>
      <w:pgMar w:left="1797" w:right="1797" w:gutter="0" w:header="567" w:top="1701" w:footer="397" w:bottom="1418"/>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Arial TUR">
    <w:altName w:val="Arial"/>
    <w:charset w:val="00" w:characterSet="windows-1252"/>
    <w:family w:val="swiss"/>
    <w:pitch w:val="variable"/>
  </w:font>
  <w:font w:name="Garamond">
    <w:charset w:val="00" w:characterSet="windows-1252"/>
    <w:family w:val="roman"/>
    <w:pitch w:val="variable"/>
  </w:font>
  <w:font w:name="Century">
    <w:charset w:val="00" w:characterSet="windows-1252"/>
    <w:family w:val="roman"/>
    <w:pitch w:val="variable"/>
  </w:font>
  <w:font w:name="Liberation Sans">
    <w:altName w:val="Arial"/>
    <w:charset w:val="01" w:characterSet="utf-8"/>
    <w:family w:val="swiss"/>
    <w:pitch w:val="variable"/>
  </w:font>
  <w:font w:name="FrankRuehl">
    <w:charset w:val="00" w:characterSet="windows-1252"/>
    <w:family w:val="swiss"/>
    <w:pitch w:val="variable"/>
  </w:font>
  <w:font w:name="David">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42</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rPr>
    </w:pPr>
    <w:r>
      <w:rPr>
        <w:rFonts w:cs="FrankRuehl" w:ascii="FrankRuehl" w:hAnsi="FrankRuehl"/>
        <w:color w:val="000000"/>
        <w:sz w:val="24"/>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4153"/>
        <w:tab w:val="clear" w:pos="8306"/>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עפ </w:t>
    </w:r>
    <w:r>
      <w:rPr>
        <w:rFonts w:cs="David" w:ascii="David" w:hAnsi="David"/>
        <w:color w:val="000000"/>
        <w:sz w:val="22"/>
        <w:szCs w:val="22"/>
      </w:rPr>
      <w:t>8045/17</w:t>
    </w:r>
    <w:r>
      <w:rPr>
        <w:rFonts w:cs="David" w:ascii="David" w:hAnsi="David"/>
        <w:color w:val="000000"/>
        <w:sz w:val="22"/>
        <w:szCs w:val="22"/>
        <w:rtl w:val="true"/>
      </w:rPr>
      <w:t xml:space="preserve"> </w:t>
      <w:tab/>
      <w:t xml:space="preserve"> </w:t>
    </w:r>
    <w:r>
      <w:rPr>
        <w:rFonts w:ascii="David" w:hAnsi="David"/>
        <w:color w:val="000000"/>
        <w:sz w:val="22"/>
        <w:sz w:val="22"/>
        <w:szCs w:val="22"/>
        <w:rtl w:val="true"/>
      </w:rPr>
      <w:t>מחמוד בראנסי נ</w:t>
    </w:r>
    <w:r>
      <w:rPr>
        <w:rFonts w:cs="David" w:ascii="David" w:hAnsi="David"/>
        <w:color w:val="000000"/>
        <w:sz w:val="22"/>
        <w:szCs w:val="22"/>
        <w:rtl w:val="true"/>
      </w:rPr>
      <w:t xml:space="preserve">' </w:t>
    </w:r>
    <w:r>
      <w:rPr>
        <w:rFonts w:ascii="David" w:hAnsi="David"/>
        <w:color w:val="000000"/>
        <w:sz w:val="22"/>
        <w:sz w:val="22"/>
        <w:szCs w:val="22"/>
        <w:rtl w:val="true"/>
      </w:rPr>
      <w:t>מדינת ישראל</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907"/>
        </w:tabs>
        <w:ind w:start="0" w:hanging="0"/>
      </w:pPr>
      <w:rPr>
        <w:lang w:val="en-US" w:bidi="he-IL"/>
      </w:rPr>
    </w:lvl>
  </w:abstractNum>
  <w:abstractNum w:abstractNumId="2">
    <w:lvl w:ilvl="0">
      <w:start w:val="1"/>
      <w:numFmt w:val="hebrew1"/>
      <w:lvlText w:val="%1."/>
      <w:lvlJc w:val="start"/>
      <w:pPr>
        <w:tabs>
          <w:tab w:val="num" w:pos="907"/>
        </w:tabs>
        <w:ind w:start="0" w:hanging="0"/>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doNotExpandShiftReturn/>
    <w:doNotBreakWrappedTables/>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 w:hAnsi="Times New Roman" w:eastAsia="Times New Roman" w:cs="David"/>
      <w:color w:val="auto"/>
      <w:sz w:val="20"/>
      <w:szCs w:val="24"/>
      <w:lang w:val="en-US" w:bidi="he-IL" w:eastAsia="zh-CN"/>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rFonts w:ascii="Symbol" w:hAnsi="Symbol" w:eastAsia="Times New Roman" w:cs="FrankRuehl"/>
      <w:sz w:val="28"/>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ascii="Symbol" w:hAnsi="Symbol" w:eastAsia="Times New Roman" w:cs="FrankRueh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lang w:val="en-US" w:bidi="he-IL"/>
    </w:rPr>
  </w:style>
  <w:style w:type="character" w:styleId="WW8Num14z0">
    <w:name w:val="WW8Num14z0"/>
    <w:qFormat/>
    <w:rPr>
      <w:rFonts w:ascii="Symbol" w:hAnsi="Symbol" w:eastAsia="Times New Roman" w:cs="FrankRueh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rFonts w:ascii="Symbol" w:hAnsi="Symbol" w:eastAsia="Times New Roman" w:cs="FrankRueh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6z0">
    <w:name w:val="WW8Num16z0"/>
    <w:qFormat/>
    <w:rPr>
      <w:rFonts w:ascii="Symbol" w:hAnsi="Symbol" w:eastAsia="Times New Roman" w:cs="FrankRueh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7z0">
    <w:name w:val="WW8Num17z0"/>
    <w:qFormat/>
    <w:rPr/>
  </w:style>
  <w:style w:type="character" w:styleId="WW8Num18z0">
    <w:name w:val="WW8Num18z0"/>
    <w:qFormat/>
    <w:rPr>
      <w:rFonts w:ascii="Symbol" w:hAnsi="Symbol" w:eastAsia="Times New Roman" w:cs="FrankRueh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19z0">
    <w:name w:val="WW8Num19z0"/>
    <w:qFormat/>
    <w:rPr/>
  </w:style>
  <w:style w:type="character" w:styleId="WW8Num20z0">
    <w:name w:val="WW8Num20z0"/>
    <w:qFormat/>
    <w:rPr>
      <w:rFonts w:ascii="Symbol" w:hAnsi="Symbol" w:eastAsia="Times New Roman" w:cs="FrankRuehl"/>
      <w:sz w:val="28"/>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0z3">
    <w:name w:val="WW8Num20z3"/>
    <w:qFormat/>
    <w:rPr>
      <w:rFonts w:ascii="Symbol" w:hAnsi="Symbol" w:cs="Symbol"/>
    </w:rPr>
  </w:style>
  <w:style w:type="character" w:styleId="WW8Num21z0">
    <w:name w:val="WW8Num21z0"/>
    <w:qFormat/>
    <w:rPr>
      <w:rFonts w:ascii="Symbol" w:hAnsi="Symbol" w:eastAsia="Times New Roman" w:cs="FrankRueh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2z0">
    <w:name w:val="WW8Num22z0"/>
    <w:qFormat/>
    <w:rPr>
      <w:rFonts w:ascii="Symbol" w:hAnsi="Symbol" w:eastAsia="Times New Roman" w:cs="FrankRueh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2z3">
    <w:name w:val="WW8Num22z3"/>
    <w:qFormat/>
    <w:rPr>
      <w:rFonts w:ascii="Symbol" w:hAnsi="Symbol" w:cs="Symbol"/>
    </w:rPr>
  </w:style>
  <w:style w:type="character" w:styleId="WW8Num23z0">
    <w:name w:val="WW8Num23z0"/>
    <w:qFormat/>
    <w:rPr>
      <w:rFonts w:ascii="Symbol" w:hAnsi="Symbol" w:eastAsia="Times New Roman" w:cs="FrankRueh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3z3">
    <w:name w:val="WW8Num23z3"/>
    <w:qFormat/>
    <w:rPr>
      <w:rFonts w:ascii="Symbol" w:hAnsi="Symbol" w:cs="Symbol"/>
    </w:rPr>
  </w:style>
  <w:style w:type="character" w:styleId="WW8Num24z0">
    <w:name w:val="WW8Num24z0"/>
    <w:qFormat/>
    <w:rPr/>
  </w:style>
  <w:style w:type="character" w:styleId="WW8Num25z0">
    <w:name w:val="WW8Num25z0"/>
    <w:qFormat/>
    <w:rPr>
      <w:rFonts w:ascii="Symbol" w:hAnsi="Symbol" w:eastAsia="Times New Roman" w:cs="FrankRuehl"/>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5z3">
    <w:name w:val="WW8Num25z3"/>
    <w:qFormat/>
    <w:rPr>
      <w:rFonts w:ascii="Symbol" w:hAnsi="Symbol" w:cs="Symbol"/>
    </w:rPr>
  </w:style>
  <w:style w:type="character" w:styleId="WW8Num26z0">
    <w:name w:val="WW8Num26z0"/>
    <w:qFormat/>
    <w:rPr>
      <w:rFonts w:ascii="Symbol" w:hAnsi="Symbol" w:eastAsia="Times New Roman" w:cs="FrankRuehl"/>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6z3">
    <w:name w:val="WW8Num26z3"/>
    <w:qFormat/>
    <w:rPr>
      <w:rFonts w:ascii="Symbol" w:hAnsi="Symbol" w:cs="Symbol"/>
    </w:rPr>
  </w:style>
  <w:style w:type="character" w:styleId="WW8Num27z0">
    <w:name w:val="WW8Num27z0"/>
    <w:qFormat/>
    <w:rPr>
      <w:rFonts w:ascii="Symbol" w:hAnsi="Symbol" w:eastAsia="Times New Roman" w:cs="FrankRuehl"/>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7z3">
    <w:name w:val="WW8Num27z3"/>
    <w:qFormat/>
    <w:rPr>
      <w:rFonts w:ascii="Symbol" w:hAnsi="Symbol" w:cs="Symbol"/>
    </w:rPr>
  </w:style>
  <w:style w:type="character" w:styleId="WW8Num28z0">
    <w:name w:val="WW8Num28z0"/>
    <w:qFormat/>
    <w:rPr>
      <w:rFonts w:ascii="Symbol" w:hAnsi="Symbol" w:eastAsia="Times New Roman" w:cs="FrankRuehl"/>
      <w:sz w:val="28"/>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8z3">
    <w:name w:val="WW8Num28z3"/>
    <w:qFormat/>
    <w:rPr>
      <w:rFonts w:ascii="Symbol" w:hAnsi="Symbol" w:cs="Symbol"/>
    </w:rPr>
  </w:style>
  <w:style w:type="character" w:styleId="WW8Num29z0">
    <w:name w:val="WW8Num29z0"/>
    <w:qFormat/>
    <w:rPr/>
  </w:style>
  <w:style w:type="character" w:styleId="WW8Num30z0">
    <w:name w:val="WW8Num30z0"/>
    <w:qFormat/>
    <w:rPr>
      <w:rFonts w:ascii="Symbol" w:hAnsi="Symbol" w:eastAsia="Times New Roman" w:cs="FrankRuehl"/>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0z3">
    <w:name w:val="WW8Num30z3"/>
    <w:qFormat/>
    <w:rPr>
      <w:rFonts w:ascii="Symbol" w:hAnsi="Symbol" w:cs="Symbol"/>
    </w:rPr>
  </w:style>
  <w:style w:type="character" w:styleId="WW8Num31z0">
    <w:name w:val="WW8Num31z0"/>
    <w:qFormat/>
    <w:rPr>
      <w:rFonts w:ascii="Symbol" w:hAnsi="Symbol" w:eastAsia="Times New Roman" w:cs="FrankRuehl"/>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1z3">
    <w:name w:val="WW8Num31z3"/>
    <w:qFormat/>
    <w:rPr>
      <w:rFonts w:ascii="Symbol" w:hAnsi="Symbol" w:cs="Symbol"/>
    </w:rPr>
  </w:style>
  <w:style w:type="character" w:styleId="WW8Num32z0">
    <w:name w:val="WW8Num32z0"/>
    <w:qFormat/>
    <w:rPr>
      <w:rFonts w:ascii="Symbol" w:hAnsi="Symbol" w:eastAsia="Times New Roman" w:cs="FrankRuehl"/>
    </w:rPr>
  </w:style>
  <w:style w:type="character" w:styleId="WW8Num32z1">
    <w:name w:val="WW8Num32z1"/>
    <w:qFormat/>
    <w:rPr>
      <w:rFonts w:ascii="Courier New" w:hAnsi="Courier New" w:cs="Courier New"/>
    </w:rPr>
  </w:style>
  <w:style w:type="character" w:styleId="WW8Num32z2">
    <w:name w:val="WW8Num32z2"/>
    <w:qFormat/>
    <w:rPr>
      <w:rFonts w:ascii="Wingdings" w:hAnsi="Wingdings" w:cs="Wingdings"/>
    </w:rPr>
  </w:style>
  <w:style w:type="character" w:styleId="WW8Num32z3">
    <w:name w:val="WW8Num32z3"/>
    <w:qFormat/>
    <w:rPr>
      <w:rFonts w:ascii="Symbol" w:hAnsi="Symbol" w:cs="Symbol"/>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
      <w:sz w:val="22"/>
      <w:szCs w:val="28"/>
      <w:lang w:val="en-US" w:bidi="he-IL"/>
    </w:rPr>
  </w:style>
  <w:style w:type="character" w:styleId="Ruller38">
    <w:name w:val="סגנון Ruller 3 + (מורכב) ‏8 נק תו"/>
    <w:qFormat/>
    <w:rPr>
      <w:rFonts w:cs="David"/>
      <w:sz w:val="22"/>
      <w:szCs w:val="16"/>
      <w:lang w:val="en-US" w:bidi="he-IL"/>
    </w:rPr>
  </w:style>
  <w:style w:type="character" w:styleId="Hyperlink">
    <w:name w:val="Hyperlink"/>
    <w:rPr>
      <w:color w:val="0000FF"/>
      <w:u w:val="single"/>
    </w:rPr>
  </w:style>
  <w:style w:type="character" w:styleId="CharChar2">
    <w:name w:val=" Char Char2"/>
    <w:qFormat/>
    <w:rPr>
      <w:rFonts w:ascii="Tahoma" w:hAnsi="Tahoma" w:cs="Tahoma"/>
      <w:sz w:val="18"/>
      <w:szCs w:val="18"/>
    </w:rPr>
  </w:style>
  <w:style w:type="character" w:styleId="Ruller4">
    <w:name w:val="Ruller4 תו"/>
    <w:qFormat/>
    <w:rPr>
      <w:rFonts w:ascii="Arial TUR;Arial" w:hAnsi="Arial TUR;Arial" w:cs="FrankRuehl"/>
      <w:spacing w:val="10"/>
      <w:sz w:val="22"/>
      <w:szCs w:val="28"/>
    </w:rPr>
  </w:style>
  <w:style w:type="character" w:styleId="default">
    <w:name w:val="default"/>
    <w:qFormat/>
    <w:rPr/>
  </w:style>
  <w:style w:type="character" w:styleId="Ruller5">
    <w:name w:val="Ruller5 תו"/>
    <w:qFormat/>
    <w:rPr>
      <w:rFonts w:ascii="Arial TUR;Arial" w:hAnsi="Arial TUR;Arial" w:cs="FrankRuehl"/>
      <w:spacing w:val="10"/>
      <w:sz w:val="22"/>
      <w:szCs w:val="28"/>
    </w:rPr>
  </w:style>
  <w:style w:type="character" w:styleId="Ruller41">
    <w:name w:val="Ruller 4 ממוספר תו"/>
    <w:qFormat/>
    <w:rPr>
      <w:rFonts w:ascii="Garamond" w:hAnsi="Garamond" w:cs="FrankRuehl"/>
      <w:spacing w:val="10"/>
      <w:sz w:val="24"/>
      <w:szCs w:val="28"/>
    </w:rPr>
  </w:style>
  <w:style w:type="character" w:styleId="big-number">
    <w:name w:val="big-number"/>
    <w:qFormat/>
    <w:rPr/>
  </w:style>
  <w:style w:type="character" w:styleId="CommentReference">
    <w:name w:val="Comment Reference"/>
    <w:qFormat/>
    <w:rPr>
      <w:sz w:val="16"/>
      <w:szCs w:val="16"/>
    </w:rPr>
  </w:style>
  <w:style w:type="character" w:styleId="CharChar1">
    <w:name w:val=" Char Char1"/>
    <w:qFormat/>
    <w:rPr>
      <w:rFonts w:ascii="Century" w:hAnsi="Century" w:cs="FrankRuehl"/>
      <w:spacing w:val="10"/>
    </w:rPr>
  </w:style>
  <w:style w:type="character" w:styleId="CharChar">
    <w:name w:val=" Char Char"/>
    <w:qFormat/>
    <w:rPr>
      <w:rFonts w:ascii="Century" w:hAnsi="Century" w:cs="FrankRuehl"/>
      <w:b/>
      <w:bCs/>
      <w:spacing w:val="10"/>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tabs>
        <w:tab w:val="clear" w:pos="720"/>
        <w:tab w:val="left" w:pos="3210" w:leader="none"/>
        <w:tab w:val="left" w:pos="6753" w:leader="none"/>
      </w:tabs>
      <w:spacing w:lineRule="auto" w:line="360"/>
      <w:ind w:hanging="0" w:start="0" w:end="0"/>
      <w:jc w:val="start"/>
    </w:pPr>
    <w:rPr>
      <w:rFonts w:cs="FrankRuehl"/>
      <w:spacing w:val="10"/>
      <w:sz w:val="22"/>
      <w:szCs w:val="28"/>
    </w:rPr>
  </w:style>
  <w:style w:type="paragraph" w:styleId="Pskdinhead">
    <w:name w:val="Pskdin head"/>
    <w:basedOn w:val="Normal"/>
    <w:qFormat/>
    <w:pPr>
      <w:spacing w:lineRule="auto" w:line="360"/>
      <w:ind w:hanging="0" w:start="0" w:end="0"/>
      <w:jc w:val="start"/>
    </w:pPr>
    <w:rPr>
      <w:b/>
      <w:bCs/>
      <w:u w:val="single"/>
    </w:rPr>
  </w:style>
  <w:style w:type="paragraph" w:styleId="FileNumber">
    <w:name w:val="File Number"/>
    <w:basedOn w:val="Normal"/>
    <w:qFormat/>
    <w:pPr>
      <w:spacing w:lineRule="auto" w:line="360"/>
      <w:ind w:hanging="0" w:start="0" w:end="0"/>
      <w:jc w:val="end"/>
    </w:pPr>
    <w:rPr>
      <w:bCs/>
    </w:rPr>
  </w:style>
  <w:style w:type="paragraph" w:styleId="FirstpagestylePsakdin">
    <w:name w:val="First page style Psak din"/>
    <w:basedOn w:val="Ruller31"/>
    <w:qFormat/>
    <w:pPr>
      <w:tabs>
        <w:tab w:val="clear" w:pos="3210"/>
        <w:tab w:val="left" w:pos="3209" w:leader="none"/>
        <w:tab w:val="left" w:pos="6753" w:leader="none"/>
      </w:tabs>
      <w:spacing w:lineRule="auto" w:line="360"/>
      <w:ind w:hanging="0" w:start="0" w:end="0"/>
      <w:jc w:val="start"/>
    </w:pPr>
    <w:rPr>
      <w:bCs/>
    </w:rPr>
  </w:style>
  <w:style w:type="paragraph" w:styleId="TyutaDate">
    <w:name w:val="Tyuta Date"/>
    <w:basedOn w:val="Normal"/>
    <w:qFormat/>
    <w:pPr>
      <w:ind w:hanging="0" w:start="0" w:end="0"/>
      <w:jc w:val="center"/>
    </w:pPr>
    <w:rPr>
      <w:b/>
      <w:bCs/>
      <w:i/>
      <w:iCs/>
      <w:sz w:val="28"/>
      <w:szCs w:val="28"/>
    </w:rPr>
  </w:style>
  <w:style w:type="paragraph" w:styleId="DocumentHead">
    <w:name w:val="Document Head"/>
    <w:basedOn w:val="Normal"/>
    <w:qFormat/>
    <w:pPr>
      <w:spacing w:lineRule="auto" w:line="360"/>
      <w:ind w:hanging="0" w:start="0" w:end="0"/>
      <w:jc w:val="center"/>
    </w:pPr>
    <w:rPr>
      <w:bCs/>
      <w:spacing w:val="30"/>
      <w:szCs w:val="28"/>
      <w:u w:val="single"/>
    </w:rPr>
  </w:style>
  <w:style w:type="paragraph" w:styleId="TfutzaList">
    <w:name w:val="Tfutza List"/>
    <w:basedOn w:val="Normal"/>
    <w:qFormat/>
    <w:pPr>
      <w:ind w:hanging="0" w:start="0" w:end="0"/>
      <w:jc w:val="start"/>
    </w:pPr>
    <w:rPr>
      <w:i/>
      <w:iCs/>
    </w:rPr>
  </w:style>
  <w:style w:type="paragraph" w:styleId="Ruller42">
    <w:name w:val="Ruller4"/>
    <w:basedOn w:val="Normal"/>
    <w:qFormat/>
    <w:pPr>
      <w:tabs>
        <w:tab w:val="clear" w:pos="720"/>
        <w:tab w:val="left" w:pos="800" w:leader="none"/>
      </w:tabs>
      <w:spacing w:lineRule="auto" w:line="360"/>
      <w:ind w:hanging="0" w:start="0" w:end="0"/>
      <w:jc w:val="both"/>
    </w:pPr>
    <w:rPr>
      <w:rFonts w:ascii="Arial TUR;Arial" w:hAnsi="Arial TUR;Arial" w:cs="FrankRuehl"/>
      <w:spacing w:val="10"/>
      <w:sz w:val="22"/>
      <w:szCs w:val="28"/>
    </w:rPr>
  </w:style>
  <w:style w:type="paragraph" w:styleId="Ruller51">
    <w:name w:val="Ruller5"/>
    <w:basedOn w:val="Normal"/>
    <w:qFormat/>
    <w:pPr>
      <w:ind w:hanging="0" w:start="1642" w:end="1282"/>
      <w:jc w:val="both"/>
    </w:pPr>
    <w:rPr>
      <w:rFonts w:ascii="Arial TUR;Arial" w:hAnsi="Arial TUR;Arial" w:cs="FrankRuehl"/>
      <w:spacing w:val="10"/>
      <w:sz w:val="22"/>
      <w:szCs w:val="28"/>
    </w:rPr>
  </w:style>
  <w:style w:type="paragraph" w:styleId="Ruller6">
    <w:name w:val="Ruller6"/>
    <w:basedOn w:val="Normal"/>
    <w:qFormat/>
    <w:pPr>
      <w:tabs>
        <w:tab w:val="clear" w:pos="720"/>
        <w:tab w:val="left" w:pos="794" w:leader="none"/>
        <w:tab w:val="left" w:pos="2268" w:leader="none"/>
        <w:tab w:val="left" w:pos="5783" w:leader="none"/>
        <w:tab w:val="left" w:pos="7371" w:leader="none"/>
      </w:tabs>
      <w:ind w:hanging="0" w:start="0" w:end="0"/>
      <w:jc w:val="start"/>
    </w:pPr>
    <w:rPr>
      <w:rFonts w:ascii="Arial TUR;Arial" w:hAnsi="Arial TUR;Arial" w:cs="DavidFix"/>
      <w:spacing w:val="10"/>
      <w:sz w:val="22"/>
      <w:szCs w:val="20"/>
    </w:rPr>
  </w:style>
  <w:style w:type="paragraph" w:styleId="WriterName">
    <w:name w:val="Writer Name"/>
    <w:basedOn w:val="Ruller42"/>
    <w:next w:val="Ruller42"/>
    <w:qFormat/>
    <w:pPr>
      <w:spacing w:lineRule="auto" w:line="360"/>
      <w:ind w:hanging="0" w:start="0" w:end="0"/>
      <w:jc w:val="both"/>
    </w:pPr>
    <w:rPr>
      <w:rFonts w:cs="David"/>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tabs>
        <w:tab w:val="clear" w:pos="720"/>
        <w:tab w:val="center" w:pos="4153" w:leader="none"/>
        <w:tab w:val="right" w:pos="8306" w:leader="none"/>
      </w:tabs>
      <w:ind w:hanging="0" w:start="0" w:end="0"/>
      <w:jc w:val="start"/>
    </w:pPr>
    <w:rPr/>
  </w:style>
  <w:style w:type="paragraph" w:styleId="Header">
    <w:name w:val="header"/>
    <w:basedOn w:val="Normal"/>
    <w:pPr>
      <w:tabs>
        <w:tab w:val="clear" w:pos="720"/>
        <w:tab w:val="center" w:pos="4153" w:leader="none"/>
        <w:tab w:val="right" w:pos="8306" w:leader="none"/>
      </w:tabs>
      <w:ind w:hanging="0" w:start="0" w:end="0"/>
      <w:jc w:val="start"/>
    </w:pPr>
    <w:rPr/>
  </w:style>
  <w:style w:type="paragraph" w:styleId="2">
    <w:name w:val="ñâðåï2"/>
    <w:basedOn w:val="Normal"/>
    <w:qFormat/>
    <w:pPr>
      <w:overflowPunct w:val="true"/>
      <w:ind w:hanging="0" w:start="0" w:end="0"/>
      <w:jc w:val="start"/>
      <w:textAlignment w:val="auto"/>
    </w:pPr>
    <w:rPr>
      <w:rFonts w:cs="Times New Roman"/>
    </w:rPr>
  </w:style>
  <w:style w:type="paragraph" w:styleId="Casenameintextbody">
    <w:name w:val="Case name in text body"/>
    <w:basedOn w:val="Normal"/>
    <w:qFormat/>
    <w:pPr>
      <w:overflowPunct w:val="true"/>
      <w:ind w:hanging="0" w:start="0" w:end="0"/>
      <w:jc w:val="end"/>
      <w:textAlignment w:val="auto"/>
    </w:pPr>
    <w:rPr>
      <w:rFonts w:cs="Times New Roman"/>
      <w:b/>
      <w:bCs/>
      <w:u w:val="single"/>
    </w:rPr>
  </w:style>
  <w:style w:type="paragraph" w:styleId="precasestyle">
    <w:name w:val="pre_case style"/>
    <w:basedOn w:val="Normal"/>
    <w:qFormat/>
    <w:pPr>
      <w:tabs>
        <w:tab w:val="clear" w:pos="720"/>
        <w:tab w:val="left" w:pos="2552" w:leader="none"/>
      </w:tabs>
      <w:overflowPunct w:val="true"/>
      <w:ind w:hanging="0" w:start="0" w:end="2549"/>
      <w:jc w:val="start"/>
      <w:textAlignment w:val="auto"/>
    </w:pPr>
    <w:rPr>
      <w:rFonts w:cs="Times New Roman"/>
    </w:rPr>
  </w:style>
  <w:style w:type="paragraph" w:styleId="BodyRuller1">
    <w:name w:val="Body Ruller"/>
    <w:basedOn w:val="Normal"/>
    <w:qFormat/>
    <w:pPr>
      <w:ind w:hanging="0" w:start="0" w:end="0"/>
      <w:jc w:val="star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ind w:hanging="0" w:start="0" w:end="0"/>
      <w:jc w:val="start"/>
    </w:pPr>
    <w:rPr>
      <w:szCs w:val="28"/>
    </w:rPr>
  </w:style>
  <w:style w:type="paragraph" w:styleId="BODYVERDICT">
    <w:name w:val="BODY VERDICT"/>
    <w:basedOn w:val="Normal"/>
    <w:qFormat/>
    <w:pPr>
      <w:ind w:hanging="0" w:start="0" w:end="0"/>
      <w:jc w:val="start"/>
    </w:pPr>
    <w:rPr>
      <w:rFonts w:cs="FrankRuehl"/>
      <w:spacing w:val="10"/>
      <w:sz w:val="22"/>
      <w:szCs w:val="28"/>
    </w:rPr>
  </w:style>
  <w:style w:type="paragraph" w:styleId="BalloonText">
    <w:name w:val="Balloon Text"/>
    <w:basedOn w:val="Normal"/>
    <w:qFormat/>
    <w:pPr>
      <w:ind w:hanging="0" w:start="0" w:end="0"/>
      <w:jc w:val="start"/>
    </w:pPr>
    <w:rPr>
      <w:rFonts w:ascii="Tahoma" w:hAnsi="Tahoma" w:cs="Tahoma"/>
      <w:sz w:val="18"/>
      <w:szCs w:val="18"/>
    </w:rPr>
  </w:style>
  <w:style w:type="paragraph" w:styleId="Ruller43">
    <w:name w:val="Ruller 4 ממוספר"/>
    <w:basedOn w:val="Ruller42"/>
    <w:next w:val="Ruller42"/>
    <w:qFormat/>
    <w:pPr>
      <w:numPr>
        <w:ilvl w:val="0"/>
        <w:numId w:val="1"/>
      </w:numPr>
      <w:ind w:hanging="0" w:start="0" w:end="0"/>
      <w:jc w:val="both"/>
    </w:pPr>
    <w:rPr>
      <w:rFonts w:ascii="Garamond" w:hAnsi="Garamond" w:cs="Garamond"/>
      <w:sz w:val="24"/>
    </w:rPr>
  </w:style>
  <w:style w:type="paragraph" w:styleId="Ruller44">
    <w:name w:val="Ruller4 אלפביתי"/>
    <w:basedOn w:val="Ruller42"/>
    <w:next w:val="Ruller42"/>
    <w:qFormat/>
    <w:pPr>
      <w:numPr>
        <w:ilvl w:val="0"/>
        <w:numId w:val="2"/>
      </w:numPr>
      <w:ind w:hanging="0" w:start="0" w:end="0"/>
      <w:jc w:val="both"/>
    </w:pPr>
    <w:rPr/>
  </w:style>
  <w:style w:type="paragraph" w:styleId="ruller40">
    <w:name w:val="ruller40"/>
    <w:basedOn w:val="Normal"/>
    <w:qFormat/>
    <w:pPr>
      <w:spacing w:lineRule="auto" w:line="360"/>
      <w:ind w:hanging="0" w:start="0" w:end="0"/>
      <w:jc w:val="both"/>
      <w:textAlignment w:val="auto"/>
    </w:pPr>
    <w:rPr>
      <w:rFonts w:ascii="Arial TUR;Arial" w:hAnsi="Arial TUR;Arial" w:cs="Arial TUR;Arial"/>
      <w:spacing w:val="10"/>
      <w:sz w:val="22"/>
      <w:szCs w:val="22"/>
      <w:lang w:bidi="ar-SA"/>
    </w:rPr>
  </w:style>
  <w:style w:type="paragraph" w:styleId="ListParagraph">
    <w:name w:val="List Paragraph"/>
    <w:basedOn w:val="Normal"/>
    <w:qFormat/>
    <w:pPr>
      <w:spacing w:lineRule="auto" w:line="360" w:before="0" w:after="0"/>
      <w:ind w:hanging="0" w:start="720" w:end="0"/>
      <w:contextualSpacing/>
      <w:jc w:val="start"/>
    </w:pPr>
    <w:rPr>
      <w:rFonts w:ascii="Century" w:hAnsi="Century" w:cs="FrankRuehl"/>
      <w:spacing w:val="10"/>
      <w:szCs w:val="28"/>
    </w:rPr>
  </w:style>
  <w:style w:type="paragraph" w:styleId="NormalWeb">
    <w:name w:val="Normal (Web)"/>
    <w:basedOn w:val="Normal"/>
    <w:qFormat/>
    <w:pPr>
      <w:overflowPunct w:val="true"/>
      <w:autoSpaceDE w:val="true"/>
      <w:bidi w:val="0"/>
      <w:spacing w:before="180" w:after="180"/>
      <w:jc w:val="start"/>
      <w:textAlignment w:val="auto"/>
    </w:pPr>
    <w:rPr>
      <w:rFonts w:cs="Times New Roman"/>
      <w:sz w:val="24"/>
    </w:rPr>
  </w:style>
  <w:style w:type="paragraph" w:styleId="Style14">
    <w:name w:val="מספר הליך"/>
    <w:basedOn w:val="Normal"/>
    <w:qFormat/>
    <w:pPr>
      <w:spacing w:lineRule="exact" w:line="280" w:before="0" w:after="240"/>
      <w:ind w:firstLine="284" w:start="0" w:end="0"/>
      <w:jc w:val="end"/>
      <w:textAlignment w:val="auto"/>
    </w:pPr>
    <w:rPr>
      <w:rFonts w:cs="FrankRuehl"/>
      <w:szCs w:val="28"/>
    </w:rPr>
  </w:style>
  <w:style w:type="paragraph" w:styleId="p00">
    <w:name w:val="p00"/>
    <w:basedOn w:val="Normal"/>
    <w:qFormat/>
    <w:pPr>
      <w:overflowPunct w:val="true"/>
      <w:autoSpaceDE w:val="true"/>
      <w:bidi w:val="0"/>
      <w:spacing w:before="100" w:after="100"/>
      <w:jc w:val="start"/>
      <w:textAlignment w:val="auto"/>
    </w:pPr>
    <w:rPr>
      <w:rFonts w:cs="Times New Roman"/>
      <w:sz w:val="24"/>
    </w:rPr>
  </w:style>
  <w:style w:type="paragraph" w:styleId="4">
    <w:name w:val="סרגל4"/>
    <w:basedOn w:val="Normal"/>
    <w:qFormat/>
    <w:pPr>
      <w:widowControl w:val="false"/>
      <w:tabs>
        <w:tab w:val="clear" w:pos="720"/>
        <w:tab w:val="left" w:pos="800" w:leader="none"/>
      </w:tabs>
      <w:bidi w:val="0"/>
      <w:spacing w:lineRule="auto" w:line="480"/>
      <w:jc w:val="both"/>
      <w:textAlignment w:val="auto"/>
    </w:pPr>
    <w:rPr>
      <w:rFonts w:ascii="Arial" w:hAnsi="Arial" w:cs="Times New Roman"/>
      <w:sz w:val="22"/>
    </w:rPr>
  </w:style>
  <w:style w:type="paragraph" w:styleId="CommentText">
    <w:name w:val="Comment Text"/>
    <w:basedOn w:val="Normal"/>
    <w:qFormat/>
    <w:pPr>
      <w:spacing w:lineRule="auto" w:line="360"/>
      <w:ind w:hanging="0" w:start="0" w:end="0"/>
      <w:jc w:val="start"/>
    </w:pPr>
    <w:rPr>
      <w:rFonts w:ascii="Century" w:hAnsi="Century" w:cs="FrankRuehl"/>
      <w:spacing w:val="10"/>
      <w:szCs w:val="20"/>
    </w:rPr>
  </w:style>
  <w:style w:type="paragraph" w:styleId="CommentSubject">
    <w:name w:val="Comment Subject"/>
    <w:basedOn w:val="CommentText"/>
    <w:next w:val="CommentText"/>
    <w:qFormat/>
    <w:pPr>
      <w:ind w:hanging="0" w:start="0" w:end="0"/>
      <w:jc w:val="start"/>
    </w:pPr>
    <w:rPr>
      <w:b/>
      <w:bCs/>
    </w:rPr>
  </w:style>
  <w:style w:type="paragraph" w:styleId="Revision">
    <w:name w:val="Revision"/>
    <w:qFormat/>
    <w:pPr>
      <w:widowControl/>
      <w:bidi w:val="0"/>
    </w:pPr>
    <w:rPr>
      <w:rFonts w:ascii="Century" w:hAnsi="Century" w:eastAsia="Times New Roman" w:cs="FrankRuehl"/>
      <w:color w:val="auto"/>
      <w:spacing w:val="10"/>
      <w:sz w:val="20"/>
      <w:szCs w:val="28"/>
      <w:lang w:val="en-US" w:bidi="he-IL" w:eastAsia="zh-C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22099017" TargetMode="External"/><Relationship Id="rId3" Type="http://schemas.openxmlformats.org/officeDocument/2006/relationships/hyperlink" Target="http://www.nevo.co.il/law/70301" TargetMode="External"/><Relationship Id="rId4" Type="http://schemas.openxmlformats.org/officeDocument/2006/relationships/hyperlink" Target="http://www.nevo.co.il/law/70301/25" TargetMode="External"/><Relationship Id="rId5" Type="http://schemas.openxmlformats.org/officeDocument/2006/relationships/hyperlink" Target="http://www.nevo.co.il/law/70301/29" TargetMode="External"/><Relationship Id="rId6" Type="http://schemas.openxmlformats.org/officeDocument/2006/relationships/hyperlink" Target="http://www.nevo.co.il/law/70301/31" TargetMode="External"/><Relationship Id="rId7" Type="http://schemas.openxmlformats.org/officeDocument/2006/relationships/hyperlink" Target="http://www.nevo.co.il/law/70301/40" TargetMode="External"/><Relationship Id="rId8" Type="http://schemas.openxmlformats.org/officeDocument/2006/relationships/hyperlink" Target="http://www.nevo.co.il/law/70301/40b" TargetMode="External"/><Relationship Id="rId9" Type="http://schemas.openxmlformats.org/officeDocument/2006/relationships/hyperlink" Target="http://www.nevo.co.il/law/70301/40c.a" TargetMode="External"/><Relationship Id="rId10" Type="http://schemas.openxmlformats.org/officeDocument/2006/relationships/hyperlink" Target="http://www.nevo.co.il/law/70301/144.b2" TargetMode="External"/><Relationship Id="rId11" Type="http://schemas.openxmlformats.org/officeDocument/2006/relationships/hyperlink" Target="http://www.nevo.co.il/law/70301/340a" TargetMode="External"/><Relationship Id="rId12" Type="http://schemas.openxmlformats.org/officeDocument/2006/relationships/hyperlink" Target="http://www.nevo.co.il/law/70301/499.a.1" TargetMode="External"/><Relationship Id="rId13" Type="http://schemas.openxmlformats.org/officeDocument/2006/relationships/hyperlink" Target="http://www.nevo.co.il/law/4216" TargetMode="External"/><Relationship Id="rId14" Type="http://schemas.openxmlformats.org/officeDocument/2006/relationships/hyperlink" Target="http://www.nevo.co.il/law/4216/13" TargetMode="External"/><Relationship Id="rId15" Type="http://schemas.openxmlformats.org/officeDocument/2006/relationships/hyperlink" Target="http://www.nevo.co.il/law/4216/14" TargetMode="External"/><Relationship Id="rId16" Type="http://schemas.openxmlformats.org/officeDocument/2006/relationships/hyperlink" Target="http://www.nevo.co.il/law/4216/19a" TargetMode="External"/><Relationship Id="rId17" Type="http://schemas.openxmlformats.org/officeDocument/2006/relationships/hyperlink" Target="http://www.nevo.co.il/case/22099017" TargetMode="External"/><Relationship Id="rId18" Type="http://schemas.openxmlformats.org/officeDocument/2006/relationships/hyperlink" Target="http://www.nevo.co.il/law/70301/144.b2" TargetMode="External"/><Relationship Id="rId19" Type="http://schemas.openxmlformats.org/officeDocument/2006/relationships/hyperlink" Target="http://www.nevo.co.il/law/70301/29" TargetMode="External"/><Relationship Id="rId20" Type="http://schemas.openxmlformats.org/officeDocument/2006/relationships/hyperlink" Target="http://www.nevo.co.il/law/70301" TargetMode="External"/><Relationship Id="rId21" Type="http://schemas.openxmlformats.org/officeDocument/2006/relationships/hyperlink" Target="http://www.nevo.co.il/law/70301/499.a.1" TargetMode="External"/><Relationship Id="rId22" Type="http://schemas.openxmlformats.org/officeDocument/2006/relationships/hyperlink" Target="http://www.nevo.co.il/law/70301/144.b2" TargetMode="External"/><Relationship Id="rId23" Type="http://schemas.openxmlformats.org/officeDocument/2006/relationships/hyperlink" Target="http://www.nevo.co.il/law/70301/25" TargetMode="External"/><Relationship Id="rId24" Type="http://schemas.openxmlformats.org/officeDocument/2006/relationships/hyperlink" Target="http://www.nevo.co.il/law/70301/29" TargetMode="External"/><Relationship Id="rId25" Type="http://schemas.openxmlformats.org/officeDocument/2006/relationships/hyperlink" Target="http://www.nevo.co.il/law/70301/144.b2" TargetMode="External"/><Relationship Id="rId26" Type="http://schemas.openxmlformats.org/officeDocument/2006/relationships/hyperlink" Target="http://www.nevo.co.il/law/70301/31" TargetMode="External"/><Relationship Id="rId27" Type="http://schemas.openxmlformats.org/officeDocument/2006/relationships/hyperlink" Target="http://www.nevo.co.il/law/70301/340a" TargetMode="External"/><Relationship Id="rId28" Type="http://schemas.openxmlformats.org/officeDocument/2006/relationships/hyperlink" Target="http://www.nevo.co.il/law/70301" TargetMode="External"/><Relationship Id="rId29" Type="http://schemas.openxmlformats.org/officeDocument/2006/relationships/hyperlink" Target="http://www.nevo.co.il/law/4216/13" TargetMode="External"/><Relationship Id="rId30" Type="http://schemas.openxmlformats.org/officeDocument/2006/relationships/hyperlink" Target="http://www.nevo.co.il/law/4216/19a" TargetMode="External"/><Relationship Id="rId31" Type="http://schemas.openxmlformats.org/officeDocument/2006/relationships/hyperlink" Target="http://www.nevo.co.il/law/4216" TargetMode="External"/><Relationship Id="rId32" Type="http://schemas.openxmlformats.org/officeDocument/2006/relationships/hyperlink" Target="http://www.nevo.co.il/law/70301/29" TargetMode="External"/><Relationship Id="rId33" Type="http://schemas.openxmlformats.org/officeDocument/2006/relationships/hyperlink" Target="http://www.nevo.co.il/law/4216/13" TargetMode="External"/><Relationship Id="rId34" Type="http://schemas.openxmlformats.org/officeDocument/2006/relationships/hyperlink" Target="http://www.nevo.co.il/law/4216/19a" TargetMode="External"/><Relationship Id="rId35" Type="http://schemas.openxmlformats.org/officeDocument/2006/relationships/hyperlink" Target="http://www.nevo.co.il/law/70301/31" TargetMode="External"/><Relationship Id="rId36" Type="http://schemas.openxmlformats.org/officeDocument/2006/relationships/hyperlink" Target="http://www.nevo.co.il/law/4216/14" TargetMode="External"/><Relationship Id="rId37" Type="http://schemas.openxmlformats.org/officeDocument/2006/relationships/hyperlink" Target="http://www.nevo.co.il/law/4216/19a" TargetMode="External"/><Relationship Id="rId38" Type="http://schemas.openxmlformats.org/officeDocument/2006/relationships/hyperlink" Target="http://www.nevo.co.il/case/22173628" TargetMode="External"/><Relationship Id="rId39" Type="http://schemas.openxmlformats.org/officeDocument/2006/relationships/hyperlink" Target="http://www.nevo.co.il/case/21474520" TargetMode="External"/><Relationship Id="rId40" Type="http://schemas.openxmlformats.org/officeDocument/2006/relationships/hyperlink" Target="http://www.nevo.co.il/case/20455789" TargetMode="External"/><Relationship Id="rId41" Type="http://schemas.openxmlformats.org/officeDocument/2006/relationships/hyperlink" Target="http://www.nevo.co.il/case/6473037" TargetMode="External"/><Relationship Id="rId42" Type="http://schemas.openxmlformats.org/officeDocument/2006/relationships/hyperlink" Target="http://www.nevo.co.il/case/5703734" TargetMode="External"/><Relationship Id="rId43" Type="http://schemas.openxmlformats.org/officeDocument/2006/relationships/hyperlink" Target="http://www.nevo.co.il/case/5821327" TargetMode="External"/><Relationship Id="rId44" Type="http://schemas.openxmlformats.org/officeDocument/2006/relationships/hyperlink" Target="http://www.nevo.co.il/case/21472788" TargetMode="External"/><Relationship Id="rId45" Type="http://schemas.openxmlformats.org/officeDocument/2006/relationships/hyperlink" Target="http://www.nevo.co.il/case/17954235" TargetMode="External"/><Relationship Id="rId46" Type="http://schemas.openxmlformats.org/officeDocument/2006/relationships/hyperlink" Target="http://www.nevo.co.il/case/5598421" TargetMode="External"/><Relationship Id="rId47" Type="http://schemas.openxmlformats.org/officeDocument/2006/relationships/hyperlink" Target="http://www.nevo.co.il/case/21478620" TargetMode="External"/><Relationship Id="rId48" Type="http://schemas.openxmlformats.org/officeDocument/2006/relationships/hyperlink" Target="http://www.nevo.co.il/case/17948130" TargetMode="External"/><Relationship Id="rId49" Type="http://schemas.openxmlformats.org/officeDocument/2006/relationships/hyperlink" Target="http://www.nevo.co.il/case/20154414" TargetMode="External"/><Relationship Id="rId50" Type="http://schemas.openxmlformats.org/officeDocument/2006/relationships/hyperlink" Target="http://www.nevo.co.il/case/21640395" TargetMode="External"/><Relationship Id="rId51" Type="http://schemas.openxmlformats.org/officeDocument/2006/relationships/hyperlink" Target="http://www.nevo.co.il/law/70301" TargetMode="External"/><Relationship Id="rId52" Type="http://schemas.openxmlformats.org/officeDocument/2006/relationships/hyperlink" Target="http://www.nevo.co.il/case/5596806" TargetMode="External"/><Relationship Id="rId53" Type="http://schemas.openxmlformats.org/officeDocument/2006/relationships/hyperlink" Target="http://www.nevo.co.il/law/70301/40b" TargetMode="External"/><Relationship Id="rId54" Type="http://schemas.openxmlformats.org/officeDocument/2006/relationships/hyperlink" Target="http://www.nevo.co.il/law/70301/40c.a" TargetMode="External"/><Relationship Id="rId55" Type="http://schemas.openxmlformats.org/officeDocument/2006/relationships/hyperlink" Target="http://www.nevo.co.il/law/70301" TargetMode="External"/><Relationship Id="rId56" Type="http://schemas.openxmlformats.org/officeDocument/2006/relationships/hyperlink" Target="http://www.nevo.co.il/case/17043259" TargetMode="External"/><Relationship Id="rId57" Type="http://schemas.openxmlformats.org/officeDocument/2006/relationships/hyperlink" Target="http://www.nevo.co.il/case/13023134" TargetMode="External"/><Relationship Id="rId58" Type="http://schemas.openxmlformats.org/officeDocument/2006/relationships/hyperlink" Target="http://www.nevo.co.il/case/5993550" TargetMode="External"/><Relationship Id="rId59" Type="http://schemas.openxmlformats.org/officeDocument/2006/relationships/hyperlink" Target="http://www.nevo.co.il/case/5833181" TargetMode="External"/><Relationship Id="rId60" Type="http://schemas.openxmlformats.org/officeDocument/2006/relationships/hyperlink" Target="http://www.nevo.co.il/case/5755601" TargetMode="External"/><Relationship Id="rId61" Type="http://schemas.openxmlformats.org/officeDocument/2006/relationships/hyperlink" Target="http://www.nevo.co.il/case/23582746" TargetMode="External"/><Relationship Id="rId62" Type="http://schemas.openxmlformats.org/officeDocument/2006/relationships/hyperlink" Target="http://www.nevo.co.il/case/21475572" TargetMode="External"/><Relationship Id="rId63" Type="http://schemas.openxmlformats.org/officeDocument/2006/relationships/hyperlink" Target="http://www.nevo.co.il/case/21937417" TargetMode="External"/><Relationship Id="rId64" Type="http://schemas.openxmlformats.org/officeDocument/2006/relationships/hyperlink" Target="http://www.nevo.co.il/case/22096895" TargetMode="External"/><Relationship Id="rId65" Type="http://schemas.openxmlformats.org/officeDocument/2006/relationships/hyperlink" Target="http://www.nevo.co.il/case/20000175" TargetMode="External"/><Relationship Id="rId66" Type="http://schemas.openxmlformats.org/officeDocument/2006/relationships/hyperlink" Target="http://www.nevo.co.il/case/5681787" TargetMode="External"/><Relationship Id="rId67" Type="http://schemas.openxmlformats.org/officeDocument/2006/relationships/hyperlink" Target="http://www.nevo.co.il/case/21476474" TargetMode="External"/><Relationship Id="rId68" Type="http://schemas.openxmlformats.org/officeDocument/2006/relationships/hyperlink" Target="http://www.nevo.co.il/case/20245898" TargetMode="External"/><Relationship Id="rId69" Type="http://schemas.openxmlformats.org/officeDocument/2006/relationships/hyperlink" Target="http://www.nevo.co.il/case/6245810" TargetMode="External"/><Relationship Id="rId70" Type="http://schemas.openxmlformats.org/officeDocument/2006/relationships/hyperlink" Target="http://www.nevo.co.il/case/6002633" TargetMode="External"/><Relationship Id="rId71" Type="http://schemas.openxmlformats.org/officeDocument/2006/relationships/hyperlink" Target="http://www.nevo.co.il/case/20459463" TargetMode="External"/><Relationship Id="rId72" Type="http://schemas.openxmlformats.org/officeDocument/2006/relationships/hyperlink" Target="http://www.nevo.co.il/case/20459516" TargetMode="External"/><Relationship Id="rId73" Type="http://schemas.openxmlformats.org/officeDocument/2006/relationships/hyperlink" Target="http://www.nevo.co.il/case/21771409" TargetMode="External"/><Relationship Id="rId74" Type="http://schemas.openxmlformats.org/officeDocument/2006/relationships/hyperlink" Target="http://www.nevo.co.il/case/23751419" TargetMode="External"/><Relationship Id="rId75" Type="http://schemas.openxmlformats.org/officeDocument/2006/relationships/hyperlink" Target="http://www.nevo.co.il/case/23751415" TargetMode="External"/><Relationship Id="rId76" Type="http://schemas.openxmlformats.org/officeDocument/2006/relationships/hyperlink" Target="http://www.nevo.co.il/law/70301/40" TargetMode="External"/><Relationship Id="rId77" Type="http://schemas.openxmlformats.org/officeDocument/2006/relationships/hyperlink" Target="http://www.nevo.co.il/law/70301" TargetMode="External"/><Relationship Id="rId78" Type="http://schemas.openxmlformats.org/officeDocument/2006/relationships/hyperlink" Target="https://supreme.court.gov.il/" TargetMode="External"/><Relationship Id="rId79" Type="http://schemas.openxmlformats.org/officeDocument/2006/relationships/hyperlink" Target="http://www.nevo.co.il/advertisements/nevo-100.doc" TargetMode="External"/><Relationship Id="rId80" Type="http://schemas.openxmlformats.org/officeDocument/2006/relationships/header" Target="header1.xml"/><Relationship Id="rId81" Type="http://schemas.openxmlformats.org/officeDocument/2006/relationships/footer" Target="footer1.xml"/><Relationship Id="rId82" Type="http://schemas.openxmlformats.org/officeDocument/2006/relationships/numbering" Target="numbering.xml"/><Relationship Id="rId83" Type="http://schemas.openxmlformats.org/officeDocument/2006/relationships/fontTable" Target="fontTable.xml"/><Relationship Id="rId84" Type="http://schemas.openxmlformats.org/officeDocument/2006/relationships/settings" Target="settings.xml"/><Relationship Id="rId85"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LibreOffice/24.8.4.2$MacOSX_AARCH64 LibreOffice_project/bb3cfa12c7b1bf994ecc5649a80400d06cd71002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2018-08-19T11:01:00Z</dcterms:created>
  <dc:creator> </dc:creator>
  <dc:description/>
  <cp:keywords/>
  <dc:language>en-IL</dc:language>
  <cp:lastModifiedBy>orly</cp:lastModifiedBy>
  <cp:lastPrinted>2018-08-14T08:20:00Z</cp:lastPrinted>
  <dcterms:modified xsi:type="dcterms:W3CDTF">2018-08-19T11:01:00Z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מחמוד בראנסי;סוהיל בראנסי;איסלאם בראנסי;רושד בראנסה;ג'מיל חאג' יחיא;פיראס בראנסי</vt:lpwstr>
  </property>
  <property fmtid="{D5CDD505-2E9C-101B-9397-08002B2CF9AE}" pid="3" name="APPELLANT1">
    <vt:lpwstr/>
  </property>
  <property fmtid="{D5CDD505-2E9C-101B-9397-08002B2CF9AE}" pid="4" name="APPELLANT2">
    <vt:lpwstr/>
  </property>
  <property fmtid="{D5CDD505-2E9C-101B-9397-08002B2CF9AE}" pid="5" name="APPELLEE">
    <vt:lpwstr>מדינת ישראל</vt:lpwstr>
  </property>
  <property fmtid="{D5CDD505-2E9C-101B-9397-08002B2CF9AE}" pid="6" name="APPELLEE1">
    <vt:lpwstr/>
  </property>
  <property fmtid="{D5CDD505-2E9C-101B-9397-08002B2CF9AE}" pid="7" name="APPELLEE2">
    <vt:lpwstr/>
  </property>
  <property fmtid="{D5CDD505-2E9C-101B-9397-08002B2CF9AE}" pid="8" name="CASESLISTTMP1">
    <vt:lpwstr>22099017:2;22173628;21474520;20455789;6473037;5703734;5821327;21472788;17954235;5598421;21478620;17948130;20154414;21640395;5596806;17043259;13023134;5993550;5833181;5755601;23582746;21475572;21937417;22096895;20000175;5681787;21476474;20245898;6245810</vt:lpwstr>
  </property>
  <property fmtid="{D5CDD505-2E9C-101B-9397-08002B2CF9AE}" pid="9" name="CASESLISTTMP2">
    <vt:lpwstr>6002633;20459463;20459516;21771409;23751419;23751415</vt:lpwstr>
  </property>
  <property fmtid="{D5CDD505-2E9C-101B-9397-08002B2CF9AE}" pid="10" name="CITY">
    <vt:lpwstr/>
  </property>
  <property fmtid="{D5CDD505-2E9C-101B-9397-08002B2CF9AE}" pid="11" name="DATE">
    <vt:lpwstr>20180816</vt:lpwstr>
  </property>
  <property fmtid="{D5CDD505-2E9C-101B-9397-08002B2CF9AE}" pid="12" name="DELEMATA">
    <vt:lpwstr/>
  </property>
  <property fmtid="{D5CDD505-2E9C-101B-9397-08002B2CF9AE}" pid="13" name="ISABSTRACT">
    <vt:lpwstr>Y</vt:lpwstr>
  </property>
  <property fmtid="{D5CDD505-2E9C-101B-9397-08002B2CF9AE}" pid="14" name="JUDGE">
    <vt:lpwstr>נ' סולברג;ד' מינץ;ע' גרוסקופף</vt:lpwstr>
  </property>
  <property fmtid="{D5CDD505-2E9C-101B-9397-08002B2CF9AE}" pid="15" name="LAWLISTTMP1">
    <vt:lpwstr>70301/144.b2:3;029:3;499.a.1;025;031:2;340a;040b;040c.a;040</vt:lpwstr>
  </property>
  <property fmtid="{D5CDD505-2E9C-101B-9397-08002B2CF9AE}" pid="16" name="LAWLISTTMP2">
    <vt:lpwstr>4216/013:2;019a:3;014</vt:lpwstr>
  </property>
  <property fmtid="{D5CDD505-2E9C-101B-9397-08002B2CF9AE}" pid="17" name="LAWYER">
    <vt:lpwstr>סיון רוסו;אבנון צבי;מאיה גלעדי ז'ולסון; ניל סיימון;דרויש נאשף;דוד זילברמן;היתם חאג' יחיא;עומר מסארווה;רביע אגרביה;חיים שוורצברג;נדיר בראנסי;זאב אלוני</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METAKZER">
    <vt:lpwstr>פאני</vt:lpwstr>
  </property>
  <property fmtid="{D5CDD505-2E9C-101B-9397-08002B2CF9AE}" pid="24" name="NEWPARTA">
    <vt:lpwstr/>
  </property>
  <property fmtid="{D5CDD505-2E9C-101B-9397-08002B2CF9AE}" pid="25" name="NEWPARTB">
    <vt:lpwstr/>
  </property>
  <property fmtid="{D5CDD505-2E9C-101B-9397-08002B2CF9AE}" pid="26" name="NEWPARTC">
    <vt:lpwstr/>
  </property>
  <property fmtid="{D5CDD505-2E9C-101B-9397-08002B2CF9AE}" pid="27" name="NEWPROC">
    <vt:lpwstr/>
  </property>
  <property fmtid="{D5CDD505-2E9C-101B-9397-08002B2CF9AE}" pid="28" name="NOSE11">
    <vt:lpwstr>עונשין</vt:lpwstr>
  </property>
  <property fmtid="{D5CDD505-2E9C-101B-9397-08002B2CF9AE}" pid="29" name="NOSE110">
    <vt:lpwstr/>
  </property>
  <property fmtid="{D5CDD505-2E9C-101B-9397-08002B2CF9AE}" pid="30" name="NOSE12">
    <vt:lpwstr>עונשין</vt:lpwstr>
  </property>
  <property fmtid="{D5CDD505-2E9C-101B-9397-08002B2CF9AE}" pid="31" name="NOSE13">
    <vt:lpwstr>עונשין</vt:lpwstr>
  </property>
  <property fmtid="{D5CDD505-2E9C-101B-9397-08002B2CF9AE}" pid="32" name="NOSE14">
    <vt:lpwstr>עונשין</vt:lpwstr>
  </property>
  <property fmtid="{D5CDD505-2E9C-101B-9397-08002B2CF9AE}" pid="33" name="NOSE15">
    <vt:lpwstr>עונשין</vt:lpwstr>
  </property>
  <property fmtid="{D5CDD505-2E9C-101B-9397-08002B2CF9AE}" pid="34" name="NOSE16">
    <vt:lpwstr>עונשין</vt:lpwstr>
  </property>
  <property fmtid="{D5CDD505-2E9C-101B-9397-08002B2CF9AE}" pid="35" name="NOSE17">
    <vt:lpwstr/>
  </property>
  <property fmtid="{D5CDD505-2E9C-101B-9397-08002B2CF9AE}" pid="36" name="NOSE18">
    <vt:lpwstr/>
  </property>
  <property fmtid="{D5CDD505-2E9C-101B-9397-08002B2CF9AE}" pid="37" name="NOSE19">
    <vt:lpwstr/>
  </property>
  <property fmtid="{D5CDD505-2E9C-101B-9397-08002B2CF9AE}" pid="38" name="NOSE1ID">
    <vt:lpwstr>77;77;77;77;77;77</vt:lpwstr>
  </property>
  <property fmtid="{D5CDD505-2E9C-101B-9397-08002B2CF9AE}" pid="39" name="NOSE21">
    <vt:lpwstr>ענישה</vt:lpwstr>
  </property>
  <property fmtid="{D5CDD505-2E9C-101B-9397-08002B2CF9AE}" pid="40" name="NOSE210">
    <vt:lpwstr/>
  </property>
  <property fmtid="{D5CDD505-2E9C-101B-9397-08002B2CF9AE}" pid="41" name="NOSE22">
    <vt:lpwstr>ענישה</vt:lpwstr>
  </property>
  <property fmtid="{D5CDD505-2E9C-101B-9397-08002B2CF9AE}" pid="42" name="NOSE23">
    <vt:lpwstr>ענישה</vt:lpwstr>
  </property>
  <property fmtid="{D5CDD505-2E9C-101B-9397-08002B2CF9AE}" pid="43" name="NOSE24">
    <vt:lpwstr>ענישה</vt:lpwstr>
  </property>
  <property fmtid="{D5CDD505-2E9C-101B-9397-08002B2CF9AE}" pid="44" name="NOSE25">
    <vt:lpwstr>ענישה</vt:lpwstr>
  </property>
  <property fmtid="{D5CDD505-2E9C-101B-9397-08002B2CF9AE}" pid="45" name="NOSE26">
    <vt:lpwstr>ענישה</vt:lpwstr>
  </property>
  <property fmtid="{D5CDD505-2E9C-101B-9397-08002B2CF9AE}" pid="46" name="NOSE27">
    <vt:lpwstr/>
  </property>
  <property fmtid="{D5CDD505-2E9C-101B-9397-08002B2CF9AE}" pid="47" name="NOSE28">
    <vt:lpwstr/>
  </property>
  <property fmtid="{D5CDD505-2E9C-101B-9397-08002B2CF9AE}" pid="48" name="NOSE29">
    <vt:lpwstr/>
  </property>
  <property fmtid="{D5CDD505-2E9C-101B-9397-08002B2CF9AE}" pid="49" name="NOSE2ID">
    <vt:lpwstr>1446;1446;1446;1446;1446;1446</vt:lpwstr>
  </property>
  <property fmtid="{D5CDD505-2E9C-101B-9397-08002B2CF9AE}" pid="50" name="NOSE31">
    <vt:lpwstr>מדיניות ענישה: עבירות נשק</vt:lpwstr>
  </property>
  <property fmtid="{D5CDD505-2E9C-101B-9397-08002B2CF9AE}" pid="51" name="NOSE310">
    <vt:lpwstr/>
  </property>
  <property fmtid="{D5CDD505-2E9C-101B-9397-08002B2CF9AE}" pid="52" name="NOSE32">
    <vt:lpwstr>מדיניות ענישה: שיקולים לקולה</vt:lpwstr>
  </property>
  <property fmtid="{D5CDD505-2E9C-101B-9397-08002B2CF9AE}" pid="53" name="NOSE33">
    <vt:lpwstr>מדיניות ענישה: שיקולים לחומרה</vt:lpwstr>
  </property>
  <property fmtid="{D5CDD505-2E9C-101B-9397-08002B2CF9AE}" pid="54" name="NOSE34">
    <vt:lpwstr>מדיניות ענישה: התערבות ערכאת ערעור</vt:lpwstr>
  </property>
  <property fmtid="{D5CDD505-2E9C-101B-9397-08002B2CF9AE}" pid="55" name="NOSE35">
    <vt:lpwstr>מתחם הענישה</vt:lpwstr>
  </property>
  <property fmtid="{D5CDD505-2E9C-101B-9397-08002B2CF9AE}" pid="56" name="NOSE36">
    <vt:lpwstr>אחדות הענישה</vt:lpwstr>
  </property>
  <property fmtid="{D5CDD505-2E9C-101B-9397-08002B2CF9AE}" pid="57" name="NOSE37">
    <vt:lpwstr/>
  </property>
  <property fmtid="{D5CDD505-2E9C-101B-9397-08002B2CF9AE}" pid="58" name="NOSE38">
    <vt:lpwstr/>
  </property>
  <property fmtid="{D5CDD505-2E9C-101B-9397-08002B2CF9AE}" pid="59" name="NOSE39">
    <vt:lpwstr/>
  </property>
  <property fmtid="{D5CDD505-2E9C-101B-9397-08002B2CF9AE}" pid="60" name="NOSE3ID">
    <vt:lpwstr>13800;8996;8995;8982;14985;12547</vt:lpwstr>
  </property>
  <property fmtid="{D5CDD505-2E9C-101B-9397-08002B2CF9AE}" pid="61" name="PADIDATE">
    <vt:lpwstr>20180819</vt:lpwstr>
  </property>
  <property fmtid="{D5CDD505-2E9C-101B-9397-08002B2CF9AE}" pid="62" name="PADIMAIL">
    <vt:lpwstr>YES</vt:lpwstr>
  </property>
  <property fmtid="{D5CDD505-2E9C-101B-9397-08002B2CF9AE}" pid="63" name="PAGE">
    <vt:lpwstr/>
  </property>
  <property fmtid="{D5CDD505-2E9C-101B-9397-08002B2CF9AE}" pid="64" name="PART">
    <vt:lpwstr/>
  </property>
  <property fmtid="{D5CDD505-2E9C-101B-9397-08002B2CF9AE}" pid="65" name="PROCESS">
    <vt:lpwstr>עפ;עפ;עפ;עפ;עפ;עפ;עפ</vt:lpwstr>
  </property>
  <property fmtid="{D5CDD505-2E9C-101B-9397-08002B2CF9AE}" pid="66" name="PROCNUM">
    <vt:lpwstr>8045;8341;8347;1010;1060;1175;2732</vt:lpwstr>
  </property>
  <property fmtid="{D5CDD505-2E9C-101B-9397-08002B2CF9AE}" pid="67" name="PROCYEAR">
    <vt:lpwstr>17;17;17;18;18;18;18</vt:lpwstr>
  </property>
  <property fmtid="{D5CDD505-2E9C-101B-9397-08002B2CF9AE}" pid="68" name="PSAKDIN">
    <vt:lpwstr>פסק-דין</vt:lpwstr>
  </property>
  <property fmtid="{D5CDD505-2E9C-101B-9397-08002B2CF9AE}" pid="69" name="TYPE">
    <vt:lpwstr>1</vt:lpwstr>
  </property>
  <property fmtid="{D5CDD505-2E9C-101B-9397-08002B2CF9AE}" pid="70" name="TYPE_ABS_DATE">
    <vt:lpwstr>410120180816</vt:lpwstr>
  </property>
  <property fmtid="{D5CDD505-2E9C-101B-9397-08002B2CF9AE}" pid="71" name="TYPE_N_DATE">
    <vt:lpwstr>41020180816</vt:lpwstr>
  </property>
  <property fmtid="{D5CDD505-2E9C-101B-9397-08002B2CF9AE}" pid="72" name="VOLUME">
    <vt:lpwstr/>
  </property>
  <property fmtid="{D5CDD505-2E9C-101B-9397-08002B2CF9AE}" pid="73" name="WORDNUMPAGES">
    <vt:lpwstr>36</vt:lpwstr>
  </property>
</Properties>
</file>