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tblW w:w="8522" w:type="dxa"/>
        <w:jc w:val="start"/>
        <w:tblInd w:w="-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"/>
        <w:gridCol w:w="360"/>
        <w:gridCol w:w="2590"/>
        <w:gridCol w:w="1630"/>
        <w:gridCol w:w="3872"/>
      </w:tblGrid>
      <w:tr>
        <w:trPr/>
        <w:tc>
          <w:tcPr>
            <w:tcW w:w="430" w:type="dxa"/>
            <w:gridSpan w:val="2"/>
            <w:tcBorders/>
          </w:tcPr>
          <w:p>
            <w:pPr>
              <w:pStyle w:val="TableHeading"/>
              <w:rPr>
                <w:bCs w:val="false"/>
              </w:rPr>
            </w:pPr>
            <w:r>
              <w:rPr>
                <w:bCs w:val="false"/>
                <w:rtl w:val="true"/>
              </w:rPr>
            </w:r>
          </w:p>
        </w:tc>
        <w:tc>
          <w:tcPr>
            <w:tcW w:w="809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start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465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2839/05</w:t>
            </w:r>
          </w:p>
        </w:tc>
        <w:tc>
          <w:tcPr>
            <w:tcW w:w="3872" w:type="dxa"/>
            <w:tcBorders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70" w:type="dxa"/>
            <w:tcBorders/>
          </w:tcPr>
          <w:p>
            <w:pPr>
              <w:pStyle w:val="TableContents"/>
              <w:rPr/>
            </w:pPr>
            <w:r>
              <w:rPr>
                <w:rtl w:val="true"/>
              </w:rPr>
            </w:r>
          </w:p>
        </w:tc>
        <w:tc>
          <w:tcPr>
            <w:tcW w:w="29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  <w:tc>
          <w:tcPr>
            <w:tcW w:w="55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</w:tr>
      <w:tr>
        <w:trPr>
          <w:trHeight w:val="287" w:hRule="atLeast"/>
        </w:trPr>
        <w:tc>
          <w:tcPr>
            <w:tcW w:w="70" w:type="dxa"/>
            <w:tcBorders/>
          </w:tcPr>
          <w:p>
            <w:pPr>
              <w:pStyle w:val="Normal"/>
              <w:rPr>
                <w:rFonts w:cs="Miriam"/>
                <w:b/>
                <w:bCs/>
              </w:rPr>
            </w:pPr>
            <w:r>
              <w:rPr>
                <w:rFonts w:cs="Miriam"/>
                <w:b/>
                <w:bCs/>
                <w:rtl w:val="true"/>
              </w:rPr>
            </w:r>
          </w:p>
        </w:tc>
        <w:tc>
          <w:tcPr>
            <w:tcW w:w="29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  <w:tc>
          <w:tcPr>
            <w:tcW w:w="55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tblW w:w="8452" w:type="dxa"/>
        <w:jc w:val="start"/>
        <w:tblInd w:w="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0"/>
        <w:gridCol w:w="5502"/>
      </w:tblGrid>
      <w:tr>
        <w:trPr>
          <w:trHeight w:val="287" w:hRule="atLeast"/>
        </w:trPr>
        <w:tc>
          <w:tcPr>
            <w:tcW w:w="29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  <w:tc>
          <w:tcPr>
            <w:tcW w:w="55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קאדר</w:t>
            </w:r>
          </w:p>
        </w:tc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84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9.3.05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Cs w:val="24"/>
              </w:rPr>
              <w:t>40320/04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רוזן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BodyRuller1"/>
        <w:ind w:end="0"/>
        <w:jc w:val="start"/>
        <w:rPr>
          <w:sz w:val="24"/>
          <w:szCs w:val="24"/>
        </w:rPr>
      </w:pPr>
      <w:bookmarkStart w:id="2" w:name="ABSTRACT_START"/>
      <w:bookmarkEnd w:id="2"/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sz w:val="24"/>
          <w:szCs w:val="24"/>
          <w:rtl w:val="true"/>
        </w:rPr>
        <w:t>-</w:t>
      </w:r>
      <w:bookmarkStart w:id="3" w:name="xDate"/>
      <w:r>
        <w:rPr>
          <w:sz w:val="24"/>
          <w:sz w:val="24"/>
          <w:szCs w:val="24"/>
          <w:rtl w:val="true"/>
        </w:rPr>
        <w:t>ט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ו</w:t>
      </w:r>
      <w:bookmarkEnd w:id="3"/>
      <w:r>
        <w:rPr>
          <w:rFonts w:cs="Times New Roman"/>
          <w:rtl w:val="true"/>
        </w:rPr>
        <w:t xml:space="preserve">       </w:t>
      </w:r>
      <w:r>
        <w:rPr>
          <w:rtl w:val="true"/>
        </w:rPr>
        <w:t>-</w:t>
      </w:r>
      <w:r>
        <w:rPr>
          <w:rtl w:val="true"/>
        </w:rPr>
        <w:t>(</w:t>
      </w:r>
      <w:r>
        <w:rPr/>
        <w:t>17.11.2005</w:t>
      </w:r>
      <w:r>
        <w:rPr>
          <w:rtl w:val="true"/>
        </w:rPr>
        <w:t>)</w:t>
      </w:r>
      <w:bookmarkStart w:id="4" w:name="ABSTRACT_END"/>
      <w:bookmarkEnd w:id="4"/>
    </w:p>
    <w:p>
      <w:pPr>
        <w:pStyle w:val="Ruller31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> </w:t>
      </w:r>
    </w:p>
    <w:tbl>
      <w:tblPr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  <w:gridCol w:w="3257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ברוט</w:t>
            </w:r>
          </w:p>
        </w:tc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  <w:t> 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6" w:name="PsakDin"/>
            <w:bookmarkStart w:id="7" w:name="secretary"/>
            <w:bookmarkStart w:id="8" w:name="BeginProtocol"/>
            <w:bookmarkEnd w:id="6"/>
            <w:bookmarkEnd w:id="7"/>
            <w:bookmarkEnd w:id="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> 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9" w:name="Writer_Name"/>
      <w:bookmarkEnd w:id="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rtl w:val="true"/>
        </w:rPr>
        <w:t> </w:t>
      </w:r>
    </w:p>
    <w:p>
      <w:pPr>
        <w:pStyle w:val="Ruller4"/>
        <w:ind w:end="0"/>
        <w:jc w:val="both"/>
        <w:rPr/>
      </w:pPr>
      <w:bookmarkStart w:id="10" w:name="Start_Write"/>
      <w:bookmarkEnd w:id="10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16.11.04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כורכר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שעורר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tl w:val="true"/>
        </w:rPr>
        <w:t xml:space="preserve">, </w:t>
      </w:r>
      <w:r>
        <w:rPr>
          <w:rtl w:val="true"/>
        </w:rPr>
        <w:t>ושעה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שניגשו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ראיות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מתבססות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tl w:val="true"/>
        </w:rPr>
        <w:t xml:space="preserve">, </w:t>
      </w:r>
      <w:r>
        <w:rPr>
          <w:rtl w:val="true"/>
        </w:rPr>
        <w:t>רענן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מעברה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tl w:val="true"/>
        </w:rPr>
        <w:t xml:space="preserve">, </w:t>
      </w:r>
      <w:r>
        <w:rPr>
          <w:rtl w:val="true"/>
        </w:rPr>
        <w:t>ושעה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לגינה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גרסה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רענן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גולן</w:t>
      </w:r>
      <w:r>
        <w:rPr>
          <w:rtl w:val="true"/>
        </w:rPr>
        <w:t xml:space="preserve">, </w:t>
      </w:r>
      <w:r>
        <w:rPr>
          <w:rtl w:val="true"/>
        </w:rPr>
        <w:t>שניגש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לימין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עגום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האוזן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מבצעה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ולהפליל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והאזנו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לטיעונו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זילברמן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מהלכה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ובפרוטוקול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מרחק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tl w:val="true"/>
        </w:rPr>
        <w:t xml:space="preserve">"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ובמצב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נותרת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tl w:val="true"/>
        </w:rPr>
        <w:t xml:space="preserve">, </w:t>
      </w:r>
      <w:r>
        <w:rPr>
          <w:rtl w:val="true"/>
        </w:rPr>
        <w:t>ממניע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נסתר</w:t>
      </w:r>
      <w:r>
        <w:rPr>
          <w:rtl w:val="true"/>
        </w:rPr>
        <w:t xml:space="preserve">, </w:t>
      </w:r>
      <w:r>
        <w:rPr>
          <w:rtl w:val="true"/>
        </w:rPr>
        <w:t>להפליל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והיכולת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בטענה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והערכאה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החזיק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להשלכתו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מלקחי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,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המתהלכים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כשנשק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בכיסם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 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בחשוון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17.11.2005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 </w:t>
      </w:r>
    </w:p>
    <w:p>
      <w:pPr>
        <w:pStyle w:val="Ruller4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Ruller4"/>
        <w:keepNext w:val="true"/>
        <w:ind w:end="0"/>
        <w:jc w:val="start"/>
        <w:rPr/>
      </w:pPr>
      <w:r>
        <w:rPr>
          <w:rFonts w:cs="David"/>
          <w:color w:val="000000"/>
          <w:szCs w:val="22"/>
          <w:rtl w:val="true"/>
        </w:rPr>
        <w:t>אדמונד</w:t>
      </w:r>
      <w:r>
        <w:rPr>
          <w:rFonts w:eastAsia="Arial TUR;Times New Roman" w:cs="Arial TUR;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  <w:rtl w:val="true"/>
        </w:rPr>
        <w:t>לוי</w:t>
      </w:r>
      <w:r>
        <w:rPr>
          <w:rFonts w:eastAsia="Arial TUR;Times New Roman" w:cs="Arial TUR;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54678313-2839/05</w:t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Times New Roman" w:cs="Arial TUR;Times New Roman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Times New Roman" w:cs="Arial TUR;Times New Roman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1" w:name="FileName"/>
      <w:r>
        <w:rPr>
          <w:sz w:val="16"/>
        </w:rPr>
        <w:t>05028390</w:t>
      </w:r>
      <w:r>
        <w:rPr>
          <w:sz w:val="16"/>
          <w:rtl w:val="true"/>
        </w:rPr>
        <w:t>_</w:t>
      </w:r>
      <w:r>
        <w:rPr>
          <w:sz w:val="16"/>
        </w:rPr>
        <w:t>O03.doc</w:t>
      </w:r>
      <w:bookmarkEnd w:id="11"/>
      <w:r>
        <w:rPr>
          <w:sz w:val="16"/>
          <w:rtl w:val="true"/>
        </w:rPr>
        <w:t>/</w:t>
      </w:r>
      <w:r>
        <w:rPr>
          <w:sz w:val="16"/>
          <w:sz w:val="16"/>
          <w:rtl w:val="true"/>
        </w:rPr>
        <w:t>שב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02-6593666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>
          <w:color w:val="000000"/>
        </w:rPr>
      </w:pPr>
      <w:r>
        <w:rPr>
          <w:rtl w:val="true"/>
        </w:rPr>
        <w:t> 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Times New Roman"/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/Users/liorb/Downloads/docx_citations_2020/05028390-o03-e.doc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עפ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2839/05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ראיד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Times New Roman" w:hAnsi="Arial TUR;Times New Roman" w:cs="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rt.gov.i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2005-11-21T09:45:00Z</dcterms:created>
  <dc:creator> </dc:creator>
  <dc:description/>
  <dc:language>en-IL</dc:language>
  <cp:lastModifiedBy>eli</cp:lastModifiedBy>
  <cp:lastPrinted>2005-11-20T13:36:00Z</cp:lastPrinted>
  <dcterms:modified xsi:type="dcterms:W3CDTF">2005-11-21T09:45:00Z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ראיד עבד אל קאדר</vt:lpwstr>
  </property>
  <property fmtid="{D5CDD505-2E9C-101B-9397-08002B2CF9AE}" pid="3" name="APPELLEE">
    <vt:lpwstr>מדינת ישראל</vt:lpwstr>
  </property>
  <property fmtid="{D5CDD505-2E9C-101B-9397-08002B2CF9AE}" pid="4" name="DATE">
    <vt:lpwstr>20051117</vt:lpwstr>
  </property>
  <property fmtid="{D5CDD505-2E9C-101B-9397-08002B2CF9AE}" pid="5" name="ISABSTRACT">
    <vt:lpwstr>Y</vt:lpwstr>
  </property>
  <property fmtid="{D5CDD505-2E9C-101B-9397-08002B2CF9AE}" pid="6" name="ISTECHNICAL">
    <vt:lpwstr>false</vt:lpwstr>
  </property>
  <property fmtid="{D5CDD505-2E9C-101B-9397-08002B2CF9AE}" pid="7" name="JUDGE">
    <vt:lpwstr>אדמונד לוי;אסתר חיות;עדנה ארבל</vt:lpwstr>
  </property>
  <property fmtid="{D5CDD505-2E9C-101B-9397-08002B2CF9AE}" pid="8" name="LAWYER">
    <vt:lpwstr>זילברמן דוד;פרקליטות המדינה;בת-עמי ברוט;דוד זילברמן</vt:lpwstr>
  </property>
  <property fmtid="{D5CDD505-2E9C-101B-9397-08002B2CF9AE}" pid="9" name="PROCESS">
    <vt:lpwstr>עפ</vt:lpwstr>
  </property>
  <property fmtid="{D5CDD505-2E9C-101B-9397-08002B2CF9AE}" pid="10" name="PROCNUM">
    <vt:lpwstr>2839</vt:lpwstr>
  </property>
  <property fmtid="{D5CDD505-2E9C-101B-9397-08002B2CF9AE}" pid="11" name="PROCYEAR">
    <vt:lpwstr>05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WORDNUMPAGES">
    <vt:lpwstr>3</vt:lpwstr>
  </property>
</Properties>
</file>