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5677/12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2" w:name="LastJudge"/>
      <w:bookmarkStart w:id="3" w:name="LastJudge"/>
      <w:bookmarkEnd w:id="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24-10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15.7.2012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8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1"/>
        <w:gridCol w:w="5217"/>
      </w:tblGrid>
      <w:tr>
        <w:trPr/>
        <w:tc>
          <w:tcPr>
            <w:tcW w:w="327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5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בשבט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21.1.13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דדון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מלאך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המעורב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עמאד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בצוותא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סעיפים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144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1977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שבמהלכה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ממוצב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7,500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עמאד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שבמהלכה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ממוצב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שותפות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בגניבת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בתפקיד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שנגנב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כשתפקידו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מהשותפים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להיתפס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וממליץ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קונקרטית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מוחשית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הפלייתו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לעמאד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לשוקלו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להעריכם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ולאזנם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תגשים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המשולבים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הבדלים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ההבחנה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בסיסם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עמאד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secretary"/>
            <w:bookmarkStart w:id="14" w:name="BeginProtocol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כתילי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וחברו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עמאד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הורשעו לפי הודאתם בעבירת נשיאת נשק בצוותא לפי </w:t>
      </w:r>
      <w:hyperlink r:id="rId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בלילה שבין </w:t>
      </w:r>
      <w:r>
        <w:rPr/>
        <w:t>1-2.10.2009</w:t>
      </w:r>
      <w:r>
        <w:rPr>
          <w:rtl w:val="true"/>
        </w:rPr>
        <w:t xml:space="preserve"> </w:t>
      </w:r>
      <w:r>
        <w:rPr>
          <w:rtl w:val="true"/>
        </w:rPr>
        <w:t xml:space="preserve">נסע עמאד יחד עם שניים אחרים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Cs w:val="24"/>
          <w:rtl w:val="true"/>
        </w:rPr>
        <w:t>סארי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cs="Miriam"/>
          <w:szCs w:val="24"/>
          <w:rtl w:val="true"/>
        </w:rPr>
        <w:t>אמל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ברכבו של אמל</w:t>
      </w:r>
      <w:r>
        <w:rPr>
          <w:rtl w:val="true"/>
        </w:rPr>
        <w:t xml:space="preserve">, </w:t>
      </w:r>
      <w:r>
        <w:rPr>
          <w:rtl w:val="true"/>
        </w:rPr>
        <w:t>למוצב צה</w:t>
      </w:r>
      <w:r>
        <w:rPr>
          <w:rtl w:val="true"/>
        </w:rPr>
        <w:t>"</w:t>
      </w:r>
      <w:r>
        <w:rPr>
          <w:rtl w:val="true"/>
        </w:rPr>
        <w:t xml:space="preserve">ל סמוך לקיבוץ יפתח אשר צמוד לגבול עם לבנון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Cs w:val="24"/>
          <w:rtl w:val="true"/>
        </w:rPr>
        <w:t>המוצב</w:t>
      </w:r>
      <w:r>
        <w:rPr>
          <w:rtl w:val="true"/>
        </w:rPr>
        <w:t xml:space="preserve">). </w:t>
      </w:r>
      <w:r>
        <w:rPr>
          <w:rtl w:val="true"/>
        </w:rPr>
        <w:t>במועד העבירה</w:t>
      </w:r>
      <w:r>
        <w:rPr>
          <w:rtl w:val="true"/>
        </w:rPr>
        <w:t xml:space="preserve">, </w:t>
      </w:r>
      <w:r>
        <w:rPr>
          <w:rtl w:val="true"/>
        </w:rPr>
        <w:t>שירת סארי כלוחם במוצב</w:t>
      </w:r>
      <w:r>
        <w:rPr>
          <w:rtl w:val="true"/>
        </w:rPr>
        <w:t xml:space="preserve">, </w:t>
      </w:r>
      <w:r>
        <w:rPr>
          <w:rtl w:val="true"/>
        </w:rPr>
        <w:t>והיה מודע לנהלי האבטחה הנוהגים בו</w:t>
      </w:r>
      <w:r>
        <w:rPr>
          <w:rtl w:val="true"/>
        </w:rPr>
        <w:t xml:space="preserve">, </w:t>
      </w:r>
      <w:r>
        <w:rPr>
          <w:rtl w:val="true"/>
        </w:rPr>
        <w:t xml:space="preserve">ולקיומו של כלי נשק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 </w:t>
      </w:r>
      <w:r>
        <w:rPr>
          <w:rtl w:val="true"/>
        </w:rPr>
        <w:t xml:space="preserve">אשר הותקן דרך קבע על גבי רכב קרב שהוצב בכביש הגישה למוצב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Cs w:val="24"/>
          <w:rtl w:val="true"/>
        </w:rPr>
        <w:t>המאג</w:t>
      </w:r>
      <w:r>
        <w:rPr>
          <w:rtl w:val="true"/>
        </w:rPr>
        <w:t xml:space="preserve">). </w:t>
      </w:r>
      <w:r>
        <w:rPr>
          <w:rtl w:val="true"/>
        </w:rPr>
        <w:t>לאחר שהחלו השלושה בנסיעה</w:t>
      </w:r>
      <w:r>
        <w:rPr>
          <w:rtl w:val="true"/>
        </w:rPr>
        <w:t xml:space="preserve">, </w:t>
      </w:r>
      <w:r>
        <w:rPr>
          <w:rtl w:val="true"/>
        </w:rPr>
        <w:t>התקשר אמל למערער וביקש ממנו להתלוות לנסיעה למוצב ברכב נוסף</w:t>
      </w:r>
      <w:r>
        <w:rPr>
          <w:rtl w:val="true"/>
        </w:rPr>
        <w:t xml:space="preserve">, </w:t>
      </w:r>
      <w:r>
        <w:rPr>
          <w:rtl w:val="true"/>
        </w:rPr>
        <w:t>ולהוביל את רכבם של השלושה למוצב בנסיעה לפניהם</w:t>
      </w:r>
      <w:r>
        <w:rPr>
          <w:rtl w:val="true"/>
        </w:rPr>
        <w:t xml:space="preserve">. </w:t>
      </w:r>
      <w:r>
        <w:rPr>
          <w:rtl w:val="true"/>
        </w:rPr>
        <w:t>בהגיעם של הארבעה למוצב</w:t>
      </w:r>
      <w:r>
        <w:rPr>
          <w:rtl w:val="true"/>
        </w:rPr>
        <w:t xml:space="preserve">, </w:t>
      </w:r>
      <w:r>
        <w:rPr>
          <w:rtl w:val="true"/>
        </w:rPr>
        <w:t>יצאו סארי ואמל מהרכב</w:t>
      </w:r>
      <w:r>
        <w:rPr>
          <w:rtl w:val="true"/>
        </w:rPr>
        <w:t xml:space="preserve">, </w:t>
      </w:r>
      <w:r>
        <w:rPr>
          <w:rtl w:val="true"/>
        </w:rPr>
        <w:t>גנבו את המאג והסתירו אותו בתא המטען של רכבו של אמל</w:t>
      </w:r>
      <w:r>
        <w:rPr>
          <w:rtl w:val="true"/>
        </w:rPr>
        <w:t xml:space="preserve">. </w:t>
      </w:r>
      <w:r>
        <w:rPr>
          <w:rtl w:val="true"/>
        </w:rPr>
        <w:t>לאחר מכן נסעו הארבעה מהמקום</w:t>
      </w:r>
      <w:r>
        <w:rPr>
          <w:rtl w:val="true"/>
        </w:rPr>
        <w:t xml:space="preserve">, </w:t>
      </w:r>
      <w:r>
        <w:rPr>
          <w:rtl w:val="true"/>
        </w:rPr>
        <w:t>כשהמערער נוסע ברכבו לפנים</w:t>
      </w:r>
      <w:r>
        <w:rPr>
          <w:rtl w:val="true"/>
        </w:rPr>
        <w:t xml:space="preserve">, </w:t>
      </w:r>
      <w:r>
        <w:rPr>
          <w:rtl w:val="true"/>
        </w:rPr>
        <w:t>ושלושת האחרים נוסעים בעקבותיו ברכבו של אמל</w:t>
      </w:r>
      <w:r>
        <w:rPr>
          <w:rtl w:val="true"/>
        </w:rPr>
        <w:t xml:space="preserve">, </w:t>
      </w:r>
      <w:r>
        <w:rPr>
          <w:rtl w:val="true"/>
        </w:rPr>
        <w:t>עד להגיעם לחורפיש</w:t>
      </w:r>
      <w:r>
        <w:rPr>
          <w:rtl w:val="true"/>
        </w:rPr>
        <w:t xml:space="preserve">, </w:t>
      </w:r>
      <w:r>
        <w:rPr>
          <w:rtl w:val="true"/>
        </w:rPr>
        <w:t>מקום מגוריו של המערער</w:t>
      </w:r>
      <w:r>
        <w:rPr>
          <w:rtl w:val="true"/>
        </w:rPr>
        <w:t xml:space="preserve">. </w:t>
      </w:r>
      <w:r>
        <w:rPr>
          <w:rtl w:val="true"/>
        </w:rPr>
        <w:t>משם המשיכו השלושה האחרים בנסיעה לביתו של אמל בכפר ירכא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בגין פרשה זו</w:t>
      </w:r>
      <w:r>
        <w:rPr>
          <w:rtl w:val="true"/>
        </w:rPr>
        <w:t xml:space="preserve">, </w:t>
      </w:r>
      <w:r>
        <w:rPr>
          <w:rtl w:val="true"/>
        </w:rPr>
        <w:t>ואחרות שבהן היה מעורב אמל</w:t>
      </w:r>
      <w:r>
        <w:rPr>
          <w:rtl w:val="true"/>
        </w:rPr>
        <w:t xml:space="preserve">, </w:t>
      </w:r>
      <w:r>
        <w:rPr>
          <w:rtl w:val="true"/>
        </w:rPr>
        <w:t>שכללו עבירות מתחום הסמים והנשק</w:t>
      </w:r>
      <w:r>
        <w:rPr>
          <w:rtl w:val="true"/>
        </w:rPr>
        <w:t xml:space="preserve">, </w:t>
      </w:r>
      <w:r>
        <w:rPr>
          <w:rtl w:val="true"/>
        </w:rPr>
        <w:t xml:space="preserve">גזר עליו בית המשפט המחוזי בנצרת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כתילי</w:t>
      </w:r>
      <w:r>
        <w:rPr>
          <w:rtl w:val="true"/>
        </w:rPr>
        <w:t xml:space="preserve">) </w:t>
      </w:r>
      <w:r>
        <w:rPr>
          <w:rtl w:val="true"/>
        </w:rPr>
        <w:t>שבע וחצי שנות מאסר בפועל</w:t>
      </w:r>
      <w:r>
        <w:rPr>
          <w:rtl w:val="true"/>
        </w:rPr>
        <w:t xml:space="preserve">, </w:t>
      </w:r>
      <w:r>
        <w:rPr>
          <w:rtl w:val="true"/>
        </w:rPr>
        <w:t>שנתיים וחצי מאסר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וכן נפסל רישיונו לתקופה של שלוש שנים מיום שחרורו מהכלא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30-10</w:t>
      </w:r>
      <w:r>
        <w:rPr>
          <w:rtl w:val="true"/>
        </w:rPr>
        <w:t xml:space="preserve">). </w:t>
      </w:r>
      <w:r>
        <w:rPr>
          <w:rtl w:val="true"/>
        </w:rPr>
        <w:t xml:space="preserve">בגין מעורבותו בפרשה זו ובפרשה נוספת גזר על סארי בית הדין הצבאי </w:t>
      </w:r>
      <w:bookmarkStart w:id="18" w:name="PsakDin"/>
      <w:r>
        <w:rPr>
          <w:rtl w:val="true"/>
        </w:rPr>
        <w:t xml:space="preserve">לערעורים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המשנה לנשיא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פיילס</w:t>
      </w:r>
      <w:r>
        <w:rPr>
          <w:rtl w:val="true"/>
        </w:rPr>
        <w:t xml:space="preserve">, </w:t>
      </w:r>
      <w:r>
        <w:rPr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קלוס</w:t>
      </w:r>
      <w:r>
        <w:rPr>
          <w:rtl w:val="true"/>
        </w:rPr>
        <w:t xml:space="preserve">) </w:t>
      </w:r>
      <w:r>
        <w:rPr>
          <w:rtl w:val="true"/>
        </w:rPr>
        <w:t>שש שנות מאסר בפועל</w:t>
      </w:r>
      <w:r>
        <w:rPr>
          <w:rtl w:val="true"/>
        </w:rPr>
        <w:t xml:space="preserve">, </w:t>
      </w:r>
      <w:bookmarkEnd w:id="18"/>
      <w:r>
        <w:rPr>
          <w:rtl w:val="true"/>
        </w:rPr>
        <w:t>חמש שנים ושלושה חודשים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והורדה לדרגת טוראי </w:t>
      </w:r>
      <w:r>
        <w:rPr>
          <w:rtl w:val="true"/>
        </w:rPr>
        <w:t>(</w:t>
      </w:r>
      <w:r>
        <w:rPr>
          <w:rtl w:val="true"/>
        </w:rPr>
        <w:t>עבמ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tl w:val="true"/>
        </w:rPr>
        <w:t xml:space="preserve">) </w:t>
      </w:r>
      <w:r>
        <w:rPr/>
        <w:t>28/11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בית המשפט המחוזי בנצרת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כתילי</w:t>
      </w:r>
      <w:r>
        <w:rPr>
          <w:rtl w:val="true"/>
        </w:rPr>
        <w:t xml:space="preserve">) </w:t>
      </w:r>
      <w:r>
        <w:rPr>
          <w:rtl w:val="true"/>
        </w:rPr>
        <w:t xml:space="preserve">גזר על המערער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וכן קנס בסך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עמאד נגזרו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עבודות שירות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וכן קנס בסך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עמד בית המשפט על שיקולי הענישה הישימים בעניינם של המערער ועמאד</w:t>
      </w:r>
      <w:r>
        <w:rPr>
          <w:rtl w:val="true"/>
        </w:rPr>
        <w:t xml:space="preserve">. </w:t>
      </w:r>
      <w:r>
        <w:rPr>
          <w:rtl w:val="true"/>
        </w:rPr>
        <w:t>לחומרת שניהם נזקף פוטנציאל הנזק הגבוה שטמון בנשק המאג</w:t>
      </w:r>
      <w:r>
        <w:rPr>
          <w:rtl w:val="true"/>
        </w:rPr>
        <w:t xml:space="preserve">, </w:t>
      </w:r>
      <w:r>
        <w:rPr>
          <w:rtl w:val="true"/>
        </w:rPr>
        <w:t>וכן העובדה שהנשק נגנב מבסיס צה</w:t>
      </w:r>
      <w:r>
        <w:rPr>
          <w:rtl w:val="true"/>
        </w:rPr>
        <w:t>"</w:t>
      </w:r>
      <w:r>
        <w:rPr>
          <w:rtl w:val="true"/>
        </w:rPr>
        <w:t>ל שממוקם על גבול המדינה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 בית המשפט שלחובתם של המערער ועמאד לא נזקפות הרשעות קודמות</w:t>
      </w:r>
      <w:r>
        <w:rPr>
          <w:rtl w:val="true"/>
        </w:rPr>
        <w:t xml:space="preserve">, </w:t>
      </w:r>
      <w:r>
        <w:rPr>
          <w:rtl w:val="true"/>
        </w:rPr>
        <w:t>את העובדה ששניהם הביעו צער על וחרטה על מעשיהם</w:t>
      </w:r>
      <w:r>
        <w:rPr>
          <w:rtl w:val="true"/>
        </w:rPr>
        <w:t xml:space="preserve">, </w:t>
      </w:r>
      <w:r>
        <w:rPr>
          <w:rtl w:val="true"/>
        </w:rPr>
        <w:t>ואת גילו הצעיר של עמאד</w:t>
      </w:r>
      <w:r>
        <w:rPr>
          <w:rtl w:val="true"/>
        </w:rPr>
        <w:t xml:space="preserve">, </w:t>
      </w:r>
      <w:r>
        <w:rPr>
          <w:rtl w:val="true"/>
        </w:rPr>
        <w:t>שסיים את לימודיו בבית ספר תיכון זמן קצר עובר למועד ביצוע העבירה</w:t>
      </w:r>
      <w:r>
        <w:rPr>
          <w:rtl w:val="true"/>
        </w:rPr>
        <w:t xml:space="preserve">. </w:t>
      </w:r>
      <w:r>
        <w:rPr>
          <w:rtl w:val="true"/>
        </w:rPr>
        <w:t>בנוסף עמד בית המשפט קמא על ההבדלים בין חלקו של עמאד בפרשה לחלקו של המערער</w:t>
      </w:r>
      <w:r>
        <w:rPr>
          <w:rtl w:val="true"/>
        </w:rPr>
        <w:t xml:space="preserve">. </w:t>
      </w:r>
      <w:r>
        <w:rPr>
          <w:rtl w:val="true"/>
        </w:rPr>
        <w:t>נקבע שהשתתפותו של עמאד בעבירה הייתה על דרך המחדל</w:t>
      </w:r>
      <w:r>
        <w:rPr>
          <w:rtl w:val="true"/>
        </w:rPr>
        <w:t xml:space="preserve">, </w:t>
      </w:r>
      <w:r>
        <w:rPr>
          <w:rtl w:val="true"/>
        </w:rPr>
        <w:t>ושלא ניתן לשלול את טענתו שלפיה לא ידע על מטרת הנסיעה כאשר הצטרף אליה לאחר שבילה עם סארי ואמל בחתונה באותו ערב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ציין בשיחה עם נציגת שירות המבחן כי הוא התבקש לנסוע לפני חבריו ברכב נפרד על מנת לוודא כי אין בדרכם גורמי ביטחון</w:t>
      </w:r>
      <w:r>
        <w:rPr>
          <w:rtl w:val="true"/>
        </w:rPr>
        <w:t xml:space="preserve">, </w:t>
      </w:r>
      <w:r>
        <w:rPr>
          <w:rtl w:val="true"/>
        </w:rPr>
        <w:t>על אף ששלל באותה שיחה מודעות לאופי הפלילי של המעשה מצידו</w:t>
      </w:r>
      <w:r>
        <w:rPr>
          <w:rtl w:val="true"/>
        </w:rPr>
        <w:t xml:space="preserve">. </w:t>
      </w:r>
      <w:r>
        <w:rPr>
          <w:rtl w:val="true"/>
        </w:rPr>
        <w:t>בנסיבות אלו נקבע שחלקו של עמאד בביצוע העבירה פחות מזה של המערער</w:t>
      </w:r>
      <w:r>
        <w:rPr>
          <w:rtl w:val="true"/>
        </w:rPr>
        <w:t xml:space="preserve">. </w:t>
      </w:r>
      <w:r>
        <w:rPr>
          <w:rtl w:val="true"/>
        </w:rPr>
        <w:t>כן ציין בית המשפט את המלצותיו של שירות המבחן</w:t>
      </w:r>
      <w:r>
        <w:rPr>
          <w:rtl w:val="true"/>
        </w:rPr>
        <w:t xml:space="preserve">, </w:t>
      </w:r>
      <w:r>
        <w:rPr>
          <w:rtl w:val="true"/>
        </w:rPr>
        <w:t>אשר המליץ להטיל עונש מאסר בפועל על המערער בלבד</w:t>
      </w:r>
      <w:r>
        <w:rPr>
          <w:rtl w:val="true"/>
        </w:rPr>
        <w:t xml:space="preserve">, </w:t>
      </w:r>
      <w:r>
        <w:rPr>
          <w:rtl w:val="true"/>
        </w:rPr>
        <w:t>ולהימנע מהטלת עונש שכזה על עמאד</w:t>
      </w:r>
      <w:r>
        <w:rPr>
          <w:rtl w:val="true"/>
        </w:rPr>
        <w:t xml:space="preserve">. </w:t>
      </w:r>
      <w:r>
        <w:rPr>
          <w:rtl w:val="true"/>
        </w:rPr>
        <w:t>נוכח מכלול האמור</w:t>
      </w:r>
      <w:r>
        <w:rPr>
          <w:rtl w:val="true"/>
        </w:rPr>
        <w:t xml:space="preserve">, </w:t>
      </w:r>
      <w:r>
        <w:rPr>
          <w:rtl w:val="true"/>
        </w:rPr>
        <w:t>קיבל בית המשפט קמא את המלצות שירות המבחן</w:t>
      </w:r>
      <w:r>
        <w:rPr>
          <w:rtl w:val="true"/>
        </w:rPr>
        <w:t xml:space="preserve">, </w:t>
      </w:r>
      <w:r>
        <w:rPr>
          <w:rtl w:val="true"/>
        </w:rPr>
        <w:t>וגזר על עמאד עונש שלא כולל רכיב של מאסר בפועל</w:t>
      </w:r>
      <w:r>
        <w:rPr>
          <w:rtl w:val="true"/>
        </w:rPr>
        <w:t xml:space="preserve">, </w:t>
      </w:r>
      <w:r>
        <w:rPr>
          <w:rtl w:val="true"/>
        </w:rPr>
        <w:t>בעוד שעל המערער נגזרו העונשים המנויים לעיל</w:t>
      </w:r>
      <w:r>
        <w:rPr>
          <w:rtl w:val="true"/>
        </w:rPr>
        <w:t xml:space="preserve">, </w:t>
      </w:r>
      <w:r>
        <w:rPr>
          <w:rtl w:val="true"/>
        </w:rPr>
        <w:t>אשר כוללים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 של המערער טוענת נגד חומרת העונש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 היה מקום לגזור על המערער עונש חמור יותר מזה שנגזר על עמאד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בגזר הדין הופר עיקרון אחדות הענישה המורה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שאחריות משותפת לדבר עבירה תבוא לידי ביטוי בענישה זהה למבצעים בצוותא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 שבדומה לעמאד</w:t>
      </w:r>
      <w:r>
        <w:rPr>
          <w:rtl w:val="true"/>
        </w:rPr>
        <w:t xml:space="preserve">, </w:t>
      </w:r>
      <w:r>
        <w:rPr>
          <w:rtl w:val="true"/>
        </w:rPr>
        <w:t>כתב האישום איננו מייחס למערער מודעות למטרות הנסיעה</w:t>
      </w:r>
      <w:r>
        <w:rPr>
          <w:rtl w:val="true"/>
        </w:rPr>
        <w:t xml:space="preserve">; </w:t>
      </w:r>
      <w:r>
        <w:rPr>
          <w:rtl w:val="true"/>
        </w:rPr>
        <w:t>שהמערער צעיר אף הוא</w:t>
      </w:r>
      <w:r>
        <w:rPr>
          <w:rtl w:val="true"/>
        </w:rPr>
        <w:t xml:space="preserve">, </w:t>
      </w:r>
      <w:r>
        <w:rPr>
          <w:rtl w:val="true"/>
        </w:rPr>
        <w:t>ושעברו נקי ממעורבות בפלילים</w:t>
      </w:r>
      <w:r>
        <w:rPr>
          <w:rtl w:val="true"/>
        </w:rPr>
        <w:t xml:space="preserve">; </w:t>
      </w:r>
      <w:r>
        <w:rPr>
          <w:rtl w:val="true"/>
        </w:rPr>
        <w:t>שתסקיר המבחן בענייננו של המערער מראה שבדומה לעימאד</w:t>
      </w:r>
      <w:r>
        <w:rPr>
          <w:rtl w:val="true"/>
        </w:rPr>
        <w:t xml:space="preserve">, </w:t>
      </w:r>
      <w:r>
        <w:rPr>
          <w:rtl w:val="true"/>
        </w:rPr>
        <w:t>מדובר באדם שמקיים אורחות חיים נורמטיביים</w:t>
      </w:r>
      <w:r>
        <w:rPr>
          <w:rtl w:val="true"/>
        </w:rPr>
        <w:t xml:space="preserve">; </w:t>
      </w:r>
      <w:r>
        <w:rPr>
          <w:rtl w:val="true"/>
        </w:rPr>
        <w:t>שנוכח העובדה שבעניינם של השניים התרשם שירות המבחן שיש צורך בענישה קונקרטית</w:t>
      </w:r>
      <w:r>
        <w:rPr>
          <w:rtl w:val="true"/>
        </w:rPr>
        <w:t xml:space="preserve">, </w:t>
      </w:r>
      <w:r>
        <w:rPr>
          <w:rtl w:val="true"/>
        </w:rPr>
        <w:t>לא היה מקום להמלצה לגזור על המערער מאסר בפועל</w:t>
      </w:r>
      <w:r>
        <w:rPr>
          <w:rtl w:val="true"/>
        </w:rPr>
        <w:t xml:space="preserve">, </w:t>
      </w:r>
      <w:r>
        <w:rPr>
          <w:rtl w:val="true"/>
        </w:rPr>
        <w:t>ועל עמאד עבודות שירות בלבד</w:t>
      </w:r>
      <w:r>
        <w:rPr>
          <w:rtl w:val="true"/>
        </w:rPr>
        <w:t xml:space="preserve">; </w:t>
      </w:r>
      <w:r>
        <w:rPr>
          <w:rtl w:val="true"/>
        </w:rPr>
        <w:t>ושחלקו של המערער לא היה גדול מזה של עמאד</w:t>
      </w:r>
      <w:r>
        <w:rPr>
          <w:rtl w:val="true"/>
        </w:rPr>
        <w:t xml:space="preserve">, </w:t>
      </w:r>
      <w:r>
        <w:rPr>
          <w:rtl w:val="true"/>
        </w:rPr>
        <w:t>שכן עמאד המשיך בנסיעה עם אמל וסארי</w:t>
      </w:r>
      <w:r>
        <w:rPr>
          <w:rtl w:val="true"/>
        </w:rPr>
        <w:t xml:space="preserve">, </w:t>
      </w:r>
      <w:r>
        <w:rPr>
          <w:rtl w:val="true"/>
        </w:rPr>
        <w:t>ולפיכך יכול היה להצביע על נתיב הברחתו של המאג</w:t>
      </w:r>
      <w:r>
        <w:rPr>
          <w:rtl w:val="true"/>
        </w:rPr>
        <w:t xml:space="preserve">, </w:t>
      </w:r>
      <w:r>
        <w:rPr>
          <w:rtl w:val="true"/>
        </w:rPr>
        <w:t>בנוסף נטען שהעונש שנגזר על המערער חורג לחומרה ממדיניות הענישה במקרים דומים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שהתקיים לפנינו סמך בא</w:t>
      </w:r>
      <w:r>
        <w:rPr>
          <w:rtl w:val="true"/>
        </w:rPr>
        <w:t>-</w:t>
      </w:r>
      <w:r>
        <w:rPr>
          <w:rtl w:val="true"/>
        </w:rPr>
        <w:t>כוחה של המדינה את ידו על פסק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פסק דין זה מאזן כראוי בין שיקולי הענישה נוכח חומרת העבירה</w:t>
      </w:r>
      <w:r>
        <w:rPr>
          <w:rtl w:val="true"/>
        </w:rPr>
        <w:t xml:space="preserve">. </w:t>
      </w:r>
      <w:r>
        <w:rPr>
          <w:rtl w:val="true"/>
        </w:rPr>
        <w:t>בנוסף נטען שקיימים מספר שיקולים רלוונטיים שמצדיקים את ההבחנה שנעשתה בין המערער לעמאד לצורכי ענישה</w:t>
      </w:r>
      <w:r>
        <w:rPr>
          <w:rtl w:val="true"/>
        </w:rPr>
        <w:t xml:space="preserve">, </w:t>
      </w:r>
      <w:r>
        <w:rPr>
          <w:rtl w:val="true"/>
        </w:rPr>
        <w:t>שביניהם הפער בגילאים בין השניים</w:t>
      </w:r>
      <w:r>
        <w:rPr>
          <w:rtl w:val="true"/>
        </w:rPr>
        <w:t xml:space="preserve">, </w:t>
      </w:r>
      <w:r>
        <w:rPr>
          <w:rtl w:val="true"/>
        </w:rPr>
        <w:t>כאשר עמאד היה בן מעט יותר משמונה</w:t>
      </w:r>
      <w:r>
        <w:rPr>
          <w:rtl w:val="true"/>
        </w:rPr>
        <w:t>-</w:t>
      </w:r>
      <w:r>
        <w:rPr>
          <w:rtl w:val="true"/>
        </w:rPr>
        <w:t>עשרה במועד ביצוע העבירה</w:t>
      </w:r>
      <w:r>
        <w:rPr>
          <w:rtl w:val="true"/>
        </w:rPr>
        <w:t xml:space="preserve">, </w:t>
      </w:r>
      <w:r>
        <w:rPr>
          <w:rtl w:val="true"/>
        </w:rPr>
        <w:t>ואילו המערער מבוגר ממנו בלמעלה מארבע שנים</w:t>
      </w:r>
      <w:r>
        <w:rPr>
          <w:rtl w:val="true"/>
        </w:rPr>
        <w:t xml:space="preserve">; </w:t>
      </w:r>
      <w:r>
        <w:rPr>
          <w:rtl w:val="true"/>
        </w:rPr>
        <w:t>חלקו האקטיבי של המערער בביצוע העבירה</w:t>
      </w:r>
      <w:r>
        <w:rPr>
          <w:rtl w:val="true"/>
        </w:rPr>
        <w:t xml:space="preserve">, </w:t>
      </w:r>
      <w:r>
        <w:rPr>
          <w:rtl w:val="true"/>
        </w:rPr>
        <w:t>בכך שנסע לפני האחרים ווידא שהצירים פנויים מגורמי ביטחון</w:t>
      </w:r>
      <w:r>
        <w:rPr>
          <w:rtl w:val="true"/>
        </w:rPr>
        <w:t xml:space="preserve">; </w:t>
      </w:r>
      <w:r>
        <w:rPr>
          <w:rtl w:val="true"/>
        </w:rPr>
        <w:t>והשוני בהמלצות שירות המבחן</w:t>
      </w:r>
      <w:r>
        <w:rPr>
          <w:rtl w:val="true"/>
        </w:rPr>
        <w:t xml:space="preserve">, </w:t>
      </w:r>
      <w:r>
        <w:rPr>
          <w:rtl w:val="true"/>
        </w:rPr>
        <w:t>אשר המליץ כאמור לגזור על המערער עונש מאסר בפועל</w:t>
      </w:r>
      <w:r>
        <w:rPr>
          <w:rtl w:val="true"/>
        </w:rPr>
        <w:t xml:space="preserve">, </w:t>
      </w:r>
      <w:r>
        <w:rPr>
          <w:rtl w:val="true"/>
        </w:rPr>
        <w:t>ועל עמאד עבודות שירות בלבד</w:t>
      </w:r>
      <w:r>
        <w:rPr>
          <w:rtl w:val="true"/>
        </w:rPr>
        <w:t xml:space="preserve">, </w:t>
      </w:r>
      <w:r>
        <w:rPr>
          <w:rtl w:val="true"/>
        </w:rPr>
        <w:t>נוכח החשש מהטמעת נורמות עברייניות עקב גילו הצעיר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שקילת טענות הצדדים שהוצגו לפנינו בכתב ובעל פה</w:t>
      </w:r>
      <w:r>
        <w:rPr>
          <w:rtl w:val="true"/>
        </w:rPr>
        <w:t xml:space="preserve">, </w:t>
      </w:r>
      <w:r>
        <w:rPr>
          <w:rtl w:val="true"/>
        </w:rPr>
        <w:t>כמו גם במכלול החומר המצורף לתיק</w:t>
      </w:r>
      <w:r>
        <w:rPr>
          <w:rtl w:val="true"/>
        </w:rPr>
        <w:t xml:space="preserve">, </w:t>
      </w:r>
      <w:r>
        <w:rPr>
          <w:rtl w:val="true"/>
        </w:rPr>
        <w:t>באנו למסקנה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תתערב בחומרת העונש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נמצא כי קיימת סטייה משמעותית ממדיניות הענישה הראויה או המקובלת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אלקיעאן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13.2.2011</w:t>
      </w:r>
      <w:r>
        <w:rPr>
          <w:rtl w:val="true"/>
        </w:rPr>
        <w:t xml:space="preserve">)). </w:t>
      </w:r>
      <w:r>
        <w:rPr>
          <w:rtl w:val="true"/>
        </w:rPr>
        <w:t>לא מצאנו עילה לחרוג מכלל זה בענייננו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לא הרים את הנטל להראות חריגה מרף הענישה המקובל בעבירות נשק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מדובר בעבירות חמורות שבית המשפט קבע להן רף ענישה מחמיר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8.2.2012</w:t>
      </w:r>
      <w:r>
        <w:rPr>
          <w:rtl w:val="true"/>
        </w:rPr>
        <w:t xml:space="preserve">)). </w:t>
      </w:r>
      <w:r>
        <w:rPr>
          <w:rtl w:val="true"/>
        </w:rPr>
        <w:t>כפי שכבר פסקנו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." 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חרבוש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9.6.2010</w:t>
      </w:r>
      <w:r>
        <w:rPr>
          <w:rFonts w:cs="Century" w:ascii="Century" w:hAnsi="Century"/>
          <w:rtl w:val="true"/>
        </w:rPr>
        <w:t>))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>העבירה שעבר המערער</w:t>
      </w:r>
      <w:r>
        <w:rPr>
          <w:rtl w:val="true"/>
        </w:rPr>
        <w:t xml:space="preserve">,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איננה מצויה ברף הנמוך של עבירות הנשק</w:t>
      </w:r>
      <w:r>
        <w:rPr>
          <w:rtl w:val="true"/>
        </w:rPr>
        <w:t xml:space="preserve">. </w:t>
      </w:r>
      <w:r>
        <w:rPr>
          <w:rtl w:val="true"/>
        </w:rPr>
        <w:t>המערער לקח חלק אקטיבי בפעולה שבמהלכה הועבר כלי נשק התקפי כבד ממוצב צה</w:t>
      </w:r>
      <w:r>
        <w:rPr>
          <w:rtl w:val="true"/>
        </w:rPr>
        <w:t>"</w:t>
      </w:r>
      <w:r>
        <w:rPr>
          <w:rtl w:val="true"/>
        </w:rPr>
        <w:t>ל על גבול המדינה למקום אחר</w:t>
      </w:r>
      <w:r>
        <w:rPr>
          <w:rtl w:val="true"/>
        </w:rPr>
        <w:t xml:space="preserve">. </w:t>
      </w:r>
      <w:r>
        <w:rPr>
          <w:rtl w:val="true"/>
        </w:rPr>
        <w:t>אף שכתב האישום איננו מייחס למערער שותפות בגניבת הנשק</w:t>
      </w:r>
      <w:r>
        <w:rPr>
          <w:rtl w:val="true"/>
        </w:rPr>
        <w:t xml:space="preserve">, </w:t>
      </w:r>
      <w:r>
        <w:rPr>
          <w:rtl w:val="true"/>
        </w:rPr>
        <w:t>המעשים המיוחסים לו חמורים</w:t>
      </w:r>
      <w:r>
        <w:rPr>
          <w:rtl w:val="true"/>
        </w:rPr>
        <w:t xml:space="preserve">. </w:t>
      </w:r>
      <w:r>
        <w:rPr>
          <w:rtl w:val="true"/>
        </w:rPr>
        <w:t>המערער שימש בתפקיד משמעותי במהלך הובלת הנשק שנגנב</w:t>
      </w:r>
      <w:r>
        <w:rPr>
          <w:rtl w:val="true"/>
        </w:rPr>
        <w:t xml:space="preserve">, </w:t>
      </w:r>
      <w:r>
        <w:rPr>
          <w:rtl w:val="true"/>
        </w:rPr>
        <w:t>כשתפקידו למנוע מהשותפים לעבירה להיתפס</w:t>
      </w:r>
      <w:r>
        <w:rPr>
          <w:rtl w:val="true"/>
        </w:rPr>
        <w:t xml:space="preserve">. </w:t>
      </w:r>
      <w:r>
        <w:rPr>
          <w:rtl w:val="true"/>
        </w:rPr>
        <w:t>תסקיר המבחן שהוגש בעניינו של המערער אינו כולל המלצה טיפולית</w:t>
      </w:r>
      <w:r>
        <w:rPr>
          <w:rtl w:val="true"/>
        </w:rPr>
        <w:t xml:space="preserve">, </w:t>
      </w:r>
      <w:r>
        <w:rPr>
          <w:rtl w:val="true"/>
        </w:rPr>
        <w:t>וממליץ להטיל עליו ענישה קונקרטית מוחשית ומשמעותית בדמות מאסר בפועל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לא מצאנו שהעונש שנגזר עליו חורג מרף הענישה המקובל והראוי ביחס לעבירה שבה 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 מצאנו ממש גם בטענות המערער בדבר הפלייתו לרעה ביחס לעמאד במעמד גזירת העונש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עיקרון אחידות הענישה הוא עיקרון</w:t>
      </w:r>
      <w:r>
        <w:rPr>
          <w:rtl w:val="true"/>
        </w:rPr>
        <w:t>-</w:t>
      </w:r>
      <w:r>
        <w:rPr>
          <w:rtl w:val="true"/>
        </w:rPr>
        <w:t>יסוד בתורת הענישה שלנו</w:t>
      </w:r>
      <w:r>
        <w:rPr>
          <w:rtl w:val="true"/>
        </w:rPr>
        <w:t xml:space="preserve">. </w:t>
      </w:r>
      <w:r>
        <w:rPr>
          <w:rtl w:val="true"/>
        </w:rPr>
        <w:t>עיקרון זה נגזר מעיקרון השוויון</w:t>
      </w:r>
      <w:r>
        <w:rPr>
          <w:rtl w:val="true"/>
        </w:rPr>
        <w:t xml:space="preserve">, </w:t>
      </w:r>
      <w:r>
        <w:rPr>
          <w:rtl w:val="true"/>
        </w:rPr>
        <w:t>ותמציתו היא כי במצבים דומים מבחינת אופי העבירות ונסיבותיהם האישיות של נאשמים יש להחיל</w:t>
      </w:r>
      <w:r>
        <w:rPr>
          <w:rtl w:val="true"/>
        </w:rPr>
        <w:t xml:space="preserve">, </w:t>
      </w:r>
      <w:r>
        <w:rPr>
          <w:rtl w:val="true"/>
        </w:rPr>
        <w:t>במידת האפשר</w:t>
      </w:r>
      <w:r>
        <w:rPr>
          <w:rtl w:val="true"/>
        </w:rPr>
        <w:t xml:space="preserve">, </w:t>
      </w:r>
      <w:r>
        <w:rPr>
          <w:rtl w:val="true"/>
        </w:rPr>
        <w:t xml:space="preserve">שיקולי ענישה דומים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 xml:space="preserve">). </w:t>
      </w:r>
      <w:r>
        <w:rPr>
          <w:rtl w:val="true"/>
        </w:rPr>
        <w:t>בכך נמנעת הפליה בין נאשמים</w:t>
      </w:r>
      <w:r>
        <w:rPr>
          <w:rtl w:val="true"/>
        </w:rPr>
        <w:t xml:space="preserve">, </w:t>
      </w:r>
      <w:r>
        <w:rPr>
          <w:rtl w:val="true"/>
        </w:rPr>
        <w:t>ומחוזק אמון הציבור בהליך הפלילי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עקרון אחידות הענישה אינו עומד בפני עצמו ויש </w:t>
      </w:r>
      <w:r>
        <w:rPr>
          <w:rFonts w:ascii="Century" w:hAnsi="Century" w:cs="Century"/>
          <w:rtl w:val="true"/>
        </w:rPr>
        <w:t xml:space="preserve">לשוקלו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בין מכלול שיקולים שיש להעריכם ולאזנם באיזון ראוי כדי להגיע לתוצאת ענישה שקולה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תגשים את תכלית ההגנה על עניינו של הפרט ושל הציבור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המשולבים זה בזה</w:t>
      </w:r>
      <w:r>
        <w:rPr>
          <w:rFonts w:cs="Century" w:ascii="Century" w:hAnsi="Century"/>
          <w:sz w:val="22"/>
          <w:rtl w:val="true"/>
        </w:rPr>
        <w:t>"</w:t>
      </w:r>
      <w:r>
        <w:rPr>
          <w:sz w:val="28"/>
          <w:rtl w:val="true"/>
        </w:rPr>
        <w:t xml:space="preserve"> (</w:t>
      </w:r>
      <w:hyperlink r:id="rId1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10370/02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סוויסה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>'</w:t>
      </w:r>
      <w:r>
        <w:rPr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27.5.2003</w:t>
      </w:r>
      <w:r>
        <w:rPr>
          <w:sz w:val="28"/>
          <w:rtl w:val="true"/>
        </w:rPr>
        <w:t xml:space="preserve">)) </w:t>
      </w:r>
      <w:r>
        <w:rPr>
          <w:sz w:val="28"/>
          <w:sz w:val="28"/>
          <w:rtl w:val="true"/>
        </w:rPr>
        <w:t>על שיקולים 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שאותם יש לאזן מול עיקרון אחידות הענישה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מנויים שיקולי צדק ושיקולים של אינטרס הציבור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1.4.2007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מקום בו קיימים הבדלים רלוונטיים בין נאשמים שונים בביצועה של עבירה</w:t>
      </w:r>
      <w:r>
        <w:rPr>
          <w:rtl w:val="true"/>
        </w:rPr>
        <w:t xml:space="preserve">, </w:t>
      </w:r>
      <w:r>
        <w:rPr>
          <w:rtl w:val="true"/>
        </w:rPr>
        <w:t>ברי כי ההבחנה בין הנאשמים על בסיסם איננה עולה כדי פגיעה בשוויון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קיימים הבדלים משמעותיים בין ענייננו של המערער לזה של עמאד</w:t>
      </w:r>
      <w:r>
        <w:rPr>
          <w:rtl w:val="true"/>
        </w:rPr>
        <w:t xml:space="preserve">, </w:t>
      </w:r>
      <w:r>
        <w:rPr>
          <w:rtl w:val="true"/>
        </w:rPr>
        <w:t>הן מבחינת נתוניהם האישיים</w:t>
      </w:r>
      <w:r>
        <w:rPr>
          <w:rtl w:val="true"/>
        </w:rPr>
        <w:t xml:space="preserve">, </w:t>
      </w:r>
      <w:r>
        <w:rPr>
          <w:rtl w:val="true"/>
        </w:rPr>
        <w:t>הן מבחינת חלקם בביצוע העבירה</w:t>
      </w:r>
      <w:r>
        <w:rPr>
          <w:rtl w:val="true"/>
        </w:rPr>
        <w:t xml:space="preserve">. </w:t>
      </w:r>
      <w:r>
        <w:rPr>
          <w:rtl w:val="true"/>
        </w:rPr>
        <w:t>הבדלים אלה הם שעמדו בבסיס המלצות הענישה השונות מטעם שירות המבחן בעניינם של עמאד והמערער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במועד ביצוע העבירה היה עמאד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ומספר חודשים</w:t>
      </w:r>
      <w:r>
        <w:rPr>
          <w:rtl w:val="true"/>
        </w:rPr>
        <w:t xml:space="preserve">, </w:t>
      </w:r>
      <w:r>
        <w:rPr>
          <w:rtl w:val="true"/>
        </w:rPr>
        <w:t>ואילו המערער היה מבוגר ממנו בלמעלה מארבע שנים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קיים שוני בחלקם של האחרונים באירוע</w:t>
      </w:r>
      <w:r>
        <w:rPr>
          <w:rtl w:val="true"/>
        </w:rPr>
        <w:t xml:space="preserve">, </w:t>
      </w:r>
      <w:r>
        <w:rPr>
          <w:rtl w:val="true"/>
        </w:rPr>
        <w:t>עליו עמד בית המשפט המחוזי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קיים שוני משמעותי בהמלצת שירות המבחן שנכללה בתסקירים שהוגשו בעניינם של השניים</w:t>
      </w:r>
      <w:r>
        <w:rPr>
          <w:rtl w:val="true"/>
        </w:rPr>
        <w:t xml:space="preserve">. </w:t>
      </w:r>
      <w:r>
        <w:rPr>
          <w:rtl w:val="true"/>
        </w:rPr>
        <w:t>בעניינו של עמאד</w:t>
      </w:r>
      <w:r>
        <w:rPr>
          <w:rtl w:val="true"/>
        </w:rPr>
        <w:t xml:space="preserve">, </w:t>
      </w:r>
      <w:r>
        <w:rPr>
          <w:rtl w:val="true"/>
        </w:rPr>
        <w:t>הומלץ להימנע מעונש מאסר בפועל</w:t>
      </w:r>
      <w:r>
        <w:rPr>
          <w:rtl w:val="true"/>
        </w:rPr>
        <w:t xml:space="preserve">; </w:t>
      </w:r>
      <w:r>
        <w:rPr>
          <w:rtl w:val="true"/>
        </w:rPr>
        <w:t>ואילו בעניינו של המערער</w:t>
      </w:r>
      <w:r>
        <w:rPr>
          <w:rtl w:val="true"/>
        </w:rPr>
        <w:t xml:space="preserve">, </w:t>
      </w:r>
      <w:r>
        <w:rPr>
          <w:rtl w:val="true"/>
        </w:rPr>
        <w:t>נמצא שיש להטיל עונש שיכלול רכיב של מאסר בפועל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לא נפל בעונשים השונים שנגזרו על השניים פגם המצדיק התערבותה של ערכאת הערעור</w:t>
      </w:r>
      <w:r>
        <w:rPr>
          <w:rtl w:val="true"/>
        </w:rPr>
        <w:t xml:space="preserve">, </w:t>
      </w:r>
      <w:r>
        <w:rPr>
          <w:rtl w:val="true"/>
        </w:rPr>
        <w:t>ואין ללמוד גזירה שווה מהעונש הקל יותר שהושת על עמאד לעניינו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17.2.2013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31.1.2013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54678313-5677/12</w:t>
      </w:r>
    </w:p>
    <w:p>
      <w:pPr>
        <w:pStyle w:val="Ruller4"/>
        <w:ind w:end="0"/>
        <w:jc w:val="both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19" w:name="FileName"/>
      <w:r>
        <w:rPr>
          <w:sz w:val="16"/>
        </w:rPr>
        <w:t>12056770</w:t>
      </w:r>
      <w:r>
        <w:rPr>
          <w:sz w:val="16"/>
          <w:rtl w:val="true"/>
        </w:rPr>
        <w:t>_</w:t>
      </w:r>
      <w:r>
        <w:rPr>
          <w:sz w:val="16"/>
        </w:rPr>
        <w:t>M03.doc</w:t>
      </w:r>
      <w:r>
        <w:rPr>
          <w:sz w:val="16"/>
          <w:rtl w:val="true"/>
        </w:rPr>
        <w:t xml:space="preserve">   </w:t>
      </w:r>
      <w:bookmarkEnd w:id="19"/>
      <w:r>
        <w:rPr>
          <w:sz w:val="16"/>
          <w:sz w:val="16"/>
          <w:rtl w:val="true"/>
        </w:rPr>
        <w:t>נב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1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5677/12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מרעי 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058757" TargetMode="External"/><Relationship Id="rId10" Type="http://schemas.openxmlformats.org/officeDocument/2006/relationships/hyperlink" Target="http://www.nevo.co.il/case/5703734" TargetMode="External"/><Relationship Id="rId11" Type="http://schemas.openxmlformats.org/officeDocument/2006/relationships/hyperlink" Target="http://www.nevo.co.il/case/5969313" TargetMode="External"/><Relationship Id="rId12" Type="http://schemas.openxmlformats.org/officeDocument/2006/relationships/hyperlink" Target="http://www.nevo.co.il/case/5736890" TargetMode="External"/><Relationship Id="rId13" Type="http://schemas.openxmlformats.org/officeDocument/2006/relationships/hyperlink" Target="http://www.nevo.co.il/case/5806930" TargetMode="External"/><Relationship Id="rId14" Type="http://schemas.openxmlformats.org/officeDocument/2006/relationships/hyperlink" Target="http://www.nevo.co.il/case/6159820" TargetMode="External"/><Relationship Id="rId15" Type="http://schemas.openxmlformats.org/officeDocument/2006/relationships/hyperlink" Target="http://www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12056770.M03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2014-12-31T12:16:00Z</dcterms:created>
  <dc:creator> </dc:creator>
  <dc:description/>
  <cp:keywords/>
  <dc:language>en-IL</dc:language>
  <cp:lastModifiedBy>eli</cp:lastModifiedBy>
  <cp:lastPrinted>2013-01-29T15:41:00Z</cp:lastPrinted>
  <dcterms:modified xsi:type="dcterms:W3CDTF">2014-12-31T12:16:00Z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מרעי מג'ד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ProcID=209&amp;PartA=24&amp;PartC=10</vt:lpwstr>
  </property>
  <property fmtid="{D5CDD505-2E9C-101B-9397-08002B2CF9AE}" pid="9" name="CASENOTES2">
    <vt:lpwstr>ProcID=209&amp;PartA=30&amp;PartC=10</vt:lpwstr>
  </property>
  <property fmtid="{D5CDD505-2E9C-101B-9397-08002B2CF9AE}" pid="10" name="CASESLISTTMP1">
    <vt:lpwstr>6058757;5703734;5969313;5736890;5806930;6159820</vt:lpwstr>
  </property>
  <property fmtid="{D5CDD505-2E9C-101B-9397-08002B2CF9AE}" pid="11" name="CITY">
    <vt:lpwstr/>
  </property>
  <property fmtid="{D5CDD505-2E9C-101B-9397-08002B2CF9AE}" pid="12" name="DATE">
    <vt:lpwstr>20130131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דנציגר;ע' פוגלמן;ד' ברק ארז</vt:lpwstr>
  </property>
  <property fmtid="{D5CDD505-2E9C-101B-9397-08002B2CF9AE}" pid="16" name="LAWLISTTMP1">
    <vt:lpwstr>70301/029;144.b</vt:lpwstr>
  </property>
  <property fmtid="{D5CDD505-2E9C-101B-9397-08002B2CF9AE}" pid="17" name="LAWYER">
    <vt:lpwstr>ארז בן ארויה;יונתן דדון;לימון לוי מלאך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14;14;77;77;77;77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333;333;1446;1446;1446;1446</vt:lpwstr>
  </property>
  <property fmtid="{D5CDD505-2E9C-101B-9397-08002B2CF9AE}" pid="50" name="NOSE31">
    <vt:lpwstr>התערבות בעונש</vt:lpwstr>
  </property>
  <property fmtid="{D5CDD505-2E9C-101B-9397-08002B2CF9AE}" pid="51" name="NOSE310">
    <vt:lpwstr/>
  </property>
  <property fmtid="{D5CDD505-2E9C-101B-9397-08002B2CF9AE}" pid="52" name="NOSE32">
    <vt:lpwstr>התערבות במידת העונש</vt:lpwstr>
  </property>
  <property fmtid="{D5CDD505-2E9C-101B-9397-08002B2CF9AE}" pid="53" name="NOSE33">
    <vt:lpwstr>מדיניות ענישה: עבירות נשק</vt:lpwstr>
  </property>
  <property fmtid="{D5CDD505-2E9C-101B-9397-08002B2CF9AE}" pid="54" name="NOSE34">
    <vt:lpwstr>מדיניות ענישה: שיקולים</vt:lpwstr>
  </property>
  <property fmtid="{D5CDD505-2E9C-101B-9397-08002B2CF9AE}" pid="55" name="NOSE35">
    <vt:lpwstr>מדיניות ענישה: שיקולים לחומרה</vt:lpwstr>
  </property>
  <property fmtid="{D5CDD505-2E9C-101B-9397-08002B2CF9AE}" pid="56" name="NOSE36">
    <vt:lpwstr>אחדות הענישה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13370;2708;13800;8994;8995;12547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5677</vt:lpwstr>
  </property>
  <property fmtid="{D5CDD505-2E9C-101B-9397-08002B2CF9AE}" pid="66" name="PROCYEAR">
    <vt:lpwstr>12</vt:lpwstr>
  </property>
  <property fmtid="{D5CDD505-2E9C-101B-9397-08002B2CF9AE}" pid="67" name="PSAKDIN">
    <vt:lpwstr>פסק-דין</vt:lpwstr>
  </property>
  <property fmtid="{D5CDD505-2E9C-101B-9397-08002B2CF9AE}" pid="68" name="PadiDate">
    <vt:lpwstr>20130203</vt:lpwstr>
  </property>
  <property fmtid="{D5CDD505-2E9C-101B-9397-08002B2CF9AE}" pid="69" name="TYPE">
    <vt:lpwstr>1</vt:lpwstr>
  </property>
  <property fmtid="{D5CDD505-2E9C-101B-9397-08002B2CF9AE}" pid="70" name="TYPE_ABS_DATE">
    <vt:lpwstr>410120130131</vt:lpwstr>
  </property>
  <property fmtid="{D5CDD505-2E9C-101B-9397-08002B2CF9AE}" pid="71" name="TYPE_N_DATE">
    <vt:lpwstr>41020130131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