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/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5717/14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spacing w:lineRule="auto" w:line="48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זילברטל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גדבאן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16.6.2014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52891-02-14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24.11.2014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89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5"/>
        <w:gridCol w:w="5234"/>
      </w:tblGrid>
      <w:tr>
        <w:trPr/>
        <w:tc>
          <w:tcPr>
            <w:tcW w:w="325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ששון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עוז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אלימלך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6" w:name="LawTable"/>
      <w:bookmarkStart w:id="7" w:name="secretary"/>
      <w:bookmarkStart w:id="8" w:name="BeginProtocol"/>
      <w:bookmarkStart w:id="9" w:name="LawTable"/>
      <w:bookmarkStart w:id="10" w:name="secretary"/>
      <w:bookmarkStart w:id="11" w:name="BeginProtocol"/>
      <w:bookmarkEnd w:id="9"/>
      <w:bookmarkEnd w:id="10"/>
      <w:bookmarkEnd w:id="11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333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335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Start w:id="13" w:name="LawTable_End"/>
      <w:bookmarkEnd w:id="12"/>
      <w:bookmarkEnd w:id="13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והפחדה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והפחדה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בזולת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ומשמעותיים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BODYVERDICT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4" w:name="ABSTRACT_END"/>
      <w:bookmarkStart w:id="15" w:name="ABSTRACT_END"/>
      <w:bookmarkEnd w:id="15"/>
    </w:p>
    <w:p>
      <w:pPr>
        <w:pStyle w:val="DocumentHead"/>
        <w:ind w:end="0"/>
        <w:jc w:val="center"/>
        <w:rPr/>
      </w:pPr>
      <w:bookmarkStart w:id="16" w:name="PsakDin"/>
      <w:bookmarkEnd w:id="16"/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</w:p>
    <w:p>
      <w:pPr>
        <w:pStyle w:val="BODYVERDICT"/>
        <w:ind w:end="0"/>
        <w:jc w:val="start"/>
        <w:rPr/>
      </w:pPr>
      <w:r>
        <w:rPr>
          <w:rtl w:val="true"/>
        </w:rPr>
      </w:r>
      <w:bookmarkStart w:id="17" w:name="PsakDin"/>
      <w:bookmarkStart w:id="18" w:name="PsakDin"/>
      <w:bookmarkEnd w:id="18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52891-02-14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16.6.2014</w:t>
      </w:r>
      <w:r>
        <w:rPr>
          <w:rFonts w:cs="Century" w:ascii="Century" w:hAnsi="Century"/>
          <w:sz w:val="22"/>
          <w:rtl w:val="true"/>
        </w:rPr>
        <w:t xml:space="preserve">,  </w:t>
      </w:r>
      <w:r>
        <w:rPr>
          <w:rFonts w:ascii="Century" w:hAnsi="Century" w:cs="Century"/>
          <w:sz w:val="22"/>
          <w:sz w:val="22"/>
          <w:rtl w:val="true"/>
        </w:rPr>
        <w:t xml:space="preserve">במסגרתו הושת על המשיב עונש של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על תנאי שלא יעבור תוך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מיום שחרורו מהמאסר עבירת אלימות או נשק מסוג פשע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על תנאי שלא יעבור תוך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מיום שחרורו מהמאסר עבירת אלימות מסוג עוון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קנס בסך </w:t>
      </w:r>
      <w:r>
        <w:rPr>
          <w:rFonts w:cs="Century" w:ascii="Century" w:hAnsi="Century"/>
          <w:sz w:val="22"/>
        </w:rPr>
        <w:t>2,000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ופיצוי כספי למתלונן בסך </w:t>
      </w:r>
      <w:r>
        <w:rPr>
          <w:rFonts w:cs="Century" w:ascii="Century" w:hAnsi="Century"/>
          <w:sz w:val="22"/>
        </w:rPr>
        <w:t>5,000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 הורשע על יסוד הודאתו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בעבירות של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ונשיאת והובלת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 פי עובדות 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17.2.14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בשעות הערב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המתלונן ישב עם שלושה מחבריו במטע זיתים בכפר ג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דידה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והמשיב הוזמן להצטרף אליהם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רקע חשדו של המשיב כי המתלונן פגע בשמו הטוב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הגיע למטע כשהוא נושא עמו כלי נשק ותחמושת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משהבחין במתלונן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ירה המשיב ירייה אחת באוויר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צעק לעברו של המתלונן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אני לא מניאק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התקרב אליו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וממרחק של מטר וחצי לערך ירה באמצעות כלי הנשק שתי יריות לעבר הקרקע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למקום שבו עמד המתלונן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קליע אחד מהקליעים שנורו פגע ברגלו הימנית של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וכתוצאה מהפגיעה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המתלונן אושפז ורגלו גובסה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16.6.2014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המשיב</w:t>
      </w:r>
      <w:r>
        <w:rPr>
          <w:rtl w:val="true"/>
        </w:rPr>
        <w:t xml:space="preserve">. </w:t>
      </w: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הערך החברתי שנפגע מביצוע העבירה ומידת הפגיעה בו</w:t>
      </w:r>
      <w:r>
        <w:rPr>
          <w:rtl w:val="true"/>
        </w:rPr>
        <w:t xml:space="preserve">, </w:t>
      </w:r>
      <w:r>
        <w:rPr>
          <w:rtl w:val="true"/>
        </w:rPr>
        <w:t>על מדיניות הענישה הנהוגה ועל הנסיבות הקשורות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באשר לערך החברתי שנפגע ומידת הפגיעה בו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הערכים החברתיים המוגנים הם השמירה על ערך החיים וביטחון הציבור</w:t>
      </w:r>
      <w:r>
        <w:rPr>
          <w:rtl w:val="true"/>
        </w:rPr>
        <w:t xml:space="preserve">, </w:t>
      </w:r>
      <w:r>
        <w:rPr>
          <w:rtl w:val="true"/>
        </w:rPr>
        <w:t>וכי מידת הפגיעה בהם היתה בינונית</w:t>
      </w:r>
      <w:r>
        <w:rPr>
          <w:rtl w:val="true"/>
        </w:rPr>
        <w:t xml:space="preserve">. </w:t>
      </w:r>
      <w:r>
        <w:rPr>
          <w:rtl w:val="true"/>
        </w:rPr>
        <w:t>באשר לנסיבות הקשורות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בכך שהמשיב הגיע למקום בשעת לילה מאוחרת כשהוא מצויד בנשק</w:t>
      </w:r>
      <w:r>
        <w:rPr>
          <w:rtl w:val="true"/>
        </w:rPr>
        <w:t xml:space="preserve">, </w:t>
      </w:r>
      <w:r>
        <w:rPr>
          <w:rtl w:val="true"/>
        </w:rPr>
        <w:t>ובכך שהוא לא הסתפק בירייה אחת באוויר לשם הרתעה אלא לאחריה התקרב למתלונן וירה פעמיים נוספות לעבר הקרקע עד שפגע ברגלו</w:t>
      </w:r>
      <w:r>
        <w:rPr>
          <w:rtl w:val="true"/>
        </w:rPr>
        <w:t xml:space="preserve">. </w:t>
      </w:r>
      <w:r>
        <w:rPr>
          <w:rtl w:val="true"/>
        </w:rPr>
        <w:t>בית המשפט מצא כי פוטנציאל הנזק היה רב אף אם למתלונן לא נגרם נזק חמור באופן יחסי</w:t>
      </w:r>
      <w:r>
        <w:rPr>
          <w:rtl w:val="true"/>
        </w:rPr>
        <w:t xml:space="preserve">. </w:t>
      </w:r>
      <w:r>
        <w:rPr>
          <w:rtl w:val="true"/>
        </w:rPr>
        <w:t>באשר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בית המשפט המחוזי בחן את הענישה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וקבע כי מתחם העונש ההולם 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מנת לקבוע את העונש המתאים למשיב</w:t>
      </w:r>
      <w:r>
        <w:rPr>
          <w:rtl w:val="true"/>
        </w:rPr>
        <w:t xml:space="preserve">, </w:t>
      </w:r>
      <w:r>
        <w:rPr>
          <w:rtl w:val="true"/>
        </w:rPr>
        <w:t>בית המשפט המחוזי לקח בחשבון את נסיבותיו האישיות של המשיב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, </w:t>
      </w:r>
      <w:r>
        <w:rPr>
          <w:rtl w:val="true"/>
        </w:rPr>
        <w:t>הודאתו והבעת חרטתו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מעורבותו בפלילים בעשור האחרון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המחוזי שקל לחומרה את עברו הפלילי של המשיב</w:t>
      </w:r>
      <w:r>
        <w:rPr>
          <w:rtl w:val="true"/>
        </w:rPr>
        <w:t xml:space="preserve">. </w:t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גזר את עונשו של המשיב כאמור לעיל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המערערת אינה משלימה עם העונש שנגזר ומכאן הערעור 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ותשובת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המערערת טוענת בערעורה כי בית המשפט המחוזי שגה בגזירת דינו של המשיב ומבקשת החמרה משמעותית בעונשו</w:t>
      </w:r>
      <w:r>
        <w:rPr>
          <w:rtl w:val="true"/>
        </w:rPr>
        <w:t xml:space="preserve">. </w:t>
      </w:r>
      <w:r>
        <w:rPr>
          <w:rtl w:val="true"/>
        </w:rPr>
        <w:t>המערערת סבורה כי העונש שגזר בית המשפט המחוזי על המשיב אינו הולם את חומרת מעשיו ואת הנזק שהינו תוצאה ישירה של מעשיו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בנסיבות המקרה העונש שנגזר הוא עונש קל שאינו מספק גמול נאות ואף אינו מבטא את נורמת הענישה הראויה במקרים כגון אלה</w:t>
      </w:r>
      <w:r>
        <w:rPr>
          <w:rtl w:val="true"/>
        </w:rPr>
        <w:t xml:space="preserve">, </w:t>
      </w:r>
      <w:r>
        <w:rPr>
          <w:rtl w:val="true"/>
        </w:rPr>
        <w:t>שאמורה להביא לידי ביטוי גם את שאט נפשו של הציבור מהתנהגות כה פרועה ואלימה</w:t>
      </w:r>
      <w:r>
        <w:rPr>
          <w:rtl w:val="true"/>
        </w:rPr>
        <w:t xml:space="preserve">. </w:t>
      </w:r>
      <w:r>
        <w:rPr>
          <w:rtl w:val="true"/>
        </w:rPr>
        <w:t>המערערת טוענת כי משיקולי גמול</w:t>
      </w:r>
      <w:r>
        <w:rPr>
          <w:rtl w:val="true"/>
        </w:rPr>
        <w:t xml:space="preserve">, </w:t>
      </w:r>
      <w:r>
        <w:rPr>
          <w:rtl w:val="true"/>
        </w:rPr>
        <w:t>הלימה והגנה על שלום הציבור</w:t>
      </w:r>
      <w:r>
        <w:rPr>
          <w:rtl w:val="true"/>
        </w:rPr>
        <w:t xml:space="preserve">, </w:t>
      </w:r>
      <w:r>
        <w:rPr>
          <w:rtl w:val="true"/>
        </w:rPr>
        <w:t>ראוי היה לגזור על המשיב עונש חמור יותר ובאופן משמעותי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טוען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העונש אינו חורג ממתחם הענישה הראוי</w:t>
      </w:r>
      <w:r>
        <w:rPr>
          <w:rtl w:val="true"/>
        </w:rPr>
        <w:t xml:space="preserve">, </w:t>
      </w:r>
      <w:r>
        <w:rPr>
          <w:rtl w:val="true"/>
        </w:rPr>
        <w:t>ומציין כי במקרה שלפנינו ישנן נסיבות לקולה ביחס לעבירות נשק אחרות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גזר דינו של בית המשפט המחוזי מפורט ומנומק כראוי ואין מקום להתערב בו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בגזר דינו של בית המשפט המחוזי ובנימוקי הערעור ולאחר שמיעת הצדדים לפנינו</w:t>
      </w:r>
      <w:r>
        <w:rPr>
          <w:rtl w:val="true"/>
        </w:rPr>
        <w:t xml:space="preserve">, </w:t>
      </w:r>
      <w:r>
        <w:rPr>
          <w:rtl w:val="true"/>
        </w:rPr>
        <w:t>הגענו למסקנה דין הערעור להתקבל כפי שיפורט להלן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 בנקל תתערב ערכאת הערעור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>וההתערבות שמורה למקרים חריגים שבהם נפלה טעות מהותית בגזר הדין או למקרים שבהם העונש חורג באופן מובהק מרמת הענישה הראויה</w:t>
      </w:r>
      <w:r>
        <w:rPr>
          <w:rtl w:val="true"/>
        </w:rPr>
        <w:t xml:space="preserve">, </w:t>
      </w:r>
      <w:r>
        <w:rPr>
          <w:rtl w:val="true"/>
        </w:rPr>
        <w:t xml:space="preserve">וזאת גם אחרי תיקון </w:t>
      </w:r>
      <w:r>
        <w:rPr/>
        <w:t>113</w:t>
      </w:r>
      <w:r>
        <w:rPr>
          <w:rtl w:val="true"/>
        </w:rPr>
        <w:t xml:space="preserve"> 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ורשילובסק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3.7.2006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עבדולייב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22.10.2013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3931/13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באום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cs="Century"/>
          <w:sz w:val="18"/>
          <w:sz w:val="1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10.6.2014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דומה כי כלל זה נכון ביתר שאת לגבי ערעור המדינה על קולת העונש ולו מן הטעם שערכאת הערעור אינה נוטה למצות את הדין עם הנאשם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המקרה שלפנינו אכן נמנה על אותם מקרים חריגים</w:t>
      </w:r>
      <w:r>
        <w:rPr>
          <w:rtl w:val="true"/>
        </w:rPr>
        <w:t xml:space="preserve">, </w:t>
      </w:r>
      <w:r>
        <w:rPr>
          <w:rtl w:val="true"/>
        </w:rPr>
        <w:t>שבהם מתחייבת החמרת עונש המאסר בפועל שהושת על המשיב</w:t>
      </w:r>
      <w:r>
        <w:rPr>
          <w:rtl w:val="true"/>
        </w:rPr>
        <w:t xml:space="preserve">, </w:t>
      </w:r>
      <w:r>
        <w:rPr>
          <w:rtl w:val="true"/>
        </w:rPr>
        <w:t>כפי שיובהר להלן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 ביצע מעשה חמור אשר פוטנציאל פגיעתו הוא רב</w:t>
      </w:r>
      <w:r>
        <w:rPr>
          <w:rtl w:val="true"/>
        </w:rPr>
        <w:t xml:space="preserve">. </w:t>
      </w:r>
      <w:r>
        <w:rPr>
          <w:rtl w:val="true"/>
        </w:rPr>
        <w:t>הוא נשא עמו נשק עת נפגש עם המתלונן והשתמש בו מספר פעמים תוך כדי סיכון חיי אדם</w:t>
      </w:r>
      <w:r>
        <w:rPr>
          <w:rtl w:val="true"/>
        </w:rPr>
        <w:t xml:space="preserve">, </w:t>
      </w:r>
      <w:r>
        <w:rPr>
          <w:rtl w:val="true"/>
        </w:rPr>
        <w:t>וכל זאת לשם בריונות והפחדה</w:t>
      </w:r>
      <w:r>
        <w:rPr>
          <w:rtl w:val="true"/>
        </w:rPr>
        <w:t xml:space="preserve">. </w:t>
      </w:r>
      <w:r>
        <w:rPr>
          <w:rtl w:val="true"/>
        </w:rPr>
        <w:t>לנוכח חומרת העבירות מסוג זה</w:t>
      </w:r>
      <w:r>
        <w:rPr>
          <w:rtl w:val="true"/>
        </w:rPr>
        <w:t xml:space="preserve">, </w:t>
      </w:r>
      <w:r>
        <w:rPr>
          <w:rtl w:val="true"/>
        </w:rPr>
        <w:t>ההשלכות הרות האסון ופוטנציאל הסכנה הגלום לשלמות החיים</w:t>
      </w:r>
      <w:r>
        <w:rPr>
          <w:rtl w:val="true"/>
        </w:rPr>
        <w:t xml:space="preserve">, </w:t>
      </w:r>
      <w:r>
        <w:rPr>
          <w:rtl w:val="true"/>
        </w:rPr>
        <w:t>הגוף והנפש ולביטחון הציבור ופוטנציאל הפגיעה הגלום בהם</w:t>
      </w:r>
      <w:r>
        <w:rPr>
          <w:rtl w:val="true"/>
        </w:rPr>
        <w:t xml:space="preserve">, </w:t>
      </w:r>
      <w:r>
        <w:rPr>
          <w:rtl w:val="true"/>
        </w:rPr>
        <w:t>בית משפט זה קבע פעם אחר פעם כי יש לשדר מסר עונשי אשר ירתיע מפני ביצוע 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וזאת בדרך של נקיטה בענישה מחמירה אשר תרחיק את מבצע העבירה מן החברה לתקופת מאסר ממשית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אדרי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22.2.2007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פאיד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28.11.2011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שתיווי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18.12.2011</w:t>
      </w:r>
      <w:r>
        <w:rPr>
          <w:rtl w:val="true"/>
        </w:rPr>
        <w:t xml:space="preserve">)). </w:t>
      </w:r>
      <w:r>
        <w:rPr>
          <w:rtl w:val="true"/>
        </w:rPr>
        <w:t xml:space="preserve">עוד נקבע כי הדרישה להחמרה בעבירות אלה מועצמת כאשר עסקינן בנשק חם שרק צד אחד מחזיק בו </w:t>
      </w:r>
      <w:r>
        <w:rPr>
          <w:rtl w:val="true"/>
        </w:rPr>
        <w:t>(</w:t>
      </w:r>
      <w:r>
        <w:rPr>
          <w:rtl w:val="true"/>
        </w:rPr>
        <w:t>ראו לאחרונה 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מהראן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עאבד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15.07.2014</w:t>
      </w:r>
      <w:r>
        <w:rPr>
          <w:rtl w:val="true"/>
        </w:rPr>
        <w:t xml:space="preserve">)). </w:t>
      </w:r>
      <w:r>
        <w:rPr>
          <w:rtl w:val="true"/>
        </w:rPr>
        <w:t>חומרתן של החזקת ונשיאת נשק ללא היתר כדין אינה תחומה אך לעבירות עצמן ולהיותן מנוגדות לחוק החרות</w:t>
      </w:r>
      <w:r>
        <w:rPr>
          <w:rtl w:val="true"/>
        </w:rPr>
        <w:t xml:space="preserve">.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עבירות אלה מובילות – ולמצער רב החשש שיובילו – לעבירות נוספות של שימוש בנשק תוך פגיעה בזולת</w:t>
      </w:r>
      <w:r>
        <w:rPr>
          <w:rtl w:val="true"/>
        </w:rPr>
        <w:t xml:space="preserve">, </w:t>
      </w:r>
      <w:r>
        <w:rPr>
          <w:rtl w:val="true"/>
        </w:rPr>
        <w:t xml:space="preserve">כפי שאכן אירע במקרה שלפנינו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הייבי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כ</w:t>
      </w:r>
      <w:r>
        <w:rPr>
          <w:rtl w:val="true"/>
        </w:rPr>
        <w:t>"</w:t>
      </w:r>
      <w:r>
        <w:rPr>
          <w:rtl w:val="true"/>
        </w:rPr>
        <w:t xml:space="preserve">ג לפסק דינו של השופט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רובינשטיין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18.12.2011</w:t>
      </w:r>
      <w:r>
        <w:rPr>
          <w:rtl w:val="true"/>
        </w:rPr>
        <w:t xml:space="preserve">)). </w:t>
      </w:r>
      <w:r>
        <w:rPr>
          <w:rtl w:val="true"/>
        </w:rPr>
        <w:t>שיקולים אלה כולם מובילים לצורך בהחמרה בעונש המשיב</w:t>
      </w:r>
      <w:r>
        <w:rPr>
          <w:rtl w:val="true"/>
        </w:rPr>
        <w:t xml:space="preserve">. </w:t>
      </w:r>
      <w:r>
        <w:rPr>
          <w:rtl w:val="true"/>
        </w:rPr>
        <w:t>זאת גם בהתחשב בנימוקים לקולה ובראשם הודאתו והבעת חרטתו</w:t>
      </w:r>
      <w:r>
        <w:rPr>
          <w:rtl w:val="true"/>
        </w:rPr>
        <w:t xml:space="preserve">. </w:t>
      </w:r>
      <w:r>
        <w:rPr>
          <w:rtl w:val="true"/>
        </w:rPr>
        <w:t>האינטרס הציבורי מצדיק ומחייב את העלאת רף הענישה</w:t>
      </w:r>
      <w:r>
        <w:rPr>
          <w:rtl w:val="true"/>
        </w:rPr>
        <w:t xml:space="preserve">, </w:t>
      </w:r>
      <w:r>
        <w:rPr>
          <w:rtl w:val="true"/>
        </w:rPr>
        <w:t>כך שעונשי המאסר בפועל יהיו ממשיים ומשמעותיים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אנו מוצאים לנכון להחמיר בעונש המאסר בפועל שהוטל על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 xml:space="preserve">הערעור מתקבל במובן זה שעונש המאסר בפועל שהוטל על המשיב יעמוד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יתר חלקי גזר הדין יישארו על כנם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2.12.2014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22" w:name="FileName"/>
      <w:r>
        <w:rPr>
          <w:sz w:val="16"/>
        </w:rPr>
        <w:t>14057170</w:t>
      </w:r>
      <w:r>
        <w:rPr>
          <w:sz w:val="16"/>
          <w:rtl w:val="true"/>
        </w:rPr>
        <w:t>_</w:t>
      </w:r>
      <w:r>
        <w:rPr>
          <w:sz w:val="16"/>
        </w:rPr>
        <w:t>H03.doc</w:t>
      </w:r>
      <w:r>
        <w:rPr>
          <w:sz w:val="16"/>
          <w:rtl w:val="true"/>
        </w:rPr>
        <w:t xml:space="preserve">   </w:t>
      </w:r>
      <w:bookmarkEnd w:id="22"/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ס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>'</w:t>
      </w:r>
      <w:r>
        <w:rPr>
          <w:rFonts w:ascii="David" w:hAnsi="David"/>
          <w:color w:val="000000"/>
          <w:szCs w:val="22"/>
          <w:rtl w:val="true"/>
        </w:rPr>
        <w:t xml:space="preserve">ובראן </w:t>
      </w:r>
      <w:r>
        <w:rPr>
          <w:rFonts w:cs="David" w:ascii="David" w:hAnsi="David"/>
          <w:color w:val="000000"/>
          <w:szCs w:val="22"/>
        </w:rPr>
        <w:t>54678313-5717/14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5717/14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גדבאן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297670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" TargetMode="External"/><Relationship Id="rId8" Type="http://schemas.openxmlformats.org/officeDocument/2006/relationships/hyperlink" Target="http://www.nevo.co.il/case/12976708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case/5838067" TargetMode="External"/><Relationship Id="rId15" Type="http://schemas.openxmlformats.org/officeDocument/2006/relationships/hyperlink" Target="http://www.nevo.co.il/case/5875466" TargetMode="External"/><Relationship Id="rId16" Type="http://schemas.openxmlformats.org/officeDocument/2006/relationships/hyperlink" Target="http://www.nevo.co.il/case/6040836" TargetMode="External"/><Relationship Id="rId17" Type="http://schemas.openxmlformats.org/officeDocument/2006/relationships/hyperlink" Target="http://www.nevo.co.il/case/7653052" TargetMode="External"/><Relationship Id="rId18" Type="http://schemas.openxmlformats.org/officeDocument/2006/relationships/hyperlink" Target="http://www.nevo.co.il/case/5724364" TargetMode="External"/><Relationship Id="rId19" Type="http://schemas.openxmlformats.org/officeDocument/2006/relationships/hyperlink" Target="http://www.nevo.co.il/case/5958231" TargetMode="External"/><Relationship Id="rId20" Type="http://schemas.openxmlformats.org/officeDocument/2006/relationships/hyperlink" Target="http://www.nevo.co.il/case/5995135" TargetMode="External"/><Relationship Id="rId21" Type="http://schemas.openxmlformats.org/officeDocument/2006/relationships/hyperlink" Target="http://www.nevo.co.il/case/16980206" TargetMode="External"/><Relationship Id="rId22" Type="http://schemas.openxmlformats.org/officeDocument/2006/relationships/hyperlink" Target="http://www.nevo.co.il/case/5594385" TargetMode="External"/><Relationship Id="rId23" Type="http://schemas.openxmlformats.org/officeDocument/2006/relationships/hyperlink" Target="http://www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14057170.H03.doc</Template>
  <TotalTime>4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2014-12-03T10:55:00Z</dcterms:created>
  <dc:creator> </dc:creator>
  <dc:description/>
  <cp:keywords/>
  <dc:language>en-IL</dc:language>
  <cp:lastModifiedBy>orly</cp:lastModifiedBy>
  <cp:lastPrinted>2009-02-15T11:12:00Z</cp:lastPrinted>
  <dcterms:modified xsi:type="dcterms:W3CDTF">2014-12-03T11:20:00Z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גדבאן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12976708:2;5838067;5875466;6040836;7653052;5724364;5958231;5995135;16980206;5594385</vt:lpwstr>
  </property>
  <property fmtid="{D5CDD505-2E9C-101B-9397-08002B2CF9AE}" pid="9" name="CITY">
    <vt:lpwstr/>
  </property>
  <property fmtid="{D5CDD505-2E9C-101B-9397-08002B2CF9AE}" pid="10" name="DATE">
    <vt:lpwstr>20141202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הנדל;צ' זילברטל</vt:lpwstr>
  </property>
  <property fmtid="{D5CDD505-2E9C-101B-9397-08002B2CF9AE}" pid="14" name="LAWLISTTMP1">
    <vt:lpwstr>70301/333;335;144.a;144.b</vt:lpwstr>
  </property>
  <property fmtid="{D5CDD505-2E9C-101B-9397-08002B2CF9AE}" pid="15" name="LAWYER">
    <vt:lpwstr>ששון בר עוז;אלעד אלימלך;מורן פולמן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</vt:lpwstr>
  </property>
  <property fmtid="{D5CDD505-2E9C-101B-9397-08002B2CF9AE}" pid="48" name="NOSE31">
    <vt:lpwstr>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3864;13800</vt:lpwstr>
  </property>
  <property fmtid="{D5CDD505-2E9C-101B-9397-08002B2CF9AE}" pid="59" name="PADIDATE">
    <vt:lpwstr>20141203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5717</vt:lpwstr>
  </property>
  <property fmtid="{D5CDD505-2E9C-101B-9397-08002B2CF9AE}" pid="65" name="PROCYEAR">
    <vt:lpwstr>14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410120141202</vt:lpwstr>
  </property>
  <property fmtid="{D5CDD505-2E9C-101B-9397-08002B2CF9AE}" pid="69" name="TYPE_N_DATE">
    <vt:lpwstr>41020141202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