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13336-05-15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ווסרדם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13359-05-15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שירלי דקל נוה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גיא אלכסנדר ווסרדם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חן כהן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צלניקר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71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החזקה</w:t>
      </w:r>
      <w:r>
        <w:rPr>
          <w:rFonts w:cs="FrankRuehl" w:ascii="Times New Roman" w:hAnsi="Times New Roman"/>
          <w:szCs w:val="26"/>
          <w:rtl w:val="true"/>
        </w:rPr>
        <w:t>/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גידול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והכנת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מסוכנים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הוטלו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הימנעות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>,</w:t>
      </w:r>
      <w:r>
        <w:rPr>
          <w:rFonts w:ascii="Times New Roman" w:hAnsi="Times New Roman" w:cs="FrankRuehl"/>
          <w:szCs w:val="26"/>
          <w:rtl w:val="true"/>
        </w:rPr>
        <w:t>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החזקה</w:t>
      </w:r>
      <w:r>
        <w:rPr>
          <w:rFonts w:cs="FrankRuehl" w:ascii="Times New Roman" w:hAnsi="Times New Roman"/>
          <w:szCs w:val="26"/>
          <w:rtl w:val="true"/>
        </w:rPr>
        <w:t>/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גידול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והכנת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מסוכנים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בנסיבותיהן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שיכול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וירוצו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הרתעתית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הכוללת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במשקל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המצטבר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ובאיזון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ביניהם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נמצאה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אפשרות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הנדון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להורות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ההרשעה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שוכנע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ועיקר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האינדיבידואליות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מגוון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היבטיהן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גוברות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במשקלן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ומטות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האינטרס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בהרשעתו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יוצא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מבחינת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השתילים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ההחזקה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בכישלון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פעמי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בהתנהגות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שנעצרה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פשיטת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המשטרה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תפגע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קונקרטי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בעתידו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כספורטאי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בתעסוקתו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ובלתי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מידתית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הצדקה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מהמלצת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המבחן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להרשעת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לצורכי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הרתעה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בסופו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רישיון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6"/>
          <w:u w:val="none"/>
        </w:rPr>
      </w:pPr>
      <w:r>
        <w:rPr>
          <w:rFonts w:cs="FrankRuehl" w:ascii="FrankRuehl" w:hAnsi="FrankRuehl"/>
          <w:b w:val="false"/>
          <w:bCs w:val="false"/>
          <w:szCs w:val="26"/>
          <w:u w:val="none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בעבירות של החזקה</w:t>
      </w:r>
      <w:r>
        <w:rPr>
          <w:rtl w:val="true"/>
        </w:rPr>
        <w:t>/</w:t>
      </w:r>
      <w:r>
        <w:rPr>
          <w:rtl w:val="true"/>
        </w:rPr>
        <w:t xml:space="preserve">שימוש בסמים שלא לצריכה עצמית – לפי סעיף </w:t>
      </w:r>
      <w:hyperlink r:id="rId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ג –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לפקודת הסמים המסוכנים</w:t>
      </w:r>
      <w:r>
        <w:rPr>
          <w:rtl w:val="true"/>
        </w:rPr>
        <w:t xml:space="preserve">"), </w:t>
      </w:r>
      <w:r>
        <w:rPr>
          <w:rtl w:val="true"/>
        </w:rPr>
        <w:t>ובעבירה של גידול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הכנת סמים מסוכנים</w:t>
      </w:r>
      <w:r>
        <w:rPr>
          <w:rtl w:val="true"/>
        </w:rPr>
        <w:t xml:space="preserve">-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 המסוכנים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30.04.2015</w:t>
      </w:r>
      <w:r>
        <w:rPr>
          <w:rtl w:val="true"/>
        </w:rPr>
        <w:t xml:space="preserve"> </w:t>
      </w:r>
      <w:r>
        <w:rPr>
          <w:rtl w:val="true"/>
        </w:rPr>
        <w:t>באחד מהחדרים בבית הנאשם</w:t>
      </w:r>
      <w:r>
        <w:rPr>
          <w:rtl w:val="true"/>
        </w:rPr>
        <w:t xml:space="preserve">, </w:t>
      </w:r>
      <w:r>
        <w:rPr>
          <w:rtl w:val="true"/>
        </w:rPr>
        <w:t xml:space="preserve">גידל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שתלים של סם מסוכן מסוג קנבוס במשקל כולל של </w:t>
      </w:r>
      <w:r>
        <w:rPr/>
        <w:t>868.60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החזיק הנאשם לצורך גידול הסם שני אוהלים שחורים</w:t>
      </w:r>
      <w:r>
        <w:rPr>
          <w:rtl w:val="true"/>
        </w:rPr>
        <w:t xml:space="preserve">, </w:t>
      </w:r>
      <w:r>
        <w:rPr>
          <w:rtl w:val="true"/>
        </w:rPr>
        <w:t>מערכות קירור</w:t>
      </w:r>
      <w:r>
        <w:rPr>
          <w:rtl w:val="true"/>
        </w:rPr>
        <w:t xml:space="preserve">,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אדמה</w:t>
      </w:r>
      <w:r>
        <w:rPr>
          <w:rtl w:val="true"/>
        </w:rPr>
        <w:t xml:space="preserve">,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>
          <w:rtl w:val="true"/>
        </w:rPr>
        <w:t>מפצלי חשמל</w:t>
      </w:r>
      <w:r>
        <w:rPr>
          <w:rtl w:val="true"/>
        </w:rPr>
        <w:t xml:space="preserve">, </w:t>
      </w:r>
      <w:r>
        <w:rPr>
          <w:rtl w:val="true"/>
        </w:rPr>
        <w:t>מנורות  ומפוח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 הנאשם סמים מסוג קנביס בתפזורת בביתו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124.9812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ההסדר בין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 הגיעו להסכמה במסגרתה הנאשם הודה בעובדות כתב האישום ונשלח לקבלת 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הצהירה כי עמדתה העונשית היא להטלת מאסר בפועל</w:t>
      </w:r>
      <w:r>
        <w:rPr>
          <w:rtl w:val="true"/>
        </w:rPr>
        <w:t xml:space="preserve">, </w:t>
      </w:r>
      <w:r>
        <w:rPr>
          <w:rtl w:val="true"/>
        </w:rPr>
        <w:t>והסנגור ביקש כי שירות המבחן יבחן את שאלת ביטול הרשעת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להסדר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תסקיר מטעם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ואפרט להלן בתמצית את תוכנו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לפי התסקיר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וטרם מעצרו התגורר בדירה שכורה בראשון לציון ועבד כמאמן ג</w:t>
      </w:r>
      <w:r>
        <w:rPr>
          <w:rtl w:val="true"/>
        </w:rPr>
        <w:t>'</w:t>
      </w:r>
      <w:r>
        <w:rPr>
          <w:rtl w:val="true"/>
        </w:rPr>
        <w:t>ודו</w:t>
      </w:r>
      <w:r>
        <w:rPr>
          <w:rtl w:val="true"/>
        </w:rPr>
        <w:t xml:space="preserve">. </w:t>
      </w:r>
      <w:r>
        <w:rPr>
          <w:rtl w:val="true"/>
        </w:rPr>
        <w:t>הנאשם היה עצור למשך מספר ימים</w:t>
      </w:r>
      <w:r>
        <w:rPr>
          <w:rtl w:val="true"/>
        </w:rPr>
        <w:t xml:space="preserve">, </w:t>
      </w:r>
      <w:r>
        <w:rPr>
          <w:rtl w:val="true"/>
        </w:rPr>
        <w:t>ושוחרר לבית הוריו בתנאים מגבילים שכללו מעצר בית מלא בפיקוח</w:t>
      </w:r>
      <w:r>
        <w:rPr>
          <w:rtl w:val="true"/>
        </w:rPr>
        <w:t xml:space="preserve">, </w:t>
      </w:r>
      <w:r>
        <w:rPr>
          <w:rtl w:val="true"/>
        </w:rPr>
        <w:t>ובסמוך לכך</w:t>
      </w:r>
      <w:r>
        <w:rPr>
          <w:rtl w:val="true"/>
        </w:rPr>
        <w:t xml:space="preserve">, </w:t>
      </w:r>
      <w:r>
        <w:rPr>
          <w:rtl w:val="true"/>
        </w:rPr>
        <w:t>הוקלו תנאי השחרור והוא יצא לעבוד כמאמן ג</w:t>
      </w:r>
      <w:r>
        <w:rPr>
          <w:rtl w:val="true"/>
        </w:rPr>
        <w:t>'</w:t>
      </w:r>
      <w:r>
        <w:rPr>
          <w:rtl w:val="true"/>
        </w:rPr>
        <w:t>ודו בפיקוח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יצא ממעצר הבית בפיקוח לכל מטרה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משפחת מוצאו של הנאשם כוללת ארבע נפשות</w:t>
      </w:r>
      <w:r>
        <w:rPr>
          <w:rtl w:val="true"/>
        </w:rPr>
        <w:t xml:space="preserve">, </w:t>
      </w:r>
      <w:r>
        <w:rPr>
          <w:rtl w:val="true"/>
        </w:rPr>
        <w:t>והנאשם הינו הצעיר מבין שני אחים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בעל השכלה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ולו תעודת בגרות מלאה</w:t>
      </w:r>
      <w:r>
        <w:rPr>
          <w:rtl w:val="true"/>
        </w:rPr>
        <w:t xml:space="preserve">. </w:t>
      </w:r>
      <w:r>
        <w:rPr>
          <w:rtl w:val="true"/>
        </w:rPr>
        <w:t>לדבריו שירת בצבא כספורטאי מצטיין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תיאר כי לצד אורח חייו והשיגים ספורטיביים הוא חש לחץ</w:t>
      </w:r>
      <w:r>
        <w:rPr>
          <w:rtl w:val="true"/>
        </w:rPr>
        <w:t xml:space="preserve">, </w:t>
      </w:r>
      <w:r>
        <w:rPr>
          <w:rtl w:val="true"/>
        </w:rPr>
        <w:t>חרדה ומצוקה</w:t>
      </w:r>
      <w:r>
        <w:rPr>
          <w:rtl w:val="true"/>
        </w:rPr>
        <w:t xml:space="preserve">, </w:t>
      </w:r>
      <w:r>
        <w:rPr>
          <w:rtl w:val="true"/>
        </w:rPr>
        <w:t>ובגין קשייו אלו פנה לפסיכיאטר לקבלת טיפול תרופתי אנטי חרדתי</w:t>
      </w:r>
      <w:r>
        <w:rPr>
          <w:rtl w:val="true"/>
        </w:rPr>
        <w:t xml:space="preserve">, </w:t>
      </w:r>
      <w:r>
        <w:rPr>
          <w:rtl w:val="true"/>
        </w:rPr>
        <w:t>אך לא התמיד בנטילת הטיפול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בגיל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הנאשם פרש מעולם הספורט התחרותי</w:t>
      </w:r>
      <w:r>
        <w:rPr>
          <w:rtl w:val="true"/>
        </w:rPr>
        <w:t xml:space="preserve">, </w:t>
      </w:r>
      <w:r>
        <w:rPr>
          <w:rtl w:val="true"/>
        </w:rPr>
        <w:t>עבד בעבודות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החל לעסוק באימון ג</w:t>
      </w:r>
      <w:r>
        <w:rPr>
          <w:rtl w:val="true"/>
        </w:rPr>
        <w:t>'</w:t>
      </w:r>
      <w:r>
        <w:rPr>
          <w:rtl w:val="true"/>
        </w:rPr>
        <w:t>ודו 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לוקח אחריות על ביצוע העבירה</w:t>
      </w:r>
      <w:r>
        <w:rPr>
          <w:rtl w:val="true"/>
        </w:rPr>
        <w:t xml:space="preserve">, </w:t>
      </w:r>
      <w:r>
        <w:rPr>
          <w:rtl w:val="true"/>
        </w:rPr>
        <w:t>כשברקע מתאר את התמכרותו לסמים מסוג קנאביס</w:t>
      </w:r>
      <w:r>
        <w:rPr>
          <w:rtl w:val="true"/>
        </w:rPr>
        <w:t xml:space="preserve">, </w:t>
      </w:r>
      <w:r>
        <w:rPr>
          <w:rtl w:val="true"/>
        </w:rPr>
        <w:t>על רקע המשבר הנפשי בו היה מצוי לאחר פרישתו מעיסוק בספורט תחרותי</w:t>
      </w:r>
      <w:r>
        <w:rPr>
          <w:rtl w:val="true"/>
        </w:rPr>
        <w:t xml:space="preserve">, </w:t>
      </w:r>
      <w:r>
        <w:rPr>
          <w:rtl w:val="true"/>
        </w:rPr>
        <w:t>ונוכח חרדות וקשיים נפשיים נוספים עמם התקשה להתמודד באופן ישיר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הקשר עם שירות המבחן בהליך המעצר</w:t>
      </w:r>
      <w:r>
        <w:rPr>
          <w:rtl w:val="true"/>
        </w:rPr>
        <w:t xml:space="preserve">, </w:t>
      </w:r>
      <w:r>
        <w:rPr>
          <w:rtl w:val="true"/>
        </w:rPr>
        <w:t xml:space="preserve">בחודש יוני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הנאשם החל טיפול ביחידה לנפגעי סמים</w:t>
      </w:r>
      <w:r>
        <w:rPr>
          <w:rtl w:val="true"/>
        </w:rPr>
        <w:t xml:space="preserve">, </w:t>
      </w:r>
      <w:r>
        <w:rPr>
          <w:rtl w:val="true"/>
        </w:rPr>
        <w:t xml:space="preserve">ומחודש יולי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שולב בשיחות פרטניות</w:t>
      </w:r>
      <w:r>
        <w:rPr>
          <w:rtl w:val="true"/>
        </w:rPr>
        <w:t xml:space="preserve">, </w:t>
      </w:r>
      <w:r>
        <w:rPr>
          <w:rtl w:val="true"/>
        </w:rPr>
        <w:t>הוא מגיע ליחידה בהתמדה ומוסר בדיקות שתן שמעידות על ניקיונו מסמים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 שירות המבחן הנאשם נמצא בתחילתו של תהליך טיפולי לגמילה מסמים</w:t>
      </w:r>
      <w:r>
        <w:rPr>
          <w:rtl w:val="true"/>
        </w:rPr>
        <w:t xml:space="preserve">, </w:t>
      </w:r>
      <w:r>
        <w:rPr>
          <w:rtl w:val="true"/>
        </w:rPr>
        <w:t>מגלה מוטיבציה והבנה שזקוק לתהליך גמילה ושיקום</w:t>
      </w:r>
      <w:r>
        <w:rPr>
          <w:rtl w:val="true"/>
        </w:rPr>
        <w:t xml:space="preserve">, </w:t>
      </w:r>
      <w:r>
        <w:rPr>
          <w:rtl w:val="true"/>
        </w:rPr>
        <w:t>ומעוניין בשינוי דפוסי התמודדותו הבעייתיים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כגורמי סיכון לעבריינות שירות המבחן לקח בחשבון את מאפייני העבירות והיקפן הרחב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כשברקע התרשם כי הנאשם פיתח התמכרות לסמים מסוג קנאביס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על רקע קווי אישיותו</w:t>
      </w:r>
      <w:r>
        <w:rPr>
          <w:rtl w:val="true"/>
        </w:rPr>
        <w:t xml:space="preserve">. </w:t>
      </w:r>
      <w:r>
        <w:rPr>
          <w:rtl w:val="true"/>
        </w:rPr>
        <w:t>למרות שהנאשם מצוי בתהליך טיפולי</w:t>
      </w:r>
      <w:r>
        <w:rPr>
          <w:rtl w:val="true"/>
        </w:rPr>
        <w:t xml:space="preserve">, </w:t>
      </w:r>
      <w:r>
        <w:rPr>
          <w:rtl w:val="true"/>
        </w:rPr>
        <w:t>הוא מתקשה לזהות את האלמנטים העברייניים בהתנהגותו</w:t>
      </w:r>
      <w:r>
        <w:rPr>
          <w:rtl w:val="true"/>
        </w:rPr>
        <w:t xml:space="preserve">, </w:t>
      </w:r>
      <w:r>
        <w:rPr>
          <w:rtl w:val="true"/>
        </w:rPr>
        <w:t>מפחית מחומרת מעשיו ומצמצם היקף התמכרותו לסמים והשלכותיה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כגורמי סיכוי לשיקום שירות המבחן התרשם כי הנאשם מנהל אורח חיים יציב ומתפקד</w:t>
      </w:r>
      <w:r>
        <w:rPr>
          <w:rtl w:val="true"/>
        </w:rPr>
        <w:t xml:space="preserve">, </w:t>
      </w:r>
      <w:r>
        <w:rPr>
          <w:rtl w:val="true"/>
        </w:rPr>
        <w:t>בעל יכולת התמדה ועמידה במחויבויותיו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מגלה מוטיבציה לטיפול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מוסר בדיקות שתן שמעידות על ניקיון מסמים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ופנה שוב לבדיקה פסיכיאטרית לבחינת צורך בקבלת טיפול ובתרופות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לוקח אחריות על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מחזיק במערכת ערכים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והערכה היא כי מעורבותו בעבירות הסמים הינה על רקע התמכרות ולא על רקע דפוסי עבריינות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משפחה תומכת היכולה לסייע לו להתמיד בטיפול ובשיקום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מעריך כי אם הנאשם יתמיד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סיכויי השיקום שלו הם חיוביים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שירות המבחן ציין כי להתרשמותו</w:t>
      </w:r>
      <w:r>
        <w:rPr>
          <w:rtl w:val="true"/>
        </w:rPr>
        <w:t xml:space="preserve">, </w:t>
      </w:r>
      <w:r>
        <w:rPr>
          <w:rtl w:val="true"/>
        </w:rPr>
        <w:t>ההליכים המשפטיים מהווים עבור הנאשם גורם מרתיע ומדרבן לשינוי מצבו ולשיתוף פעולה 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המליץ על הטלת צו מבחן למשך שנה</w:t>
      </w:r>
      <w:r>
        <w:rPr>
          <w:rtl w:val="true"/>
        </w:rPr>
        <w:t xml:space="preserve">, </w:t>
      </w:r>
      <w:r>
        <w:rPr>
          <w:rtl w:val="true"/>
        </w:rPr>
        <w:t>עונש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 והטלת 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 ביטול ההרשעה</w:t>
      </w:r>
      <w:r>
        <w:rPr>
          <w:rtl w:val="true"/>
        </w:rPr>
        <w:t xml:space="preserve">, </w:t>
      </w:r>
      <w:r>
        <w:rPr>
          <w:rtl w:val="true"/>
        </w:rPr>
        <w:t>הנאשם מסר לשירות המבחן כי בעתיד הוא שואף לעבוד כמאמן נבחרת ישראל בג</w:t>
      </w:r>
      <w:r>
        <w:rPr>
          <w:rtl w:val="true"/>
        </w:rPr>
        <w:t>'</w:t>
      </w:r>
      <w:r>
        <w:rPr>
          <w:rtl w:val="true"/>
        </w:rPr>
        <w:t>ודו והרשעה תחסום אותו בפני אפשרות זו</w:t>
      </w:r>
      <w:r>
        <w:rPr>
          <w:rtl w:val="true"/>
        </w:rPr>
        <w:t xml:space="preserve">. </w:t>
      </w:r>
      <w:r>
        <w:rPr>
          <w:rtl w:val="true"/>
        </w:rPr>
        <w:t>לאור היקף העבירות</w:t>
      </w:r>
      <w:r>
        <w:rPr>
          <w:rtl w:val="true"/>
        </w:rPr>
        <w:t xml:space="preserve">, </w:t>
      </w:r>
      <w:r>
        <w:rPr>
          <w:rtl w:val="true"/>
        </w:rPr>
        <w:t>כשברקע פיתח הנאשם התמכרות לסמים</w:t>
      </w:r>
      <w:r>
        <w:rPr>
          <w:rtl w:val="true"/>
        </w:rPr>
        <w:t xml:space="preserve">, </w:t>
      </w:r>
      <w:r>
        <w:rPr>
          <w:rtl w:val="true"/>
        </w:rPr>
        <w:t>שירות המבחן לא המליץ על ביטול ההרשעה</w:t>
      </w:r>
      <w:r>
        <w:rPr>
          <w:rtl w:val="true"/>
        </w:rPr>
        <w:t xml:space="preserve">, </w:t>
      </w:r>
      <w:r>
        <w:rPr>
          <w:rtl w:val="true"/>
        </w:rPr>
        <w:t>וציין כי התרשם שהרשעה והטלת מאסר על תנאי יהוו גורם מרתיע ומציב גבול מפני הישנות העבירות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 טיעוני הצדדים לעונש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לנסיבות ביצוע העבירות ולערכים החברתיים שנפגעו כתוצאה מביצוען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על אף שהתסקיר שהתקבל בעניינו של הנאשם הוא תסקיר חיובי בעיקרו</w:t>
      </w:r>
      <w:r>
        <w:rPr>
          <w:rtl w:val="true"/>
        </w:rPr>
        <w:t xml:space="preserve">, </w:t>
      </w:r>
      <w:r>
        <w:rPr>
          <w:rtl w:val="true"/>
        </w:rPr>
        <w:t>עולה כי אף שהנאשם נמצא מזה מספר חודשים בטיפול</w:t>
      </w:r>
      <w:r>
        <w:rPr>
          <w:rtl w:val="true"/>
        </w:rPr>
        <w:t xml:space="preserve">, </w:t>
      </w:r>
      <w:r>
        <w:rPr>
          <w:rtl w:val="true"/>
        </w:rPr>
        <w:t>הוא מפחית ומצמצם מחומרת מעשיו והיקף התמכרות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מתחם הענישה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ועד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והפנתה לפסיקה</w:t>
      </w:r>
      <w:r>
        <w:rPr>
          <w:rtl w:val="true"/>
        </w:rPr>
        <w:t xml:space="preserve">, </w:t>
      </w:r>
      <w:r>
        <w:rPr>
          <w:rtl w:val="true"/>
        </w:rPr>
        <w:t>וכן טענה כי המחוקק קבע ענישה מחמירה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אין הלימה בין המלצת שירות המבחן לבין העונש ההולם והראוי</w:t>
      </w:r>
      <w:r>
        <w:rPr>
          <w:rtl w:val="true"/>
        </w:rPr>
        <w:t xml:space="preserve">, </w:t>
      </w:r>
      <w:r>
        <w:rPr>
          <w:rtl w:val="true"/>
        </w:rPr>
        <w:t>כשעל בית המשפט לשים לנגד עיניו מעבר לאינטרס האישי של הנאשם</w:t>
      </w:r>
      <w:r>
        <w:rPr>
          <w:rtl w:val="true"/>
        </w:rPr>
        <w:t xml:space="preserve">, </w:t>
      </w:r>
      <w:r>
        <w:rPr>
          <w:rtl w:val="true"/>
        </w:rPr>
        <w:t>גם את אלמנט ההרתעה והשמירה על בטחון 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עתרה ב</w:t>
      </w:r>
      <w:r>
        <w:rPr>
          <w:rtl w:val="true"/>
        </w:rPr>
        <w:t>"</w:t>
      </w:r>
      <w:r>
        <w:rPr>
          <w:rtl w:val="true"/>
        </w:rPr>
        <w:t>כ המאשימה להטלת מאסר בפועל באמצע המתחם שהוצג</w:t>
      </w:r>
      <w:r>
        <w:rPr>
          <w:rtl w:val="true"/>
        </w:rPr>
        <w:t xml:space="preserve">, </w:t>
      </w:r>
      <w:r>
        <w:rPr>
          <w:rtl w:val="true"/>
        </w:rPr>
        <w:t>עונש מאסר על תנאי</w:t>
      </w:r>
      <w:r>
        <w:rPr>
          <w:rtl w:val="true"/>
        </w:rPr>
        <w:t xml:space="preserve">, </w:t>
      </w:r>
      <w:r>
        <w:rPr>
          <w:rtl w:val="true"/>
        </w:rPr>
        <w:t>פסילה בפועל של רישיון הנהיגה</w:t>
      </w:r>
      <w:r>
        <w:rPr>
          <w:rtl w:val="true"/>
        </w:rPr>
        <w:t xml:space="preserve">, </w:t>
      </w:r>
      <w:r>
        <w:rPr>
          <w:rtl w:val="true"/>
        </w:rPr>
        <w:t>פסילה על תנאי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המחוקק מעניק חשיבות רבה לשיקולי שיקום של נאשמים</w:t>
      </w:r>
      <w:r>
        <w:rPr>
          <w:rtl w:val="true"/>
        </w:rPr>
        <w:t xml:space="preserve">, </w:t>
      </w:r>
      <w:r>
        <w:rPr>
          <w:rtl w:val="true"/>
        </w:rPr>
        <w:t>ועקרון ההלימה  משמעותו כי העונש יהלום את המעשה בנסיבותיו</w:t>
      </w:r>
      <w:r>
        <w:rPr>
          <w:rtl w:val="true"/>
        </w:rPr>
        <w:t xml:space="preserve">, </w:t>
      </w:r>
      <w:r>
        <w:rPr>
          <w:rtl w:val="true"/>
        </w:rPr>
        <w:t>ויקיף את נסיבות המעשה והן את נסיבותיו של העושה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הסם שימש אך ורק לשימושו האישי של הנאשם</w:t>
      </w:r>
      <w:r>
        <w:rPr>
          <w:rtl w:val="true"/>
        </w:rPr>
        <w:t xml:space="preserve">, </w:t>
      </w:r>
      <w:r>
        <w:rPr>
          <w:rtl w:val="true"/>
        </w:rPr>
        <w:t>הגידול נעשה באופן דיסקרטי בבית מאחר שהנאשם לא רצה לרכוש אותו מעבריינים</w:t>
      </w:r>
      <w:r>
        <w:rPr>
          <w:rtl w:val="true"/>
        </w:rPr>
        <w:t xml:space="preserve">, </w:t>
      </w:r>
      <w:r>
        <w:rPr>
          <w:rtl w:val="true"/>
        </w:rPr>
        <w:t>ואין כל אינדיקציה לפיה הנאשם העביר סם לאדם 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טען עוד כי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שתילים מתוך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שתילים היו זעירים</w:t>
      </w:r>
      <w:r>
        <w:rPr>
          <w:rtl w:val="true"/>
        </w:rPr>
        <w:t xml:space="preserve">, </w:t>
      </w:r>
      <w:r>
        <w:rPr>
          <w:rtl w:val="true"/>
        </w:rPr>
        <w:t>משקל השתילים הוא משקל כל חלקי הצמח</w:t>
      </w:r>
      <w:r>
        <w:rPr>
          <w:rtl w:val="true"/>
        </w:rPr>
        <w:t xml:space="preserve">, </w:t>
      </w:r>
      <w:r>
        <w:rPr>
          <w:rtl w:val="true"/>
        </w:rPr>
        <w:t>וכי הציוד שנתפס היה ציוד בסיסי</w:t>
      </w:r>
      <w:r>
        <w:rPr>
          <w:rtl w:val="true"/>
        </w:rPr>
        <w:t xml:space="preserve">, </w:t>
      </w:r>
      <w:r>
        <w:rPr>
          <w:rtl w:val="true"/>
        </w:rPr>
        <w:t>על פי הוראות שהוציא הנאשם מהאינטרנט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כבר בעת החיפוש בביתו</w:t>
      </w:r>
      <w:r>
        <w:rPr>
          <w:rtl w:val="true"/>
        </w:rPr>
        <w:t xml:space="preserve">, </w:t>
      </w:r>
      <w:r>
        <w:rPr>
          <w:rtl w:val="true"/>
        </w:rPr>
        <w:t>הנאשם מסר לשוטרים את השקית עם סם הקנבוס</w:t>
      </w:r>
      <w:r>
        <w:rPr>
          <w:rtl w:val="true"/>
        </w:rPr>
        <w:t xml:space="preserve">, </w:t>
      </w:r>
      <w:r>
        <w:rPr>
          <w:rtl w:val="true"/>
        </w:rPr>
        <w:t>פתח את החדר</w:t>
      </w:r>
      <w:r>
        <w:rPr>
          <w:rtl w:val="true"/>
        </w:rPr>
        <w:t xml:space="preserve">, </w:t>
      </w:r>
      <w:r>
        <w:rPr>
          <w:rtl w:val="true"/>
        </w:rPr>
        <w:t>הראה להם את האוהל</w:t>
      </w:r>
      <w:r>
        <w:rPr>
          <w:rtl w:val="true"/>
        </w:rPr>
        <w:t xml:space="preserve">, </w:t>
      </w:r>
      <w:r>
        <w:rPr>
          <w:rtl w:val="true"/>
        </w:rPr>
        <w:t>ושיתף פעולה למן הרגע הראשון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בתחנת המשטרה</w:t>
      </w:r>
      <w:r>
        <w:rPr>
          <w:rtl w:val="true"/>
        </w:rPr>
        <w:t xml:space="preserve">, </w:t>
      </w:r>
      <w:r>
        <w:rPr>
          <w:rtl w:val="true"/>
        </w:rPr>
        <w:t>הנאשם הודה בהזדמנות הראשונה והביע 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יש לקחת בחשבון את ימי המעצר בהם שהה הנאשם</w:t>
      </w:r>
      <w:r>
        <w:rPr>
          <w:rtl w:val="true"/>
        </w:rPr>
        <w:t xml:space="preserve">, </w:t>
      </w:r>
      <w:r>
        <w:rPr>
          <w:rtl w:val="true"/>
        </w:rPr>
        <w:t>ואת התנאים המגבילים שנמשכו מספר חודשים לא מועט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ללא עבר פלילי מכל סוג שהוא</w:t>
      </w:r>
      <w:r>
        <w:rPr>
          <w:rtl w:val="true"/>
        </w:rPr>
        <w:t xml:space="preserve">. </w:t>
      </w:r>
      <w:r>
        <w:rPr>
          <w:rtl w:val="true"/>
        </w:rPr>
        <w:t>משפחתו הגרעינית היא משפחה נורמטיבית</w:t>
      </w:r>
      <w:r>
        <w:rPr>
          <w:rtl w:val="true"/>
        </w:rPr>
        <w:t xml:space="preserve">, </w:t>
      </w:r>
      <w:r>
        <w:rPr>
          <w:rtl w:val="true"/>
        </w:rPr>
        <w:t>ולקחה לתשומת לבה את מעשיו ומתייחסת אליהם בחומרה רבה</w:t>
      </w:r>
      <w:r>
        <w:rPr>
          <w:rtl w:val="true"/>
        </w:rPr>
        <w:t xml:space="preserve">, </w:t>
      </w:r>
      <w:r>
        <w:rPr>
          <w:rtl w:val="true"/>
        </w:rPr>
        <w:t>כפי שעלה מדברי אביו שהעיד במהלך הראיות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סיים תיכון</w:t>
      </w:r>
      <w:r>
        <w:rPr>
          <w:rtl w:val="true"/>
        </w:rPr>
        <w:t xml:space="preserve">, </w:t>
      </w:r>
      <w:r>
        <w:rPr>
          <w:rtl w:val="true"/>
        </w:rPr>
        <w:t>בעל תעודת בגרות</w:t>
      </w:r>
      <w:r>
        <w:rPr>
          <w:rtl w:val="true"/>
        </w:rPr>
        <w:t xml:space="preserve">, </w:t>
      </w:r>
      <w:r>
        <w:rPr>
          <w:rtl w:val="true"/>
        </w:rPr>
        <w:t>הוא ספורטאי מצטיין בענף הג</w:t>
      </w:r>
      <w:r>
        <w:rPr>
          <w:rtl w:val="true"/>
        </w:rPr>
        <w:t>'</w:t>
      </w:r>
      <w:r>
        <w:rPr>
          <w:rtl w:val="true"/>
        </w:rPr>
        <w:t>ודו</w:t>
      </w:r>
      <w:r>
        <w:rPr>
          <w:rtl w:val="true"/>
        </w:rPr>
        <w:t xml:space="preserve">, </w:t>
      </w:r>
      <w:r>
        <w:rPr>
          <w:rtl w:val="true"/>
        </w:rPr>
        <w:t>מילדותו</w:t>
      </w:r>
      <w:r>
        <w:rPr>
          <w:rtl w:val="true"/>
        </w:rPr>
        <w:t xml:space="preserve">, </w:t>
      </w:r>
      <w:r>
        <w:rPr>
          <w:rtl w:val="true"/>
        </w:rPr>
        <w:t xml:space="preserve">כבר בגיל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הוכתר כאלוף ישראל</w:t>
      </w:r>
      <w:r>
        <w:rPr>
          <w:rtl w:val="true"/>
        </w:rPr>
        <w:t xml:space="preserve">, </w:t>
      </w:r>
      <w:r>
        <w:rPr>
          <w:rtl w:val="true"/>
        </w:rPr>
        <w:t>מאז צבר תארים והישגים רבים בתחום זה בארץ ובעולם</w:t>
      </w:r>
      <w:r>
        <w:rPr>
          <w:rtl w:val="true"/>
        </w:rPr>
        <w:t xml:space="preserve">, </w:t>
      </w:r>
      <w:r>
        <w:rPr>
          <w:rtl w:val="true"/>
        </w:rPr>
        <w:t>וכיום הוא עובד כמאמן</w:t>
      </w:r>
      <w:r>
        <w:rPr>
          <w:rtl w:val="true"/>
        </w:rPr>
        <w:t xml:space="preserve">, </w:t>
      </w:r>
      <w:r>
        <w:rPr>
          <w:rtl w:val="true"/>
        </w:rPr>
        <w:t>חזר להתחרות</w:t>
      </w:r>
      <w:r>
        <w:rPr>
          <w:rtl w:val="true"/>
        </w:rPr>
        <w:t xml:space="preserve">, </w:t>
      </w:r>
      <w:r>
        <w:rPr>
          <w:rtl w:val="true"/>
        </w:rPr>
        <w:t>ומשמש כקפטן קבוצת הג</w:t>
      </w:r>
      <w:r>
        <w:rPr>
          <w:rtl w:val="true"/>
        </w:rPr>
        <w:t>'</w:t>
      </w:r>
      <w:r>
        <w:rPr>
          <w:rtl w:val="true"/>
        </w:rPr>
        <w:t>ודו 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והגיש תעודות ומכתבי המלצה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חייו של הנאשם נעים בין קיצוניות אחת לשנייה</w:t>
      </w:r>
      <w:r>
        <w:rPr>
          <w:rtl w:val="true"/>
        </w:rPr>
        <w:t xml:space="preserve">, </w:t>
      </w:r>
      <w:r>
        <w:rPr>
          <w:rtl w:val="true"/>
        </w:rPr>
        <w:t>מגיל צעיר עסק בג</w:t>
      </w:r>
      <w:r>
        <w:rPr>
          <w:rtl w:val="true"/>
        </w:rPr>
        <w:t>'</w:t>
      </w:r>
      <w:r>
        <w:rPr>
          <w:rtl w:val="true"/>
        </w:rPr>
        <w:t>ודו וקצר הישגים ברמה הבינלאומית</w:t>
      </w:r>
      <w:r>
        <w:rPr>
          <w:rtl w:val="true"/>
        </w:rPr>
        <w:t xml:space="preserve">, </w:t>
      </w:r>
      <w:r>
        <w:rPr>
          <w:rtl w:val="true"/>
        </w:rPr>
        <w:t>ואז הנאשם החליט לפרוש</w:t>
      </w:r>
      <w:r>
        <w:rPr>
          <w:rtl w:val="true"/>
        </w:rPr>
        <w:t xml:space="preserve">, </w:t>
      </w:r>
      <w:r>
        <w:rPr>
          <w:rtl w:val="true"/>
        </w:rPr>
        <w:t>החל להתדרדר</w:t>
      </w:r>
      <w:r>
        <w:rPr>
          <w:rtl w:val="true"/>
        </w:rPr>
        <w:t xml:space="preserve">, </w:t>
      </w:r>
      <w:r>
        <w:rPr>
          <w:rtl w:val="true"/>
        </w:rPr>
        <w:t>והתהליך לווה בהרבה לחץ וחרדה</w:t>
      </w:r>
      <w:r>
        <w:rPr>
          <w:rtl w:val="true"/>
        </w:rPr>
        <w:t xml:space="preserve">. </w:t>
      </w:r>
      <w:r>
        <w:rPr>
          <w:rtl w:val="true"/>
        </w:rPr>
        <w:t>הנאשם היה בטיפול פרטי נפשי בניסיון להתמודד עם השינוי הקיצוני בחייו</w:t>
      </w:r>
      <w:r>
        <w:rPr>
          <w:rtl w:val="true"/>
        </w:rPr>
        <w:t xml:space="preserve">, </w:t>
      </w:r>
      <w:r>
        <w:rPr>
          <w:rtl w:val="true"/>
        </w:rPr>
        <w:t>ובאותה עת הוא השתמש בסמים וגידל 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למרבה השמחה</w:t>
      </w:r>
      <w:r>
        <w:rPr>
          <w:rtl w:val="true"/>
        </w:rPr>
        <w:t xml:space="preserve">, </w:t>
      </w:r>
      <w:r>
        <w:rPr>
          <w:rtl w:val="true"/>
        </w:rPr>
        <w:t>הנאשם לא הוסיף להתדרדר</w:t>
      </w:r>
      <w:r>
        <w:rPr>
          <w:rtl w:val="true"/>
        </w:rPr>
        <w:t xml:space="preserve">, </w:t>
      </w:r>
      <w:r>
        <w:rPr>
          <w:rtl w:val="true"/>
        </w:rPr>
        <w:t>והחליט לשנות את דרכיו ולטפס כלפי מעלה</w:t>
      </w:r>
      <w:r>
        <w:rPr>
          <w:rtl w:val="true"/>
        </w:rPr>
        <w:t xml:space="preserve">, </w:t>
      </w:r>
      <w:r>
        <w:rPr>
          <w:rtl w:val="true"/>
        </w:rPr>
        <w:t>והראיה לכך היא נטילת האחריות למעשיו</w:t>
      </w:r>
      <w:r>
        <w:rPr>
          <w:rtl w:val="true"/>
        </w:rPr>
        <w:t xml:space="preserve">, </w:t>
      </w:r>
      <w:r>
        <w:rPr>
          <w:rtl w:val="true"/>
        </w:rPr>
        <w:t>השילוב בטיפול מוצלח ביחידה לנפגעי סמים ומסירת בדיקות שתן נקיות משרידי 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צפוי לנאשם עוד המשך טיפול ארוך במסגרת צו מבחן למשך שנה</w:t>
      </w:r>
      <w:r>
        <w:rPr>
          <w:rtl w:val="true"/>
        </w:rPr>
        <w:t xml:space="preserve">, </w:t>
      </w:r>
      <w:r>
        <w:rPr>
          <w:rtl w:val="true"/>
        </w:rPr>
        <w:t>והנאשם  מעוניין בכך</w:t>
      </w:r>
      <w:r>
        <w:rPr>
          <w:rtl w:val="true"/>
        </w:rPr>
        <w:t xml:space="preserve">, </w:t>
      </w:r>
      <w:r>
        <w:rPr>
          <w:rtl w:val="true"/>
        </w:rPr>
        <w:t>שכן הטיפול מסייע לו ונותן לו כלים להתמודדות כאדם בוגר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הדגיש כי שירות המבחן לא זיהה שיש לנאשם קווי אישיות עברייניים</w:t>
      </w:r>
      <w:r>
        <w:rPr>
          <w:rtl w:val="true"/>
        </w:rPr>
        <w:t xml:space="preserve">, </w:t>
      </w:r>
      <w:r>
        <w:rPr>
          <w:rtl w:val="true"/>
        </w:rPr>
        <w:t>הוא מתפקד</w:t>
      </w:r>
      <w:r>
        <w:rPr>
          <w:rtl w:val="true"/>
        </w:rPr>
        <w:t xml:space="preserve">,  </w:t>
      </w:r>
      <w:r>
        <w:rPr>
          <w:rtl w:val="true"/>
        </w:rPr>
        <w:t>מנהל אורח חיים יציב</w:t>
      </w:r>
      <w:r>
        <w:rPr>
          <w:rtl w:val="true"/>
        </w:rPr>
        <w:t xml:space="preserve">, </w:t>
      </w:r>
      <w:r>
        <w:rPr>
          <w:rtl w:val="true"/>
        </w:rPr>
        <w:t>מגלה יכולת התמדה ועמידה בהתחייבויות</w:t>
      </w:r>
      <w:r>
        <w:rPr>
          <w:rtl w:val="true"/>
        </w:rPr>
        <w:t xml:space="preserve">, </w:t>
      </w:r>
      <w:r>
        <w:rPr>
          <w:rtl w:val="true"/>
        </w:rPr>
        <w:t>הוא אדם בעל כוחות ומערכת ערכים נורמטיבית</w:t>
      </w:r>
      <w:r>
        <w:rPr>
          <w:rtl w:val="true"/>
        </w:rPr>
        <w:t xml:space="preserve">, </w:t>
      </w:r>
      <w:r>
        <w:rPr>
          <w:rtl w:val="true"/>
        </w:rPr>
        <w:t>וסיכויי שיקומו חיוביים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כי לפי התסקיר</w:t>
      </w:r>
      <w:r>
        <w:rPr>
          <w:rtl w:val="true"/>
        </w:rPr>
        <w:t xml:space="preserve">, </w:t>
      </w:r>
      <w:r>
        <w:rPr>
          <w:rtl w:val="true"/>
        </w:rPr>
        <w:t>שירות המבחן שם את כובד המשקל על ההרשעה</w:t>
      </w:r>
      <w:r>
        <w:rPr>
          <w:rtl w:val="true"/>
        </w:rPr>
        <w:t xml:space="preserve">, </w:t>
      </w:r>
      <w:r>
        <w:rPr>
          <w:rtl w:val="true"/>
        </w:rPr>
        <w:t>שהיא להערכתו מאוד משמעותית לשם הצבת גבול לנאשם</w:t>
      </w:r>
      <w:r>
        <w:rPr>
          <w:rtl w:val="true"/>
        </w:rPr>
        <w:t xml:space="preserve">, </w:t>
      </w:r>
      <w:r>
        <w:rPr>
          <w:rtl w:val="true"/>
        </w:rPr>
        <w:t>אך הרשעה זו משמעותית גם עבור הנאשם שכן גורמת לו נזק מהותי וחוסמת אותו מלעבוד במשרד החינוך ולתפקד בכל תפקיד במסגרת נבחרת ישראל כפי שהוא היה רוצה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מתחם העונש לו עותרת המאשימה הוא גדול ורחב מידי</w:t>
      </w:r>
      <w:r>
        <w:rPr>
          <w:rtl w:val="true"/>
        </w:rPr>
        <w:t xml:space="preserve">, </w:t>
      </w:r>
      <w:r>
        <w:rPr>
          <w:rtl w:val="true"/>
        </w:rPr>
        <w:t>ומתאים לכמות גדולה של שתילים</w:t>
      </w:r>
      <w:r>
        <w:rPr>
          <w:rtl w:val="true"/>
        </w:rPr>
        <w:t xml:space="preserve">, </w:t>
      </w:r>
      <w:r>
        <w:rPr>
          <w:rtl w:val="true"/>
        </w:rPr>
        <w:t>ומשקל של למעלה 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והפסיקה אליה הפנתה ב</w:t>
      </w:r>
      <w:r>
        <w:rPr>
          <w:rtl w:val="true"/>
        </w:rPr>
        <w:t>"</w:t>
      </w:r>
      <w:r>
        <w:rPr>
          <w:rtl w:val="true"/>
        </w:rPr>
        <w:t>כ המאשימה לא התייחסה למקרה בו הייתה כמות קטנה יחסית של שתילים ובמשקל של מספר מאות גרמים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כי בית המשפט ישקול את ביטול ההרשעה</w:t>
      </w:r>
      <w:r>
        <w:rPr>
          <w:rtl w:val="true"/>
        </w:rPr>
        <w:t xml:space="preserve">, </w:t>
      </w:r>
      <w:r>
        <w:rPr>
          <w:rtl w:val="true"/>
        </w:rPr>
        <w:t>וטען כי העבירות אינן מונעות זאת מבית המשפט במקרה המתאים שלא להרשיע את הנאשם והפנה לפסיקה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טען כי ככל שבית המשפט יקבע כי לא ניתן לסיים את ההליך ללא הרשעה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מתחם העונש ההולם נע בין שירות לתועלת הציבור ומאסר על תנאי ברף הנמוך לבין מספר 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הפנה לפסיקה</w:t>
      </w:r>
      <w:r>
        <w:rPr>
          <w:rtl w:val="true"/>
        </w:rPr>
        <w:t xml:space="preserve">, </w:t>
      </w:r>
      <w:r>
        <w:rPr>
          <w:rtl w:val="true"/>
        </w:rPr>
        <w:t>וטען כי בעניינו של הנאשם יש לסטות מהמתחם לקולא מטעמי שיקום</w:t>
      </w:r>
      <w:r>
        <w:rPr>
          <w:rtl w:val="true"/>
        </w:rPr>
        <w:t xml:space="preserve">, </w:t>
      </w:r>
      <w:r>
        <w:rPr>
          <w:rtl w:val="true"/>
        </w:rPr>
        <w:t>ולהסתפק בהרשעה</w:t>
      </w:r>
      <w:r>
        <w:rPr>
          <w:rtl w:val="true"/>
        </w:rPr>
        <w:t xml:space="preserve">, </w:t>
      </w:r>
      <w:r>
        <w:rPr>
          <w:rtl w:val="true"/>
        </w:rPr>
        <w:t>מאסר על תנאי 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אין הבדל בין מאסר לריצוי בדרך של עבודות שירות לבין שירות לתועלת הציבור כשמטרת שניהם הוא עונש חינוכי ותרומה לחברה</w:t>
      </w:r>
      <w:r>
        <w:rPr>
          <w:rtl w:val="true"/>
        </w:rPr>
        <w:t xml:space="preserve">, </w:t>
      </w:r>
      <w:r>
        <w:rPr>
          <w:rtl w:val="true"/>
        </w:rPr>
        <w:t>בעוד שמבחינת הנאשם ההבדל הוא עצום</w:t>
      </w:r>
      <w:r>
        <w:rPr>
          <w:rtl w:val="true"/>
        </w:rPr>
        <w:t xml:space="preserve">, </w:t>
      </w:r>
      <w:r>
        <w:rPr>
          <w:rtl w:val="true"/>
        </w:rPr>
        <w:t>מאחר שעונש של שירות לתועלת הציבור יאפשר לו להמשיך את עיסוקו בענף הג</w:t>
      </w:r>
      <w:r>
        <w:rPr>
          <w:rtl w:val="true"/>
        </w:rPr>
        <w:t>'</w:t>
      </w:r>
      <w:r>
        <w:rPr>
          <w:rtl w:val="true"/>
        </w:rPr>
        <w:t>ודו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הנאשם כי יש להימנע מפסילת רישיונו של הנאשם לאור העובדה שאינו משתמש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הוסיף כי הוא חש שהוא מצליח לצאת מהמקום הנמוך בו היה</w:t>
      </w:r>
      <w:r>
        <w:rPr>
          <w:rtl w:val="true"/>
        </w:rPr>
        <w:t xml:space="preserve">, </w:t>
      </w:r>
      <w:r>
        <w:rPr>
          <w:rtl w:val="true"/>
        </w:rPr>
        <w:t>לטפס כלפי מעלה ולקחת אחריות על חייו בעזרת הטיפול שהוא מקבל והעיסוק בג</w:t>
      </w:r>
      <w:r>
        <w:rPr>
          <w:rtl w:val="true"/>
        </w:rPr>
        <w:t>'</w:t>
      </w:r>
      <w:r>
        <w:rPr>
          <w:rtl w:val="true"/>
        </w:rPr>
        <w:t>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 xml:space="preserve">שעניינו </w:t>
      </w:r>
      <w:r>
        <w:rPr>
          <w:rtl w:val="true"/>
        </w:rPr>
        <w:t>"</w:t>
      </w:r>
      <w:r>
        <w:rPr>
          <w:rtl w:val="true"/>
        </w:rPr>
        <w:t>הבניית שיקול הדעת השיפוטי בענישה</w:t>
      </w:r>
      <w:r>
        <w:rPr>
          <w:rtl w:val="true"/>
        </w:rPr>
        <w:t xml:space="preserve">", </w:t>
      </w:r>
      <w:r>
        <w:rPr>
          <w:rtl w:val="true"/>
        </w:rPr>
        <w:t>קבע את עקרון ההלימה כעיקרון מנחה בענישה</w:t>
      </w:r>
      <w:r>
        <w:rPr>
          <w:rtl w:val="true"/>
        </w:rPr>
        <w:t xml:space="preserve">. </w:t>
      </w:r>
      <w:r>
        <w:rPr>
          <w:rtl w:val="true"/>
        </w:rPr>
        <w:t>בהתאם לעקרון זה</w:t>
      </w:r>
      <w:r>
        <w:rPr>
          <w:rtl w:val="true"/>
        </w:rPr>
        <w:t xml:space="preserve">, </w:t>
      </w:r>
      <w:r>
        <w:rPr>
          <w:rtl w:val="true"/>
        </w:rPr>
        <w:t>נדרש יחס הולם בין חומרת מעשה העבירה בנסיבותיו ומידת אשמתו של הנאשם לבין סוג ומידת העונש המוטל 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9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הורשע בשתי עבירות על 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– הן עבירה של גידול סמים והן עבירה של החזקת סמים שלא לצריכה עצמית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אבחן האם יש לקבוע מתחם עונש הולם לכל אחת מן העבירות באופן נפרד או מתחם עונש לאירוע כולו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לשתי העבירות גם יחד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החזקת הסמים הייתה בכמות שאינה לצריכה עצמית</w:t>
      </w:r>
      <w:r>
        <w:rPr>
          <w:rtl w:val="true"/>
        </w:rPr>
        <w:t xml:space="preserve">, </w:t>
      </w:r>
      <w:r>
        <w:rPr>
          <w:rtl w:val="true"/>
        </w:rPr>
        <w:t>שכן מדובר בכמות שהיא כמעט פי שמונה מהכמות הקבועה ב</w:t>
      </w:r>
      <w:hyperlink r:id="rId13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כמקימה חזקה לצריכה 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הסם אותו גידל הנאשם והסם אותו החזיק שלא לצריכה עצמית הינו סם מאותו סוג</w:t>
      </w:r>
      <w:r>
        <w:rPr>
          <w:rtl w:val="true"/>
        </w:rPr>
        <w:t xml:space="preserve">, </w:t>
      </w:r>
      <w:r>
        <w:rPr>
          <w:rtl w:val="true"/>
        </w:rPr>
        <w:t>סם מסוג קנאבוס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מדובר למעשה באירוע אחד בו מגולמות שתי העבירות</w:t>
      </w:r>
      <w:r>
        <w:rPr>
          <w:rtl w:val="true"/>
        </w:rPr>
        <w:t xml:space="preserve">. </w:t>
      </w:r>
      <w:r>
        <w:rPr>
          <w:rtl w:val="true"/>
        </w:rPr>
        <w:t>גם ב</w:t>
      </w:r>
      <w:r>
        <w:rPr>
          <w:rtl w:val="true"/>
        </w:rPr>
        <w:t>"</w:t>
      </w:r>
      <w:r>
        <w:rPr>
          <w:rtl w:val="true"/>
        </w:rPr>
        <w:t>כ הנאשמים בטיעוניהם טענו למתחם עונש הולם אחד בהתייחס למעשיו של הנאשם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ובהתאם למתווה שהציגו הצדדים בטיעוניהם</w:t>
      </w:r>
      <w:r>
        <w:rPr>
          <w:rtl w:val="true"/>
        </w:rPr>
        <w:t xml:space="preserve">, </w:t>
      </w:r>
      <w:r>
        <w:rPr>
          <w:rtl w:val="true"/>
        </w:rPr>
        <w:t>אקבע מתחם עונש הולם כולל לשתי העבירות גם יחד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גזירת הדין מורכבת משלושה שלבים עיקריים</w:t>
      </w:r>
      <w:r>
        <w:rPr>
          <w:rtl w:val="true"/>
        </w:rPr>
        <w:t xml:space="preserve">: </w:t>
      </w:r>
      <w:r>
        <w:rPr>
          <w:rtl w:val="true"/>
        </w:rPr>
        <w:t>השלב הראשון</w:t>
      </w:r>
      <w:r>
        <w:rPr>
          <w:rtl w:val="true"/>
        </w:rPr>
        <w:t xml:space="preserve">, </w:t>
      </w:r>
      <w:r>
        <w:rPr>
          <w:rtl w:val="true"/>
        </w:rPr>
        <w:t>קביעת מתחם העונש ההולם למעשי העבירות שביצע הנאשם</w:t>
      </w:r>
      <w:r>
        <w:rPr>
          <w:rtl w:val="true"/>
        </w:rPr>
        <w:t xml:space="preserve">, </w:t>
      </w:r>
      <w:r>
        <w:rPr>
          <w:rtl w:val="true"/>
        </w:rPr>
        <w:t>בהתחשב בערך החברתי שנפגע מביצוען</w:t>
      </w:r>
      <w:r>
        <w:rPr>
          <w:rtl w:val="true"/>
        </w:rPr>
        <w:t xml:space="preserve">, </w:t>
      </w:r>
      <w:r>
        <w:rPr>
          <w:rtl w:val="true"/>
        </w:rPr>
        <w:t>במידת הפגיעה בערך זה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ובנסיבות הקשורות בביצוע העבירות ומידת אשמו של הנאשם</w:t>
      </w:r>
      <w:r>
        <w:rPr>
          <w:rtl w:val="true"/>
        </w:rPr>
        <w:t xml:space="preserve">; </w:t>
      </w:r>
      <w:r>
        <w:rPr>
          <w:rtl w:val="true"/>
        </w:rPr>
        <w:t>השלב השני</w:t>
      </w:r>
      <w:r>
        <w:rPr>
          <w:rtl w:val="true"/>
        </w:rPr>
        <w:t xml:space="preserve">, </w:t>
      </w:r>
      <w:r>
        <w:rPr>
          <w:rtl w:val="true"/>
        </w:rPr>
        <w:t>בדיקה האם ראוי לחרוג ממתחם העונש ההולם לקולא בשל שיקולי שיקום</w:t>
      </w:r>
      <w:r>
        <w:rPr>
          <w:rtl w:val="true"/>
        </w:rPr>
        <w:t xml:space="preserve">, </w:t>
      </w:r>
      <w:r>
        <w:rPr>
          <w:rtl w:val="true"/>
        </w:rPr>
        <w:t>או לחומרא בשל שיקולי הגנה על שלום הציבור</w:t>
      </w:r>
      <w:r>
        <w:rPr>
          <w:rtl w:val="true"/>
        </w:rPr>
        <w:t xml:space="preserve">; </w:t>
      </w:r>
      <w:r>
        <w:rPr>
          <w:rtl w:val="true"/>
        </w:rPr>
        <w:t>והשלב השלישי</w:t>
      </w:r>
      <w:r>
        <w:rPr>
          <w:rtl w:val="true"/>
        </w:rPr>
        <w:t xml:space="preserve">, </w:t>
      </w:r>
      <w:r>
        <w:rPr>
          <w:rtl w:val="true"/>
        </w:rPr>
        <w:t>קביעת העונש המתאים שיושת על הנאשם</w:t>
      </w:r>
      <w:r>
        <w:rPr>
          <w:rtl w:val="true"/>
        </w:rPr>
        <w:t xml:space="preserve">, </w:t>
      </w:r>
      <w:r>
        <w:rPr>
          <w:rtl w:val="true"/>
        </w:rPr>
        <w:t>בהתחשב בצורך בהרתעתו ובהתחשב בצורך בהרתעת הרבים</w:t>
      </w:r>
      <w:r>
        <w:rPr>
          <w:rtl w:val="true"/>
        </w:rPr>
        <w:t xml:space="preserve">, </w:t>
      </w:r>
      <w:r>
        <w:rPr>
          <w:rtl w:val="true"/>
        </w:rPr>
        <w:t>בנסיבותיו האישיות של הנאשם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וכמו גם נסיבות אחרות ככל שתמצאנה רלוונטיות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405" w:start="405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הערך החברתי עליו נועדה 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להגן בהוראותיה השונות הוא בריאותו ושלומו הפיזי והנפשי של הציבור מפני הנזקים הישירים והעקיפים הנגרמים עקב השימוש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העליון הדגיש פעמים רבות בפסיקותיו את חומרת עבירות הסמים</w:t>
      </w:r>
      <w:r>
        <w:rPr>
          <w:rtl w:val="true"/>
        </w:rPr>
        <w:t xml:space="preserve">, </w:t>
      </w:r>
      <w:r>
        <w:rPr>
          <w:rtl w:val="true"/>
        </w:rPr>
        <w:t>הנזקים שנגרמים לחברה כתוצאה מהן</w:t>
      </w:r>
      <w:r>
        <w:rPr>
          <w:rtl w:val="true"/>
        </w:rPr>
        <w:t xml:space="preserve">, </w:t>
      </w:r>
      <w:r>
        <w:rPr>
          <w:rtl w:val="true"/>
        </w:rPr>
        <w:t xml:space="preserve">וכינה את הצורך להילחם בנגע הסמים </w:t>
      </w:r>
      <w:r>
        <w:rPr>
          <w:rtl w:val="true"/>
        </w:rPr>
        <w:t>"</w:t>
      </w:r>
      <w:r>
        <w:rPr>
          <w:rtl w:val="true"/>
        </w:rPr>
        <w:t>מלחמת חורמה</w:t>
      </w:r>
      <w:r>
        <w:rPr>
          <w:rtl w:val="true"/>
        </w:rPr>
        <w:t xml:space="preserve">" -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את נגע הסמים יש לעקור מן השורש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 וכמובן גם שימוש בסמים – כל אלו מסבים נזק עצום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גם לחברה בכללותה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134" w:end="1134"/>
        <w:jc w:val="both"/>
        <w:rPr>
          <w:b/>
          <w:bCs/>
        </w:rPr>
      </w:pPr>
      <w:r>
        <w:rPr>
          <w:b/>
          <w:bCs/>
          <w:rtl w:val="true"/>
        </w:rPr>
        <w:t>...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b/>
          <w:b/>
          <w:bCs/>
          <w:rtl w:val="true"/>
        </w:rPr>
        <w:t>למאבק בנגע הסמים יש שותפים 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חלקם מתמקדים בחינוך מניעתי ובהסברה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אחרים מסייעים בהליכי הגמילה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לצידם פועלים גם אנשי אכיפת 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שתפקידם לסכל את עבירות הסמים וללכוד את העבריינים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 בית המשפט נוטל חלק חשוב במאבק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הטלת עונש מרתיע על מי שהורשע בעבירות 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בכל זאת תוך מתן משקל – בין היתר – לכמות הסם ואיכותו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טיב עבירת הסמים שבוצעה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תרומתו של הנאשם להתגשמות העבירה ועברו הפלילי</w:t>
      </w:r>
      <w:r>
        <w:rPr>
          <w:rtl w:val="true"/>
        </w:rPr>
        <w:t>".</w:t>
      </w:r>
    </w:p>
    <w:p>
      <w:pPr>
        <w:pStyle w:val="Normal"/>
        <w:spacing w:lineRule="auto" w:line="360"/>
        <w:ind w:start="1134" w:end="1134"/>
        <w:jc w:val="both"/>
        <w:rPr/>
      </w:pP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יניב יונה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4.7.12</w:t>
      </w:r>
      <w:r>
        <w:rPr>
          <w:rtl w:val="true"/>
        </w:rPr>
        <w:t>).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חומרת העבירות של גידול סמים והחזקת סמים שלא לצריכה עצמית בהן הורשע הנאשם ניתן ללמוד מהעונש המקסימאלי שהמחוקק קבע בצד כל אחת מעבירות אלו 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עבירת גידול הסם נכללת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יחד עם עבירות של ייצור</w:t>
      </w:r>
      <w:r>
        <w:rPr>
          <w:rtl w:val="true"/>
        </w:rPr>
        <w:t xml:space="preserve">, </w:t>
      </w:r>
      <w:r>
        <w:rPr>
          <w:rtl w:val="true"/>
        </w:rPr>
        <w:t>הכנה והפקת סמים</w:t>
      </w:r>
      <w:r>
        <w:rPr>
          <w:rtl w:val="true"/>
        </w:rPr>
        <w:t xml:space="preserve">, </w:t>
      </w:r>
      <w:r>
        <w:rPr>
          <w:rtl w:val="true"/>
        </w:rPr>
        <w:t>כשהרציונל העומד מאחורי העבירה הוא מניעת הכנסת סם חדש ונוסף למעגל הסמים</w:t>
      </w:r>
      <w:r>
        <w:rPr>
          <w:rtl w:val="true"/>
        </w:rPr>
        <w:t xml:space="preserve">. </w:t>
      </w:r>
      <w:r>
        <w:rPr>
          <w:rtl w:val="true"/>
        </w:rPr>
        <w:t>המחוקק לא ערך הבחנה בין גידול סם לצריכה עצמית וגידול סם שלא לצריכה עצמית</w:t>
      </w:r>
      <w:r>
        <w:rPr>
          <w:rtl w:val="true"/>
        </w:rPr>
        <w:t xml:space="preserve">, </w:t>
      </w:r>
      <w:r>
        <w:rPr>
          <w:rtl w:val="true"/>
        </w:rPr>
        <w:t>בניגוד להבחנה שערך בין החזקה</w:t>
      </w:r>
      <w:r>
        <w:rPr>
          <w:rtl w:val="true"/>
        </w:rPr>
        <w:t>/</w:t>
      </w:r>
      <w:r>
        <w:rPr>
          <w:rtl w:val="true"/>
        </w:rPr>
        <w:t>שימוש בסם לצריכה עצמית לבין החזקה</w:t>
      </w:r>
      <w:r>
        <w:rPr>
          <w:rtl w:val="true"/>
        </w:rPr>
        <w:t>/</w:t>
      </w:r>
      <w:r>
        <w:rPr>
          <w:rtl w:val="true"/>
        </w:rPr>
        <w:t>שימוש בסם שלא לצריכה 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בית</w:t>
      </w:r>
      <w:r>
        <w:rPr>
          <w:rtl w:val="true"/>
        </w:rPr>
        <w:t>-</w:t>
      </w:r>
      <w:r>
        <w:rPr>
          <w:rtl w:val="true"/>
        </w:rPr>
        <w:t>המשפט מוטלת החובה להחמיר בענישת מגדלי הסם</w:t>
      </w:r>
      <w:r>
        <w:rPr>
          <w:rtl w:val="true"/>
        </w:rPr>
        <w:t xml:space="preserve">, </w:t>
      </w:r>
      <w:r>
        <w:rPr>
          <w:rtl w:val="true"/>
        </w:rPr>
        <w:t>כדי לצקת תוכן לתכלית החקיקה</w:t>
      </w:r>
      <w:r>
        <w:rPr>
          <w:rtl w:val="true"/>
        </w:rPr>
        <w:t xml:space="preserve">, </w:t>
      </w:r>
      <w:r>
        <w:rPr>
          <w:rtl w:val="true"/>
        </w:rPr>
        <w:t>לגמול למגדלי הסם על מעשיהם</w:t>
      </w:r>
      <w:r>
        <w:rPr>
          <w:rtl w:val="true"/>
        </w:rPr>
        <w:t xml:space="preserve">, </w:t>
      </w:r>
      <w:r>
        <w:rPr>
          <w:rtl w:val="true"/>
        </w:rPr>
        <w:t>ולהרתיע הן את הנאשמים והן את הרבים העלולים לפעול כמותם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נפסק לא אחת כי  תופעת גידול סם במעבדות ביתיות הפכה להיות נפוצה ושכיחה ביותר</w:t>
      </w:r>
      <w:r>
        <w:rPr>
          <w:rtl w:val="true"/>
        </w:rPr>
        <w:t xml:space="preserve">, </w:t>
      </w:r>
      <w:r>
        <w:rPr>
          <w:rtl w:val="true"/>
        </w:rPr>
        <w:t xml:space="preserve">בגדר 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", </w:t>
      </w:r>
      <w:r>
        <w:rPr>
          <w:rtl w:val="true"/>
        </w:rPr>
        <w:t>וזאת לאור קלות הביצוע</w:t>
      </w:r>
      <w:r>
        <w:rPr>
          <w:rtl w:val="true"/>
        </w:rPr>
        <w:t xml:space="preserve">, </w:t>
      </w:r>
      <w:r>
        <w:rPr>
          <w:rtl w:val="true"/>
        </w:rPr>
        <w:t>הביטחון היחסי באי חשיפת העבירה המתבצעת בתחומי הבית</w:t>
      </w:r>
      <w:r>
        <w:rPr>
          <w:rtl w:val="true"/>
        </w:rPr>
        <w:t xml:space="preserve">, </w:t>
      </w:r>
      <w:r>
        <w:rPr>
          <w:rtl w:val="true"/>
        </w:rPr>
        <w:t>ולנוכח הפוטנציאל הגלום בה</w:t>
      </w:r>
      <w:r>
        <w:rPr>
          <w:rtl w:val="true"/>
        </w:rPr>
        <w:t xml:space="preserve">, </w:t>
      </w:r>
      <w:r>
        <w:rPr>
          <w:rtl w:val="true"/>
        </w:rPr>
        <w:t xml:space="preserve">עד שאין מנוס אלא להילחם בה בחומרה </w:t>
      </w:r>
      <w:r>
        <w:rPr>
          <w:rtl w:val="true"/>
        </w:rPr>
        <w:t>(</w:t>
      </w:r>
      <w:r>
        <w:rPr>
          <w:rtl w:val="true"/>
        </w:rPr>
        <w:t xml:space="preserve">ראה לדוגמא לעניין זה –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42358-10-14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23.11.15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17796-10-14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דדון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9.2.15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הנסיבות הקשורות בביצוע העבירות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>לביצוען קדם תכנון</w:t>
      </w:r>
      <w:r>
        <w:rPr>
          <w:rtl w:val="true"/>
        </w:rPr>
        <w:t xml:space="preserve">, </w:t>
      </w:r>
      <w:r>
        <w:rPr>
          <w:rtl w:val="true"/>
        </w:rPr>
        <w:t xml:space="preserve">שכן הנאשם </w:t>
      </w:r>
      <w:r>
        <w:rPr>
          <w:b/>
          <w:b/>
          <w:rtl w:val="true"/>
        </w:rPr>
        <w:t>השקיע זמן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כסף ומאמץ להשבחת הגידול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באמצעות תאורה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מערכות קירור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אוהלים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מפוח ועוד עזרים מיוחדים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כפי שעולה מעובדות כתב האישום ומהתמונות שהוגשו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rtl w:val="true"/>
        </w:rPr>
        <w:t>לעניין פוטנציאל הנזק הטמון בעבירות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המדובר בסם מסוג קנאבוס</w:t>
      </w:r>
      <w:r>
        <w:rPr>
          <w:rtl w:val="true"/>
        </w:rPr>
        <w:t xml:space="preserve">, </w:t>
      </w:r>
      <w:r>
        <w:rPr>
          <w:rtl w:val="true"/>
        </w:rPr>
        <w:t xml:space="preserve">שנהוג לכנותו סם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tl w:val="true"/>
        </w:rPr>
        <w:t xml:space="preserve">", </w:t>
      </w:r>
      <w:r>
        <w:rPr>
          <w:rtl w:val="true"/>
        </w:rPr>
        <w:t>אך נקבע בפסיקה כי אין להקל ראש בעבירות הנוגעות לסמים המוגדרים כ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", </w:t>
      </w:r>
      <w:r>
        <w:rPr>
          <w:rtl w:val="true"/>
        </w:rPr>
        <w:t xml:space="preserve">וכי המאבק בנגע הסמים צריך להיות מכוון גם נגד השימוש בסמים קלים ובפגיעתם של אלה ביחידים ובחוסנה של החברה כולה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ויצמן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20.7.06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</w:rPr>
        <w:t>19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שתילים גודלו במעבדה</w:t>
      </w:r>
      <w:r>
        <w:rPr>
          <w:b/>
          <w:rtl w:val="true"/>
        </w:rPr>
        <w:t xml:space="preserve">, </w:t>
      </w:r>
      <w:r>
        <w:rPr>
          <w:b/>
        </w:rPr>
        <w:t>12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מהם שתילים צעירים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</w:t>
      </w:r>
      <w:r>
        <w:rPr>
          <w:b/>
          <w:rtl w:val="true"/>
        </w:rPr>
        <w:t>-</w:t>
      </w:r>
      <w:r>
        <w:rPr>
          <w:b/>
        </w:rPr>
        <w:t>7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שתילים בוגרים יותר שגדלו לגודל משמעותי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כשסה</w:t>
      </w:r>
      <w:r>
        <w:rPr>
          <w:b/>
          <w:rtl w:val="true"/>
        </w:rPr>
        <w:t>"</w:t>
      </w:r>
      <w:r>
        <w:rPr>
          <w:b/>
          <w:b/>
          <w:rtl w:val="true"/>
        </w:rPr>
        <w:t>כ משקלם הגיע ל</w:t>
      </w:r>
      <w:r>
        <w:rPr>
          <w:b/>
          <w:rtl w:val="true"/>
        </w:rPr>
        <w:t>-</w:t>
      </w:r>
      <w:r>
        <w:rPr>
          <w:b/>
        </w:rPr>
        <w:t>868.60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גרם </w:t>
      </w:r>
      <w:r>
        <w:rPr>
          <w:b/>
          <w:rtl w:val="true"/>
        </w:rPr>
        <w:t>(</w:t>
      </w:r>
      <w:r>
        <w:rPr>
          <w:b/>
          <w:b/>
          <w:rtl w:val="true"/>
        </w:rPr>
        <w:t>אף שאני ערה להבדל בין משקל נטו לברוטו</w:t>
      </w:r>
      <w:r>
        <w:rPr>
          <w:b/>
          <w:rtl w:val="true"/>
        </w:rPr>
        <w:t xml:space="preserve">). </w:t>
      </w:r>
      <w:r>
        <w:rPr>
          <w:b/>
          <w:b/>
          <w:rtl w:val="true"/>
        </w:rPr>
        <w:t>זאת ועוד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הנאשם כאמור הצליח </w:t>
      </w:r>
      <w:r>
        <w:rPr>
          <w:b/>
          <w:rtl w:val="true"/>
        </w:rPr>
        <w:t>"</w:t>
      </w:r>
      <w:r>
        <w:rPr>
          <w:b/>
          <w:b/>
          <w:rtl w:val="true"/>
        </w:rPr>
        <w:t>לקצור את הפירות</w:t>
      </w:r>
      <w:r>
        <w:rPr>
          <w:b/>
          <w:rtl w:val="true"/>
        </w:rPr>
        <w:t xml:space="preserve">" </w:t>
      </w:r>
      <w:r>
        <w:rPr>
          <w:b/>
          <w:b/>
          <w:rtl w:val="true"/>
        </w:rPr>
        <w:t>מחלק מהשתילים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בכמות שאינה לצריכה עצמית</w:t>
      </w:r>
      <w:r>
        <w:rPr>
          <w:b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אינני סבורה כי יש ללמוד רק ממספר השתילים או רק ממשקל הסם המצוין בכתב האישום על חומרת האירוע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אילו המעבדה הייתה נתפסת במועד מאוחר יותר מהמועד בו נתפסה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היה משקל השתילים עולה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b/>
          <w:rtl w:val="true"/>
        </w:rPr>
        <w:t>ניתן למצוא בפסיקה מקרים בהם נתפסו מעבדות ובהן שתילים רבים שטרם התפתחו ולכן משקלם היה נמוך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וכן מקרים בהם נתפסו מעבדות עם מספר מועט של שתילים בוגרים שמשקלם היה גבוה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לכן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ובהתאם לפסיקה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יש לקבוע את מתחם העונש על בסיס כלל הנסיבות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לרבות כמות השתילים ומשקל הסם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סוג הסם והיקף פעולות ההכנה </w:t>
      </w:r>
      <w:r>
        <w:rPr>
          <w:b/>
          <w:rtl w:val="true"/>
        </w:rPr>
        <w:t>(</w:t>
      </w:r>
      <w:r>
        <w:rPr>
          <w:b/>
          <w:b/>
          <w:rtl w:val="true"/>
        </w:rPr>
        <w:t xml:space="preserve">ראה לעניין זה 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4512/15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6.7.15</w:t>
      </w:r>
      <w:r>
        <w:rPr>
          <w:rtl w:val="true"/>
        </w:rPr>
        <w:t>)).</w:t>
      </w:r>
      <w:r>
        <w:rPr>
          <w:b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מכלול הנסיבות שפורטו</w:t>
      </w:r>
      <w:r>
        <w:rPr>
          <w:rtl w:val="true"/>
        </w:rPr>
        <w:t xml:space="preserve">, </w:t>
      </w:r>
      <w:r>
        <w:rPr>
          <w:rtl w:val="true"/>
        </w:rPr>
        <w:t>מידת הפגיעה בערך החברתי המוגן הינה משמעותית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 מדיניות הענישה</w:t>
      </w:r>
      <w:r>
        <w:rPr>
          <w:rtl w:val="true"/>
        </w:rPr>
        <w:t xml:space="preserve">, </w:t>
      </w:r>
      <w:r>
        <w:rPr>
          <w:rtl w:val="true"/>
        </w:rPr>
        <w:t>כל אחד מהצדדים הציג לבית המשפט פסיקה התומכת בעתירתו לעונש</w:t>
      </w:r>
      <w:r>
        <w:rPr>
          <w:rtl w:val="true"/>
        </w:rPr>
        <w:t xml:space="preserve">, </w:t>
      </w:r>
      <w:r>
        <w:rPr>
          <w:rtl w:val="true"/>
        </w:rPr>
        <w:t>כפי שאפרט 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הפנה לפסיקה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4512/15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6.7.15</w:t>
      </w:r>
      <w:r>
        <w:rPr>
          <w:rtl w:val="true"/>
        </w:rPr>
        <w:t xml:space="preserve">) – </w:t>
      </w:r>
      <w:r>
        <w:rPr>
          <w:rtl w:val="true"/>
        </w:rPr>
        <w:t>הנאשם הקים במרתף הבית מעבדה לייצור סם מסוג קנאבוס</w:t>
      </w:r>
      <w:r>
        <w:rPr>
          <w:rtl w:val="true"/>
        </w:rPr>
        <w:t xml:space="preserve">, </w:t>
      </w:r>
      <w:r>
        <w:rPr>
          <w:rtl w:val="true"/>
        </w:rPr>
        <w:t xml:space="preserve">נמצאו </w:t>
      </w:r>
      <w:r>
        <w:rPr/>
        <w:t>378</w:t>
      </w:r>
      <w:r>
        <w:rPr>
          <w:rtl w:val="true"/>
        </w:rPr>
        <w:t xml:space="preserve"> </w:t>
      </w:r>
      <w:r>
        <w:rPr>
          <w:rtl w:val="true"/>
        </w:rPr>
        <w:t xml:space="preserve">שתילים במשקל כולל של </w:t>
      </w:r>
      <w:r>
        <w:rPr/>
        <w:t>283.34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 משפט השלום קבע מתחם עונש שנע בין מאסר על תנאי ושל</w:t>
      </w:r>
      <w:r>
        <w:rPr>
          <w:rtl w:val="true"/>
        </w:rPr>
        <w:t>"</w:t>
      </w:r>
      <w:r>
        <w:rPr>
          <w:rtl w:val="true"/>
        </w:rPr>
        <w:t xml:space="preserve">צ לבין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ודן את הנאשם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מאסרים על תנאי וקנס</w:t>
      </w:r>
      <w:r>
        <w:rPr>
          <w:rtl w:val="true"/>
        </w:rPr>
        <w:t xml:space="preserve">. </w:t>
      </w:r>
      <w:r>
        <w:rPr>
          <w:rtl w:val="true"/>
        </w:rPr>
        <w:t>בית המשפט המחוזי  הקל במידת מה בעונשו של הנאשם לאור הליך טיפולי ונסיבותיו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העמיד את העונש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ושאר רכיבי הענישה נותרו על כנם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העליון דחה את בקשת רשות הערעור שהגיש הנאשם וקבע כי אינטרס השיקום אינו יכול להצדיק הקלה נוספת בעונש מעבר לזו שקבע 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24.3.15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בביתו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שתילים מסוג קנאבוס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4,380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הטיל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קנס ופסילה על תנאי</w:t>
      </w:r>
      <w:r>
        <w:rPr>
          <w:rtl w:val="true"/>
        </w:rPr>
        <w:t xml:space="preserve">. </w:t>
      </w:r>
      <w:r>
        <w:rPr>
          <w:rtl w:val="true"/>
        </w:rPr>
        <w:t>ערעור הנאשם לבית המשפט המחוזי נדחה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בקשת רשות הערעור</w:t>
      </w:r>
      <w:r>
        <w:rPr>
          <w:rtl w:val="true"/>
        </w:rPr>
        <w:t xml:space="preserve">, </w:t>
      </w:r>
      <w:r>
        <w:rPr>
          <w:rtl w:val="true"/>
        </w:rPr>
        <w:t>תוך שציין כי מתחם העונש שנקבע על ידי בית משפט השלום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הוא ראוי והולם את הנסיבות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17796-10-14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דדון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9.2.15</w:t>
      </w:r>
      <w:r>
        <w:rPr>
          <w:rtl w:val="true"/>
        </w:rPr>
        <w:t xml:space="preserve">) – </w:t>
      </w:r>
      <w:r>
        <w:rPr>
          <w:rtl w:val="true"/>
        </w:rPr>
        <w:t>לפי כתב האישום הראשון הנאשם סחר בסם מסוג קוקאין בשתי הזדמנויות</w:t>
      </w:r>
      <w:r>
        <w:rPr>
          <w:rtl w:val="true"/>
        </w:rPr>
        <w:t xml:space="preserve">, </w:t>
      </w:r>
      <w:r>
        <w:rPr>
          <w:rtl w:val="true"/>
        </w:rPr>
        <w:t>ולפי כתב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גידל במעבדה סמים מסוג קנאבוס במשקל כולל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כי מתחם העונש לגבי עבירת גידול הסם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של הנאשם בגין עבירה זו בלבד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שירוצו במצטבר לעונש המאסר שהוטל בגין כתב האישום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הגישה ערעור על גזר הדין</w:t>
      </w:r>
      <w:r>
        <w:rPr>
          <w:rtl w:val="true"/>
        </w:rPr>
        <w:t xml:space="preserve">, </w:t>
      </w:r>
      <w:r>
        <w:rPr>
          <w:rtl w:val="true"/>
        </w:rPr>
        <w:t>ובמסגרת פסק הדין קבע בית המשפט המחוזי לגבי עבירת הגידול כי לאור העובדה שדובר במעבדה משוכללת ולאור הכמות העצומה של הסם</w:t>
      </w:r>
      <w:r>
        <w:rPr>
          <w:rtl w:val="true"/>
        </w:rPr>
        <w:t xml:space="preserve">, </w:t>
      </w:r>
      <w:r>
        <w:rPr>
          <w:rtl w:val="true"/>
        </w:rPr>
        <w:t xml:space="preserve">המתחם צריך לנוע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קילו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בגין אישום זה</w:t>
      </w:r>
      <w:r>
        <w:rPr>
          <w:rtl w:val="true"/>
        </w:rPr>
        <w:t xml:space="preserve">, </w:t>
      </w:r>
      <w:r>
        <w:rPr>
          <w:rtl w:val="true"/>
        </w:rPr>
        <w:t>תקופה שתצטרף למאסר שעליו לרצות בגין כתב האישום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5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12819-11-15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בן ארצי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16.12.15</w:t>
      </w:r>
      <w:r>
        <w:rPr>
          <w:rtl w:val="true"/>
        </w:rPr>
        <w:t xml:space="preserve">) – </w:t>
      </w:r>
      <w:r>
        <w:rPr>
          <w:rtl w:val="true"/>
        </w:rPr>
        <w:t>הנאשם הקים מעבדה משוכללת לגידול סמים</w:t>
      </w:r>
      <w:r>
        <w:rPr>
          <w:rtl w:val="true"/>
        </w:rPr>
        <w:t xml:space="preserve">, </w:t>
      </w:r>
      <w:r>
        <w:rPr>
          <w:rtl w:val="true"/>
        </w:rPr>
        <w:t xml:space="preserve">נתפסו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שתילים מסוג קנאבוס במשקל </w:t>
      </w:r>
      <w:r>
        <w:rPr/>
        <w:t>2050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וכן נתפסו סמים בדירה בכמות שאינה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קבע כי מתחם העונש נע בין מאסר שיכול וירוצה בעבודות שירות לבין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וכי יש למקם את הנאשם בתחתית המתחם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צו מבחן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המחוזי קבע כי המתחם צריך לעמוד על תקופה שתחילתה במאסר שיינשא מאחורי סורג ובריח ולא במאסר בעבודות שירות</w:t>
      </w:r>
      <w:r>
        <w:rPr>
          <w:rtl w:val="true"/>
        </w:rPr>
        <w:t xml:space="preserve">, </w:t>
      </w:r>
      <w:r>
        <w:rPr>
          <w:rtl w:val="true"/>
        </w:rPr>
        <w:t>וגם אם יצא מהנחה כי מתחם הענישה הוא כפי שקבע בית משפט השלום</w:t>
      </w:r>
      <w:r>
        <w:rPr>
          <w:rtl w:val="true"/>
        </w:rPr>
        <w:t xml:space="preserve">, </w:t>
      </w:r>
      <w:r>
        <w:rPr>
          <w:rtl w:val="true"/>
        </w:rPr>
        <w:t>לא היה מקום למקם את הנאשם בתחתיתו</w:t>
      </w:r>
      <w:r>
        <w:rPr>
          <w:rtl w:val="true"/>
        </w:rPr>
        <w:t xml:space="preserve">, </w:t>
      </w:r>
      <w:r>
        <w:rPr>
          <w:rtl w:val="true"/>
        </w:rPr>
        <w:t xml:space="preserve">והשית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ים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1987-04-10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אלוני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28.6.10</w:t>
      </w:r>
      <w:r>
        <w:rPr>
          <w:rtl w:val="true"/>
        </w:rPr>
        <w:t xml:space="preserve">) – </w:t>
      </w:r>
      <w:r>
        <w:rPr>
          <w:rtl w:val="true"/>
        </w:rPr>
        <w:t>הנאשם הורשע בגין גידול סם של כ</w:t>
      </w:r>
      <w:r>
        <w:rPr>
          <w:rtl w:val="true"/>
        </w:rPr>
        <w:t>-</w:t>
      </w:r>
      <w:r>
        <w:rPr/>
        <w:t>2700</w:t>
      </w:r>
      <w:r>
        <w:rPr>
          <w:rtl w:val="true"/>
        </w:rPr>
        <w:t xml:space="preserve"> </w:t>
      </w:r>
      <w:r>
        <w:rPr>
          <w:rtl w:val="true"/>
        </w:rPr>
        <w:t xml:space="preserve">שתילים מסוג קנאבוס במשקל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בחממה השייכת להוריו</w:t>
      </w:r>
      <w:r>
        <w:rPr>
          <w:rtl w:val="true"/>
        </w:rPr>
        <w:t xml:space="preserve">. </w:t>
      </w:r>
      <w:r>
        <w:rPr>
          <w:rtl w:val="true"/>
        </w:rPr>
        <w:t xml:space="preserve">הנאשם נדון בבית משפט השלום לעונש מאסר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מאסרים על תנאי וצו מבחן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החמיר בעונש המאסר והעמידו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בציינו את הכלל לפיו ערכאת הערעור אינה ממצה את הדין עם נאשם עת מוגש ערעור על ידי 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לפסיקה כדלקמן</w:t>
      </w:r>
      <w:r>
        <w:rPr>
          <w:rtl w:val="true"/>
        </w:rPr>
        <w:t xml:space="preserve">: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5177/14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זוארץ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31.12.14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סם בכמות של </w:t>
      </w:r>
      <w:r>
        <w:rPr/>
        <w:t>257</w:t>
      </w:r>
      <w:r>
        <w:rPr>
          <w:rtl w:val="true"/>
        </w:rPr>
        <w:t xml:space="preserve"> </w:t>
      </w:r>
      <w:r>
        <w:rPr>
          <w:rtl w:val="true"/>
        </w:rPr>
        <w:t xml:space="preserve">שתילי קנאבוס במשקל כולל של </w:t>
      </w:r>
      <w:r>
        <w:rPr/>
        <w:t>9.4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ו</w:t>
      </w:r>
      <w:r>
        <w:rPr>
          <w:rtl w:val="true"/>
        </w:rPr>
        <w:t>-</w:t>
      </w:r>
      <w:r>
        <w:rPr/>
        <w:t>669.65</w:t>
      </w:r>
      <w:r>
        <w:rPr>
          <w:rtl w:val="true"/>
        </w:rPr>
        <w:t xml:space="preserve"> </w:t>
      </w:r>
      <w:r>
        <w:rPr>
          <w:rtl w:val="true"/>
        </w:rPr>
        <w:t>גרם נטו וזאת בצוותא חדא עם שניים אחרים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משפט השלום גזר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מאסרים על תנאי 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המחוזי הקל בעונשו של הנאשם והעמידו על </w:t>
      </w:r>
      <w:r>
        <w:rPr/>
        <w:t>6.5</w:t>
      </w:r>
      <w:r>
        <w:rPr>
          <w:rtl w:val="true"/>
        </w:rPr>
        <w:t xml:space="preserve">.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בכך שהפחית את ימי המעצר בהם שהה הנאשם</w:t>
      </w:r>
      <w:r>
        <w:rPr>
          <w:rtl w:val="true"/>
        </w:rPr>
        <w:t xml:space="preserve">, </w:t>
      </w:r>
      <w:r>
        <w:rPr>
          <w:rtl w:val="true"/>
        </w:rPr>
        <w:t>וכן הפחית בגובה הקנס שהוטל 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 העליון דחה את בקשת רשות הערעור שהגיש הנאשם</w:t>
      </w:r>
      <w:r>
        <w:rPr>
          <w:rtl w:val="true"/>
        </w:rPr>
        <w:t xml:space="preserve">, </w:t>
      </w:r>
      <w:r>
        <w:rPr>
          <w:rtl w:val="true"/>
        </w:rPr>
        <w:t xml:space="preserve">וקבע כי </w:t>
      </w:r>
      <w:r>
        <w:rPr>
          <w:rtl w:val="true"/>
        </w:rPr>
        <w:t>"</w:t>
      </w:r>
      <w:r>
        <w:rPr>
          <w:rtl w:val="true"/>
        </w:rPr>
        <w:t>מדובר בענישה ההולמת את חומרת מעשיו של המבקש</w:t>
      </w:r>
      <w:r>
        <w:rPr>
          <w:rtl w:val="true"/>
        </w:rPr>
        <w:t xml:space="preserve">, </w:t>
      </w:r>
      <w:r>
        <w:rPr>
          <w:rtl w:val="true"/>
        </w:rPr>
        <w:t>והיא אף עומדת ברף התחתון של הענישה הנוהגת במקרים דומים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העליון התייחס לנסיבות האישיות ולתהליך הטיפולי וקבע כי אין בו להקל בעונש מעבר להקלות שניתנו לו בערכאות הקודמות – </w:t>
      </w:r>
      <w:r>
        <w:rPr>
          <w:rtl w:val="true"/>
        </w:rPr>
        <w:t>"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מצאתי כי הנסיבות האישיות עליהן הצביע המבקש בבקשתו</w:t>
      </w:r>
      <w:r>
        <w:rPr>
          <w:rtl w:val="true"/>
        </w:rPr>
        <w:t xml:space="preserve">, </w:t>
      </w:r>
      <w:r>
        <w:rPr>
          <w:rtl w:val="true"/>
        </w:rPr>
        <w:t>ובכלל זאת השתלבותו הטובה בתהליך הטיפולי</w:t>
      </w:r>
      <w:r>
        <w:rPr>
          <w:rtl w:val="true"/>
        </w:rPr>
        <w:t xml:space="preserve">, </w:t>
      </w:r>
      <w:r>
        <w:rPr>
          <w:rtl w:val="true"/>
        </w:rPr>
        <w:t>מצדיקות התערבות במידת עונשו</w:t>
      </w:r>
      <w:r>
        <w:rPr>
          <w:rtl w:val="true"/>
        </w:rPr>
        <w:t xml:space="preserve">. </w:t>
      </w:r>
      <w:r>
        <w:rPr>
          <w:rtl w:val="true"/>
        </w:rPr>
        <w:t>זאת בעיקר</w:t>
      </w:r>
      <w:r>
        <w:rPr>
          <w:rtl w:val="true"/>
        </w:rPr>
        <w:t xml:space="preserve">, </w:t>
      </w:r>
      <w:r>
        <w:rPr>
          <w:rtl w:val="true"/>
        </w:rPr>
        <w:t>כאשר הערכאות הקודמות התייחסו במפורש לשיקולים 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 שלא למצות עם המבקש את מלוא חומרת הדין</w:t>
      </w:r>
      <w:r>
        <w:rPr>
          <w:rtl w:val="true"/>
        </w:rPr>
        <w:t xml:space="preserve">".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ראשל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19256-02-13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מרציאנו ואח</w:t>
      </w:r>
      <w:r>
        <w:rPr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29.4.15</w:t>
      </w:r>
      <w:r>
        <w:rPr>
          <w:rtl w:val="true"/>
        </w:rPr>
        <w:t xml:space="preserve">) – </w:t>
      </w:r>
      <w:r>
        <w:rPr>
          <w:rtl w:val="true"/>
        </w:rPr>
        <w:t>הנאשמים פנו למכרה מחו</w:t>
      </w:r>
      <w:r>
        <w:rPr>
          <w:rtl w:val="true"/>
        </w:rPr>
        <w:t>"</w:t>
      </w:r>
      <w:r>
        <w:rPr>
          <w:rtl w:val="true"/>
        </w:rPr>
        <w:t xml:space="preserve">ל ששלחה להם זרעי קנאבוס תמורת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, </w:t>
      </w:r>
      <w:r>
        <w:rPr>
          <w:rtl w:val="true"/>
        </w:rPr>
        <w:t>הם הנביטו אותם</w:t>
      </w:r>
      <w:r>
        <w:rPr>
          <w:rtl w:val="true"/>
        </w:rPr>
        <w:t xml:space="preserve">, </w:t>
      </w:r>
      <w:r>
        <w:rPr>
          <w:rtl w:val="true"/>
        </w:rPr>
        <w:t xml:space="preserve">וגידלו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שיחים בעזרת ציוד</w:t>
      </w:r>
      <w:r>
        <w:rPr>
          <w:rtl w:val="true"/>
        </w:rPr>
        <w:t xml:space="preserve">, </w:t>
      </w:r>
      <w:r>
        <w:rPr>
          <w:rtl w:val="true"/>
        </w:rPr>
        <w:t xml:space="preserve">במשקל כולל של </w:t>
      </w:r>
      <w:r>
        <w:rPr/>
        <w:t>2.684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נטו</w:t>
      </w:r>
      <w:r>
        <w:rPr>
          <w:rtl w:val="true"/>
        </w:rPr>
        <w:t xml:space="preserve">.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הנאשמים עמדו לדין בעבירה של גידול סם ועל פי הסדר בין הצדדים</w:t>
      </w:r>
      <w:r>
        <w:rPr>
          <w:rtl w:val="true"/>
        </w:rPr>
        <w:t xml:space="preserve">, </w:t>
      </w:r>
      <w:r>
        <w:rPr>
          <w:rtl w:val="true"/>
        </w:rPr>
        <w:t>המאשימה הגבילה את עתירה לעונש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שירוצו בדרך של עבודות שירות וענישה נלווית</w:t>
      </w:r>
      <w:r>
        <w:rPr>
          <w:rtl w:val="true"/>
        </w:rPr>
        <w:t xml:space="preserve">. </w:t>
      </w:r>
      <w:r>
        <w:rPr>
          <w:rtl w:val="true"/>
        </w:rPr>
        <w:t>הנאשמים עמדו לדין לראשונה ותסקירי שירות המבחן היו חיוביים</w:t>
      </w:r>
      <w:r>
        <w:rPr>
          <w:rtl w:val="true"/>
        </w:rPr>
        <w:t xml:space="preserve">, </w:t>
      </w:r>
      <w:r>
        <w:rPr>
          <w:rtl w:val="true"/>
        </w:rPr>
        <w:t>ולגבי אחד מהם הומלץ על אי הרשעה</w:t>
      </w:r>
      <w:r>
        <w:rPr>
          <w:rtl w:val="true"/>
        </w:rPr>
        <w:t xml:space="preserve">. </w:t>
      </w:r>
      <w:r>
        <w:rPr>
          <w:rtl w:val="true"/>
        </w:rPr>
        <w:t>נגזרו על כל אחד מהנאשמים חודשיים מאסר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25152-09-13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שוסיוב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26.5.15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שני צמחים וכן החזיק בסם מסוג קנאבוס במשקל כולל של </w:t>
      </w:r>
      <w:r>
        <w:rPr/>
        <w:t>1,820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לצריכה עצמית שלו ולצריכתו של 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אביו של הנאשם היה חולה במחלה קשה וקיבל היה אישור רפואי לצריכת קנאבוס </w:t>
      </w:r>
      <w:r>
        <w:rPr>
          <w:rtl w:val="true"/>
        </w:rPr>
        <w:t>(</w:t>
      </w:r>
      <w:r>
        <w:rPr>
          <w:rtl w:val="true"/>
        </w:rPr>
        <w:t>במועד גזר הדין האב נפטר</w:t>
      </w:r>
      <w:r>
        <w:rPr>
          <w:rtl w:val="true"/>
        </w:rPr>
        <w:t xml:space="preserve">). </w:t>
      </w:r>
      <w:r>
        <w:rPr>
          <w:rtl w:val="true"/>
        </w:rPr>
        <w:t>התביעה הגבילה את עתירתה לעונש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הדגיש כי מדובר בנסיבות מיוחדות בהן הנאשם גידל את הסמים והחזיק בהם רק נוכח מחלתו הקשה של אביו</w:t>
      </w:r>
      <w:r>
        <w:rPr>
          <w:rtl w:val="true"/>
        </w:rPr>
        <w:t xml:space="preserve">, </w:t>
      </w:r>
      <w:r>
        <w:rPr>
          <w:rtl w:val="true"/>
        </w:rPr>
        <w:t>וזה היה הנימוק לגזירת עונשו לקולא – מאסר על תנאי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 ופסילת רישיון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חדרה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14209-09-14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רבינוביץ</w:t>
      </w:r>
      <w:r>
        <w:rPr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30.6.15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שתילים מסוג קנאבוס במשקל כולל של </w:t>
      </w:r>
      <w:r>
        <w:rPr/>
        <w:t>5.77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והחזיק בסם במשקל </w:t>
      </w:r>
      <w:r>
        <w:rPr/>
        <w:t>5.75</w:t>
      </w:r>
      <w:r>
        <w:rPr>
          <w:rtl w:val="true"/>
        </w:rPr>
        <w:t xml:space="preserve"> </w:t>
      </w:r>
      <w:r>
        <w:rPr>
          <w:rtl w:val="true"/>
        </w:rPr>
        <w:t>גרם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מתחם העונש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בעבודות שירות ועד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החליט לסטות מהמתחם מטעמי שיקום תוך התייחסות לעובדה שהנאשם היה צעיר בן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 xml:space="preserve">הנכלל לאור גילו בקבוצה המכונה בפסיקה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tl w:val="true"/>
        </w:rPr>
        <w:t>-</w:t>
      </w:r>
      <w:r>
        <w:rPr>
          <w:rtl w:val="true"/>
        </w:rPr>
        <w:t>צעירים</w:t>
      </w:r>
      <w:r>
        <w:rPr>
          <w:rtl w:val="true"/>
        </w:rPr>
        <w:t xml:space="preserve">", </w:t>
      </w:r>
      <w:r>
        <w:rPr>
          <w:rtl w:val="true"/>
        </w:rPr>
        <w:t>אשר יש לתת לה התייחסות מיוחדת במיוחד בנושא הליכי שיקום</w:t>
      </w:r>
      <w:r>
        <w:rPr>
          <w:rtl w:val="true"/>
        </w:rPr>
        <w:t xml:space="preserve">, </w:t>
      </w:r>
      <w:r>
        <w:rPr>
          <w:rtl w:val="true"/>
        </w:rPr>
        <w:t>וגזר עליו מאסר על 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צו מבחן 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מרדכי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24.3.13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 xml:space="preserve">שתילים במשקל כולל של </w:t>
      </w:r>
      <w:r>
        <w:rPr/>
        <w:t>902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וכן נתפס אצלו סם מסוג חשיש בתפזורת במשקל שאינו ידוע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גרם חשיש ושלוש שקיות ובהן זרעי קנאבוס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השתמש בסמים לנוכח מצבו הרפואי וכדרך להתמודד עם כאביו</w:t>
      </w:r>
      <w:r>
        <w:rPr>
          <w:rtl w:val="true"/>
        </w:rPr>
        <w:t xml:space="preserve">. </w:t>
      </w:r>
      <w:r>
        <w:rPr>
          <w:rtl w:val="true"/>
        </w:rPr>
        <w:t>נוכח שימוש פעיל בסם הממונה על עבודות השירות לא איפשר את השמתו לריצוי עונש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גזר על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 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11069-06-12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הררי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12.5.13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</w:t>
      </w:r>
      <w:r>
        <w:rPr/>
        <w:t>278</w:t>
      </w:r>
      <w:r>
        <w:rPr>
          <w:rtl w:val="true"/>
        </w:rPr>
        <w:t xml:space="preserve"> </w:t>
      </w:r>
      <w:r>
        <w:rPr>
          <w:rtl w:val="true"/>
        </w:rPr>
        <w:t xml:space="preserve">שתילים במשקל כולל של </w:t>
      </w:r>
      <w:r>
        <w:rPr/>
        <w:t>850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המאשימה הגבילה עתירתה לעונש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בעבודות שירות וההגנה עתרה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בית המשפט כיבד את הסדר הטיעון וקבע את עונשו של הנאשם במסגרת הטווח שהציגו הצדדים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מאסרים על 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ופסילה על 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כי מתחם העונש ההולם את העבירות בנסיבותיהן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שיכול וירוצו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וכן ענישה הרתעתית הכוללת מאסר על 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ופסילת 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למרות הפסיקה אליה הפנה ב</w:t>
      </w:r>
      <w:r>
        <w:rPr>
          <w:rtl w:val="true"/>
        </w:rPr>
        <w:t>"</w:t>
      </w:r>
      <w:r>
        <w:rPr>
          <w:rtl w:val="true"/>
        </w:rPr>
        <w:t>כ הנאשם כפי שפורטה לעיל</w:t>
      </w:r>
      <w:r>
        <w:rPr>
          <w:rtl w:val="true"/>
        </w:rPr>
        <w:t xml:space="preserve">, </w:t>
      </w:r>
      <w:r>
        <w:rPr>
          <w:rtl w:val="true"/>
        </w:rPr>
        <w:t>ולמרות המלצת שירות המבחן שלא המליץ על ביטול ההרשעה</w:t>
      </w:r>
      <w:r>
        <w:rPr>
          <w:rtl w:val="true"/>
        </w:rPr>
        <w:t xml:space="preserve">, </w:t>
      </w:r>
      <w:r>
        <w:rPr>
          <w:rtl w:val="true"/>
        </w:rPr>
        <w:t>עדיין עתר ב</w:t>
      </w:r>
      <w:r>
        <w:rPr>
          <w:rtl w:val="true"/>
        </w:rPr>
        <w:t>"</w:t>
      </w:r>
      <w:r>
        <w:rPr>
          <w:rtl w:val="true"/>
        </w:rPr>
        <w:t>כ הנאשם כי בית המשפט ישקול ביטול ההרשעה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אתייחס לעתירתו זו 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נאשם טען כי הרשעה תגרום לנאשם נזק מהותי שכן תחסום אותו מלעבוד במשרד החינוך ולקבל תפקיד בנבחרת 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שאוזכר קודם לכן</w:t>
      </w:r>
      <w:r>
        <w:rPr>
          <w:rtl w:val="true"/>
        </w:rPr>
        <w:t xml:space="preserve">, </w:t>
      </w:r>
      <w:r>
        <w:rPr>
          <w:rtl w:val="true"/>
        </w:rPr>
        <w:t>כי שירות המבחן התבקש להתייחס לנושא ביטול ההרשעה</w:t>
      </w:r>
      <w:r>
        <w:rPr>
          <w:rtl w:val="true"/>
        </w:rPr>
        <w:t xml:space="preserve">, </w:t>
      </w:r>
      <w:r>
        <w:rPr>
          <w:rtl w:val="true"/>
        </w:rPr>
        <w:t>ולא רק שלא המליץ כך</w:t>
      </w:r>
      <w:r>
        <w:rPr>
          <w:rtl w:val="true"/>
        </w:rPr>
        <w:t xml:space="preserve">, </w:t>
      </w:r>
      <w:r>
        <w:rPr>
          <w:rtl w:val="true"/>
        </w:rPr>
        <w:t>אלא אף המליץ שלא לבטל את הרשעתו של הנאשם</w:t>
      </w:r>
      <w:r>
        <w:rPr>
          <w:rtl w:val="true"/>
        </w:rPr>
        <w:t xml:space="preserve">. </w:t>
      </w:r>
      <w:r>
        <w:rPr>
          <w:rtl w:val="true"/>
        </w:rPr>
        <w:t>שירות המבחן נימק זאת בכך שלאור היקף העבירות וההתמכרות של הנאשם לסמים</w:t>
      </w:r>
      <w:r>
        <w:rPr>
          <w:rtl w:val="true"/>
        </w:rPr>
        <w:t xml:space="preserve">, </w:t>
      </w:r>
      <w:r>
        <w:rPr>
          <w:rtl w:val="true"/>
        </w:rPr>
        <w:t>הוא התרשם כי הרשעת הנאשם בדין והטלת מאסר על תנאי יהוו עבורו גורם מרתיע ומציב גבול מפני הישנות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הכלל הידוע הוא כי מי שנמצא אשם בביצוע עבירה</w:t>
      </w:r>
      <w:r>
        <w:rPr>
          <w:rtl w:val="true"/>
        </w:rPr>
        <w:t xml:space="preserve">, </w:t>
      </w:r>
      <w:r>
        <w:rPr>
          <w:rtl w:val="true"/>
        </w:rPr>
        <w:t xml:space="preserve">יורשע –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2513/96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 ישראל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ויקטור שמש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682</w:t>
      </w:r>
      <w:r>
        <w:rPr>
          <w:rtl w:val="true"/>
        </w:rPr>
        <w:t xml:space="preserve">, </w:t>
      </w:r>
      <w:r>
        <w:rPr/>
        <w:t>683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האפשרות הנתונה לבית המשפט להימנע מהרשעת נאשם שביצע עבירה</w:t>
      </w:r>
      <w:r>
        <w:rPr>
          <w:rtl w:val="true"/>
        </w:rPr>
        <w:t xml:space="preserve">, </w:t>
      </w:r>
      <w:r>
        <w:rPr>
          <w:rtl w:val="true"/>
        </w:rPr>
        <w:t xml:space="preserve">מעוגנת </w:t>
      </w:r>
      <w:hyperlink r:id="rId34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והיא מהווה חריג לכלל ההרשעה</w:t>
      </w:r>
      <w:r>
        <w:rPr>
          <w:rtl w:val="true"/>
        </w:rPr>
        <w:t xml:space="preserve">. </w:t>
      </w:r>
      <w:r>
        <w:rPr>
          <w:rtl w:val="true"/>
        </w:rPr>
        <w:t>תוצאה של הימנעות מהרשעה שמורה למקרים מיוחדים ויוצאי דופן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בפסיקה נקבעו שני תנאים מצטברים על מנת להימנע מהרשעה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על ההרשעה לפגוע פגיעה חמורה בשיקום הנאשם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 xml:space="preserve">סוג העבירה מאפשר לוותר בנסיבות המקרה המסוים על ההרשעה בלי לפגוע באופן מהותי בשיקולי הענישה האחרים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2083/96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תמר כתב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נב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הלכת כתב</w:t>
      </w:r>
      <w:r>
        <w:rPr>
          <w:rtl w:val="true"/>
        </w:rPr>
        <w:t>"))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על ההגנה מוטל הנטל לשכנע את בית</w:t>
      </w:r>
      <w:r>
        <w:rPr>
          <w:rtl w:val="true"/>
        </w:rPr>
        <w:t>-</w:t>
      </w:r>
      <w:r>
        <w:rPr>
          <w:rtl w:val="true"/>
        </w:rPr>
        <w:t>המשפט כי בנסיבות המקרה יש לחרוג מן הכלל ולהעדיף את השיקול האישי של הנאשם לביטול הרשעתו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 שיקולים נוגדים שבאינטרס הציבורי התומכים בהותרת ההרשעה על כנה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: </w:t>
      </w:r>
      <w:r>
        <w:rPr>
          <w:rtl w:val="true"/>
        </w:rPr>
        <w:t>חומרת העבירה</w:t>
      </w:r>
      <w:r>
        <w:rPr>
          <w:rtl w:val="true"/>
        </w:rPr>
        <w:t xml:space="preserve">, </w:t>
      </w:r>
      <w:r>
        <w:rPr>
          <w:rtl w:val="true"/>
        </w:rPr>
        <w:t>נסיבות ביצועה</w:t>
      </w:r>
      <w:r>
        <w:rPr>
          <w:rtl w:val="true"/>
        </w:rPr>
        <w:t xml:space="preserve">, </w:t>
      </w:r>
      <w:r>
        <w:rPr>
          <w:rtl w:val="true"/>
        </w:rPr>
        <w:t>הנזק שנגרם כתוצאה ממנה</w:t>
      </w:r>
      <w:r>
        <w:rPr>
          <w:rtl w:val="true"/>
        </w:rPr>
        <w:t xml:space="preserve">,  </w:t>
      </w:r>
      <w:r>
        <w:rPr>
          <w:rtl w:val="true"/>
        </w:rPr>
        <w:t>עקרון ההלימה והוקעת העבירה</w:t>
      </w:r>
      <w:r>
        <w:rPr>
          <w:rtl w:val="true"/>
        </w:rPr>
        <w:t xml:space="preserve">, </w:t>
      </w:r>
      <w:r>
        <w:rPr>
          <w:rtl w:val="true"/>
        </w:rPr>
        <w:t>הרתעת הרבים</w:t>
      </w:r>
      <w:r>
        <w:rPr>
          <w:rtl w:val="true"/>
        </w:rPr>
        <w:t xml:space="preserve">, </w:t>
      </w:r>
      <w:r>
        <w:rPr>
          <w:rtl w:val="true"/>
        </w:rPr>
        <w:t>מדיניות אכיפה שוויונית בין כלל הנאשמים</w:t>
      </w:r>
      <w:r>
        <w:rPr>
          <w:rtl w:val="true"/>
        </w:rPr>
        <w:t xml:space="preserve">, </w:t>
      </w:r>
      <w:r>
        <w:rPr>
          <w:rtl w:val="true"/>
        </w:rPr>
        <w:t>אם הנזק שייגרם לנאשם כתוצאה מהרשעה קיצוני ביחס לאינטרס הציבורי</w:t>
      </w:r>
      <w:r>
        <w:rPr>
          <w:rtl w:val="true"/>
        </w:rPr>
        <w:t xml:space="preserve">, </w:t>
      </w:r>
      <w:r>
        <w:rPr>
          <w:rtl w:val="true"/>
        </w:rPr>
        <w:t>ניתן יהיה להימנע מהרשעתו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לתנאי הראשון של סוג העבירות ונסיבות ביצוען</w:t>
      </w:r>
      <w:r>
        <w:rPr>
          <w:rtl w:val="true"/>
        </w:rPr>
        <w:t xml:space="preserve">, </w:t>
      </w:r>
      <w:r>
        <w:rPr>
          <w:rtl w:val="true"/>
        </w:rPr>
        <w:t>המדובר בעבירות שהינן מן החמורות שב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נסיבות ביצוע העבירות הינן כפי שפורטו לעיל</w:t>
      </w:r>
      <w:r>
        <w:rPr>
          <w:rtl w:val="true"/>
        </w:rPr>
        <w:t xml:space="preserve">, </w:t>
      </w:r>
      <w:r>
        <w:rPr>
          <w:rtl w:val="true"/>
        </w:rPr>
        <w:t>מעשים מתמשכים</w:t>
      </w:r>
      <w:r>
        <w:rPr>
          <w:rtl w:val="true"/>
        </w:rPr>
        <w:t xml:space="preserve">, </w:t>
      </w:r>
      <w:r>
        <w:rPr>
          <w:rtl w:val="true"/>
        </w:rPr>
        <w:t>שיטתיים ומתוכננים</w:t>
      </w:r>
      <w:r>
        <w:rPr>
          <w:rtl w:val="true"/>
        </w:rPr>
        <w:t xml:space="preserve">, </w:t>
      </w:r>
      <w:r>
        <w:rPr>
          <w:rtl w:val="true"/>
        </w:rPr>
        <w:t>בכמויות לא מבוטלות</w:t>
      </w:r>
      <w:r>
        <w:rPr>
          <w:rtl w:val="true"/>
        </w:rPr>
        <w:t xml:space="preserve">, </w:t>
      </w:r>
      <w:r>
        <w:rPr>
          <w:rtl w:val="true"/>
        </w:rPr>
        <w:t>שהנזק הפוטנציאלי מהן גבוה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אינני סבורה כי קיים חוסר הלימה בין חומרת העבירות לבין התוצאה העונשית הכוללת הרשעה</w:t>
      </w:r>
      <w:r>
        <w:rPr>
          <w:rtl w:val="true"/>
        </w:rPr>
        <w:t xml:space="preserve">, </w:t>
      </w:r>
      <w:r>
        <w:rPr>
          <w:rtl w:val="true"/>
        </w:rPr>
        <w:t>ולו רק מטעם זה יש לדחות את העתירה לביטול ההרשעה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לתנאי השני</w:t>
      </w:r>
      <w:r>
        <w:rPr>
          <w:rtl w:val="true"/>
        </w:rPr>
        <w:t xml:space="preserve">, </w:t>
      </w:r>
      <w:r>
        <w:rPr>
          <w:rtl w:val="true"/>
        </w:rPr>
        <w:t>שעניינו פגיעה חמורה בשיקומו או בתעסוקתו של הנאשם – לא הובאה בפני בית המשפט ראיה לכך שלהרשעה תהיינה השלכה קונקרטית על עתידו התעסוקתי</w:t>
      </w:r>
      <w:r>
        <w:rPr>
          <w:rtl w:val="true"/>
        </w:rPr>
        <w:t>-</w:t>
      </w:r>
      <w:r>
        <w:rPr>
          <w:rtl w:val="true"/>
        </w:rPr>
        <w:t>ספורטיבי של הנאשם</w:t>
      </w:r>
      <w:r>
        <w:rPr>
          <w:rtl w:val="true"/>
        </w:rPr>
        <w:t xml:space="preserve">,  </w:t>
      </w:r>
      <w:r>
        <w:rPr>
          <w:rtl w:val="true"/>
        </w:rPr>
        <w:t>לא הובאה כל ראיה כי הנאשם עובד כיום במשרד החינוך או בנבחרת ישראל וכי יפוטר ממקום עבודתו אם יורשע</w:t>
      </w:r>
      <w:r>
        <w:rPr>
          <w:rtl w:val="true"/>
        </w:rPr>
        <w:t xml:space="preserve">, </w:t>
      </w:r>
      <w:r>
        <w:rPr>
          <w:rtl w:val="true"/>
        </w:rPr>
        <w:t>ואף לא הובאה ראיה על הצעה קונקרטית להעסיקו באחד ממקומות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התעודות והמכתבים שהוצגו כוללים תעודות על השתתפותו של הנאשם בתחרויות לפני למעלה מעשור </w:t>
      </w:r>
      <w:r>
        <w:rPr>
          <w:rtl w:val="true"/>
        </w:rPr>
        <w:t>(</w:t>
      </w:r>
      <w:r>
        <w:rPr>
          <w:rtl w:val="true"/>
        </w:rPr>
        <w:t xml:space="preserve">בשנים </w:t>
      </w:r>
      <w:r>
        <w:rPr/>
        <w:t>2000-2002</w:t>
      </w:r>
      <w:r>
        <w:rPr>
          <w:rtl w:val="true"/>
        </w:rPr>
        <w:t xml:space="preserve">),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מהמכתבים עולה כי הנאשם היה עד לפני חמש שנים חבר בנבחרת ישראל</w:t>
      </w:r>
      <w:r>
        <w:rPr>
          <w:rtl w:val="true"/>
        </w:rPr>
        <w:t xml:space="preserve">, </w:t>
      </w:r>
      <w:r>
        <w:rPr>
          <w:rtl w:val="true"/>
        </w:rPr>
        <w:t>כיום רשום ומתאמן באגודת הג</w:t>
      </w:r>
      <w:r>
        <w:rPr>
          <w:rtl w:val="true"/>
        </w:rPr>
        <w:t>'</w:t>
      </w:r>
      <w:r>
        <w:rPr>
          <w:rtl w:val="true"/>
        </w:rPr>
        <w:t xml:space="preserve">ודו מיטב </w:t>
      </w:r>
      <w:r>
        <w:rPr>
          <w:rtl w:val="true"/>
        </w:rPr>
        <w:t>"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", </w:t>
      </w:r>
      <w:r>
        <w:rPr>
          <w:rtl w:val="true"/>
        </w:rPr>
        <w:t>ועובד בהדרכת ג</w:t>
      </w:r>
      <w:r>
        <w:rPr>
          <w:rtl w:val="true"/>
        </w:rPr>
        <w:t>'</w:t>
      </w:r>
      <w:r>
        <w:rPr>
          <w:rtl w:val="true"/>
        </w:rPr>
        <w:t xml:space="preserve">ודו לילדים מטעם אגודת ספורט </w:t>
      </w:r>
      <w:r>
        <w:rPr>
          <w:rtl w:val="true"/>
        </w:rPr>
        <w:t>"</w:t>
      </w:r>
      <w:r>
        <w:rPr>
          <w:rtl w:val="true"/>
        </w:rPr>
        <w:t>עצמה ג</w:t>
      </w:r>
      <w:r>
        <w:rPr>
          <w:rtl w:val="true"/>
        </w:rPr>
        <w:t>'</w:t>
      </w:r>
      <w:r>
        <w:rPr>
          <w:rtl w:val="true"/>
        </w:rPr>
        <w:t>ודוקאן האתלט ראשל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" </w:t>
      </w:r>
      <w:r>
        <w:rPr>
          <w:rtl w:val="true"/>
        </w:rPr>
        <w:t>בשעות אחר הצהרים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אתייחס בקצרה לפסיקה שהציג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במסגרתה בתי המשפט הורו על ביטול הרשעה</w:t>
      </w:r>
      <w:r>
        <w:rPr>
          <w:rtl w:val="true"/>
        </w:rPr>
        <w:t xml:space="preserve">, </w:t>
      </w:r>
      <w:r>
        <w:rPr>
          <w:rtl w:val="true"/>
        </w:rPr>
        <w:t>אסביר במה מתייחדים מקרים אלו מהמקרה דנן 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עידן דוד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17.12.15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ואדם נוסף גידלו בצוותא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שתילי קנאבוס במשקל נטו של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בתוך מעבדה</w:t>
      </w:r>
      <w:r>
        <w:rPr>
          <w:rtl w:val="true"/>
        </w:rPr>
        <w:t xml:space="preserve">. </w:t>
      </w:r>
      <w:r>
        <w:rPr>
          <w:rtl w:val="true"/>
        </w:rPr>
        <w:t>בית משפט השלום לא הרשיע את הנאשם</w:t>
      </w:r>
      <w:r>
        <w:rPr>
          <w:rtl w:val="true"/>
        </w:rPr>
        <w:t xml:space="preserve">, </w:t>
      </w:r>
      <w:r>
        <w:rPr>
          <w:rtl w:val="true"/>
        </w:rPr>
        <w:t>לאחר ששוכנע  שהרשעתו תוביל לפיטוריו באופן וודאי מעבודתו בנמל חיפה</w:t>
      </w:r>
      <w:r>
        <w:rPr>
          <w:rtl w:val="true"/>
        </w:rPr>
        <w:t xml:space="preserve">, </w:t>
      </w:r>
      <w:r>
        <w:rPr>
          <w:rtl w:val="true"/>
        </w:rPr>
        <w:t>והסיכוי להחזרתו לעבודה אם לא יורשע אינו תיאורטי אלא ממשי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הערעור שהגישה המדינה לאחר שקיבל את העמדה לפיה הרשעת הנאשם תסכל את האפשרות שלו לחזור למקום עבודתו</w:t>
      </w:r>
      <w:r>
        <w:rPr>
          <w:rtl w:val="true"/>
        </w:rPr>
        <w:t xml:space="preserve">, </w:t>
      </w:r>
      <w:r>
        <w:rPr>
          <w:rtl w:val="true"/>
        </w:rPr>
        <w:t>המשמש לו מקור פרנסה ומשענת חשובה להמשך הליך השיקום הכולל אותו עבר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9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53504-01-11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אדם אלון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22.5.11</w:t>
      </w:r>
      <w:r>
        <w:rPr>
          <w:rtl w:val="true"/>
        </w:rPr>
        <w:t xml:space="preserve">) – </w:t>
      </w:r>
      <w:r>
        <w:rPr>
          <w:rtl w:val="true"/>
        </w:rPr>
        <w:t>הנאשם הורשע בעבירה של החזקת סם מסוכן שלא לצריכה עצמית</w:t>
      </w:r>
      <w:r>
        <w:rPr>
          <w:rtl w:val="true"/>
        </w:rPr>
        <w:t xml:space="preserve">, </w:t>
      </w:r>
      <w:r>
        <w:rPr>
          <w:rtl w:val="true"/>
        </w:rPr>
        <w:t>לאחר שנמצא מחזיק ביחד עם אחר</w:t>
      </w:r>
      <w:r>
        <w:rPr>
          <w:rtl w:val="true"/>
        </w:rPr>
        <w:t xml:space="preserve">, </w:t>
      </w:r>
      <w:r>
        <w:rPr>
          <w:rtl w:val="true"/>
        </w:rPr>
        <w:t xml:space="preserve">סם מסוג קנאבוס במשקל </w:t>
      </w:r>
      <w:r>
        <w:rPr/>
        <w:t>8,220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השלום הטיל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, </w:t>
      </w:r>
      <w:r>
        <w:rPr>
          <w:rtl w:val="true"/>
        </w:rPr>
        <w:t>תוך שדחה את המלצת שירות המבחן שלא להרשיעו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המחוזי קיבל את ערעור הנאשם</w:t>
      </w:r>
      <w:r>
        <w:rPr>
          <w:rtl w:val="true"/>
        </w:rPr>
        <w:t xml:space="preserve">, </w:t>
      </w:r>
      <w:r>
        <w:rPr>
          <w:rtl w:val="true"/>
        </w:rPr>
        <w:t xml:space="preserve">לאחר שקבע כי המקרה והנאשם נופלים בגדר אותם מקרים חריגים המצדיקים אי הרשעה –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 המקרה – הנאשם גר בשכנות לאדם המוכר למשטרה</w:t>
      </w:r>
      <w:r>
        <w:rPr>
          <w:rtl w:val="true"/>
        </w:rPr>
        <w:t xml:space="preserve">, </w:t>
      </w:r>
      <w:r>
        <w:rPr>
          <w:rtl w:val="true"/>
        </w:rPr>
        <w:t>בשם חן</w:t>
      </w:r>
      <w:r>
        <w:rPr>
          <w:rtl w:val="true"/>
        </w:rPr>
        <w:t xml:space="preserve">, </w:t>
      </w:r>
      <w:r>
        <w:rPr>
          <w:rtl w:val="true"/>
        </w:rPr>
        <w:t>שהוא היה זה שגידל את הסם</w:t>
      </w:r>
      <w:r>
        <w:rPr>
          <w:rtl w:val="true"/>
        </w:rPr>
        <w:t xml:space="preserve">. </w:t>
      </w:r>
      <w:r>
        <w:rPr>
          <w:rtl w:val="true"/>
        </w:rPr>
        <w:t>הנאשם נהג לסייע לחן לתקן את מחשביו</w:t>
      </w:r>
      <w:r>
        <w:rPr>
          <w:rtl w:val="true"/>
        </w:rPr>
        <w:t xml:space="preserve">, </w:t>
      </w:r>
      <w:r>
        <w:rPr>
          <w:rtl w:val="true"/>
        </w:rPr>
        <w:t>וביום האירוע חן ביקש ממנו לסייע לו לתקן את מחשבו</w:t>
      </w:r>
      <w:r>
        <w:rPr>
          <w:rtl w:val="true"/>
        </w:rPr>
        <w:t xml:space="preserve">. </w:t>
      </w:r>
      <w:r>
        <w:rPr>
          <w:rtl w:val="true"/>
        </w:rPr>
        <w:t>באותו מעמד חן ביקש מהנאשם לקחת שמיכה ולהטמין את הסם במקם מסתור</w:t>
      </w:r>
      <w:r>
        <w:rPr>
          <w:rtl w:val="true"/>
        </w:rPr>
        <w:t xml:space="preserve">, </w:t>
      </w:r>
      <w:r>
        <w:rPr>
          <w:rtl w:val="true"/>
        </w:rPr>
        <w:t>לאחר שנודע לו כי המשטרה מתכננת לערוך חיפוש</w:t>
      </w:r>
      <w:r>
        <w:rPr>
          <w:rtl w:val="true"/>
        </w:rPr>
        <w:t xml:space="preserve">, </w:t>
      </w:r>
      <w:r>
        <w:rPr>
          <w:rtl w:val="true"/>
        </w:rPr>
        <w:t>הנאשם נעתר לבקשה זו</w:t>
      </w:r>
      <w:r>
        <w:rPr>
          <w:rtl w:val="true"/>
        </w:rPr>
        <w:t xml:space="preserve">, </w:t>
      </w:r>
      <w:r>
        <w:rPr>
          <w:rtl w:val="true"/>
        </w:rPr>
        <w:t>בשל פחדו מחן</w:t>
      </w:r>
      <w:r>
        <w:rPr>
          <w:rtl w:val="true"/>
        </w:rPr>
        <w:t xml:space="preserve">. </w:t>
      </w:r>
      <w:r>
        <w:rPr>
          <w:rtl w:val="true"/>
        </w:rPr>
        <w:t>עובדות אלו היוו משקל נגד לכמות הגדולה שהוחזקה על</w:t>
      </w:r>
      <w:r>
        <w:rPr>
          <w:rtl w:val="true"/>
        </w:rPr>
        <w:t>-</w:t>
      </w:r>
      <w:r>
        <w:rPr>
          <w:rtl w:val="true"/>
        </w:rPr>
        <w:t>ידי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נסיבות אישיות </w:t>
      </w:r>
      <w:r>
        <w:rPr>
          <w:rtl w:val="true"/>
        </w:rPr>
        <w:t xml:space="preserve">- </w:t>
      </w:r>
      <w:r>
        <w:rPr>
          <w:rtl w:val="true"/>
        </w:rPr>
        <w:t>מדובר בעבירה יחידה שעבר הנאשם בתקופה משברית שחווה עקב פציעתו</w:t>
      </w:r>
      <w:r>
        <w:rPr>
          <w:rtl w:val="true"/>
        </w:rPr>
        <w:t xml:space="preserve">. </w:t>
      </w:r>
      <w:r>
        <w:rPr>
          <w:rtl w:val="true"/>
        </w:rPr>
        <w:t>כתוצאה מהרשעה היה צפוי כי כל מאמציו של הנאשם להשתתף באולימפית לונדון ירדו לטמיון</w:t>
      </w:r>
      <w:r>
        <w:rPr>
          <w:rtl w:val="true"/>
        </w:rPr>
        <w:t xml:space="preserve">, </w:t>
      </w:r>
      <w:r>
        <w:rPr>
          <w:rtl w:val="true"/>
        </w:rPr>
        <w:t>ולכן נקבע כי ההרשעה תביא לפגיעה חמורה ובלתי מידיתית בסיכויי השיקום בהיותה פוגעת בעתידו המקצועי בתחום הספורטיבי</w:t>
      </w:r>
      <w:r>
        <w:rPr>
          <w:rtl w:val="true"/>
        </w:rPr>
        <w:t xml:space="preserve">, </w:t>
      </w:r>
      <w:r>
        <w:rPr>
          <w:rtl w:val="true"/>
        </w:rPr>
        <w:t>ועלולה לגרום לו למשבר ולפגיעה קשה בסיכוי שיקומו ולהחזירו לשימוש בסמים</w:t>
      </w:r>
      <w:r>
        <w:rPr>
          <w:rtl w:val="true"/>
        </w:rPr>
        <w:t xml:space="preserve">. </w:t>
      </w:r>
      <w:r>
        <w:rPr>
          <w:rtl w:val="true"/>
        </w:rPr>
        <w:t>בית המשפט הדגיש כי אין במקרה חריג זה לשמש תקדים למקרים 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9050-04-13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פלוני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1.7.15</w:t>
      </w:r>
      <w:r>
        <w:rPr>
          <w:rtl w:val="true"/>
        </w:rPr>
        <w:t xml:space="preserve">) – </w:t>
      </w:r>
      <w:r>
        <w:rPr>
          <w:rtl w:val="true"/>
        </w:rPr>
        <w:t>נגד הנאשם הוגש כתב אישום בארבע עבירות סחר בסם</w:t>
      </w:r>
      <w:r>
        <w:rPr>
          <w:rtl w:val="true"/>
        </w:rPr>
        <w:t xml:space="preserve">. </w:t>
      </w:r>
      <w:r>
        <w:rPr>
          <w:rtl w:val="true"/>
        </w:rPr>
        <w:t>בית המשפט ביטל את הרשעת הנאשם</w:t>
      </w:r>
      <w:r>
        <w:rPr>
          <w:rtl w:val="true"/>
        </w:rPr>
        <w:t xml:space="preserve">, </w:t>
      </w:r>
      <w:r>
        <w:rPr>
          <w:rtl w:val="true"/>
        </w:rPr>
        <w:t>לאור הנסיבות בהן הנאשם מכר את הסם על רקע חברי</w:t>
      </w:r>
      <w:r>
        <w:rPr>
          <w:rtl w:val="true"/>
        </w:rPr>
        <w:t xml:space="preserve">, </w:t>
      </w:r>
      <w:r>
        <w:rPr>
          <w:rtl w:val="true"/>
        </w:rPr>
        <w:t>למימון צריכתו העצמית</w:t>
      </w:r>
      <w:r>
        <w:rPr>
          <w:rtl w:val="true"/>
        </w:rPr>
        <w:t xml:space="preserve">. </w:t>
      </w:r>
      <w:r>
        <w:rPr>
          <w:rtl w:val="true"/>
        </w:rPr>
        <w:t>החברים או מי מהם היו מבצעים  את הרכישה הכללית ומחלקים ביניהם</w:t>
      </w:r>
      <w:r>
        <w:rPr>
          <w:rtl w:val="true"/>
        </w:rPr>
        <w:t xml:space="preserve">, </w:t>
      </w:r>
      <w:r>
        <w:rPr>
          <w:rtl w:val="true"/>
        </w:rPr>
        <w:t>והנאשם לקח עמלה מסוימת לכיסו שמימנה את צריכתו העצמית</w:t>
      </w:r>
      <w:r>
        <w:rPr>
          <w:rtl w:val="true"/>
        </w:rPr>
        <w:t xml:space="preserve">. </w:t>
      </w:r>
      <w:r>
        <w:rPr>
          <w:rtl w:val="true"/>
        </w:rPr>
        <w:t>בני החבורה האחרים לא הועמדו לדין</w:t>
      </w:r>
      <w:r>
        <w:rPr>
          <w:rtl w:val="true"/>
        </w:rPr>
        <w:t xml:space="preserve">. </w:t>
      </w:r>
      <w:r>
        <w:rPr>
          <w:rtl w:val="true"/>
        </w:rPr>
        <w:t>באותה תקופה הנאשם חווה משבר על רקע גירושין קשים ומכוערים ועל רקע זה צרך סמים</w:t>
      </w:r>
      <w:r>
        <w:rPr>
          <w:rtl w:val="true"/>
        </w:rPr>
        <w:t xml:space="preserve">. </w:t>
      </w:r>
      <w:r>
        <w:rPr>
          <w:rtl w:val="true"/>
        </w:rPr>
        <w:t>בית המשפט קבע כי הרשעה תגרום לנאשם פגיעה קונקרטית</w:t>
      </w:r>
      <w:r>
        <w:rPr>
          <w:rtl w:val="true"/>
        </w:rPr>
        <w:t xml:space="preserve">, </w:t>
      </w:r>
      <w:r>
        <w:rPr>
          <w:rtl w:val="true"/>
        </w:rPr>
        <w:t xml:space="preserve">לנזק </w:t>
      </w:r>
      <w:r>
        <w:rPr>
          <w:rtl w:val="true"/>
        </w:rPr>
        <w:t>"</w:t>
      </w:r>
      <w:r>
        <w:rPr>
          <w:rtl w:val="true"/>
        </w:rPr>
        <w:t>עצום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מרחבי</w:t>
      </w:r>
      <w:r>
        <w:rPr>
          <w:rtl w:val="true"/>
        </w:rPr>
        <w:t xml:space="preserve">" </w:t>
      </w:r>
      <w:r>
        <w:rPr>
          <w:rtl w:val="true"/>
        </w:rPr>
        <w:t xml:space="preserve">הן במישור התעסוקתי והן במישור המשפחתי – ההרשעה עלולה להביא לנטילת תעודת העיתונאי בה הנאשם מחזיק מזה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וכן עלולה לסיים את הקריירה שלו כראש מגמה וכמרצה במכללה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לנאשם בת המתגוררת בארצות הברית</w:t>
      </w:r>
      <w:r>
        <w:rPr>
          <w:rtl w:val="true"/>
        </w:rPr>
        <w:t xml:space="preserve">, </w:t>
      </w:r>
      <w:r>
        <w:rPr>
          <w:rtl w:val="true"/>
        </w:rPr>
        <w:t>וקיים סיכון כי הוא לא יורשה לבקר אותה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15735-12-10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אסבייאן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18.10.12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הורשע בהחזקת סם לצריכה עצמית במשקל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גרם ו</w:t>
      </w:r>
      <w:r>
        <w:rPr>
          <w:rtl w:val="true"/>
        </w:rPr>
        <w:t>-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גידול שני שתילים של קאנבוס</w:t>
      </w:r>
      <w:r>
        <w:rPr>
          <w:rtl w:val="true"/>
        </w:rPr>
        <w:t xml:space="preserve">, </w:t>
      </w:r>
      <w:r>
        <w:rPr>
          <w:rtl w:val="true"/>
        </w:rPr>
        <w:t xml:space="preserve">וסחר בסם במכירה אחת של חשיש במשקל </w:t>
      </w:r>
      <w:r>
        <w:rPr/>
        <w:t>14.4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 המשפט החליט לבטל את ההרשעה</w:t>
      </w:r>
      <w:r>
        <w:rPr>
          <w:rtl w:val="true"/>
        </w:rPr>
        <w:t xml:space="preserve">, </w:t>
      </w:r>
      <w:r>
        <w:rPr>
          <w:rtl w:val="true"/>
        </w:rPr>
        <w:t>ולאמץ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לאור העובדה שהעבירות של החזקה לצריכה עצמית וגידול הסם היו ברף הנמוך מבחינת סוג הסם וכמותו</w:t>
      </w:r>
      <w:r>
        <w:rPr>
          <w:rtl w:val="true"/>
        </w:rPr>
        <w:t xml:space="preserve">, </w:t>
      </w:r>
      <w:r>
        <w:rPr>
          <w:rtl w:val="true"/>
        </w:rPr>
        <w:t>ועבירת הסחר הייתה חד פעמית ובכמות זעירה</w:t>
      </w:r>
      <w:r>
        <w:rPr>
          <w:rtl w:val="true"/>
        </w:rPr>
        <w:t xml:space="preserve">. </w:t>
      </w:r>
      <w:r>
        <w:rPr>
          <w:rtl w:val="true"/>
        </w:rPr>
        <w:t>הנאשם נרתם להליך השיקומי והרשעה תמנע ממנו להגשים את שאיפותיו להיות וטרינר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3312/07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בנבנישתי </w:t>
      </w:r>
      <w:r>
        <w:rPr>
          <w:rtl w:val="true"/>
        </w:rPr>
        <w:t>(</w:t>
      </w:r>
      <w:r>
        <w:rPr/>
        <w:t>2.11.08</w:t>
      </w:r>
      <w:r>
        <w:rPr>
          <w:rtl w:val="true"/>
        </w:rPr>
        <w:t xml:space="preserve">) – </w:t>
      </w:r>
      <w:r>
        <w:rPr>
          <w:rtl w:val="true"/>
        </w:rPr>
        <w:t xml:space="preserve">הנאשם גידל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שתילי מריחואנה לצריכה עצמית</w:t>
      </w:r>
      <w:r>
        <w:rPr>
          <w:rtl w:val="true"/>
        </w:rPr>
        <w:t xml:space="preserve">,  </w:t>
      </w:r>
      <w:r>
        <w:rPr>
          <w:rtl w:val="true"/>
        </w:rPr>
        <w:t xml:space="preserve">הנאשם היה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בעת שנגזר דינו ובן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, </w:t>
      </w:r>
      <w:r>
        <w:rPr>
          <w:rtl w:val="true"/>
        </w:rPr>
        <w:t>ולאור מכלול הנסיבות</w:t>
      </w:r>
      <w:r>
        <w:rPr>
          <w:rtl w:val="true"/>
        </w:rPr>
        <w:t xml:space="preserve">, </w:t>
      </w:r>
      <w:r>
        <w:rPr>
          <w:rtl w:val="true"/>
        </w:rPr>
        <w:t>בית המשפט החליט להימנע מהרשעתו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במשקל המצטבר של השיקולים</w:t>
      </w:r>
      <w:r>
        <w:rPr>
          <w:rtl w:val="true"/>
        </w:rPr>
        <w:t xml:space="preserve">, </w:t>
      </w:r>
      <w:r>
        <w:rPr>
          <w:rtl w:val="true"/>
        </w:rPr>
        <w:t>ובאיזון הראוי ביניהם</w:t>
      </w:r>
      <w:r>
        <w:rPr>
          <w:rtl w:val="true"/>
        </w:rPr>
        <w:t xml:space="preserve">, </w:t>
      </w:r>
      <w:r>
        <w:rPr>
          <w:rtl w:val="true"/>
        </w:rPr>
        <w:t>לא מצאתי כל אפשרות במקרה הנדון להורות על ביטול ההרשעה</w:t>
      </w:r>
      <w:r>
        <w:rPr>
          <w:rtl w:val="true"/>
        </w:rPr>
        <w:t xml:space="preserve">, </w:t>
      </w:r>
      <w:r>
        <w:rPr>
          <w:rtl w:val="true"/>
        </w:rPr>
        <w:t>ולא שוכנעתי כלל ועיקר כי הנסיבות האינדיבידואליות של הנאשם</w:t>
      </w:r>
      <w:r>
        <w:rPr>
          <w:rtl w:val="true"/>
        </w:rPr>
        <w:t xml:space="preserve">, </w:t>
      </w:r>
      <w:r>
        <w:rPr>
          <w:rtl w:val="true"/>
        </w:rPr>
        <w:t>על מגוון היבטיהן</w:t>
      </w:r>
      <w:r>
        <w:rPr>
          <w:rtl w:val="true"/>
        </w:rPr>
        <w:t xml:space="preserve">, </w:t>
      </w:r>
      <w:r>
        <w:rPr>
          <w:rtl w:val="true"/>
        </w:rPr>
        <w:t>גוברות במשקלן ומטות את הכף על פני האינטרס הציבורי בהרשעתו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מדובר במקרה יוצא דופן לקולא מבחינת נסיבות האירוע –  מספר השתילים או כמות הסם או נסיבות ההחזקה</w:t>
      </w:r>
      <w:r>
        <w:rPr>
          <w:rtl w:val="true"/>
        </w:rPr>
        <w:t xml:space="preserve">, </w:t>
      </w:r>
      <w:r>
        <w:rPr>
          <w:rtl w:val="true"/>
        </w:rPr>
        <w:t>אין מדובר בכישלון חד פעמי של הנאשם</w:t>
      </w:r>
      <w:r>
        <w:rPr>
          <w:rtl w:val="true"/>
        </w:rPr>
        <w:t xml:space="preserve">, </w:t>
      </w:r>
      <w:r>
        <w:rPr>
          <w:rtl w:val="true"/>
        </w:rPr>
        <w:t>אלא בהתנהגות שנעצרה רק עם פשיטת המשטרה</w:t>
      </w:r>
      <w:r>
        <w:rPr>
          <w:rtl w:val="true"/>
        </w:rPr>
        <w:t xml:space="preserve">, </w:t>
      </w:r>
      <w:r>
        <w:rPr>
          <w:rtl w:val="true"/>
        </w:rPr>
        <w:t>אין מדובר בנאשם בעל נסיבות אישיות חריגות</w:t>
      </w:r>
      <w:r>
        <w:rPr>
          <w:rtl w:val="true"/>
        </w:rPr>
        <w:t xml:space="preserve">, </w:t>
      </w:r>
      <w:r>
        <w:rPr>
          <w:rtl w:val="true"/>
        </w:rPr>
        <w:t>לא הוכח כי הרשעה תפגע באופן קונקרטי בעתידו כספורטאי או בתעסוקתו פגיעה חמורה ובלתי מידתית</w:t>
      </w:r>
      <w:r>
        <w:rPr>
          <w:rtl w:val="true"/>
        </w:rPr>
        <w:t xml:space="preserve">, </w:t>
      </w:r>
      <w:r>
        <w:rPr>
          <w:rtl w:val="true"/>
        </w:rPr>
        <w:t>ואין הצדקה להתעלם מהמלצת שירות המבחן להרשעת הנאשם בדין לצורכי הרתעה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תסקיר שירות המבחן הוא תסקיר חיובי</w:t>
      </w:r>
      <w:r>
        <w:rPr>
          <w:rtl w:val="true"/>
        </w:rPr>
        <w:t xml:space="preserve">, </w:t>
      </w:r>
      <w:r>
        <w:rPr>
          <w:rtl w:val="true"/>
        </w:rPr>
        <w:t>המצביע על הליך שיקומי בו מצוי הנאשם</w:t>
      </w:r>
      <w:r>
        <w:rPr>
          <w:rtl w:val="true"/>
        </w:rPr>
        <w:t xml:space="preserve">, </w:t>
      </w:r>
      <w:r>
        <w:rPr>
          <w:rtl w:val="true"/>
        </w:rPr>
        <w:t>על שינוי שהשכיל הנאשם לעשות באורחות חייו</w:t>
      </w:r>
      <w:r>
        <w:rPr>
          <w:rtl w:val="true"/>
        </w:rPr>
        <w:t xml:space="preserve">, </w:t>
      </w:r>
      <w:r>
        <w:rPr>
          <w:rtl w:val="true"/>
        </w:rPr>
        <w:t>ניקיונו מסמים</w:t>
      </w:r>
      <w:r>
        <w:rPr>
          <w:rtl w:val="true"/>
        </w:rPr>
        <w:t xml:space="preserve">, </w:t>
      </w:r>
      <w:r>
        <w:rPr>
          <w:rtl w:val="true"/>
        </w:rPr>
        <w:t>העדר עבר פלילי ומשפחה נורמטיבית ותומכת</w:t>
      </w:r>
      <w:r>
        <w:rPr>
          <w:rtl w:val="true"/>
        </w:rPr>
        <w:t xml:space="preserve">, </w:t>
      </w:r>
      <w:r>
        <w:rPr>
          <w:rtl w:val="true"/>
        </w:rPr>
        <w:t>וכל יתר הנסיבות שפורטו ולא אחזור ואפרטן שוב</w:t>
      </w:r>
      <w:r>
        <w:rPr>
          <w:rtl w:val="true"/>
        </w:rPr>
        <w:t xml:space="preserve">, </w:t>
      </w:r>
      <w:r>
        <w:rPr>
          <w:rtl w:val="true"/>
        </w:rPr>
        <w:t>אינן מצדיקות הימנעות מהטלת עונש ממשי בדמות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תוך חריגה משמעותית ממתחם העונש ההולם אלא מצדיקים קביעת עונשו של הנאשם ברף הנמוך של מתחם העונש ההולם</w:t>
      </w:r>
      <w:r>
        <w:rPr>
          <w:rtl w:val="true"/>
        </w:rPr>
        <w:t xml:space="preserve">, </w:t>
      </w:r>
      <w:r>
        <w:rPr>
          <w:rtl w:val="true"/>
        </w:rPr>
        <w:t>תוך קיזוז ימי 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סבורה כי הטלת מאסר 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לא ייפגע ביכולתו של הנאשם להמשיך בהליך הטיפולי ויהלום את חומרת מעשיו</w:t>
      </w:r>
      <w:r>
        <w:rPr>
          <w:rtl w:val="true"/>
        </w:rPr>
        <w:t xml:space="preserve">, </w:t>
      </w:r>
      <w:r>
        <w:rPr>
          <w:rtl w:val="true"/>
        </w:rPr>
        <w:t>ואת העובדה שהוא מפחית מחומרתם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 בחשבון את העובדה שהנאשם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הודה וחסך זמן שיפוטי יקר</w:t>
      </w:r>
      <w:r>
        <w:rPr>
          <w:rtl w:val="true"/>
        </w:rPr>
        <w:t xml:space="preserve">, </w:t>
      </w:r>
      <w:r>
        <w:rPr>
          <w:rtl w:val="true"/>
        </w:rPr>
        <w:t>שהה מספר ימים במעצר ולאחר מכן במעצר בית ובתנאים מגבילים משמעותיים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 עתירת המאשימה לפסילת הרישיון בפועל – פסילת הרישיון בעבירות סמים משרתת מספר מטרות עונשיות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 xml:space="preserve">מטרה מניעתית – </w:t>
      </w:r>
      <w:hyperlink r:id="rId4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5343/05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רווח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27.9.05</w:t>
      </w:r>
      <w:r>
        <w:rPr>
          <w:rtl w:val="true"/>
        </w:rPr>
        <w:t xml:space="preserve">). </w:t>
      </w:r>
      <w:r>
        <w:rPr>
          <w:rtl w:val="true"/>
        </w:rPr>
        <w:t>מאחר שהנאשם הפסיק את השימוש בסם</w:t>
      </w:r>
      <w:r>
        <w:rPr>
          <w:rtl w:val="true"/>
        </w:rPr>
        <w:t xml:space="preserve">, </w:t>
      </w:r>
      <w:r>
        <w:rPr>
          <w:rtl w:val="true"/>
        </w:rPr>
        <w:t>אמנע באופן חריג מפסילת הרישיון בפועל ואסתפק בהטלת פסילה על תנאי משמעותית 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לקנס – יש לגזור על הנאשם קנס הנמצא במתחם העונש ההולם ואשר תואם את מצבם 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ובקיזוז ימי מעצרו מיום </w:t>
      </w:r>
      <w:r>
        <w:rPr/>
        <w:t>30/4/2015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/>
        <w:t>3/5/2015</w:t>
      </w:r>
      <w:r>
        <w:rPr>
          <w:rtl w:val="true"/>
        </w:rPr>
        <w:t xml:space="preserve">, </w:t>
      </w:r>
      <w:r>
        <w:rPr>
          <w:rtl w:val="true"/>
        </w:rPr>
        <w:t>בהתאם לחוות דעת הממונה על עבודות השירות בשב</w:t>
      </w:r>
      <w:r>
        <w:rPr>
          <w:rtl w:val="true"/>
        </w:rPr>
        <w:t>"</w:t>
      </w:r>
      <w:r>
        <w:rPr>
          <w:rtl w:val="true"/>
        </w:rPr>
        <w:t>ס ירוצה המאסר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4/5/2016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פתחון לב</w:t>
      </w:r>
      <w:r>
        <w:rPr>
          <w:rtl w:val="true"/>
        </w:rPr>
        <w:t xml:space="preserve">",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 xml:space="preserve">לישנסקי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-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עבודה יומיות</w:t>
      </w:r>
      <w:r>
        <w:rPr>
          <w:rtl w:val="true"/>
        </w:rPr>
        <w:t xml:space="preserve">. </w:t>
      </w:r>
      <w:r>
        <w:rPr>
          <w:rtl w:val="true"/>
        </w:rPr>
        <w:t>בערבי חג וחול המועד הנאשם יועסק במקום העבודה וגם אם לא עבד באותו יום</w:t>
      </w:r>
      <w:r>
        <w:rPr>
          <w:rtl w:val="true"/>
        </w:rPr>
        <w:t xml:space="preserve">, </w:t>
      </w:r>
      <w:r>
        <w:rPr>
          <w:rtl w:val="true"/>
        </w:rPr>
        <w:t>בין אם מסיבותיו ובין אם בגלל שהמקום סגור</w:t>
      </w:r>
      <w:r>
        <w:rPr>
          <w:rtl w:val="true"/>
        </w:rPr>
        <w:t xml:space="preserve">, </w:t>
      </w:r>
      <w:r>
        <w:rPr>
          <w:rtl w:val="true"/>
        </w:rPr>
        <w:t>יחויב ביום עבודה 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24" w:end="0"/>
        <w:jc w:val="both"/>
        <w:rPr/>
      </w:pPr>
      <w:r>
        <w:rPr>
          <w:rtl w:val="true"/>
        </w:rPr>
        <w:t>הובהר לנאשם כי עליו למסור בדיקות שתן לאיתור סמים ככל שידרש על</w:t>
      </w:r>
      <w:r>
        <w:rPr>
          <w:rtl w:val="true"/>
        </w:rPr>
        <w:t>-</w:t>
      </w:r>
      <w:r>
        <w:rPr>
          <w:rtl w:val="true"/>
        </w:rPr>
        <w:t>ידי הממונה על עבודות השירות 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ואם תתגלה מעורבות פעילה</w:t>
      </w:r>
      <w:r>
        <w:rPr>
          <w:rtl w:val="true"/>
        </w:rPr>
        <w:t xml:space="preserve">, </w:t>
      </w:r>
      <w:r>
        <w:rPr>
          <w:rtl w:val="true"/>
        </w:rPr>
        <w:t>בין בגילוי סם בבדיקת שתן ובין בניסיון זיוף דגימת שתן</w:t>
      </w:r>
      <w:r>
        <w:rPr>
          <w:rtl w:val="true"/>
        </w:rPr>
        <w:t xml:space="preserve">, </w:t>
      </w:r>
      <w:r>
        <w:rPr>
          <w:rtl w:val="true"/>
        </w:rPr>
        <w:t>יהוה הדבר הפרה של תנאי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2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25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הובהר לנאשם כי עליו לעמוד בתנאי הפיקוח וביקורות הפתע</w:t>
      </w:r>
      <w:r>
        <w:rPr>
          <w:rtl w:val="true"/>
        </w:rPr>
        <w:t xml:space="preserve">, </w:t>
      </w:r>
      <w:r>
        <w:rPr>
          <w:rtl w:val="true"/>
        </w:rPr>
        <w:t>וכל הפרה בעבודות השירות או ביצוע עבירות נוספות</w:t>
      </w:r>
      <w:r>
        <w:rPr>
          <w:rtl w:val="true"/>
        </w:rPr>
        <w:t xml:space="preserve">, </w:t>
      </w:r>
      <w:r>
        <w:rPr>
          <w:rtl w:val="true"/>
        </w:rPr>
        <w:t>יביאו להפסקה מנהלית וריצוי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25" w:end="0"/>
        <w:jc w:val="both"/>
        <w:rPr/>
      </w:pPr>
      <w:r>
        <w:rPr>
          <w:rtl w:val="true"/>
        </w:rPr>
        <w:t xml:space="preserve">על הנאשם להתייצב ביום </w:t>
      </w:r>
      <w:r>
        <w:rPr/>
        <w:t>4/5/2016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לצורך קליטה והצבה בפני המפקח על עבודות השירות במפקדת מחוז מרכז</w:t>
      </w:r>
      <w:r>
        <w:rPr>
          <w:rtl w:val="true"/>
        </w:rPr>
        <w:t xml:space="preserve">, </w:t>
      </w:r>
      <w:r>
        <w:rPr>
          <w:rtl w:val="true"/>
        </w:rPr>
        <w:t>יחידת עבודות השירות בעיר רמלה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לתקופה של שלוש 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בתקופה זו עבירה על 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מסוג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לתקופה של שלוש 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בתקופה זו עבירה על </w:t>
      </w:r>
      <w:hyperlink r:id="rId44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 xml:space="preserve"> מסוג 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קנס בסך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1/4/2015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25" w:end="0"/>
        <w:jc w:val="both"/>
        <w:rPr/>
      </w:pPr>
      <w:r>
        <w:rPr>
          <w:rtl w:val="true"/>
        </w:rPr>
        <w:t>לא ישולם תשלום מתשלומי הקנס במועדו או במלואו</w:t>
      </w:r>
      <w:r>
        <w:rPr>
          <w:rtl w:val="true"/>
        </w:rPr>
        <w:t xml:space="preserve">, </w:t>
      </w:r>
      <w:r>
        <w:rPr>
          <w:rtl w:val="true"/>
        </w:rPr>
        <w:t>יעמוד מלוא הקנס או יתרתו לפירעון מלא לאלתר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425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פסילת רישיון נהיגה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במשך שלוש שנים מהיום כל עבירה לפי </w:t>
      </w:r>
      <w:hyperlink r:id="rId45">
        <w:r>
          <w:rPr>
            <w:rStyle w:val="Hyperlink"/>
            <w:rtl w:val="true"/>
          </w:rPr>
          <w:t>פקודת</w:t>
        </w:r>
        <w:r>
          <w:rPr>
            <w:rStyle w:val="Hyperlink"/>
            <w:rtl w:val="true"/>
          </w:rPr>
          <w:t xml:space="preserve"> הסמים המסוכנים</w:t>
        </w:r>
      </w:hyperlink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425" w:start="424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ניתן צו כללי למוצגים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 יפנה למזכירות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לקבלת שוברים לתשלום הקנס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מחוזי מרכז – לוד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425" w:start="424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אדר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שירלי דקל נוה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שירלי דקל נוה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13336-05-15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גיא אלכסנדר ווסרדם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71a.b" TargetMode="External"/><Relationship Id="rId8" Type="http://schemas.openxmlformats.org/officeDocument/2006/relationships/hyperlink" Target="http://www.nevo.co.il/law/4216/7.a.;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case/5738608" TargetMode="External"/><Relationship Id="rId16" Type="http://schemas.openxmlformats.org/officeDocument/2006/relationships/hyperlink" Target="http://www.nevo.co.il/law/4216/6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18119161" TargetMode="External"/><Relationship Id="rId19" Type="http://schemas.openxmlformats.org/officeDocument/2006/relationships/hyperlink" Target="http://www.nevo.co.il/case/18090154" TargetMode="External"/><Relationship Id="rId20" Type="http://schemas.openxmlformats.org/officeDocument/2006/relationships/hyperlink" Target="http://www.nevo.co.il/case/5805976" TargetMode="External"/><Relationship Id="rId21" Type="http://schemas.openxmlformats.org/officeDocument/2006/relationships/hyperlink" Target="http://www.nevo.co.il/case/20402486" TargetMode="External"/><Relationship Id="rId22" Type="http://schemas.openxmlformats.org/officeDocument/2006/relationships/hyperlink" Target="http://www.nevo.co.il/case/20402486" TargetMode="External"/><Relationship Id="rId23" Type="http://schemas.openxmlformats.org/officeDocument/2006/relationships/hyperlink" Target="http://www.nevo.co.il/case/20111708" TargetMode="External"/><Relationship Id="rId24" Type="http://schemas.openxmlformats.org/officeDocument/2006/relationships/hyperlink" Target="http://www.nevo.co.il/case/18090154" TargetMode="External"/><Relationship Id="rId25" Type="http://schemas.openxmlformats.org/officeDocument/2006/relationships/hyperlink" Target="http://www.nevo.co.il/case/20705570" TargetMode="External"/><Relationship Id="rId26" Type="http://schemas.openxmlformats.org/officeDocument/2006/relationships/hyperlink" Target="http://www.nevo.co.il/case/4804940" TargetMode="External"/><Relationship Id="rId27" Type="http://schemas.openxmlformats.org/officeDocument/2006/relationships/hyperlink" Target="http://www.nevo.co.il/case/17084501" TargetMode="External"/><Relationship Id="rId28" Type="http://schemas.openxmlformats.org/officeDocument/2006/relationships/hyperlink" Target="http://www.nevo.co.il/case/6020149" TargetMode="External"/><Relationship Id="rId29" Type="http://schemas.openxmlformats.org/officeDocument/2006/relationships/hyperlink" Target="http://www.nevo.co.il/case/8282019" TargetMode="External"/><Relationship Id="rId30" Type="http://schemas.openxmlformats.org/officeDocument/2006/relationships/hyperlink" Target="http://www.nevo.co.il/case/18008870" TargetMode="External"/><Relationship Id="rId31" Type="http://schemas.openxmlformats.org/officeDocument/2006/relationships/hyperlink" Target="http://www.nevo.co.il/case/2865307" TargetMode="External"/><Relationship Id="rId32" Type="http://schemas.openxmlformats.org/officeDocument/2006/relationships/hyperlink" Target="http://www.nevo.co.il/case/2550172" TargetMode="External"/><Relationship Id="rId33" Type="http://schemas.openxmlformats.org/officeDocument/2006/relationships/hyperlink" Target="http://www.nevo.co.il/case/17916229" TargetMode="External"/><Relationship Id="rId34" Type="http://schemas.openxmlformats.org/officeDocument/2006/relationships/hyperlink" Target="http://www.nevo.co.il/law/70301/71a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810781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case/8478043" TargetMode="External"/><Relationship Id="rId39" Type="http://schemas.openxmlformats.org/officeDocument/2006/relationships/hyperlink" Target="http://www.nevo.co.il/case/5633505" TargetMode="External"/><Relationship Id="rId40" Type="http://schemas.openxmlformats.org/officeDocument/2006/relationships/hyperlink" Target="http://www.nevo.co.il/case/6870343" TargetMode="External"/><Relationship Id="rId41" Type="http://schemas.openxmlformats.org/officeDocument/2006/relationships/hyperlink" Target="http://www.nevo.co.il/case/4145194" TargetMode="External"/><Relationship Id="rId42" Type="http://schemas.openxmlformats.org/officeDocument/2006/relationships/hyperlink" Target="http://www.nevo.co.il/case/6006976" TargetMode="External"/><Relationship Id="rId43" Type="http://schemas.openxmlformats.org/officeDocument/2006/relationships/hyperlink" Target="http://www.nevo.co.il/law/4216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2016-03-20T09:27:00Z</dcterms:created>
  <dc:creator> </dc:creator>
  <dc:description/>
  <cp:keywords/>
  <dc:language>en-IL</dc:language>
  <cp:lastModifiedBy>orly</cp:lastModifiedBy>
  <dcterms:modified xsi:type="dcterms:W3CDTF">2016-03-20T09:27:00Z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גיא אלכסנדר ווסרדם</vt:lpwstr>
  </property>
  <property fmtid="{D5CDD505-2E9C-101B-9397-08002B2CF9AE}" pid="4" name="CASENOTES1">
    <vt:lpwstr>ProcID=111;69&amp;PartA=21&amp;PartC=07</vt:lpwstr>
  </property>
  <property fmtid="{D5CDD505-2E9C-101B-9397-08002B2CF9AE}" pid="5" name="CASESLISTTMP1">
    <vt:lpwstr>5738608;18119161;18090154:2;5805976;20402486:2;20111708;20705570;4804940;17084501;6020149;8282019;18008870;2865307;2550172;17916229;5810781;8478043;5633505;6870343;4145194;6006976</vt:lpwstr>
  </property>
  <property fmtid="{D5CDD505-2E9C-101B-9397-08002B2CF9AE}" pid="6" name="CITY">
    <vt:lpwstr>ראשל"צ</vt:lpwstr>
  </property>
  <property fmtid="{D5CDD505-2E9C-101B-9397-08002B2CF9AE}" pid="7" name="DATE">
    <vt:lpwstr>20160303</vt:lpwstr>
  </property>
  <property fmtid="{D5CDD505-2E9C-101B-9397-08002B2CF9AE}" pid="8" name="ISABSTRACT">
    <vt:lpwstr>Y</vt:lpwstr>
  </property>
  <property fmtid="{D5CDD505-2E9C-101B-9397-08002B2CF9AE}" pid="9" name="JUDGE">
    <vt:lpwstr>שירלי דקל נוה</vt:lpwstr>
  </property>
  <property fmtid="{D5CDD505-2E9C-101B-9397-08002B2CF9AE}" pid="10" name="LAWLISTTMP1">
    <vt:lpwstr>4216/007.a;007.c;006:2</vt:lpwstr>
  </property>
  <property fmtid="{D5CDD505-2E9C-101B-9397-08002B2CF9AE}" pid="11" name="LAWLISTTMP2">
    <vt:lpwstr>70301/071a.b</vt:lpwstr>
  </property>
  <property fmtid="{D5CDD505-2E9C-101B-9397-08002B2CF9AE}" pid="12" name="LAWYER">
    <vt:lpwstr>חן כהן;צלניקר</vt:lpwstr>
  </property>
  <property fmtid="{D5CDD505-2E9C-101B-9397-08002B2CF9AE}" pid="13" name="METAKZER">
    <vt:lpwstr>שירי</vt:lpwstr>
  </property>
  <property fmtid="{D5CDD505-2E9C-101B-9397-08002B2CF9AE}" pid="14" name="NEWPARTA">
    <vt:lpwstr>13336</vt:lpwstr>
  </property>
  <property fmtid="{D5CDD505-2E9C-101B-9397-08002B2CF9AE}" pid="15" name="NEWPARTB">
    <vt:lpwstr>05</vt:lpwstr>
  </property>
  <property fmtid="{D5CDD505-2E9C-101B-9397-08002B2CF9AE}" pid="16" name="NEWPARTC">
    <vt:lpwstr>15</vt:lpwstr>
  </property>
  <property fmtid="{D5CDD505-2E9C-101B-9397-08002B2CF9AE}" pid="17" name="NEWPROC">
    <vt:lpwstr>תפ</vt:lpwstr>
  </property>
  <property fmtid="{D5CDD505-2E9C-101B-9397-08002B2CF9AE}" pid="18" name="NOSE11">
    <vt:lpwstr>עונשין</vt:lpwstr>
  </property>
  <property fmtid="{D5CDD505-2E9C-101B-9397-08002B2CF9AE}" pid="19" name="NOSE110">
    <vt:lpwstr/>
  </property>
  <property fmtid="{D5CDD505-2E9C-101B-9397-08002B2CF9AE}" pid="20" name="NOSE12">
    <vt:lpwstr>עונשין</vt:lpwstr>
  </property>
  <property fmtid="{D5CDD505-2E9C-101B-9397-08002B2CF9AE}" pid="21" name="NOSE13">
    <vt:lpwstr>עונשין</vt:lpwstr>
  </property>
  <property fmtid="{D5CDD505-2E9C-101B-9397-08002B2CF9AE}" pid="22" name="NOSE14">
    <vt:lpwstr/>
  </property>
  <property fmtid="{D5CDD505-2E9C-101B-9397-08002B2CF9AE}" pid="23" name="NOSE15">
    <vt:lpwstr/>
  </property>
  <property fmtid="{D5CDD505-2E9C-101B-9397-08002B2CF9AE}" pid="24" name="NOSE16">
    <vt:lpwstr/>
  </property>
  <property fmtid="{D5CDD505-2E9C-101B-9397-08002B2CF9AE}" pid="25" name="NOSE17">
    <vt:lpwstr/>
  </property>
  <property fmtid="{D5CDD505-2E9C-101B-9397-08002B2CF9AE}" pid="26" name="NOSE18">
    <vt:lpwstr/>
  </property>
  <property fmtid="{D5CDD505-2E9C-101B-9397-08002B2CF9AE}" pid="27" name="NOSE19">
    <vt:lpwstr/>
  </property>
  <property fmtid="{D5CDD505-2E9C-101B-9397-08002B2CF9AE}" pid="28" name="NOSE1ID">
    <vt:lpwstr>77;77;77</vt:lpwstr>
  </property>
  <property fmtid="{D5CDD505-2E9C-101B-9397-08002B2CF9AE}" pid="29" name="NOSE21">
    <vt:lpwstr>ענישה</vt:lpwstr>
  </property>
  <property fmtid="{D5CDD505-2E9C-101B-9397-08002B2CF9AE}" pid="30" name="NOSE210">
    <vt:lpwstr/>
  </property>
  <property fmtid="{D5CDD505-2E9C-101B-9397-08002B2CF9AE}" pid="31" name="NOSE22">
    <vt:lpwstr>ענישה</vt:lpwstr>
  </property>
  <property fmtid="{D5CDD505-2E9C-101B-9397-08002B2CF9AE}" pid="32" name="NOSE23">
    <vt:lpwstr>ענישה</vt:lpwstr>
  </property>
  <property fmtid="{D5CDD505-2E9C-101B-9397-08002B2CF9AE}" pid="33" name="NOSE24">
    <vt:lpwstr/>
  </property>
  <property fmtid="{D5CDD505-2E9C-101B-9397-08002B2CF9AE}" pid="34" name="NOSE25">
    <vt:lpwstr/>
  </property>
  <property fmtid="{D5CDD505-2E9C-101B-9397-08002B2CF9AE}" pid="35" name="NOSE26">
    <vt:lpwstr/>
  </property>
  <property fmtid="{D5CDD505-2E9C-101B-9397-08002B2CF9AE}" pid="36" name="NOSE27">
    <vt:lpwstr/>
  </property>
  <property fmtid="{D5CDD505-2E9C-101B-9397-08002B2CF9AE}" pid="37" name="NOSE28">
    <vt:lpwstr/>
  </property>
  <property fmtid="{D5CDD505-2E9C-101B-9397-08002B2CF9AE}" pid="38" name="NOSE29">
    <vt:lpwstr/>
  </property>
  <property fmtid="{D5CDD505-2E9C-101B-9397-08002B2CF9AE}" pid="39" name="NOSE2ID">
    <vt:lpwstr>1446;1446;1446</vt:lpwstr>
  </property>
  <property fmtid="{D5CDD505-2E9C-101B-9397-08002B2CF9AE}" pid="40" name="NOSE31">
    <vt:lpwstr>מדיניות ענישה: עבירות סמים</vt:lpwstr>
  </property>
  <property fmtid="{D5CDD505-2E9C-101B-9397-08002B2CF9AE}" pid="41" name="NOSE310">
    <vt:lpwstr/>
  </property>
  <property fmtid="{D5CDD505-2E9C-101B-9397-08002B2CF9AE}" pid="42" name="NOSE32">
    <vt:lpwstr>הימנעות מהרשעה</vt:lpwstr>
  </property>
  <property fmtid="{D5CDD505-2E9C-101B-9397-08002B2CF9AE}" pid="43" name="NOSE33">
    <vt:lpwstr>מדיניות ענישה: אי-הרשעה</vt:lpwstr>
  </property>
  <property fmtid="{D5CDD505-2E9C-101B-9397-08002B2CF9AE}" pid="44" name="NOSE34">
    <vt:lpwstr/>
  </property>
  <property fmtid="{D5CDD505-2E9C-101B-9397-08002B2CF9AE}" pid="45" name="NOSE35">
    <vt:lpwstr/>
  </property>
  <property fmtid="{D5CDD505-2E9C-101B-9397-08002B2CF9AE}" pid="46" name="NOSE36">
    <vt:lpwstr/>
  </property>
  <property fmtid="{D5CDD505-2E9C-101B-9397-08002B2CF9AE}" pid="47" name="NOSE37">
    <vt:lpwstr/>
  </property>
  <property fmtid="{D5CDD505-2E9C-101B-9397-08002B2CF9AE}" pid="48" name="NOSE38">
    <vt:lpwstr/>
  </property>
  <property fmtid="{D5CDD505-2E9C-101B-9397-08002B2CF9AE}" pid="49" name="NOSE39">
    <vt:lpwstr/>
  </property>
  <property fmtid="{D5CDD505-2E9C-101B-9397-08002B2CF9AE}" pid="50" name="NOSE3ID">
    <vt:lpwstr>8991;11695;11690</vt:lpwstr>
  </property>
  <property fmtid="{D5CDD505-2E9C-101B-9397-08002B2CF9AE}" pid="51" name="PADIDATE">
    <vt:lpwstr>20160320</vt:lpwstr>
  </property>
  <property fmtid="{D5CDD505-2E9C-101B-9397-08002B2CF9AE}" pid="52" name="PADIMAIL">
    <vt:lpwstr>YES</vt:lpwstr>
  </property>
  <property fmtid="{D5CDD505-2E9C-101B-9397-08002B2CF9AE}" pid="53" name="PSAKDIN">
    <vt:lpwstr>גזר-דין</vt:lpwstr>
  </property>
  <property fmtid="{D5CDD505-2E9C-101B-9397-08002B2CF9AE}" pid="54" name="TYPE">
    <vt:lpwstr>3</vt:lpwstr>
  </property>
  <property fmtid="{D5CDD505-2E9C-101B-9397-08002B2CF9AE}" pid="55" name="TYPE_ABS_DATE">
    <vt:lpwstr>380120160303</vt:lpwstr>
  </property>
  <property fmtid="{D5CDD505-2E9C-101B-9397-08002B2CF9AE}" pid="56" name="TYPE_N_DATE">
    <vt:lpwstr>38020160303</vt:lpwstr>
  </property>
  <property fmtid="{D5CDD505-2E9C-101B-9397-08002B2CF9AE}" pid="57" name="WORDNUMPAGES">
    <vt:lpwstr>15</vt:lpwstr>
  </property>
</Properties>
</file>