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16826-04-18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חדד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יצחק חדד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2" w:name="FirstLawyer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המאשימה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איריס פיקר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אבי כהן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לפשע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ורכוש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קוקאין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נמדדת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ייסוגו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</w:t>
      </w:r>
      <w:r>
        <w:rPr>
          <w:rFonts w:cs="FrankRuehl"/>
          <w:szCs w:val="26"/>
          <w:rtl w:val="true"/>
        </w:rPr>
        <w:t>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הטלפונים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נייד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426" w:start="1133" w:end="0"/>
        <w:jc w:val="both"/>
        <w:rPr/>
      </w:pPr>
      <w:r>
        <w:rPr>
          <w:b/>
          <w:b/>
          <w:bCs/>
          <w:rtl w:val="true"/>
        </w:rPr>
        <w:t>ייבוא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  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426" w:start="1133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b/>
          <w:b/>
          <w:bCs/>
          <w:rtl w:val="true"/>
        </w:rPr>
        <w:t>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499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עובר ליום </w:t>
      </w:r>
      <w:r>
        <w:rPr>
          <w:b/>
          <w:bCs/>
        </w:rPr>
        <w:t>25.3.18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קשר יאיר קוצר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קוצר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>קשר עם הנאשם כך שהנאשם יבריח מגרמניה לישראל מזוודה ובה 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 הקשר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25.3.18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טס הנאשם מישראל לברלין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במהלך ימי שהותו בברלין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הנאשם וקוצר עמדו בקשר תדיר בעיקר באמצעות אפליקציית </w:t>
      </w:r>
      <w:r>
        <w:rPr>
          <w:b/>
          <w:bCs/>
        </w:rPr>
        <w:t>WhatsApp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27.3.18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17:00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בקרבת בית מלון בברלין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קיבל מידי אדם שזהותו אינה ידועה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מזוודה ובה מוחבאים בבטנה כפולה ונסתרת </w:t>
      </w:r>
      <w:r>
        <w:rPr>
          <w:b/>
          <w:bCs/>
        </w:rPr>
        <w:t>7.935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סם מסוג קוקאין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 xml:space="preserve">"). </w:t>
      </w:r>
      <w:r>
        <w:rPr>
          <w:b/>
          <w:b/>
          <w:bCs/>
          <w:rtl w:val="true"/>
        </w:rPr>
        <w:t xml:space="preserve">שווי הסם מוערך בין </w:t>
      </w:r>
      <w:r>
        <w:rPr>
          <w:b/>
          <w:bCs/>
        </w:rPr>
        <w:t>2,777,250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4,761,000</w:t>
      </w:r>
      <w:r>
        <w:rPr>
          <w:b/>
          <w:bCs/>
          <w:rtl w:val="true"/>
        </w:rPr>
        <w:t xml:space="preserve"> ₪.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27.3.18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21:45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טס הנאשם מברלין לישראל לאחר שהפקיד את המזוודה בה הסמים ככבודה בבטן המטוס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28.3.18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2:00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נחת הנאשם בנתב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אסף את המזוודה ובה הסמים מאזור איסוף המזוודות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והחל לעשות עמה דרכו אל מחוץ לנמל התעופה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3:20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tl w:val="true"/>
        </w:rPr>
        <w:t xml:space="preserve">, </w:t>
      </w:r>
      <w:r>
        <w:rPr>
          <w:rtl w:val="true"/>
        </w:rPr>
        <w:t>נבדק ובהמשך נעצר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ללא הסכמה לעונש</w:t>
      </w:r>
      <w:r>
        <w:rPr>
          <w:rtl w:val="true"/>
        </w:rPr>
        <w:t xml:space="preserve">. </w:t>
      </w:r>
      <w:r>
        <w:rPr>
          <w:rtl w:val="true"/>
        </w:rPr>
        <w:t>הנאשם הוכרז סוחר סמים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גרוש בשנית ואב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ובהמשך השלים לימודי תעודה כטכנאי מחשבים</w:t>
      </w:r>
      <w:r>
        <w:rPr>
          <w:rtl w:val="true"/>
        </w:rPr>
        <w:t xml:space="preserve">. </w:t>
      </w:r>
      <w:r>
        <w:rPr>
          <w:rtl w:val="true"/>
        </w:rPr>
        <w:t>שירת שרות צבאי מלא</w:t>
      </w:r>
      <w:r>
        <w:rPr>
          <w:rtl w:val="true"/>
        </w:rPr>
        <w:t xml:space="preserve">. </w:t>
      </w:r>
      <w:r>
        <w:rPr>
          <w:rtl w:val="true"/>
        </w:rPr>
        <w:t>לאורך השנים עבד בתחום המסעדנות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נישא לראשונה ומקשר זה נולדו שני ילדים</w:t>
      </w:r>
      <w:r>
        <w:rPr>
          <w:rtl w:val="true"/>
        </w:rPr>
        <w:t xml:space="preserve">. </w:t>
      </w:r>
      <w:r>
        <w:rPr>
          <w:rtl w:val="true"/>
        </w:rPr>
        <w:t>לאחר כעשור בני הזוג התגרשו</w:t>
      </w:r>
      <w:r>
        <w:rPr>
          <w:rtl w:val="true"/>
        </w:rPr>
        <w:t xml:space="preserve">. </w:t>
      </w:r>
      <w:r>
        <w:rPr>
          <w:rtl w:val="true"/>
        </w:rPr>
        <w:t>הנאשם נישא בשנית</w:t>
      </w:r>
      <w:r>
        <w:rPr>
          <w:rtl w:val="true"/>
        </w:rPr>
        <w:t xml:space="preserve">, </w:t>
      </w:r>
      <w:r>
        <w:rPr>
          <w:rtl w:val="true"/>
        </w:rPr>
        <w:t>ולאחר שנה בני הזוג התגרשו כשהם הורים לתאומים</w:t>
      </w:r>
      <w:r>
        <w:rPr>
          <w:rtl w:val="true"/>
        </w:rPr>
        <w:t xml:space="preserve">. </w:t>
      </w:r>
      <w:r>
        <w:rPr>
          <w:rtl w:val="true"/>
        </w:rPr>
        <w:t>הנאשם מקיים קשר עם כל ילדיו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לנאשם אין עבר פלילי</w:t>
      </w:r>
      <w:r>
        <w:rPr>
          <w:rtl w:val="true"/>
        </w:rPr>
        <w:t xml:space="preserve">. </w:t>
      </w:r>
      <w:r>
        <w:rPr>
          <w:rtl w:val="true"/>
        </w:rPr>
        <w:t>לאחר שחרורו מהמעצר</w:t>
      </w:r>
      <w:r>
        <w:rPr>
          <w:rtl w:val="true"/>
        </w:rPr>
        <w:t xml:space="preserve">, </w:t>
      </w:r>
      <w:r>
        <w:rPr>
          <w:rtl w:val="true"/>
        </w:rPr>
        <w:t>שולב במסגרת צו פיקוח מעצרים בקבוצה טיפולית לעצורי בית בשירות המבחן</w:t>
      </w:r>
      <w:r>
        <w:rPr>
          <w:rtl w:val="true"/>
        </w:rPr>
        <w:t xml:space="preserve">. </w:t>
      </w:r>
      <w:r>
        <w:rPr>
          <w:rtl w:val="true"/>
        </w:rPr>
        <w:t>ההתרשמות אז הייתה שהנאשם הצליח להכיר ולהעמיק במאפייני אישיותו ובחירותיו ובכלל זה בהתנהלות כלכלית בעייתית</w:t>
      </w:r>
      <w:r>
        <w:rPr>
          <w:rtl w:val="true"/>
        </w:rPr>
        <w:t xml:space="preserve">, </w:t>
      </w:r>
      <w:r>
        <w:rPr>
          <w:rtl w:val="true"/>
        </w:rPr>
        <w:t>בהיעדר יציבות בחייו ובהתנהגותו האימפולסיבית</w:t>
      </w:r>
      <w:r>
        <w:rPr>
          <w:rtl w:val="true"/>
        </w:rPr>
        <w:t xml:space="preserve">, </w:t>
      </w:r>
      <w:r>
        <w:rPr>
          <w:rtl w:val="true"/>
        </w:rPr>
        <w:t>וכן התרשמו מהצגת פסדה מתפקדת בפער לתחושת כישלון וקשיים בקבלת עזרה</w:t>
      </w:r>
      <w:r>
        <w:rPr>
          <w:rtl w:val="true"/>
        </w:rPr>
        <w:t xml:space="preserve">. </w:t>
      </w:r>
      <w:r>
        <w:rPr>
          <w:rtl w:val="true"/>
        </w:rPr>
        <w:t>הנאשם מודע יותר לדפוסי חשיבה שוליים והשלכות מעורבותו השולית על חייו</w:t>
      </w:r>
      <w:r>
        <w:rPr>
          <w:rtl w:val="true"/>
        </w:rPr>
        <w:t xml:space="preserve">. </w:t>
      </w:r>
      <w:r>
        <w:rPr>
          <w:rtl w:val="true"/>
        </w:rPr>
        <w:t>בשל התרשמות ממצוקה רגשית</w:t>
      </w:r>
      <w:r>
        <w:rPr>
          <w:rtl w:val="true"/>
        </w:rPr>
        <w:t xml:space="preserve">, </w:t>
      </w:r>
      <w:r>
        <w:rPr>
          <w:rtl w:val="true"/>
        </w:rPr>
        <w:t>הנאשם הופנה לבדיקה והחל בטיפול תרופתי נוגד דיכאון וחרדה</w:t>
      </w:r>
      <w:r>
        <w:rPr>
          <w:rtl w:val="true"/>
        </w:rPr>
        <w:t xml:space="preserve">. </w:t>
      </w:r>
      <w:r>
        <w:rPr>
          <w:rtl w:val="true"/>
        </w:rPr>
        <w:t>בתום הטיפול הקבוצתי</w:t>
      </w:r>
      <w:r>
        <w:rPr>
          <w:rtl w:val="true"/>
        </w:rPr>
        <w:t xml:space="preserve">, </w:t>
      </w:r>
      <w:r>
        <w:rPr>
          <w:rtl w:val="true"/>
        </w:rPr>
        <w:t xml:space="preserve">שולב הנאשם בסדנת </w:t>
      </w:r>
      <w:r>
        <w:rPr>
          <w:rtl w:val="true"/>
        </w:rPr>
        <w:t>"</w:t>
      </w:r>
      <w:r>
        <w:rPr>
          <w:rtl w:val="true"/>
        </w:rPr>
        <w:t>חוק ומשפט</w:t>
      </w:r>
      <w:r>
        <w:rPr>
          <w:rtl w:val="true"/>
        </w:rPr>
        <w:t xml:space="preserve">" </w:t>
      </w:r>
      <w:r>
        <w:rPr>
          <w:rtl w:val="true"/>
        </w:rPr>
        <w:t>ולהערכת שירות המבחן בתקופת צו פיקוח המעצר החלה הפחתה ברמת הסיכון במצבו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שירות המבחן ציין כי ביחסו לעבירה</w:t>
      </w:r>
      <w:r>
        <w:rPr>
          <w:rtl w:val="true"/>
        </w:rPr>
        <w:t xml:space="preserve">, </w:t>
      </w:r>
      <w:r>
        <w:rPr>
          <w:rtl w:val="true"/>
        </w:rPr>
        <w:t>הנאשם נטל אחריות והביע חרטה עמוקה על מעורבותו בעבירה</w:t>
      </w:r>
      <w:r>
        <w:rPr>
          <w:rtl w:val="true"/>
        </w:rPr>
        <w:t xml:space="preserve">. </w:t>
      </w:r>
      <w:r>
        <w:rPr>
          <w:rtl w:val="true"/>
        </w:rPr>
        <w:t>מנגד הביא שירות המבחן את דברי הנאשם אשר תאר כי טס לברלין בתאום עם יאיר קוצר</w:t>
      </w:r>
      <w:r>
        <w:rPr>
          <w:rtl w:val="true"/>
        </w:rPr>
        <w:t xml:space="preserve">, </w:t>
      </w:r>
      <w:r>
        <w:rPr>
          <w:rtl w:val="true"/>
        </w:rPr>
        <w:t>אשר היה לקוח במסעדה שאותה ניהל הנאשם</w:t>
      </w:r>
      <w:r>
        <w:rPr>
          <w:rtl w:val="true"/>
        </w:rPr>
        <w:t xml:space="preserve">, </w:t>
      </w:r>
      <w:r>
        <w:rPr>
          <w:rtl w:val="true"/>
        </w:rPr>
        <w:t>לשם ייבוא בגדים בתמורה לשכר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וכי לא ידע על קיומם של הסמים במזוודה עד למעצרו</w:t>
      </w:r>
      <w:r>
        <w:rPr>
          <w:rtl w:val="true"/>
        </w:rPr>
        <w:t xml:space="preserve">. </w:t>
      </w:r>
      <w:r>
        <w:rPr>
          <w:rtl w:val="true"/>
        </w:rPr>
        <w:t>לדבריו לאחר קבלת המזוודה ובשל משקלה החריג</w:t>
      </w:r>
      <w:r>
        <w:rPr>
          <w:rtl w:val="true"/>
        </w:rPr>
        <w:t xml:space="preserve">, </w:t>
      </w:r>
      <w:r>
        <w:rPr>
          <w:rtl w:val="true"/>
        </w:rPr>
        <w:t>התעורר חשדו שאין מדובר בבגדים</w:t>
      </w:r>
      <w:r>
        <w:rPr>
          <w:rtl w:val="true"/>
        </w:rPr>
        <w:t xml:space="preserve">, </w:t>
      </w:r>
      <w:r>
        <w:rPr>
          <w:rtl w:val="true"/>
        </w:rPr>
        <w:t>ובשל כך התנגד לשאת עמו את המזוודה לישראל</w:t>
      </w:r>
      <w:r>
        <w:rPr>
          <w:rtl w:val="true"/>
        </w:rPr>
        <w:t xml:space="preserve">. </w:t>
      </w:r>
      <w:r>
        <w:rPr>
          <w:rtl w:val="true"/>
        </w:rPr>
        <w:t>בתגובה לכך האדם אשר מסר לידי הנאשם את המזוודה איים עליו בפגיעה בו ובמשפחתו אם לא יישא את המזוודה כמתוכנן לישראל</w:t>
      </w:r>
      <w:r>
        <w:rPr>
          <w:rtl w:val="true"/>
        </w:rPr>
        <w:t xml:space="preserve">. </w:t>
      </w:r>
      <w:r>
        <w:rPr>
          <w:rtl w:val="true"/>
        </w:rPr>
        <w:t>הנאשם הסביר את בחירתו להיענות להצעה לייבוא בגדים בקשיים כלכליים עמם התמודד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מעמדה מיתממת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קורבנית וילדותית של הנאשם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הנאשם שולב בשיחות פרטניות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 למפגשים עמו ושיתף פעולה כנדרש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שיתף בפתיחות וביטא רצון כן להשתקם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ניכר שהנאשם מצליח להיעזר בטיפול לצורך וויסות רגשותיו</w:t>
      </w:r>
      <w:r>
        <w:rPr>
          <w:rtl w:val="true"/>
        </w:rPr>
        <w:t xml:space="preserve">, </w:t>
      </w:r>
      <w:r>
        <w:rPr>
          <w:rtl w:val="true"/>
        </w:rPr>
        <w:t>נוכח התמודדותו עם מתחים ולחצים סביב ההליך המשפטי</w:t>
      </w:r>
      <w:r>
        <w:rPr>
          <w:rtl w:val="true"/>
        </w:rPr>
        <w:t xml:space="preserve">. </w:t>
      </w:r>
      <w:r>
        <w:rPr>
          <w:rtl w:val="true"/>
        </w:rPr>
        <w:t>בנוסף הנאשם הצליח לערוך בחינה ביקורתית של דפוסיו המכשילים אשר עמדו בבסיס ביצוע העבירה</w:t>
      </w:r>
      <w:r>
        <w:rPr>
          <w:rtl w:val="true"/>
        </w:rPr>
        <w:t xml:space="preserve">. </w:t>
      </w:r>
      <w:r>
        <w:rPr>
          <w:rtl w:val="true"/>
        </w:rPr>
        <w:t>נמסר שהנאשם צפוי להשתלב בטיפול קבוצתי לעוברי חוק</w:t>
      </w:r>
      <w:r>
        <w:rPr>
          <w:rtl w:val="true"/>
        </w:rPr>
        <w:t xml:space="preserve">. </w:t>
      </w:r>
      <w:r>
        <w:rPr>
          <w:rtl w:val="true"/>
        </w:rPr>
        <w:t>במהלך התקופה הנאשם ביצע בדיקות שתן שהיו נקיות מסמים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מהנאשם כבעל אישיות ילדותית ובלתי בשלה</w:t>
      </w:r>
      <w:r>
        <w:rPr>
          <w:rtl w:val="true"/>
        </w:rPr>
        <w:t xml:space="preserve">, </w:t>
      </w:r>
      <w:r>
        <w:rPr>
          <w:rtl w:val="true"/>
        </w:rPr>
        <w:t>המתקשה לנהל את חייו באחריות ונוטה לפתרונות אימפולסיביים במצבי דחק</w:t>
      </w:r>
      <w:r>
        <w:rPr>
          <w:rtl w:val="true"/>
        </w:rPr>
        <w:t xml:space="preserve">. </w:t>
      </w:r>
      <w:r>
        <w:rPr>
          <w:rtl w:val="true"/>
        </w:rPr>
        <w:t>על רקע זה מוסבר ביצוע העבירה</w:t>
      </w:r>
      <w:r>
        <w:rPr>
          <w:rtl w:val="true"/>
        </w:rPr>
        <w:t xml:space="preserve">, </w:t>
      </w:r>
      <w:r>
        <w:rPr>
          <w:rtl w:val="true"/>
        </w:rPr>
        <w:t>שבוצעה בתקופה בה התמודד הנאשם עם לחצים כלכליים הנמשכים עד היום</w:t>
      </w:r>
      <w:r>
        <w:rPr>
          <w:rtl w:val="true"/>
        </w:rPr>
        <w:t xml:space="preserve">. </w:t>
      </w:r>
      <w:r>
        <w:rPr>
          <w:rtl w:val="true"/>
        </w:rPr>
        <w:t>לאורך השנים ערך הנאשם מאמץ להצגת מצג שווא של אדם עצמאי ונעדר קשיים תפקודיים</w:t>
      </w:r>
      <w:r>
        <w:rPr>
          <w:rtl w:val="true"/>
        </w:rPr>
        <w:t xml:space="preserve">, </w:t>
      </w:r>
      <w:r>
        <w:rPr>
          <w:rtl w:val="true"/>
        </w:rPr>
        <w:t>כשהוא מתקשה להיעזר בסביבתו</w:t>
      </w:r>
      <w:r>
        <w:rPr>
          <w:rtl w:val="true"/>
        </w:rPr>
        <w:t xml:space="preserve">. </w:t>
      </w:r>
      <w:r>
        <w:rPr>
          <w:rtl w:val="true"/>
        </w:rPr>
        <w:t>כגורמי סיכון מנה שירות המבחן את חומרת העבירה</w:t>
      </w:r>
      <w:r>
        <w:rPr>
          <w:rtl w:val="true"/>
        </w:rPr>
        <w:t xml:space="preserve">, </w:t>
      </w:r>
      <w:r>
        <w:rPr>
          <w:rtl w:val="true"/>
        </w:rPr>
        <w:t>נטייתו לפעול בפזיזות תוך עיסוק בצרכיו המידיים לצד הקושי שמגלה בהפניית צרכיו לסביבתו באופן מקדם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היותו נעדר הרשעות קודמות</w:t>
      </w:r>
      <w:r>
        <w:rPr>
          <w:rtl w:val="true"/>
        </w:rPr>
        <w:t xml:space="preserve">, </w:t>
      </w:r>
      <w:r>
        <w:rPr>
          <w:rtl w:val="true"/>
        </w:rPr>
        <w:t>תפקוד תעסוקתי יציב</w:t>
      </w:r>
      <w:r>
        <w:rPr>
          <w:rtl w:val="true"/>
        </w:rPr>
        <w:t xml:space="preserve">, </w:t>
      </w:r>
      <w:r>
        <w:rPr>
          <w:rtl w:val="true"/>
        </w:rPr>
        <w:t>האחריות שגילה לאורך הקשר עם שירות המבחן והמוטיבציה שביטא לעריכת שינוי באורח חייו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שהנאשם מחויב להמשך הקשר עמם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ונחוש לערוך שינוי בדפוסיו המכשילים ולרכוש כלים להתמודדות מקדמת עם קשייו</w:t>
      </w:r>
      <w:r>
        <w:rPr>
          <w:rtl w:val="true"/>
        </w:rPr>
        <w:t xml:space="preserve">. </w:t>
      </w:r>
      <w:r>
        <w:rPr>
          <w:rtl w:val="true"/>
        </w:rPr>
        <w:t>לאור התרשמותם זו וההערכה שהמשך הליך השיקום נדרש לשם הפחתת הסיכון במצבו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 הנאשם צו מבחן למשך שנה</w:t>
      </w:r>
      <w:r>
        <w:rPr>
          <w:rtl w:val="true"/>
        </w:rPr>
        <w:t xml:space="preserve">, </w:t>
      </w:r>
      <w:r>
        <w:rPr>
          <w:rtl w:val="true"/>
        </w:rPr>
        <w:t>במהלכו ימשיך בשיחות פרטניות וישולב בקבוצה וכן ימשך המעקב אחר שילובו בטיפול במסגרת בריאות הנפש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לצד זאת המליץ שירות המבחן על ענישה קונקרטית של עבודות שירות</w:t>
      </w:r>
      <w:r>
        <w:rPr>
          <w:rtl w:val="true"/>
        </w:rPr>
        <w:t xml:space="preserve">, </w:t>
      </w:r>
      <w:r>
        <w:rPr>
          <w:rtl w:val="true"/>
        </w:rPr>
        <w:t>כשצוין כי עונש של מאסר בפועל עלול לפגוע במאמציו ולהוביל להידרדרות במצבו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מזכר של משטרת ישראל מיום </w:t>
      </w:r>
      <w:r>
        <w:rPr>
          <w:lang w:eastAsia="he-IL"/>
        </w:rPr>
        <w:t>28.3.18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-  </w:t>
      </w:r>
      <w:r>
        <w:rPr>
          <w:rtl w:val="true"/>
          <w:lang w:eastAsia="he-IL"/>
        </w:rPr>
        <w:t>המתאר שיחה שהתקיימה עם הנאשם בעניין שיתוף פעולה אפשרי מצדו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 ביטא חשש מפניו של האדם ששלח אותו לביצוע העבירה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מכתב מהנאשם הממוען לבית המשפט ולפרקליטות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במסגרתו הנאשם הציג את עצמו ואת ילדיו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הודה למשטרת ישראל על שעצרה אותו ובכך מנעה מהסמים להגיע לאנשים הצורכים 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עשה טעות בשוגג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ידע שזה מה שהוא הולך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 איום על ילדיו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מתנצל על 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תאר את עצמו כאדם נורמטיבי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העובד באופן מסודר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אינו צורך סמים או אלכוהול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 ל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 ומשלם דמי מזונות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מתאר את סבלו בבית המעצר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מבקש להשתלב בטיפול כדי שיוכל להבין מדוע המקרה החריג הזה אירע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מבקש שלא ייגזר עליו עונש מאסר כדי שלא ישתנה לרעה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דוח מערכת הוצאה לפועל – דוח תיקים לחייב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בו מפורטים חובותיו של הנאשם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מסמכים משפטיים בעניינו של קוצר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כתב אישום 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בקשה למעצר עד לתום ההליכים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גיליון רישום 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פרוטוקול ובו הצגת הסדר 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הכרעת דין וגזר דין בעניינו של קוצר </w:t>
      </w:r>
      <w:r>
        <w:rPr>
          <w:rtl w:val="true"/>
          <w:lang w:eastAsia="he-IL"/>
        </w:rPr>
        <w:t>(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מח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מר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16806-04-18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קוצר</w:t>
      </w:r>
      <w:r>
        <w:rPr>
          <w:rtl w:val="true"/>
          <w:lang w:eastAsia="he-IL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  <w:lang w:eastAsia="he-IL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  <w:lang w:eastAsia="he-IL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[</w:t>
      </w:r>
      <w:r>
        <w:rPr>
          <w:lang w:eastAsia="he-IL"/>
        </w:rPr>
        <w:t>31.12.18</w:t>
      </w:r>
      <w:r>
        <w:rPr>
          <w:rtl w:val="true"/>
          <w:lang w:eastAsia="he-IL"/>
        </w:rPr>
        <w:t xml:space="preserve">]). </w:t>
      </w:r>
      <w:r>
        <w:rPr>
          <w:rtl w:val="true"/>
          <w:lang w:eastAsia="he-IL"/>
        </w:rPr>
        <w:t>באותו הליך הורשע קוצר בהסדר טיעון בעבירות של קשירת קשר והחזקת סמים לצריכה עצמית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ונדון ל</w:t>
      </w:r>
      <w:r>
        <w:rPr>
          <w:rtl w:val="true"/>
          <w:lang w:eastAsia="he-IL"/>
        </w:rPr>
        <w:t>-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 שנקבע כי העונש המוסכם והסדר הטיעון הם תוצאה של קושי ראייתי משמעותי אשר נוצר בתיק וזאת בעקבות חקירה נגדית אפקטיבית לעד התביעה המרכזי אשר נערכה 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ידי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 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יובהר כי עד התביעה המרכזי בעניינו של קוצר – הוא הנאשם כאן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מר אמיר מזרחי – חברו של הנאשם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מכיר את הנאשם מגיל ילדות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מזה כ</w:t>
      </w:r>
      <w:r>
        <w:rPr>
          <w:rtl w:val="true"/>
          <w:lang w:eastAsia="he-IL"/>
        </w:rPr>
        <w:t>-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איש אהוב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רגיש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מחובר לילדיו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עבד ב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מקומות עבודה כדי להשיג את שרצה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שוחחו רבות על המקרה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אינו יודע כיצד הוא קשור למקרה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 הוא לוקח אחריות ומבין את הטעות שעשה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בינו לבין המקרה קשר או קרבה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הדפוס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מבין שזה לא התחום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עובר טיפול בשירות 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לוקח אחריות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 הייתה מעידה חד פעמית עבור 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מעולם לא התקרב לעולם הפשע ותמיד רצה את הדרך הנקייה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מחפש קיצורי דרך ותמיד היה איש חרוץ וחבר נאמן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הודה שהיו לו במזוודה 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נקלע למצוקה כלכלית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לו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 והוא עבד מאוד קשה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גב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שרה חדד – אמו של הנאשם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הנאשם הוא יד ימינה ועוזר 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מקיים קשר טוב עם ילדיו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שאינם יכולים בלעדיו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היה עמה בבית לאחר שעברה ניתוח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אף פעם לא הסתבך 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זו הפעם הראשונה וכולם היו בהלם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אדם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מתבייש במה שעשה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לו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 מהם החל בטיפול פסיכולוגי כשהוא נעצר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 היום לא חזר לעצמו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בעבירה הוא הגנה על הציבור מפני הנזקים הנלווים לשימוש בסמים</w:t>
      </w:r>
      <w:r>
        <w:rPr>
          <w:rtl w:val="true"/>
        </w:rPr>
        <w:t xml:space="preserve">. </w:t>
      </w:r>
      <w:r>
        <w:rPr>
          <w:rtl w:val="true"/>
        </w:rPr>
        <w:t>נזקי הסמים כוללים נזקים ישירים למכורים ונזקים עקיפים כתוצאה מביצוע העבירות כדי לממן רכישתם</w:t>
      </w:r>
      <w:r>
        <w:rPr>
          <w:rtl w:val="true"/>
        </w:rPr>
        <w:t xml:space="preserve">. </w:t>
      </w:r>
      <w:r>
        <w:rPr>
          <w:rtl w:val="true"/>
        </w:rPr>
        <w:t>ישנם נפגעים רבים מעבירות רכוש שנעברות כדי לממן את צריכת הסמים</w:t>
      </w:r>
      <w:r>
        <w:rPr>
          <w:rtl w:val="true"/>
        </w:rPr>
        <w:t xml:space="preserve">, </w:t>
      </w:r>
      <w:r>
        <w:rPr>
          <w:rtl w:val="true"/>
        </w:rPr>
        <w:t>עבירות אלימות ועוד</w:t>
      </w:r>
      <w:r>
        <w:rPr>
          <w:rtl w:val="true"/>
        </w:rPr>
        <w:t xml:space="preserve">. </w:t>
      </w:r>
      <w:r>
        <w:rPr>
          <w:rtl w:val="true"/>
        </w:rPr>
        <w:t>מידת הפגיעה בערך המוגן היא עצומה</w:t>
      </w:r>
      <w:r>
        <w:rPr>
          <w:rtl w:val="true"/>
        </w:rPr>
        <w:t xml:space="preserve">, </w:t>
      </w:r>
      <w:r>
        <w:rPr>
          <w:rtl w:val="true"/>
        </w:rPr>
        <w:t>בשל סוג הסם ומשקלו הרב</w:t>
      </w:r>
      <w:r>
        <w:rPr>
          <w:rtl w:val="true"/>
        </w:rPr>
        <w:t xml:space="preserve">. </w:t>
      </w:r>
      <w:r>
        <w:rPr>
          <w:rtl w:val="true"/>
        </w:rPr>
        <w:t>הנסיבות הקשורות לביצוע העבירה כוללות תכנון מוקדם</w:t>
      </w:r>
      <w:r>
        <w:rPr>
          <w:rtl w:val="true"/>
        </w:rPr>
        <w:t xml:space="preserve">. </w:t>
      </w:r>
      <w:r>
        <w:rPr>
          <w:rtl w:val="true"/>
        </w:rPr>
        <w:t>הנאשם טס לברלין ושב עם הסמים לישראל</w:t>
      </w:r>
      <w:r>
        <w:rPr>
          <w:rtl w:val="true"/>
        </w:rPr>
        <w:t xml:space="preserve">. </w:t>
      </w:r>
      <w:r>
        <w:rPr>
          <w:rtl w:val="true"/>
        </w:rPr>
        <w:t>העבירה בוצעה בעבור בצע כסף</w:t>
      </w:r>
      <w:r>
        <w:rPr>
          <w:rtl w:val="true"/>
        </w:rPr>
        <w:t xml:space="preserve">. </w:t>
      </w:r>
      <w:r>
        <w:rPr>
          <w:rtl w:val="true"/>
        </w:rPr>
        <w:t>הנאשם העיד נגד קוצר שקשר עמו את הקשר</w:t>
      </w:r>
      <w:r>
        <w:rPr>
          <w:rtl w:val="true"/>
        </w:rPr>
        <w:t xml:space="preserve">, </w:t>
      </w:r>
      <w:r>
        <w:rPr>
          <w:rtl w:val="true"/>
        </w:rPr>
        <w:t>התברר שעדותו אינה מהימנה</w:t>
      </w:r>
      <w:r>
        <w:rPr>
          <w:rtl w:val="true"/>
        </w:rPr>
        <w:t xml:space="preserve">, </w:t>
      </w:r>
      <w:r>
        <w:rPr>
          <w:rtl w:val="true"/>
        </w:rPr>
        <w:t>ולכן המאשימה נאלצה להגיע עם קוצר</w:t>
      </w:r>
      <w:r>
        <w:rPr>
          <w:rtl w:val="true"/>
        </w:rPr>
        <w:t xml:space="preserve">, </w:t>
      </w:r>
      <w:r>
        <w:rPr>
          <w:rtl w:val="true"/>
        </w:rPr>
        <w:t>משיקולים ראייתיים</w:t>
      </w:r>
      <w:r>
        <w:rPr>
          <w:rtl w:val="true"/>
        </w:rPr>
        <w:t xml:space="preserve">, </w:t>
      </w:r>
      <w:r>
        <w:rPr>
          <w:rtl w:val="true"/>
        </w:rPr>
        <w:t>להסדר נמוך בהרבה ממתחם העונש הראוי</w:t>
      </w:r>
      <w:r>
        <w:rPr>
          <w:rtl w:val="true"/>
        </w:rPr>
        <w:t xml:space="preserve">. </w:t>
      </w:r>
      <w:r>
        <w:rPr>
          <w:rtl w:val="true"/>
        </w:rPr>
        <w:t>הנזק שצפוי היה להיגרם הוא רב נוכח הכמות העצומה של הסמים</w:t>
      </w:r>
      <w:r>
        <w:rPr>
          <w:rtl w:val="true"/>
        </w:rPr>
        <w:t xml:space="preserve">. </w:t>
      </w:r>
      <w:r>
        <w:rPr>
          <w:rtl w:val="true"/>
        </w:rPr>
        <w:t>הנאשם היה מודע היטב לביצוע מעשיו</w:t>
      </w:r>
      <w:r>
        <w:rPr>
          <w:rtl w:val="true"/>
        </w:rPr>
        <w:t xml:space="preserve">, </w:t>
      </w:r>
      <w:r>
        <w:rPr>
          <w:rtl w:val="true"/>
        </w:rPr>
        <w:t>בניגוד לדבריו לשירות המבחן</w:t>
      </w:r>
      <w:r>
        <w:rPr>
          <w:rtl w:val="true"/>
        </w:rPr>
        <w:t xml:space="preserve">. </w:t>
      </w:r>
      <w:r>
        <w:rPr>
          <w:rtl w:val="true"/>
        </w:rPr>
        <w:t>הנאשם היה יכול לחדול מביצוע המעשים</w:t>
      </w:r>
      <w:r>
        <w:rPr>
          <w:rtl w:val="true"/>
        </w:rPr>
        <w:t xml:space="preserve">, </w:t>
      </w:r>
      <w:r>
        <w:rPr>
          <w:rtl w:val="true"/>
        </w:rPr>
        <w:t>אך הוא בחר להמשיך במשימת הייבוא</w:t>
      </w:r>
      <w:r>
        <w:rPr>
          <w:rtl w:val="true"/>
        </w:rPr>
        <w:t xml:space="preserve">. </w:t>
      </w:r>
      <w:r>
        <w:rPr>
          <w:rtl w:val="true"/>
        </w:rPr>
        <w:t>הנאשם מחק את האפליקציות שבאמצעותן התקשר עם משלחיו</w:t>
      </w:r>
      <w:r>
        <w:rPr>
          <w:rtl w:val="true"/>
        </w:rPr>
        <w:t xml:space="preserve">, </w:t>
      </w:r>
      <w:r>
        <w:rPr>
          <w:rtl w:val="true"/>
        </w:rPr>
        <w:t>ויש בכך בכדי לחזק את הטענה בדבר מודעותו של הנאשם לעבירה</w:t>
      </w:r>
      <w:r>
        <w:rPr>
          <w:rtl w:val="true"/>
        </w:rPr>
        <w:t xml:space="preserve">. </w:t>
      </w:r>
      <w:r>
        <w:rPr>
          <w:rtl w:val="true"/>
        </w:rPr>
        <w:t>הסיבה שהובילה אותו לביצוע העבירה היא בצע כסף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עונש הנע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בעניינו של הנאשם הוגשו שני תסקירים</w:t>
      </w:r>
      <w:r>
        <w:rPr>
          <w:rtl w:val="true"/>
        </w:rPr>
        <w:t xml:space="preserve">. </w:t>
      </w:r>
      <w:r>
        <w:rPr>
          <w:rtl w:val="true"/>
        </w:rPr>
        <w:t>הנאשם שיקר לשירות המבחן וסיפר שקוצר הציע לו לייבא עבורו בגדים</w:t>
      </w:r>
      <w:r>
        <w:rPr>
          <w:rtl w:val="true"/>
        </w:rPr>
        <w:t xml:space="preserve">, </w:t>
      </w:r>
      <w:r>
        <w:rPr>
          <w:rtl w:val="true"/>
        </w:rPr>
        <w:t>וכן כי האדם שמסר לו את מזוודת הסמים היה אלמוני שאיים עליו בפגיעה בילדיו</w:t>
      </w:r>
      <w:r>
        <w:rPr>
          <w:rtl w:val="true"/>
        </w:rPr>
        <w:t xml:space="preserve">. </w:t>
      </w:r>
      <w:r>
        <w:rPr>
          <w:rtl w:val="true"/>
        </w:rPr>
        <w:t>לטענתו עם שובו למלון חשד אולם לא היה בטוח שמדובר בסמים עד שנעצר</w:t>
      </w:r>
      <w:r>
        <w:rPr>
          <w:rtl w:val="true"/>
        </w:rPr>
        <w:t xml:space="preserve">. </w:t>
      </w:r>
      <w:r>
        <w:rPr>
          <w:rtl w:val="true"/>
        </w:rPr>
        <w:t>שירות המבחן התרשם מעמדה מיתממת</w:t>
      </w:r>
      <w:r>
        <w:rPr>
          <w:rtl w:val="true"/>
        </w:rPr>
        <w:t xml:space="preserve">, </w:t>
      </w:r>
      <w:r>
        <w:rPr>
          <w:rtl w:val="true"/>
        </w:rPr>
        <w:t>ובנקודה זו סבר שירות המבחן שיש צורך בהמשך טיפול</w:t>
      </w:r>
      <w:r>
        <w:rPr>
          <w:rtl w:val="true"/>
        </w:rPr>
        <w:t xml:space="preserve">, </w:t>
      </w:r>
      <w:r>
        <w:rPr>
          <w:rtl w:val="true"/>
        </w:rPr>
        <w:t>תוך שהתרשם שהנאשם מגיב באופן אימפולסיבי במצבי דחק</w:t>
      </w:r>
      <w:r>
        <w:rPr>
          <w:rtl w:val="true"/>
        </w:rPr>
        <w:t xml:space="preserve">, </w:t>
      </w:r>
      <w:r>
        <w:rPr>
          <w:rtl w:val="true"/>
        </w:rPr>
        <w:t>לצד קשיים כלכליים</w:t>
      </w:r>
      <w:r>
        <w:rPr>
          <w:rtl w:val="true"/>
        </w:rPr>
        <w:t xml:space="preserve">. </w:t>
      </w:r>
      <w:r>
        <w:rPr>
          <w:rtl w:val="true"/>
        </w:rPr>
        <w:t>בתסקיר השני שירות המבחן בא בהמלצה לצו מבחן ולעבודות שירות</w:t>
      </w:r>
      <w:r>
        <w:rPr>
          <w:rtl w:val="true"/>
        </w:rPr>
        <w:t xml:space="preserve">. </w:t>
      </w:r>
      <w:r>
        <w:rPr>
          <w:rtl w:val="true"/>
        </w:rPr>
        <w:t>המאשימה סבורה שמדובר בתסקיר בעייתי</w:t>
      </w:r>
      <w:r>
        <w:rPr>
          <w:rtl w:val="true"/>
        </w:rPr>
        <w:t xml:space="preserve">, </w:t>
      </w:r>
      <w:r>
        <w:rPr>
          <w:rtl w:val="true"/>
        </w:rPr>
        <w:t>שכן אין נטילת אחריות לביצוע העבירה</w:t>
      </w:r>
      <w:r>
        <w:rPr>
          <w:rtl w:val="true"/>
        </w:rPr>
        <w:t xml:space="preserve">. </w:t>
      </w:r>
      <w:r>
        <w:rPr>
          <w:rtl w:val="true"/>
        </w:rPr>
        <w:t>הנאשם ממשיך בגרסה שקרית מול שירות המבחן ואינו לוקח אחריות</w:t>
      </w:r>
      <w:r>
        <w:rPr>
          <w:rtl w:val="true"/>
        </w:rPr>
        <w:t xml:space="preserve">. </w:t>
      </w:r>
      <w:r>
        <w:rPr>
          <w:rtl w:val="true"/>
        </w:rPr>
        <w:t>גרסתו עומדת בניגוד לכתב האישום שבו הודה</w:t>
      </w:r>
      <w:r>
        <w:rPr>
          <w:rtl w:val="true"/>
        </w:rPr>
        <w:t xml:space="preserve">. </w:t>
      </w:r>
      <w:r>
        <w:rPr>
          <w:rtl w:val="true"/>
        </w:rPr>
        <w:t>טענתו של הנאשם מיתממת ומצמצמת</w:t>
      </w:r>
      <w:r>
        <w:rPr>
          <w:rtl w:val="true"/>
        </w:rPr>
        <w:t xml:space="preserve">. </w:t>
      </w:r>
      <w:r>
        <w:rPr>
          <w:rtl w:val="true"/>
        </w:rPr>
        <w:t>המאשימה עתרה למקם את עונשו של הנאשם בין השליש התחתון לאמצעו של מתחם העונש</w:t>
      </w:r>
      <w:r>
        <w:rPr>
          <w:rtl w:val="true"/>
        </w:rPr>
        <w:t xml:space="preserve">. </w:t>
      </w:r>
      <w:r>
        <w:rPr>
          <w:rtl w:val="true"/>
        </w:rPr>
        <w:t>לא היו בהליך זה חיסכון בזמן שיפוטי ונטילת אחריות ואין מקום לחריגה מטעמי שיקום</w:t>
      </w:r>
      <w:r>
        <w:rPr>
          <w:rtl w:val="true"/>
        </w:rPr>
        <w:t xml:space="preserve">. </w:t>
      </w:r>
      <w:r>
        <w:rPr>
          <w:rtl w:val="true"/>
        </w:rPr>
        <w:t>מנגד הנאשם נעדר עבר פלילי</w:t>
      </w:r>
      <w:r>
        <w:rPr>
          <w:rtl w:val="true"/>
        </w:rPr>
        <w:t xml:space="preserve">. </w:t>
      </w:r>
      <w:r>
        <w:rPr>
          <w:rtl w:val="true"/>
        </w:rPr>
        <w:t>בנוסף עתרה המאשימה להשית על הנאשם ענישה נלווית של מאסר על תנאי</w:t>
      </w:r>
      <w:r>
        <w:rPr>
          <w:rtl w:val="true"/>
        </w:rPr>
        <w:t xml:space="preserve">, </w:t>
      </w:r>
      <w:r>
        <w:rPr>
          <w:rtl w:val="true"/>
        </w:rPr>
        <w:t>קנס משמעותי וחילוט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אבי כהן</w:t>
      </w:r>
      <w:r>
        <w:rPr>
          <w:rtl w:val="true"/>
        </w:rPr>
        <w:t xml:space="preserve">, </w:t>
      </w:r>
      <w:r>
        <w:rPr>
          <w:rtl w:val="true"/>
        </w:rPr>
        <w:t>יש לחרוג ממתחם העונש מטעמי שיקום</w:t>
      </w:r>
      <w:r>
        <w:rPr>
          <w:rtl w:val="true"/>
        </w:rPr>
        <w:t xml:space="preserve">. </w:t>
      </w:r>
      <w:r>
        <w:rPr>
          <w:rtl w:val="true"/>
        </w:rPr>
        <w:t>לא ניתן להתעלם מהעונש שנגזר על קוצר</w:t>
      </w:r>
      <w:r>
        <w:rPr>
          <w:rtl w:val="true"/>
        </w:rPr>
        <w:t xml:space="preserve">, </w:t>
      </w:r>
      <w:r>
        <w:rPr>
          <w:rtl w:val="true"/>
        </w:rPr>
        <w:t>שהוא בעל עבר פלילי מכביד</w:t>
      </w:r>
      <w:r>
        <w:rPr>
          <w:rtl w:val="true"/>
        </w:rPr>
        <w:t xml:space="preserve">, </w:t>
      </w:r>
      <w:r>
        <w:rPr>
          <w:rtl w:val="true"/>
        </w:rPr>
        <w:t>שריצה עונשי מאסר</w:t>
      </w:r>
      <w:r>
        <w:rPr>
          <w:rtl w:val="true"/>
        </w:rPr>
        <w:t xml:space="preserve">. </w:t>
      </w:r>
      <w:r>
        <w:rPr>
          <w:rtl w:val="true"/>
        </w:rPr>
        <w:t>מכיוון שעדותו של הנאשם נגד קוצר לא הייתה טובה</w:t>
      </w:r>
      <w:r>
        <w:rPr>
          <w:rtl w:val="true"/>
        </w:rPr>
        <w:t xml:space="preserve">, </w:t>
      </w:r>
      <w:r>
        <w:rPr>
          <w:rtl w:val="true"/>
        </w:rPr>
        <w:t xml:space="preserve">הסדר הטיעון שגובש בעניינו של קוצר היה לעונש נמוך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קוצר הוא עבריין שסיבך את הנאשם</w:t>
      </w:r>
      <w:r>
        <w:rPr>
          <w:rtl w:val="true"/>
        </w:rPr>
        <w:t xml:space="preserve">, </w:t>
      </w:r>
      <w:r>
        <w:rPr>
          <w:rtl w:val="true"/>
        </w:rPr>
        <w:t>כך לפי כתב האישום</w:t>
      </w:r>
      <w:r>
        <w:rPr>
          <w:rtl w:val="true"/>
        </w:rPr>
        <w:t xml:space="preserve">. </w:t>
      </w:r>
      <w:r>
        <w:rPr>
          <w:rtl w:val="true"/>
        </w:rPr>
        <w:t>קוצר הוא זה שיצר קשר עם הנאשם</w:t>
      </w:r>
      <w:r>
        <w:rPr>
          <w:rtl w:val="true"/>
        </w:rPr>
        <w:t xml:space="preserve">, </w:t>
      </w:r>
      <w:r>
        <w:rPr>
          <w:rtl w:val="true"/>
        </w:rPr>
        <w:t>בהתאם לקשר – הנאשם הוא בלדר וקוצר הוא השולח</w:t>
      </w:r>
      <w:r>
        <w:rPr>
          <w:rtl w:val="true"/>
        </w:rPr>
        <w:t xml:space="preserve">. </w:t>
      </w:r>
      <w:r>
        <w:rPr>
          <w:rtl w:val="true"/>
        </w:rPr>
        <w:t>הנאשם נשלח לברלין</w:t>
      </w:r>
      <w:r>
        <w:rPr>
          <w:rtl w:val="true"/>
        </w:rPr>
        <w:t xml:space="preserve">, </w:t>
      </w:r>
      <w:r>
        <w:rPr>
          <w:rtl w:val="true"/>
        </w:rPr>
        <w:t>כשבמסגרת הקשר הנאשם וקוצר היו בקשר באפליקציות</w:t>
      </w:r>
      <w:r>
        <w:rPr>
          <w:rtl w:val="true"/>
        </w:rPr>
        <w:t xml:space="preserve">. </w:t>
      </w:r>
      <w:r>
        <w:rPr>
          <w:rtl w:val="true"/>
        </w:rPr>
        <w:t>הנאשם הוא השלוח של קוצר לקבלת הסם</w:t>
      </w:r>
      <w:r>
        <w:rPr>
          <w:rtl w:val="true"/>
        </w:rPr>
        <w:t xml:space="preserve">. </w:t>
      </w:r>
      <w:r>
        <w:rPr>
          <w:rtl w:val="true"/>
        </w:rPr>
        <w:t>הסם נתפס</w:t>
      </w:r>
      <w:r>
        <w:rPr>
          <w:rtl w:val="true"/>
        </w:rPr>
        <w:t xml:space="preserve">, </w:t>
      </w:r>
      <w:r>
        <w:rPr>
          <w:rtl w:val="true"/>
        </w:rPr>
        <w:t>ולא נגרם נזק</w:t>
      </w:r>
      <w:r>
        <w:rPr>
          <w:rtl w:val="true"/>
        </w:rPr>
        <w:t xml:space="preserve">. </w:t>
      </w:r>
      <w:r>
        <w:rPr>
          <w:rtl w:val="true"/>
        </w:rPr>
        <w:t>הנאשם היכה על חטא וקיבל אחריות</w:t>
      </w:r>
      <w:r>
        <w:rPr>
          <w:rtl w:val="true"/>
        </w:rPr>
        <w:t xml:space="preserve">. </w:t>
      </w:r>
      <w:r>
        <w:rPr>
          <w:rtl w:val="true"/>
        </w:rPr>
        <w:t xml:space="preserve">תמורת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הוא הרס את חייו</w:t>
      </w:r>
      <w:r>
        <w:rPr>
          <w:rtl w:val="true"/>
        </w:rPr>
        <w:t xml:space="preserve">. </w:t>
      </w:r>
      <w:r>
        <w:rPr>
          <w:rtl w:val="true"/>
        </w:rPr>
        <w:t>הנאשם נקלע למצב כלכלי מאוד קשה ומעד מעידה קשה</w:t>
      </w:r>
      <w:r>
        <w:rPr>
          <w:rtl w:val="true"/>
        </w:rPr>
        <w:t xml:space="preserve">. </w:t>
      </w:r>
      <w:r>
        <w:rPr>
          <w:rtl w:val="true"/>
        </w:rPr>
        <w:t>הנאשם אף הציע למשטרה להקליט את קוצר</w:t>
      </w:r>
      <w:r>
        <w:rPr>
          <w:rtl w:val="true"/>
        </w:rPr>
        <w:t xml:space="preserve">. </w:t>
      </w:r>
      <w:r>
        <w:rPr>
          <w:rtl w:val="true"/>
        </w:rPr>
        <w:t>בניגוד אליו קוצר שמר על זכות השתיקה</w:t>
      </w:r>
      <w:r>
        <w:rPr>
          <w:rtl w:val="true"/>
        </w:rPr>
        <w:t xml:space="preserve">. </w:t>
      </w:r>
      <w:r>
        <w:rPr>
          <w:rtl w:val="true"/>
        </w:rPr>
        <w:t>עונשו של הנאשם צריך להיגזר מעונשו של קוצר</w:t>
      </w:r>
      <w:r>
        <w:rPr>
          <w:rtl w:val="true"/>
        </w:rPr>
        <w:t xml:space="preserve">. </w:t>
      </w:r>
      <w:r>
        <w:rPr>
          <w:rtl w:val="true"/>
        </w:rPr>
        <w:t>שניהם נאשמים באותה פרשה</w:t>
      </w:r>
      <w:r>
        <w:rPr>
          <w:rtl w:val="true"/>
        </w:rPr>
        <w:t xml:space="preserve">, </w:t>
      </w:r>
      <w:r>
        <w:rPr>
          <w:rtl w:val="true"/>
        </w:rPr>
        <w:t>שניהם קשרו קשר</w:t>
      </w:r>
      <w:r>
        <w:rPr>
          <w:rtl w:val="true"/>
        </w:rPr>
        <w:t xml:space="preserve">. </w:t>
      </w:r>
      <w:r>
        <w:rPr>
          <w:rtl w:val="true"/>
        </w:rPr>
        <w:t>קוצר הואשם תחילה בייבוא סם</w:t>
      </w:r>
      <w:r>
        <w:rPr>
          <w:rtl w:val="true"/>
        </w:rPr>
        <w:t xml:space="preserve">, </w:t>
      </w:r>
      <w:r>
        <w:rPr>
          <w:rtl w:val="true"/>
        </w:rPr>
        <w:t>בהמשך עבירת הייבוא נמחקה</w:t>
      </w:r>
      <w:r>
        <w:rPr>
          <w:rtl w:val="true"/>
        </w:rPr>
        <w:t xml:space="preserve">. </w:t>
      </w:r>
      <w:r>
        <w:rPr>
          <w:rtl w:val="true"/>
        </w:rPr>
        <w:t>לא ראוי להטיל על הנאשם עונש חמור מזה שהוטל על קוצר</w:t>
      </w:r>
      <w:r>
        <w:rPr>
          <w:rtl w:val="true"/>
        </w:rPr>
        <w:t xml:space="preserve">, </w:t>
      </w:r>
      <w:r>
        <w:rPr>
          <w:rtl w:val="true"/>
        </w:rPr>
        <w:t>נוכח עברו הפלילי ושתיקתו בחקירה</w:t>
      </w:r>
      <w:r>
        <w:rPr>
          <w:rtl w:val="true"/>
        </w:rPr>
        <w:t xml:space="preserve">, </w:t>
      </w:r>
      <w:r>
        <w:rPr>
          <w:rtl w:val="true"/>
        </w:rPr>
        <w:t>כשהנאשם היה זה שהעיד נגד קוצר</w:t>
      </w:r>
      <w:r>
        <w:rPr>
          <w:rtl w:val="true"/>
        </w:rPr>
        <w:t xml:space="preserve">. </w:t>
      </w:r>
      <w:r>
        <w:rPr>
          <w:rtl w:val="true"/>
        </w:rPr>
        <w:t>קוצר לא עבר הליך שיקום</w:t>
      </w:r>
      <w:r>
        <w:rPr>
          <w:rtl w:val="true"/>
        </w:rPr>
        <w:t xml:space="preserve">. </w:t>
      </w:r>
      <w:r>
        <w:rPr>
          <w:rtl w:val="true"/>
        </w:rPr>
        <w:t>התסקירים בעניינו של הנאשם מאוד חיובים עם המלצות חיוביות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חלפו שנתיים מאז ביצוע העבירה</w:t>
      </w:r>
      <w:r>
        <w:rPr>
          <w:rtl w:val="true"/>
        </w:rPr>
        <w:t xml:space="preserve">, </w:t>
      </w:r>
      <w:r>
        <w:rPr>
          <w:rtl w:val="true"/>
        </w:rPr>
        <w:t>הוא 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 קטנים</w:t>
      </w:r>
      <w:r>
        <w:rPr>
          <w:rtl w:val="true"/>
        </w:rPr>
        <w:t xml:space="preserve">. </w:t>
      </w:r>
      <w:r>
        <w:rPr>
          <w:rtl w:val="true"/>
        </w:rPr>
        <w:t>הנאשם אינו מסוכן לציבור</w:t>
      </w:r>
      <w:r>
        <w:rPr>
          <w:rtl w:val="true"/>
        </w:rPr>
        <w:t xml:space="preserve">. </w:t>
      </w:r>
      <w:r>
        <w:rPr>
          <w:rtl w:val="true"/>
        </w:rPr>
        <w:t>הנאשם שהה 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במעצר ובהמשך לכך היה בפיקוח אלקטרוני</w:t>
      </w:r>
      <w:r>
        <w:rPr>
          <w:rtl w:val="true"/>
        </w:rPr>
        <w:t xml:space="preserve">. </w:t>
      </w:r>
      <w:r>
        <w:rPr>
          <w:rtl w:val="true"/>
        </w:rPr>
        <w:t>במשך כל התקופה הוא תפקד באופן חיובי</w:t>
      </w:r>
      <w:r>
        <w:rPr>
          <w:rtl w:val="true"/>
        </w:rPr>
        <w:t xml:space="preserve">. </w:t>
      </w:r>
      <w:r>
        <w:rPr>
          <w:rtl w:val="true"/>
        </w:rPr>
        <w:t>התסקירים מתארים את אישיותו של הנאשם</w:t>
      </w:r>
      <w:r>
        <w:rPr>
          <w:rtl w:val="true"/>
        </w:rPr>
        <w:t xml:space="preserve">, </w:t>
      </w:r>
      <w:r>
        <w:rPr>
          <w:rtl w:val="true"/>
        </w:rPr>
        <w:t>את המצוקה שבה היה נתון</w:t>
      </w:r>
      <w:r>
        <w:rPr>
          <w:rtl w:val="true"/>
        </w:rPr>
        <w:t xml:space="preserve">, </w:t>
      </w:r>
      <w:r>
        <w:rPr>
          <w:rtl w:val="true"/>
        </w:rPr>
        <w:t>המסוכנות שפחתה ואת היותו נקי מסמים</w:t>
      </w:r>
      <w:r>
        <w:rPr>
          <w:rtl w:val="true"/>
        </w:rPr>
        <w:t xml:space="preserve">. </w:t>
      </w:r>
      <w:r>
        <w:rPr>
          <w:rtl w:val="true"/>
        </w:rPr>
        <w:t>התסקיר הראשון מדבר על הבעת חרטה וקבלת אחריות</w:t>
      </w:r>
      <w:r>
        <w:rPr>
          <w:rtl w:val="true"/>
        </w:rPr>
        <w:t xml:space="preserve">. </w:t>
      </w:r>
      <w:r>
        <w:rPr>
          <w:rtl w:val="true"/>
        </w:rPr>
        <w:t>במשך יותר משנה הוא נמצא בטיפולים בשירות המבחן</w:t>
      </w:r>
      <w:r>
        <w:rPr>
          <w:rtl w:val="true"/>
        </w:rPr>
        <w:t xml:space="preserve">. </w:t>
      </w:r>
      <w:r>
        <w:rPr>
          <w:rtl w:val="true"/>
        </w:rPr>
        <w:t>שירות המבחן הסביר את הנזק הצפוי אם יכנס למאסר</w:t>
      </w:r>
      <w:r>
        <w:rPr>
          <w:rtl w:val="true"/>
        </w:rPr>
        <w:t xml:space="preserve">, </w:t>
      </w:r>
      <w:r>
        <w:rPr>
          <w:rtl w:val="true"/>
        </w:rPr>
        <w:t>שההליך הטיפולי ירד לטמיון והמליץ על צו מבחן</w:t>
      </w:r>
      <w:r>
        <w:rPr>
          <w:rtl w:val="true"/>
        </w:rPr>
        <w:t xml:space="preserve">. </w:t>
      </w:r>
      <w:r>
        <w:rPr>
          <w:rtl w:val="true"/>
        </w:rPr>
        <w:t>שירות המבחן מצא שזו המסגרת הטיפולית המתאימה למצבו</w:t>
      </w:r>
      <w:r>
        <w:rPr>
          <w:rtl w:val="true"/>
        </w:rPr>
        <w:t xml:space="preserve">, </w:t>
      </w:r>
      <w:r>
        <w:rPr>
          <w:rtl w:val="true"/>
        </w:rPr>
        <w:t>ולא היה צורך בקהילה טיפולית או מרכז יום</w:t>
      </w:r>
      <w:r>
        <w:rPr>
          <w:rtl w:val="true"/>
        </w:rPr>
        <w:t xml:space="preserve">. </w:t>
      </w:r>
      <w:r>
        <w:rPr>
          <w:rtl w:val="true"/>
        </w:rPr>
        <w:t>הטיפול עד כה מוכיח את עצמו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להשית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עבודות שירות וצו מבחן</w:t>
      </w:r>
      <w:r>
        <w:rPr>
          <w:rtl w:val="true"/>
        </w:rPr>
        <w:t xml:space="preserve">. </w:t>
      </w:r>
      <w:r>
        <w:rPr>
          <w:rtl w:val="true"/>
        </w:rPr>
        <w:t>כמו כן הסכימה ההגנה לחילוט כמבוקש ועתרה שלא להשית על הנאשם קנס כספי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ששגה בדרכו וטעה</w:t>
      </w:r>
      <w:r>
        <w:rPr>
          <w:rtl w:val="true"/>
        </w:rPr>
        <w:t xml:space="preserve">. </w:t>
      </w:r>
      <w:r>
        <w:rPr>
          <w:rtl w:val="true"/>
        </w:rPr>
        <w:t>היה שלושה חודשים במעצר</w:t>
      </w:r>
      <w:r>
        <w:rPr>
          <w:rtl w:val="true"/>
        </w:rPr>
        <w:t xml:space="preserve">. </w:t>
      </w:r>
      <w:r>
        <w:rPr>
          <w:rtl w:val="true"/>
        </w:rPr>
        <w:t>אינו רוצה לחזור לשם</w:t>
      </w:r>
      <w:r>
        <w:rPr>
          <w:rtl w:val="true"/>
        </w:rPr>
        <w:t xml:space="preserve">, </w:t>
      </w:r>
      <w:r>
        <w:rPr>
          <w:rtl w:val="true"/>
        </w:rPr>
        <w:t>זה אינו מקומו ולא דרכו וכן לא הערכים והחינוך שקיבל בביתו</w:t>
      </w:r>
      <w:r>
        <w:rPr>
          <w:rtl w:val="true"/>
        </w:rPr>
        <w:t xml:space="preserve">. </w:t>
      </w:r>
      <w:r>
        <w:rPr>
          <w:rtl w:val="true"/>
        </w:rPr>
        <w:t>מבקש הזדמנות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שנפגעו מביצוע העבירה הם הגנה על בריאות הציבור ושלומו מפני הנזקים הנלווים לשימוש בסמים מסוכנים</w:t>
      </w:r>
      <w:r>
        <w:rPr>
          <w:rtl w:val="true"/>
        </w:rPr>
        <w:t xml:space="preserve">. </w:t>
      </w:r>
      <w:r>
        <w:rPr>
          <w:rtl w:val="true"/>
        </w:rPr>
        <w:t>נזקי הסמים כוללים נזקים ישירים למכורים לסמים</w:t>
      </w:r>
      <w:r>
        <w:rPr>
          <w:rtl w:val="true"/>
        </w:rPr>
        <w:t xml:space="preserve">, </w:t>
      </w:r>
      <w:r>
        <w:rPr>
          <w:rtl w:val="true"/>
        </w:rPr>
        <w:t>אשר פעמים רבות נופלים כנטל על החברה</w:t>
      </w:r>
      <w:r>
        <w:rPr>
          <w:rtl w:val="true"/>
        </w:rPr>
        <w:t xml:space="preserve">, </w:t>
      </w:r>
      <w:r>
        <w:rPr>
          <w:rtl w:val="true"/>
        </w:rPr>
        <w:t>ונזקים עקיפים שנגרמים כתוצאה מביצוע עבירות על ידי המכורים לסמים לשם מימון רכישת הסמים</w:t>
      </w:r>
      <w:r>
        <w:rPr>
          <w:rtl w:val="true"/>
        </w:rPr>
        <w:t xml:space="preserve">. </w:t>
      </w:r>
      <w:r>
        <w:rPr>
          <w:rtl w:val="true"/>
        </w:rPr>
        <w:t>בית המשפט העליון עמד על חומרתן של עבירות הסמים</w:t>
      </w:r>
      <w:r>
        <w:rPr>
          <w:rtl w:val="true"/>
        </w:rPr>
        <w:t xml:space="preserve">, </w:t>
      </w:r>
      <w:r>
        <w:rPr>
          <w:rtl w:val="true"/>
        </w:rPr>
        <w:t>לרבות עבירה של ייבוא סם מסוכן</w:t>
      </w:r>
      <w:r>
        <w:rPr>
          <w:rtl w:val="true"/>
        </w:rPr>
        <w:t xml:space="preserve">, </w:t>
      </w:r>
      <w:r>
        <w:rPr>
          <w:rtl w:val="true"/>
        </w:rPr>
        <w:t>ובפרט כאשר מדובר בכמויות גדולות של סמים קשים</w:t>
      </w:r>
      <w:r>
        <w:rPr>
          <w:rtl w:val="true"/>
        </w:rPr>
        <w:t xml:space="preserve">, </w:t>
      </w:r>
      <w:r>
        <w:rPr>
          <w:rtl w:val="true"/>
        </w:rPr>
        <w:t>ובהם סם מסוג קוקאין אשר נמנה על הקשים שבסמים</w:t>
      </w:r>
      <w:r>
        <w:rPr>
          <w:rtl w:val="true"/>
        </w:rPr>
        <w:t xml:space="preserve">. </w:t>
      </w:r>
      <w:r>
        <w:rPr>
          <w:rtl w:val="true"/>
        </w:rPr>
        <w:t>הענישה בעבירות אלה נועדה בעיקרה לשרת את עקרון ההלימה וכן להעביר מסר חד משמעי של הרתעה ביחס לעבריינים פוטנציאליים</w:t>
      </w:r>
      <w:r>
        <w:rPr>
          <w:rtl w:val="true"/>
        </w:rPr>
        <w:t xml:space="preserve">. </w:t>
      </w:r>
      <w:r>
        <w:rPr>
          <w:rtl w:val="true"/>
        </w:rPr>
        <w:t>הצורך בענישה מחמירה של מבצעי עבירות סמים נועדה לתמוך במאבק בנגע הסמים</w:t>
      </w:r>
      <w:r>
        <w:rPr>
          <w:rtl w:val="true"/>
        </w:rPr>
        <w:t xml:space="preserve">. </w:t>
      </w:r>
      <w:r>
        <w:rPr>
          <w:rtl w:val="true"/>
        </w:rPr>
        <w:t>כדי לקיים את עקרון ההלימה בעבירות סמים</w:t>
      </w:r>
      <w:r>
        <w:rPr>
          <w:rtl w:val="true"/>
        </w:rPr>
        <w:t xml:space="preserve">, </w:t>
      </w:r>
      <w:r>
        <w:rPr>
          <w:rtl w:val="true"/>
        </w:rPr>
        <w:t>יש להתאים את העונש לחומרת המעשים אשר נמדדת בבחינת אופי העבירה</w:t>
      </w:r>
      <w:r>
        <w:rPr>
          <w:rtl w:val="true"/>
        </w:rPr>
        <w:t xml:space="preserve">, </w:t>
      </w:r>
      <w:r>
        <w:rPr>
          <w:rtl w:val="true"/>
        </w:rPr>
        <w:t>חלקו של הנאשם בביצועה</w:t>
      </w:r>
      <w:r>
        <w:rPr>
          <w:rtl w:val="true"/>
        </w:rPr>
        <w:t xml:space="preserve">, </w:t>
      </w:r>
      <w:r>
        <w:rPr>
          <w:rtl w:val="true"/>
        </w:rPr>
        <w:t>סוג הסם וכמותו</w:t>
      </w:r>
      <w:r>
        <w:rPr>
          <w:rtl w:val="true"/>
        </w:rPr>
        <w:t xml:space="preserve">. </w:t>
      </w:r>
      <w:r>
        <w:rPr>
          <w:rtl w:val="true"/>
        </w:rPr>
        <w:t>בעבירות סמים יש כמובן מקום לקחת בחשבון גם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אך הדגש בגזירת העונש הוא על המעשה</w:t>
      </w:r>
      <w:r>
        <w:rPr>
          <w:rtl w:val="true"/>
        </w:rPr>
        <w:t xml:space="preserve">, </w:t>
      </w:r>
      <w:r>
        <w:rPr>
          <w:rtl w:val="true"/>
        </w:rPr>
        <w:t xml:space="preserve">וככלל נסיבותיו האישיות של נאשם ייסוגו בפני האינטרס הציבורי שבהטלת ענישה מחמירה בגין עבירות מסוג זה </w:t>
      </w:r>
      <w:r>
        <w:rPr>
          <w:rtl w:val="true"/>
        </w:rPr>
        <w:t>(</w:t>
      </w:r>
      <w:r>
        <w:rPr>
          <w:rtl w:val="true"/>
        </w:rPr>
        <w:t>ראו דברי כב</w:t>
      </w:r>
      <w:r>
        <w:rPr>
          <w:rtl w:val="true"/>
        </w:rPr>
        <w:t xml:space="preserve">' </w:t>
      </w:r>
      <w:r>
        <w:rPr>
          <w:rtl w:val="true"/>
        </w:rPr>
        <w:t>השופט נ</w:t>
      </w:r>
      <w:r>
        <w:rPr>
          <w:rtl w:val="true"/>
        </w:rPr>
        <w:t xml:space="preserve">' </w:t>
      </w:r>
      <w:r>
        <w:rPr>
          <w:rtl w:val="true"/>
        </w:rPr>
        <w:t>הנדל 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6548/17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לבדב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30.1.18</w:t>
      </w:r>
      <w:r>
        <w:rPr>
          <w:rtl w:val="true"/>
        </w:rPr>
        <w:t xml:space="preserve">],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8048/19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חדזה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4.6.20</w:t>
      </w:r>
      <w:r>
        <w:rPr>
          <w:rtl w:val="true"/>
        </w:rPr>
        <w:t>]).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בית המשפט העליון חזר והדגיש את החומרה שיש לנקוט כלפי כל המעורבים בשרשרת הפצת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כלפי בלדרי סמים אשר אינם ניצבים בראש ההיררכיה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ואשר מתפתים להצעות מפתות לרווחים קלים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מערכת הפצת הסמים נסמכת בחלקה על בלדרים אשר מייבאים את הסמים לישראל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ואותם בלדרים מהווים חוליה משמעותית בייבוא הסמים לישראל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אין מנוס אלא להחמיר גם בעונשם של הבלדרים כדי להיאבק בתופעת יבוא הסמים הקשים לישראל </w:t>
      </w:r>
      <w:r>
        <w:rPr>
          <w:rFonts w:cs="David" w:ascii="David" w:hAnsi="David"/>
          <w:color w:val="000000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7044/11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17.6.12</w:t>
      </w:r>
      <w:r>
        <w:rPr>
          <w:rFonts w:cs="David" w:ascii="David" w:hAnsi="David"/>
          <w:rtl w:val="true"/>
        </w:rPr>
        <w:t xml:space="preserve">]).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 xml:space="preserve">בחינת </w:t>
      </w:r>
      <w:r>
        <w:rPr>
          <w:rFonts w:ascii="David" w:hAnsi="David"/>
          <w:b/>
          <w:b/>
          <w:bCs/>
          <w:rtl w:val="true"/>
        </w:rPr>
        <w:t xml:space="preserve">מידת הפגיעה בערך המוגן </w:t>
      </w:r>
      <w:r>
        <w:rPr>
          <w:rFonts w:ascii="David" w:hAnsi="David"/>
          <w:rtl w:val="true"/>
        </w:rPr>
        <w:t xml:space="preserve">מובילה למסקנה כי הפגיעה </w:t>
      </w:r>
      <w:r>
        <w:rPr>
          <w:rFonts w:ascii="David" w:hAnsi="David"/>
          <w:color w:val="000000"/>
          <w:rtl w:val="true"/>
        </w:rPr>
        <w:t xml:space="preserve">בערך המוגן היא </w:t>
      </w:r>
      <w:r>
        <w:rPr>
          <w:rFonts w:ascii="David" w:hAnsi="David"/>
          <w:b/>
          <w:b/>
          <w:bCs/>
          <w:color w:val="000000"/>
          <w:rtl w:val="true"/>
        </w:rPr>
        <w:t>ברף גבוה</w:t>
      </w:r>
      <w:r>
        <w:rPr>
          <w:rFonts w:ascii="David" w:hAnsi="David"/>
          <w:color w:val="000000"/>
          <w:rtl w:val="true"/>
        </w:rPr>
        <w:t xml:space="preserve"> נוכח סוג הסם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שהוא מהקשים שבסמים וכן נוכח הכמות המשמעותית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7.935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הקוקאין נחשב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בכדי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לסם 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הן בשל השפעותיו על גוף האדם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והן בשל פוטנציאל ההתמכרות הגבוה שטמון 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והצורך של המכורים לכמויות הולכות וגדלות של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שהמכורים מבצעים עבירות כדי לממן את השימוש 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ועקב כך נגרמת פגיעה בחברה כולה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הנדל </w:t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972/11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4.7.12</w:t>
      </w:r>
      <w:r>
        <w:rPr>
          <w:rFonts w:cs="David" w:ascii="David" w:hAnsi="David"/>
          <w:color w:val="000000"/>
          <w:rtl w:val="true"/>
        </w:rPr>
        <w:t xml:space="preserve">]).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 xml:space="preserve">הנסיבות הקשורות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19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שלעבירה קדם תכנון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קוצר קשר עם הנאשם קשר לייבוא סם לישראל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לשם כך ובמסגרת הקשר הנאשם טס לברלין שם קיבל לידיו מזוודה ובה מוטמנים הסמים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במהלך תקופת שהותו בברלין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עמד בקשר עם קוצר ושב לישראל עם מזוודת הסמים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אף שקוצר היה זה שקשר את הקשר עם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הוא זה שטס לברלין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קיבל לידיו את הסמים והביאם לישראל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אמנם מילא תפקיד של בלדר בלבד – הוא אינו המשלח ואינו סוחר הסמים שעתיד היה לקבל את הסמים ולהפיצם בישראל – אולם בתיקים מסוג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חלקם של הבלדרים הוא משמעותי וחיוני לביצוע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הבלדרים נמצאים אמנם במקום נמוך בהיררכיית העבריינות המייבאת את הסם לישראל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מהווים חוליה משמעותית בשרשרת ייבוא הסם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שצפוי היה להיגרם מהעבירה הוא רב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לנוכח סוג הסם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קוקאין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כמותו </w:t>
      </w:r>
      <w:r>
        <w:rPr>
          <w:rStyle w:val="default"/>
          <w:rtl w:val="true"/>
        </w:rPr>
        <w:t>(</w:t>
      </w:r>
      <w:r>
        <w:rPr>
          <w:rStyle w:val="default"/>
        </w:rPr>
        <w:t>7.935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ושוויו הרב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למעלה מ</w:t>
      </w:r>
      <w:r>
        <w:rPr>
          <w:rStyle w:val="default"/>
          <w:rtl w:val="true"/>
        </w:rPr>
        <w:t>-</w:t>
      </w:r>
      <w:r>
        <w:rPr>
          <w:rStyle w:val="default"/>
        </w:rPr>
        <w:t>2.7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מיליון ₪</w:t>
      </w:r>
      <w:r>
        <w:rPr>
          <w:rStyle w:val="default"/>
          <w:rtl w:val="true"/>
        </w:rPr>
        <w:t xml:space="preserve">). </w:t>
      </w:r>
      <w:r>
        <w:rPr>
          <w:rStyle w:val="default"/>
          <w:rtl w:val="true"/>
        </w:rPr>
        <w:t>אלמלא נתפס הסם על ידי המשטרה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הרי שהיה נכנס לישראל ומופץ ברחובותיה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וכתוצאה מכך היה עלול להיגרם נזק רב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כיוון שסמים ובפרט מסוג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הם מחוללי פשיעה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ביצע את העבירה בעבור בצע כסף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בהקשר זה יש לדחות מכל וכל את הדברים שאמר הנאשם לשירות המבחן בתסקיר הראשון ואשר עליהם חזר בבית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לפיהם עד למועד שבו נעצר לא עלה בדעתו כי מדובר בסמים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טענה זו עומדת בסתירה לכתב האישום המתוקן שבו הודה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ואף חזר והודה בו לאחר שנושא זה בורר עמו בבית המשפט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כפי שהתרשם שירות המבחן – מדובר בעמדה מיתממת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קורבנית וילדותית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69" w:leader="none"/>
          <w:tab w:val="left" w:pos="1286" w:leader="none"/>
        </w:tabs>
        <w:spacing w:lineRule="auto" w:line="360" w:before="0" w:after="120"/>
        <w:ind w:hanging="360" w:start="1069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rtl w:val="true"/>
          </w:rPr>
          <w:t>"</w:t>
        </w:r>
        <w:r>
          <w:rPr>
            <w:rStyle w:val="Hyperlink"/>
            <w:rFonts w:ascii="David" w:hAnsi="David"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</w:rPr>
          <w:t>10101/17</w:t>
        </w:r>
      </w:hyperlink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b/>
          <w:b/>
          <w:bCs/>
          <w:rtl w:val="true"/>
        </w:rPr>
        <w:t>טאקץ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23.4.18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 אשר הורשע בביצוע עבירה של ייבוא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 אוקראינה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טס ארצה כשהוא נושא בתוך מזוודתו סם מסוכן מסוג קוקאין במשקל </w:t>
      </w:r>
      <w:r>
        <w:rPr>
          <w:rFonts w:ascii="David" w:hAnsi="David"/>
          <w:b/>
          <w:b/>
          <w:bCs/>
          <w:rtl w:val="true"/>
        </w:rPr>
        <w:t xml:space="preserve">של </w:t>
      </w:r>
      <w:r>
        <w:rPr>
          <w:rFonts w:cs="David" w:ascii="David" w:hAnsi="David"/>
          <w:b/>
          <w:bCs/>
        </w:rPr>
        <w:t>6.15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 </w:t>
      </w:r>
      <w:r>
        <w:rPr>
          <w:rFonts w:ascii="David" w:hAnsi="David"/>
          <w:b/>
          <w:b/>
          <w:bCs/>
          <w:rtl w:val="true"/>
        </w:rPr>
        <w:t xml:space="preserve">מתחם עונש אשר נע בין </w:t>
      </w:r>
      <w:r>
        <w:rPr>
          <w:rFonts w:cs="David" w:ascii="David" w:hAnsi="David"/>
          <w:b/>
          <w:bCs/>
        </w:rPr>
        <w:t>5.5-9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נידון </w:t>
      </w:r>
      <w:r>
        <w:rPr>
          <w:rFonts w:ascii="David" w:hAnsi="David"/>
          <w:b/>
          <w:b/>
          <w:bCs/>
          <w:rtl w:val="true"/>
        </w:rPr>
        <w:t xml:space="preserve">לעונש מאסר בן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069" w:leader="none"/>
          <w:tab w:val="left" w:pos="1286" w:leader="none"/>
        </w:tabs>
        <w:spacing w:lineRule="auto" w:line="360" w:before="0" w:after="120"/>
        <w:ind w:hanging="360" w:start="1069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1256/18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זאודי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7.6.18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קיבל בית המשפט את ערעורו של נאשם אשר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הליך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עבירה של יבוא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טס לישראל והביא עמו במזוודה סם מסוג קוקאין במשקל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העונש הנע בין </w:t>
      </w:r>
      <w:r>
        <w:rPr>
          <w:rFonts w:cs="David" w:ascii="David" w:hAnsi="David"/>
          <w:b/>
          <w:bCs/>
        </w:rPr>
        <w:t>5.5-8.5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צעיר בעל עבר פלילי לא מכביד נדון לעונש של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הקל בעונשו 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כולל הפעלת מאסר על תנאי בחופף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133" w:leader="none"/>
        </w:tabs>
        <w:ind w:hanging="426" w:start="1133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6886/17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מרסל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/>
          <w:sz w:val="22"/>
          <w:szCs w:val="24"/>
          <w:rtl w:val="true"/>
        </w:rPr>
        <w:t>[</w:t>
      </w:r>
      <w:r>
        <w:rPr>
          <w:rStyle w:val="default"/>
          <w:sz w:val="22"/>
          <w:sz w:val="22"/>
          <w:szCs w:val="24"/>
          <w:rtl w:val="true"/>
        </w:rPr>
        <w:t>פורסם</w:t>
      </w:r>
      <w:r>
        <w:rPr>
          <w:rStyle w:val="default"/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Style w:val="default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z w:val="22"/>
          <w:szCs w:val="24"/>
          <w:rtl w:val="true"/>
        </w:rPr>
        <w:t xml:space="preserve">]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24.4.18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ייבוא סם מסוכן וקשירת קשר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קשר עם אחר קשר לייבוא סמים לישראל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קיבל מהאחר מזוודה ונחת בישראל עם המזוודה ובה סם מסוג קוקאין במשקל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7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</w:t>
      </w:r>
      <w:r>
        <w:rPr>
          <w:rStyle w:val="default"/>
          <w:rFonts w:ascii="David" w:hAnsi="David"/>
          <w:rtl w:val="true"/>
        </w:rPr>
        <w:t xml:space="preserve"> והשית על הנאשם </w:t>
      </w:r>
      <w:r>
        <w:rPr>
          <w:rStyle w:val="default"/>
          <w:rFonts w:cs="David" w:ascii="David" w:hAnsi="David"/>
          <w:b/>
          <w:bCs/>
        </w:rPr>
        <w:t>56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דחה את הערעור תוך שהתייחס לחומרה הרבה בעבירות שתכליתן להחדיר סמים לישראל ובפרט סם מסוג קוקאין ובמשקל גדול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3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671/19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אבוטבול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7.10.19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דחה בית המשפט העליון ערעורו של נאשם אשר הורשע על פי הודאתו בעבירות של ייבוא סם והחזקת סם שלא לצריכה 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שב לישראל שבאמתחתו מזוודה בעלת תחתית כפולה ובה סם מסוג קוקאין במשקל של </w:t>
      </w:r>
      <w:r>
        <w:rPr>
          <w:rStyle w:val="default"/>
          <w:b/>
          <w:bCs/>
        </w:rPr>
        <w:t>7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</w:t>
      </w: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המחוזי קבע </w:t>
      </w:r>
      <w:r>
        <w:rPr>
          <w:rStyle w:val="default"/>
          <w:b/>
          <w:b/>
          <w:bCs/>
          <w:rtl w:val="true"/>
        </w:rPr>
        <w:t xml:space="preserve">מתחם עונש הנע בין </w:t>
      </w:r>
      <w:r>
        <w:rPr>
          <w:rStyle w:val="default"/>
          <w:b/>
          <w:bCs/>
        </w:rPr>
        <w:t>4.5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צעיר ללא עבר פלילי השתלב בטיפול גמילה ובית המשפט חרג ממתחם העונש משיקולי שיקום והשית על הנאשם עונש של </w:t>
      </w:r>
      <w:r>
        <w:rPr>
          <w:rStyle w:val="default"/>
          <w:b/>
          <w:bCs/>
        </w:rPr>
        <w:t>50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 xml:space="preserve">.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1159/20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בוירסקי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18.5.20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דחה בית המשפט העליון ערעורו של נאשם אשר הורשע על פי הודאתו בעבירה של ייבוא סם מסוכן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שב לישראל מצרפת והביא עמו מזוודה ובה </w:t>
      </w:r>
      <w:r>
        <w:rPr>
          <w:rStyle w:val="default"/>
          <w:b/>
          <w:b/>
          <w:bCs/>
          <w:rtl w:val="true"/>
        </w:rPr>
        <w:t xml:space="preserve">סם מסוג </w:t>
      </w:r>
      <w:r>
        <w:rPr>
          <w:rStyle w:val="default"/>
          <w:b/>
          <w:bCs/>
        </w:rPr>
        <w:t>MDMA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 xml:space="preserve">במשקל של </w:t>
      </w:r>
      <w:r>
        <w:rPr>
          <w:rStyle w:val="default"/>
          <w:b/>
          <w:bCs/>
        </w:rPr>
        <w:t>7.2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</w:t>
      </w: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 xml:space="preserve">ג וסם מסוג קוקאין במשקל של </w:t>
      </w:r>
      <w:r>
        <w:rPr>
          <w:rStyle w:val="default"/>
          <w:b/>
          <w:bCs/>
        </w:rPr>
        <w:t>1.01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</w:t>
      </w: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המחוזי קבע </w:t>
      </w:r>
      <w:r>
        <w:rPr>
          <w:rStyle w:val="default"/>
          <w:b/>
          <w:b/>
          <w:bCs/>
          <w:rtl w:val="true"/>
        </w:rPr>
        <w:t xml:space="preserve">מתחם עונש הנע בין </w:t>
      </w:r>
      <w:r>
        <w:rPr>
          <w:rStyle w:val="default"/>
          <w:b/>
          <w:bCs/>
        </w:rPr>
        <w:t>4.5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חרג ממתחם העונש משיקולי שיקום לאחר שהנאשם סיים בהצלחה טיפול גמילה מסמים במסגרת קהילה טיפולית והשית על הנאשם עונש של </w:t>
      </w:r>
      <w:r>
        <w:rPr>
          <w:rStyle w:val="default"/>
          <w:b/>
          <w:bCs/>
        </w:rPr>
        <w:t>28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42761-01-18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המלי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/>
          <w:sz w:val="22"/>
          <w:szCs w:val="24"/>
          <w:rtl w:val="true"/>
        </w:rPr>
        <w:t>[</w:t>
      </w:r>
      <w:r>
        <w:rPr>
          <w:rStyle w:val="default"/>
          <w:sz w:val="22"/>
          <w:sz w:val="22"/>
          <w:szCs w:val="24"/>
          <w:rtl w:val="true"/>
        </w:rPr>
        <w:t>פורסם</w:t>
      </w:r>
      <w:r>
        <w:rPr>
          <w:rStyle w:val="default"/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Style w:val="default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z w:val="22"/>
          <w:szCs w:val="24"/>
          <w:rtl w:val="true"/>
        </w:rPr>
        <w:t xml:space="preserve">]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28.5.19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על פי הודאתו בעבירה של יבוא סם מסוכן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נכנס לישראל כשבמזוודתו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 קוקאין ו</w:t>
      </w:r>
      <w:r>
        <w:rPr>
          <w:rStyle w:val="default"/>
          <w:rFonts w:cs="David" w:ascii="David" w:hAnsi="David"/>
          <w:b/>
          <w:bCs/>
          <w:rtl w:val="true"/>
        </w:rPr>
        <w:t xml:space="preserve">- </w:t>
      </w:r>
      <w:r>
        <w:rPr>
          <w:rStyle w:val="default"/>
          <w:rFonts w:cs="David" w:ascii="David" w:hAnsi="David"/>
          <w:b/>
          <w:bCs/>
        </w:rPr>
        <w:t>960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גרם </w:t>
      </w:r>
      <w:r>
        <w:rPr>
          <w:rStyle w:val="default"/>
          <w:rFonts w:cs="David" w:ascii="David" w:hAnsi="David"/>
          <w:b/>
          <w:bCs/>
        </w:rPr>
        <w:t>MDMA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וזאת בתמורה לסכום של </w:t>
      </w:r>
      <w:r>
        <w:rPr>
          <w:rStyle w:val="default"/>
          <w:rFonts w:cs="David" w:ascii="David" w:hAnsi="David"/>
        </w:rPr>
        <w:t>3,000</w:t>
      </w:r>
      <w:r>
        <w:rPr>
          <w:rStyle w:val="default"/>
          <w:rFonts w:cs="David" w:ascii="David" w:hAnsi="David"/>
          <w:rtl w:val="true"/>
        </w:rPr>
        <w:t xml:space="preserve"> $.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5.5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8.5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והנאשם נדון </w:t>
      </w:r>
      <w:r>
        <w:rPr>
          <w:rStyle w:val="default"/>
          <w:rFonts w:ascii="David" w:hAnsi="David"/>
          <w:b/>
          <w:b/>
          <w:bCs/>
          <w:rtl w:val="true"/>
        </w:rPr>
        <w:t xml:space="preserve">למאסר בפועל למשך </w:t>
      </w:r>
      <w:r>
        <w:rPr>
          <w:rStyle w:val="default"/>
          <w:rFonts w:cs="David" w:ascii="David" w:hAnsi="David"/>
          <w:b/>
          <w:bCs/>
        </w:rPr>
        <w:t>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שנים ו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6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19902-12-16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ואזנה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16.10.17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 נאשם על פי הודאתו בעבירה של ייבוא סם מסוכן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נכנס לישראל בטיסה מפרנקפורט ונשא עמו מזוודה ובה סם מסוג קוקאין במשקל של </w:t>
      </w:r>
      <w:r>
        <w:rPr>
          <w:rStyle w:val="default"/>
          <w:b/>
          <w:bCs/>
        </w:rPr>
        <w:t>6.17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 המשפט קבע מ</w:t>
      </w:r>
      <w:r>
        <w:rPr>
          <w:rStyle w:val="default"/>
          <w:b/>
          <w:b/>
          <w:bCs/>
          <w:rtl w:val="true"/>
        </w:rPr>
        <w:t xml:space="preserve">תחם עונש הנע בין </w:t>
      </w:r>
      <w:r>
        <w:rPr>
          <w:rStyle w:val="default"/>
          <w:b/>
          <w:bCs/>
        </w:rPr>
        <w:t>4.5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בעל עבר פלילי לא מכביד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השתלב בטיפול שירות המבחן נדון לעונש של </w:t>
      </w:r>
      <w:r>
        <w:rPr>
          <w:rStyle w:val="default"/>
          <w:b/>
          <w:bCs/>
        </w:rPr>
        <w:t>57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 xml:space="preserve">.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4435-11-17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ברוקס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13.5.20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 נאשם על פי הודאתו בעבירות של קשירת קשר לביצוע פשע וייבוא סם מסוכן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שב לישראל בטיסה מפרנקפורט והביא עמו מזוודה המכילה סם מסוג קוקאין במשקל של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</w:t>
      </w: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קבע </w:t>
      </w:r>
      <w:r>
        <w:rPr>
          <w:rStyle w:val="default"/>
          <w:b/>
          <w:b/>
          <w:bCs/>
          <w:rtl w:val="true"/>
        </w:rPr>
        <w:t xml:space="preserve">מתחם עונש הנע בין </w:t>
      </w:r>
      <w:r>
        <w:rPr>
          <w:rStyle w:val="default"/>
          <w:b/>
          <w:bCs/>
        </w:rPr>
        <w:t>4.5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החליט לחרוג ממתחם העונש משיקולי שיקום לאחר שהנאשם השלים טיפול גמילה בקהילה טיפולית ובהוסטל והשית על הנאשם עונש של </w:t>
      </w:r>
      <w:r>
        <w:rPr>
          <w:rStyle w:val="default"/>
          <w:b/>
          <w:bCs/>
        </w:rPr>
        <w:t>42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22433-05-18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קליין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31.12.19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 נאשם על פי הודאתו בעבירות של יבוא סם מסוכן והחזקת סם לצריכה 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הביא לישראל מזוודה שהכילה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ליטר סם מסוג קוקאין</w:t>
      </w:r>
      <w:r>
        <w:rPr>
          <w:rStyle w:val="default"/>
          <w:rtl w:val="true"/>
        </w:rPr>
        <w:t xml:space="preserve"> במצב נוזלי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נקבע </w:t>
      </w:r>
      <w:r>
        <w:rPr>
          <w:rStyle w:val="default"/>
          <w:b/>
          <w:b/>
          <w:bCs/>
          <w:rtl w:val="true"/>
        </w:rPr>
        <w:t xml:space="preserve">מתחם שבין </w:t>
      </w:r>
      <w:r>
        <w:rPr>
          <w:rStyle w:val="default"/>
          <w:b/>
          <w:bCs/>
        </w:rPr>
        <w:t>45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 xml:space="preserve">חודשי ועד </w:t>
      </w:r>
      <w:r>
        <w:rPr>
          <w:rStyle w:val="default"/>
          <w:b/>
          <w:bCs/>
        </w:rPr>
        <w:t>75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b/>
          <w:bCs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הנאשם נדון 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45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133" w:leader="none"/>
        </w:tabs>
        <w:ind w:hanging="567" w:start="1133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22140-04-18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מוסקוביץ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color w:val="000000"/>
          <w:sz w:val="22"/>
          <w:szCs w:val="24"/>
          <w:rtl w:val="true"/>
        </w:rPr>
        <w:t>[</w:t>
      </w:r>
      <w:r>
        <w:rPr>
          <w:rStyle w:val="default"/>
          <w:color w:val="000000"/>
          <w:sz w:val="22"/>
          <w:sz w:val="22"/>
          <w:szCs w:val="24"/>
          <w:rtl w:val="true"/>
        </w:rPr>
        <w:t>פורסם בנבו</w:t>
      </w:r>
      <w:r>
        <w:rPr>
          <w:rStyle w:val="default"/>
          <w:rFonts w:cs="David"/>
          <w:color w:val="000000"/>
          <w:sz w:val="22"/>
          <w:szCs w:val="24"/>
          <w:rtl w:val="true"/>
        </w:rPr>
        <w:t xml:space="preserve">] </w:t>
      </w:r>
      <w:r>
        <w:rPr>
          <w:rStyle w:val="default"/>
          <w:rtl w:val="true"/>
        </w:rPr>
        <w:t>(</w:t>
      </w:r>
      <w:r>
        <w:rPr>
          <w:rStyle w:val="default"/>
        </w:rPr>
        <w:t>16.9.19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 נאשם על פי הודאתו בעבירות של יבוא סם מסוכן והחזקת סם לצריכה 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הגיע לישראל בטיסה מבוקרשט והביא עמו במזוודה סם מסוג קוקאין במשקל של </w:t>
      </w:r>
      <w:r>
        <w:rPr>
          <w:rStyle w:val="default"/>
          <w:b/>
          <w:bCs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בית המשפט קבע </w:t>
      </w:r>
      <w:r>
        <w:rPr>
          <w:rStyle w:val="default"/>
          <w:b/>
          <w:b/>
          <w:bCs/>
          <w:rtl w:val="true"/>
        </w:rPr>
        <w:t xml:space="preserve">מתחם עונש הנע בין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 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חרג ממתחם העונש משיקולי שיקום והשית על הנאשם עונש של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24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1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יג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4.5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7.5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 </w:t>
      </w:r>
      <w:r>
        <w:rPr>
          <w:rtl w:val="true"/>
        </w:rPr>
        <w:t>הנאשם שולב בטיפול קבוצתי לעצורי בית בשלב פיקוח המעצר וכן החל בטיפול נפשי כפי שהומלץ לו</w:t>
      </w:r>
      <w:r>
        <w:rPr>
          <w:rtl w:val="true"/>
        </w:rPr>
        <w:t xml:space="preserve">. </w:t>
      </w:r>
      <w:r>
        <w:rPr>
          <w:rtl w:val="true"/>
        </w:rPr>
        <w:t xml:space="preserve">בחודש דצמבר </w:t>
      </w:r>
      <w:r>
        <w:rPr/>
        <w:t>19</w:t>
      </w:r>
      <w:r>
        <w:rPr>
          <w:rtl w:val="true"/>
        </w:rPr>
        <w:t xml:space="preserve">' </w:t>
      </w:r>
      <w:r>
        <w:rPr>
          <w:rtl w:val="true"/>
        </w:rPr>
        <w:t>שולב בטיפול פרטני בשירות המבחן</w:t>
      </w:r>
      <w:r>
        <w:rPr>
          <w:rtl w:val="true"/>
        </w:rPr>
        <w:t xml:space="preserve">. </w:t>
      </w:r>
      <w:r>
        <w:rPr>
          <w:rtl w:val="true"/>
        </w:rPr>
        <w:t>שירות המבחן ציין את הגעתו הסדירה למפגשים</w:t>
      </w:r>
      <w:r>
        <w:rPr>
          <w:rtl w:val="true"/>
        </w:rPr>
        <w:t xml:space="preserve">, </w:t>
      </w:r>
      <w:r>
        <w:rPr>
          <w:rtl w:val="true"/>
        </w:rPr>
        <w:t>ורצונו הכן להשתקם</w:t>
      </w:r>
      <w:r>
        <w:rPr>
          <w:rtl w:val="true"/>
        </w:rPr>
        <w:t xml:space="preserve">, </w:t>
      </w:r>
      <w:r>
        <w:rPr>
          <w:rtl w:val="true"/>
        </w:rPr>
        <w:t>תוך שמצליח להיעזר בטיפול לצורך וויסות רגשותיו וקידום מצבו כמו גם לערוך התבוננות ביקורתית ומעמיקה באשר לדפוסיו המכשילים</w:t>
      </w:r>
      <w:r>
        <w:rPr>
          <w:rtl w:val="true"/>
        </w:rPr>
        <w:t xml:space="preserve">. </w:t>
      </w:r>
      <w:r>
        <w:rPr>
          <w:rtl w:val="true"/>
        </w:rPr>
        <w:t>מעבר לכך ציין שירות המבחן את נטילת האחריות מצדו על ביצוע העבירה</w:t>
      </w:r>
      <w:r>
        <w:rPr>
          <w:rtl w:val="true"/>
        </w:rPr>
        <w:t xml:space="preserve">, </w:t>
      </w:r>
      <w:r>
        <w:rPr>
          <w:rtl w:val="true"/>
        </w:rPr>
        <w:t>וזאת בפער לדבריו בפני שירות המבחן ובהמשך לכך בבית המשפט</w:t>
      </w:r>
      <w:r>
        <w:rPr>
          <w:rtl w:val="true"/>
        </w:rPr>
        <w:t xml:space="preserve">, </w:t>
      </w:r>
      <w:r>
        <w:rPr>
          <w:rtl w:val="true"/>
        </w:rPr>
        <w:t>המבטאים חוסר נטילת אחריות ממשית והיעדר התבוננות ביקורתית על מעשיו ובחירותיו</w:t>
      </w:r>
      <w:r>
        <w:rPr>
          <w:rtl w:val="true"/>
        </w:rPr>
        <w:t xml:space="preserve">. </w:t>
      </w:r>
      <w:r>
        <w:rPr>
          <w:rtl w:val="true"/>
        </w:rPr>
        <w:t>נראה שמדובר בשלב ראשוני של ההליך הטיפולי ולא ניתן לקבוע כי יש בכך שיקום משמעותי של הנאשם או סיכוי ממשי לשיקום כדרישת החוק לשם חריגה ממתחם העונש כנדרש בהתאם לסעיף</w:t>
      </w:r>
      <w:hyperlink r:id="rId32"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ההליך הטיפולי שעבר הנאשם בשירות המבחן</w:t>
      </w:r>
      <w:r>
        <w:rPr>
          <w:rtl w:val="true"/>
        </w:rPr>
        <w:t xml:space="preserve">, </w:t>
      </w:r>
      <w:r>
        <w:rPr>
          <w:rtl w:val="true"/>
        </w:rPr>
        <w:t>אשר כולל שיחות קבוצתיות ופרטניות</w:t>
      </w:r>
      <w:r>
        <w:rPr>
          <w:rtl w:val="true"/>
        </w:rPr>
        <w:t xml:space="preserve">, </w:t>
      </w:r>
      <w:r>
        <w:rPr>
          <w:rtl w:val="true"/>
        </w:rPr>
        <w:t>אינו מאוד משמעותי</w:t>
      </w:r>
      <w:r>
        <w:rPr>
          <w:rtl w:val="true"/>
        </w:rPr>
        <w:t xml:space="preserve">, </w:t>
      </w:r>
      <w:r>
        <w:rPr>
          <w:rtl w:val="true"/>
        </w:rPr>
        <w:t>וכך גם תוצאת הטיפול אינה שינוי משמעותי בהלך נפשו של הנאשם</w:t>
      </w:r>
      <w:r>
        <w:rPr>
          <w:rtl w:val="true"/>
        </w:rPr>
        <w:t xml:space="preserve">, </w:t>
      </w:r>
      <w:r>
        <w:rPr>
          <w:rtl w:val="true"/>
        </w:rPr>
        <w:t>באופן אשר יצדיקו חריגה מהמתחם משיקולי שיקום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לשם חריגה משיקולי שיקום</w:t>
      </w:r>
      <w:r>
        <w:rPr>
          <w:rtl w:val="true"/>
        </w:rPr>
        <w:t xml:space="preserve">, </w:t>
      </w:r>
      <w:r>
        <w:rPr>
          <w:rtl w:val="true"/>
        </w:rPr>
        <w:t>אין הכרח שהנאשם יהיה מלכתחילה מכור לסמים או שהעבירה תתבצע בשל התמכרות כלשהי</w:t>
      </w:r>
      <w:r>
        <w:rPr>
          <w:rtl w:val="true"/>
        </w:rPr>
        <w:t xml:space="preserve">, </w:t>
      </w:r>
      <w:r>
        <w:rPr>
          <w:rtl w:val="true"/>
        </w:rPr>
        <w:t>ואין הכרח שההליך השיקומי יהיה במסגרת טיפולית סגורה וממושכת</w:t>
      </w:r>
      <w:r>
        <w:rPr>
          <w:rtl w:val="true"/>
        </w:rPr>
        <w:t xml:space="preserve">, </w:t>
      </w:r>
      <w:r>
        <w:rPr>
          <w:rtl w:val="true"/>
        </w:rPr>
        <w:t>אלא כל מקרה יש לבחון לפי נסיבותיו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בנסיבות מקרה דנן</w:t>
      </w:r>
      <w:r>
        <w:rPr>
          <w:rtl w:val="true"/>
        </w:rPr>
        <w:t xml:space="preserve">, </w:t>
      </w:r>
      <w:r>
        <w:rPr>
          <w:rtl w:val="true"/>
        </w:rPr>
        <w:t>לא התרשמתי מהליך שיקומי משמעותי אשר הוביל לשינוי משמעותי בדרך החשיבה של הנאשם ולנטילת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יצדיקו חריגה מהמתחם </w:t>
      </w:r>
      <w:r>
        <w:rPr>
          <w:rtl w:val="true"/>
        </w:rPr>
        <w:t>(</w:t>
      </w:r>
      <w:r>
        <w:rPr>
          <w:rtl w:val="true"/>
        </w:rPr>
        <w:t>ראו והשוו דברי כב</w:t>
      </w:r>
      <w:r>
        <w:rPr>
          <w:rtl w:val="true"/>
        </w:rPr>
        <w:t xml:space="preserve">' </w:t>
      </w:r>
      <w:r>
        <w:rPr>
          <w:rtl w:val="true"/>
        </w:rPr>
        <w:t>השופטת ד</w:t>
      </w:r>
      <w:r>
        <w:rPr>
          <w:rtl w:val="true"/>
        </w:rPr>
        <w:t xml:space="preserve">' </w:t>
      </w:r>
      <w:r>
        <w:rPr>
          <w:rtl w:val="true"/>
        </w:rPr>
        <w:t>ברק ארז 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18.4.18</w:t>
      </w:r>
      <w:r>
        <w:rPr>
          <w:rtl w:val="true"/>
        </w:rPr>
        <w:t xml:space="preserve">]). </w:t>
      </w:r>
      <w:r>
        <w:rPr>
          <w:rtl w:val="true"/>
        </w:rPr>
        <w:t>בהקשר זה אין הלימה בין תוכן התסקירים לבין המלצת שירות המבחן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לקחת בחשבון את שיתוף הפעולה של הנאשם עם שירות המבחן</w:t>
      </w:r>
      <w:r>
        <w:rPr>
          <w:rtl w:val="true"/>
        </w:rPr>
        <w:t xml:space="preserve">, </w:t>
      </w:r>
      <w:r>
        <w:rPr>
          <w:rtl w:val="true"/>
        </w:rPr>
        <w:t>כמפורט בתסקירים</w:t>
      </w:r>
      <w:r>
        <w:rPr>
          <w:rtl w:val="true"/>
        </w:rPr>
        <w:t xml:space="preserve">, </w:t>
      </w:r>
      <w:r>
        <w:rPr>
          <w:rtl w:val="true"/>
        </w:rPr>
        <w:t>במסגרת גזירת עונשו של הנאשם בגדרי המתחם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4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יא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שמדובר בנאשם כבן </w:t>
      </w:r>
      <w:r>
        <w:rPr>
          <w:rStyle w:val="default"/>
        </w:rPr>
        <w:t>42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גרוש ואב ל</w:t>
      </w:r>
      <w:r>
        <w:rPr>
          <w:rStyle w:val="default"/>
          <w:rtl w:val="true"/>
        </w:rPr>
        <w:t>-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ילדים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נעדר עבר פלילי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במאסר לראשונה בחייו וכן על ילדיו נוכח הריחוק מאביהם וחוסר יכולתו לתמוך בהם כלכלית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 שבפני שירות המבחן ובהמשך גם בפני בית 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התקשה בנטילת אחריות למעשיו בעבירה והציג עמדה מיתממת וקורבנית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שיתף פעולה עם שירות המבחן כבר משלב פיקוח המעצר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הגיע באופן סדיר למפגשים עמו ושיתף פעולה כנדרש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עוד נתתי דעתי לחלוף הזמן מעת ביצוע העבירה לפני למעלה משנתיים</w:t>
      </w:r>
      <w:r>
        <w:rPr>
          <w:rStyle w:val="default"/>
          <w:rtl w:val="true"/>
        </w:rPr>
        <w:t xml:space="preserve">, </w:t>
      </w:r>
      <w:r>
        <w:rPr>
          <w:rtl w:val="true"/>
        </w:rPr>
        <w:t>לתקופה המעצר שבה שהה הנאשם למשך חודשיים וחצי ולא</w:t>
      </w:r>
      <w:r>
        <w:rPr>
          <w:rFonts w:ascii="Times New Roman" w:hAnsi="Times New Roman" w:cs="Times New Roman"/>
          <w:rtl w:val="true"/>
        </w:rPr>
        <w:t>חר מכן לשהותו בתנאים מגבילים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Fonts w:ascii="Times New Roman" w:hAnsi="Times New Roman" w:cs="Times New Roman"/>
          <w:b/>
          <w:b/>
          <w:bCs/>
          <w:rtl w:val="true"/>
        </w:rPr>
        <w:t>עקרון אחידות הענישה</w:t>
      </w:r>
      <w:r>
        <w:rPr>
          <w:rFonts w:ascii="Times New Roman" w:hAnsi="Times New Roman" w:cs="Times New Roman"/>
          <w:rtl w:val="true"/>
        </w:rPr>
        <w:t xml:space="preserve"> –</w:t>
      </w:r>
      <w:r>
        <w:rPr>
          <w:rtl w:val="true"/>
        </w:rPr>
        <w:t xml:space="preserve"> עקרון האחידות בענישה הוא עקרון יסוד במשפט הפלילי אשר נועד להבטיח שוויון בפני החוק ולמנוע שרירותיות בענישה</w:t>
      </w:r>
      <w:r>
        <w:rPr>
          <w:rtl w:val="true"/>
        </w:rPr>
        <w:t xml:space="preserve">. </w:t>
      </w:r>
      <w:r>
        <w:rPr>
          <w:rtl w:val="true"/>
        </w:rPr>
        <w:t>עקרון זה מורה כי יש להחיל שיקולי ענישה דומים על מי שביצעו עבירות דומות במהותן</w:t>
      </w:r>
      <w:r>
        <w:rPr>
          <w:rtl w:val="true"/>
        </w:rPr>
        <w:t xml:space="preserve">, </w:t>
      </w:r>
      <w:r>
        <w:rPr>
          <w:rtl w:val="true"/>
        </w:rPr>
        <w:t>בנסיבות דומות וכשהם בעלי נסיבות אישיות דומות</w:t>
      </w:r>
      <w:r>
        <w:rPr>
          <w:rtl w:val="true"/>
        </w:rPr>
        <w:t xml:space="preserve">. </w:t>
      </w:r>
      <w:r>
        <w:rPr>
          <w:rtl w:val="true"/>
        </w:rPr>
        <w:t>עקרון זה מקבל משנה חשיבות כאשר מדובר בנאשמים באותה פרשה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מצדיק עקרון אחידות הענישה הטלת עונשים דומים על מי שביצעו מעשים דומים וכן שמירה על יחס של שקילות בין מבצעים שונים של העבירה בהתאם לחלקו היחסי של כל אחד מהם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דנציגר 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23.9.14</w:t>
      </w:r>
      <w:r>
        <w:rPr>
          <w:rtl w:val="true"/>
        </w:rPr>
        <w:t xml:space="preserve">]). </w:t>
      </w:r>
      <w:r>
        <w:rPr>
          <w:rtl w:val="true"/>
        </w:rPr>
        <w:t>עם זאת</w:t>
      </w:r>
      <w:r>
        <w:rPr>
          <w:rtl w:val="true"/>
        </w:rPr>
        <w:t>, "</w:t>
      </w:r>
      <w:r>
        <w:rPr>
          <w:rtl w:val="true"/>
        </w:rPr>
        <w:t>העיקרון של אחדות הענישה דורש השוואה בין עונשים ראויים</w:t>
      </w:r>
      <w:r>
        <w:rPr>
          <w:rtl w:val="true"/>
        </w:rPr>
        <w:t xml:space="preserve">, </w:t>
      </w:r>
      <w:r>
        <w:rPr>
          <w:rtl w:val="true"/>
        </w:rPr>
        <w:t>ואין לראות בו פלטפורמה להנצחת טעויות ולשכפול העיוותים</w:t>
      </w:r>
      <w:r>
        <w:rPr>
          <w:rtl w:val="true"/>
        </w:rPr>
        <w:t>" (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שטיין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1392/20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גאבר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[</w:t>
      </w:r>
      <w:r>
        <w:rPr/>
        <w:t>24.6.20</w:t>
      </w:r>
      <w:r>
        <w:rPr>
          <w:rtl w:val="true"/>
        </w:rPr>
        <w:t xml:space="preserve">]).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יש לגזור את עונשו של הנאשם מעונשו של המעורב הנוסף בפרשה</w:t>
      </w:r>
      <w:r>
        <w:rPr>
          <w:rtl w:val="true"/>
        </w:rPr>
        <w:t xml:space="preserve">, </w:t>
      </w:r>
      <w:r>
        <w:rPr>
          <w:rtl w:val="true"/>
        </w:rPr>
        <w:t>קוצר</w:t>
      </w:r>
      <w:r>
        <w:rPr>
          <w:rtl w:val="true"/>
        </w:rPr>
        <w:t xml:space="preserve">, </w:t>
      </w:r>
      <w:r>
        <w:rPr>
          <w:rtl w:val="true"/>
        </w:rPr>
        <w:t>שעניינו נדון 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16806-04-18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קוצר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color w:val="000000"/>
          <w:sz w:val="22"/>
          <w:rtl w:val="true"/>
        </w:rPr>
        <w:t>[</w:t>
      </w:r>
      <w:r>
        <w:rPr>
          <w:rFonts w:ascii="Times New Roman" w:hAnsi="Times New Roman" w:cs="Times New Roman"/>
          <w:color w:val="000000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color w:val="000000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31.12.18</w:t>
      </w:r>
      <w:r>
        <w:rPr>
          <w:rtl w:val="true"/>
        </w:rPr>
        <w:t xml:space="preserve">).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 קוצר היה מחולל העבירה ואילו הנאשם היה השלוח</w:t>
      </w:r>
      <w:r>
        <w:rPr>
          <w:rtl w:val="true"/>
        </w:rPr>
        <w:t xml:space="preserve">, </w:t>
      </w:r>
      <w:r>
        <w:rPr>
          <w:rtl w:val="true"/>
        </w:rPr>
        <w:t>וכן קוצר הוא בעל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אף שמר על זכות השתיקה בחקירה</w:t>
      </w:r>
      <w:r>
        <w:rPr>
          <w:rtl w:val="true"/>
        </w:rPr>
        <w:t xml:space="preserve">, </w:t>
      </w:r>
      <w:r>
        <w:rPr>
          <w:rtl w:val="true"/>
        </w:rPr>
        <w:t>ומכאן לטענתו שאין להחמיר עם הנאשם מעבר לעונש אשר הוטל על קוצר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לאחר שבחנתי את הטענה</w:t>
      </w:r>
      <w:r>
        <w:rPr>
          <w:rtl w:val="true"/>
        </w:rPr>
        <w:t xml:space="preserve">, </w:t>
      </w:r>
      <w:r>
        <w:rPr>
          <w:rtl w:val="true"/>
        </w:rPr>
        <w:t>סבורני כי לא ניתן לקבלה</w:t>
      </w:r>
      <w:r>
        <w:rPr>
          <w:rtl w:val="true"/>
        </w:rPr>
        <w:t xml:space="preserve">. </w:t>
      </w:r>
      <w:r>
        <w:rPr>
          <w:rtl w:val="true"/>
        </w:rPr>
        <w:t>בשונה מהנאשם</w:t>
      </w:r>
      <w:r>
        <w:rPr>
          <w:rtl w:val="true"/>
        </w:rPr>
        <w:t xml:space="preserve">, </w:t>
      </w:r>
      <w:r>
        <w:rPr>
          <w:rtl w:val="true"/>
        </w:rPr>
        <w:t>קוצר הורשע בעבירה של קשירת קשר לביצוע פשע ובהחזקת סם לצריכה עצמית</w:t>
      </w:r>
      <w:r>
        <w:rPr>
          <w:rtl w:val="true"/>
        </w:rPr>
        <w:t xml:space="preserve">, </w:t>
      </w:r>
      <w:r>
        <w:rPr>
          <w:rtl w:val="true"/>
        </w:rPr>
        <w:t>ולא בייבוא הסם</w:t>
      </w:r>
      <w:r>
        <w:rPr>
          <w:rtl w:val="true"/>
        </w:rPr>
        <w:t xml:space="preserve">. </w:t>
      </w:r>
      <w:r>
        <w:rPr>
          <w:rtl w:val="true"/>
        </w:rPr>
        <w:t>הנאשם אשר העיד במשפטו של קוצר כעד התביעה המרכזי</w:t>
      </w:r>
      <w:r>
        <w:rPr>
          <w:rtl w:val="true"/>
        </w:rPr>
        <w:t xml:space="preserve">, </w:t>
      </w:r>
      <w:r>
        <w:rPr>
          <w:rtl w:val="true"/>
        </w:rPr>
        <w:t>נמצא בלתי אמין</w:t>
      </w:r>
      <w:r>
        <w:rPr>
          <w:rtl w:val="true"/>
        </w:rPr>
        <w:t xml:space="preserve">. </w:t>
      </w:r>
      <w:r>
        <w:rPr>
          <w:rtl w:val="true"/>
        </w:rPr>
        <w:t>בעקבות קשיים משמעותיים במהימנותו</w:t>
      </w:r>
      <w:r>
        <w:rPr>
          <w:rtl w:val="true"/>
        </w:rPr>
        <w:t xml:space="preserve">, </w:t>
      </w:r>
      <w:r>
        <w:rPr>
          <w:rtl w:val="true"/>
        </w:rPr>
        <w:t>אשר נתגלו במהלך חקירתו הנגדית של הנאשם</w:t>
      </w:r>
      <w:r>
        <w:rPr>
          <w:rtl w:val="true"/>
        </w:rPr>
        <w:t xml:space="preserve">, </w:t>
      </w:r>
      <w:r>
        <w:rPr>
          <w:rtl w:val="true"/>
        </w:rPr>
        <w:t>הגיעה המאשימה להסדר טיעון שבמסגרתו תוקן כתב האישום לקולה</w:t>
      </w:r>
      <w:r>
        <w:rPr>
          <w:rtl w:val="true"/>
        </w:rPr>
        <w:t xml:space="preserve">, </w:t>
      </w:r>
      <w:r>
        <w:rPr>
          <w:rtl w:val="true"/>
        </w:rPr>
        <w:t>והוסכם כי הצדדים יעתרו במשותף 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במסגרת הטיעונים לעונש בעניינו של קוצר</w:t>
      </w:r>
      <w:r>
        <w:rPr>
          <w:rtl w:val="true"/>
        </w:rPr>
        <w:t xml:space="preserve">, </w:t>
      </w:r>
      <w:r>
        <w:rPr>
          <w:rtl w:val="true"/>
        </w:rPr>
        <w:t>נטען על ידי ב</w:t>
      </w:r>
      <w:r>
        <w:rPr>
          <w:rtl w:val="true"/>
        </w:rPr>
        <w:t>"</w:t>
      </w:r>
      <w:r>
        <w:rPr>
          <w:rtl w:val="true"/>
        </w:rPr>
        <w:t>כ המאשימה שהנאשם אינו עד מהימן</w:t>
      </w:r>
      <w:r>
        <w:rPr>
          <w:rtl w:val="true"/>
        </w:rPr>
        <w:t xml:space="preserve">, </w:t>
      </w:r>
      <w:r>
        <w:rPr>
          <w:rtl w:val="true"/>
        </w:rPr>
        <w:t>אינו דוגל באמירת אמת ובכלל זה במידת מעורבותו ופעילותו בתחום ייבוא הסמים</w:t>
      </w:r>
      <w:r>
        <w:rPr>
          <w:rtl w:val="true"/>
        </w:rPr>
        <w:t xml:space="preserve">. </w:t>
      </w:r>
      <w:r>
        <w:rPr>
          <w:rtl w:val="true"/>
        </w:rPr>
        <w:t>על רקע קושי ראייתי משמעותי זה בעדותו של עד התביעה המרכזי בתיק קוצר – שהוא הנאשם בתיק הנוכחי – תוקן כתב האישום ונערך הסדר הטיעון המקל עד מאוד עם קוצר</w:t>
      </w:r>
      <w:r>
        <w:rPr>
          <w:rtl w:val="true"/>
        </w:rPr>
        <w:t xml:space="preserve">. </w:t>
      </w:r>
      <w:r>
        <w:rPr>
          <w:rtl w:val="true"/>
        </w:rPr>
        <w:t>בגזר הדין נקבע שהעונש שעליו הסכימו הצדדים</w:t>
      </w:r>
      <w:r>
        <w:rPr>
          <w:rtl w:val="true"/>
        </w:rPr>
        <w:t xml:space="preserve">, </w:t>
      </w:r>
      <w:r>
        <w:rPr>
          <w:rtl w:val="true"/>
        </w:rPr>
        <w:t>שונה בתכלית מרף הענישה המקובל בעבירות מסוג זה וכי הענישה בתיקים מסוג זה מחמירה באופן משמעותי מהעונש שעליו הוסכם</w:t>
      </w:r>
      <w:r>
        <w:rPr>
          <w:rtl w:val="true"/>
        </w:rPr>
        <w:t xml:space="preserve">. </w:t>
      </w:r>
      <w:r>
        <w:rPr>
          <w:rtl w:val="true"/>
        </w:rPr>
        <w:t>בית המשפט קיבל את הסדר הטיעון</w:t>
      </w:r>
      <w:r>
        <w:rPr>
          <w:rtl w:val="true"/>
        </w:rPr>
        <w:t xml:space="preserve">, </w:t>
      </w:r>
      <w:r>
        <w:rPr>
          <w:rtl w:val="true"/>
        </w:rPr>
        <w:t>לאור הקשיים הראייתיים במהימנותו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ועל קוצר הוטל עונש מוסכם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. </w:t>
      </w:r>
      <w:r>
        <w:rPr>
          <w:rtl w:val="true"/>
        </w:rPr>
        <w:t>אילו הייתה מתקבלת טענת האחידות בענישה של הנאשם – היה נוצר מצב אבסורדי שבו הנאשם</w:t>
      </w:r>
      <w:r>
        <w:rPr>
          <w:rtl w:val="true"/>
        </w:rPr>
        <w:t xml:space="preserve">, </w:t>
      </w:r>
      <w:r>
        <w:rPr>
          <w:rtl w:val="true"/>
        </w:rPr>
        <w:t>אשר חטא בכך שלא דבק באמת במסגרת עדותו בבית המשפט</w:t>
      </w:r>
      <w:r>
        <w:rPr>
          <w:rtl w:val="true"/>
        </w:rPr>
        <w:t xml:space="preserve">, </w:t>
      </w:r>
      <w:r>
        <w:rPr>
          <w:rtl w:val="true"/>
        </w:rPr>
        <w:t>היה יוצא נשכר מהתנהגותו זו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סבורני שיש לדחות את טענת ההגנה לאחידות בענישת הנאשם מול עונשו של קוצר</w:t>
      </w:r>
      <w:r>
        <w:rPr>
          <w:rtl w:val="true"/>
        </w:rPr>
        <w:t xml:space="preserve">, </w:t>
      </w:r>
      <w:r>
        <w:rPr>
          <w:rtl w:val="true"/>
        </w:rPr>
        <w:t>ואין בעונש המקל שהוטל על קוצר</w:t>
      </w:r>
      <w:r>
        <w:rPr>
          <w:rtl w:val="true"/>
        </w:rPr>
        <w:t xml:space="preserve">, </w:t>
      </w:r>
      <w:r>
        <w:rPr>
          <w:rtl w:val="true"/>
        </w:rPr>
        <w:t>כדי להשליך על עונשו של הנאשם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לקשייו של הנאשם בנטילת אחריות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והתרשמות שירות המבחן שהנאשם מתקשה לנהל את חייו באחריות ונוטה לפתרונות </w:t>
      </w:r>
      <w:r>
        <w:rPr>
          <w:rtl w:val="true"/>
        </w:rPr>
        <w:t xml:space="preserve">אימפולסיביים </w:t>
      </w:r>
      <w:r>
        <w:rPr>
          <w:rStyle w:val="default"/>
          <w:rtl w:val="true"/>
        </w:rPr>
        <w:t>במצבי דחק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ברף התחתון של מתחם העונש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בהסכמת הצדדים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יש הורות על חילוט בהתאם למבוקש בכתב האישום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לנוכח תקופת המאסר הממושכת ומצבו הכלכלי של הנאשם סבורני שיש להימנע מהטלת קנס כספי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b/>
          <w:b/>
          <w:bCs/>
          <w:rtl w:val="true"/>
        </w:rPr>
        <w:t>ארבע וחצי שנות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בניכוי ימי מעצרו מיום </w:t>
      </w:r>
      <w:r>
        <w:rPr>
          <w:rStyle w:val="default"/>
          <w:rFonts w:cs="David" w:ascii="David" w:hAnsi="David"/>
        </w:rPr>
        <w:t>28.3.18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עד </w:t>
      </w:r>
      <w:r>
        <w:rPr>
          <w:rStyle w:val="default"/>
          <w:rFonts w:cs="David" w:ascii="David" w:hAnsi="David"/>
        </w:rPr>
        <w:t>16.6.18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287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6.2.20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סמים מסוג פשע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176.40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910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HP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lang w:eastAsia="he-IL"/>
        </w:rPr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 היות גזר הדין חלוט – הסמים יושמדו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תמוז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16826-04-18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חדד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sz w:val="24"/>
        <w:b w:val="false"/>
        <w:szCs w:val="24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3856361" TargetMode="External"/><Relationship Id="rId15" Type="http://schemas.openxmlformats.org/officeDocument/2006/relationships/hyperlink" Target="http://www.nevo.co.il/case/22931212" TargetMode="External"/><Relationship Id="rId16" Type="http://schemas.openxmlformats.org/officeDocument/2006/relationships/hyperlink" Target="http://www.nevo.co.il/case/26246488" TargetMode="External"/><Relationship Id="rId17" Type="http://schemas.openxmlformats.org/officeDocument/2006/relationships/hyperlink" Target="http://www.nevo.co.il/case/5598765" TargetMode="External"/><Relationship Id="rId18" Type="http://schemas.openxmlformats.org/officeDocument/2006/relationships/hyperlink" Target="http://www.nevo.co.il/case/5738608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case/23751299" TargetMode="External"/><Relationship Id="rId21" Type="http://schemas.openxmlformats.org/officeDocument/2006/relationships/hyperlink" Target="http://www.nevo.co.il/case/23750885" TargetMode="External"/><Relationship Id="rId22" Type="http://schemas.openxmlformats.org/officeDocument/2006/relationships/hyperlink" Target="http://www.nevo.co.il/case/22961884" TargetMode="External"/><Relationship Id="rId23" Type="http://schemas.openxmlformats.org/officeDocument/2006/relationships/hyperlink" Target="http://www.nevo.co.il/case/25386231" TargetMode="External"/><Relationship Id="rId24" Type="http://schemas.openxmlformats.org/officeDocument/2006/relationships/hyperlink" Target="http://www.nevo.co.il/case/26453881" TargetMode="External"/><Relationship Id="rId25" Type="http://schemas.openxmlformats.org/officeDocument/2006/relationships/hyperlink" Target="http://www.nevo.co.il/case/23556627" TargetMode="External"/><Relationship Id="rId26" Type="http://schemas.openxmlformats.org/officeDocument/2006/relationships/hyperlink" Target="http://www.nevo.co.il/case/21753803" TargetMode="External"/><Relationship Id="rId27" Type="http://schemas.openxmlformats.org/officeDocument/2006/relationships/hyperlink" Target="http://www.nevo.co.il/case/23222727" TargetMode="External"/><Relationship Id="rId28" Type="http://schemas.openxmlformats.org/officeDocument/2006/relationships/hyperlink" Target="http://www.nevo.co.il/case/24175087" TargetMode="External"/><Relationship Id="rId29" Type="http://schemas.openxmlformats.org/officeDocument/2006/relationships/hyperlink" Target="http://www.nevo.co.il/case/2386248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/40d" TargetMode="External"/><Relationship Id="rId33" Type="http://schemas.openxmlformats.org/officeDocument/2006/relationships/hyperlink" Target="http://www.nevo.co.il/case/22938500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case/13104267" TargetMode="External"/><Relationship Id="rId36" Type="http://schemas.openxmlformats.org/officeDocument/2006/relationships/hyperlink" Target="http://www.nevo.co.il/case/26483544" TargetMode="External"/><Relationship Id="rId37" Type="http://schemas.openxmlformats.org/officeDocument/2006/relationships/hyperlink" Target="http://www.nevo.co.il/case/2385636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2020-09-13T10:12:00Z</dcterms:created>
  <dc:creator> </dc:creator>
  <dc:description/>
  <cp:keywords/>
  <dc:language>en-IL</dc:language>
  <cp:lastModifiedBy>orly</cp:lastModifiedBy>
  <dcterms:modified xsi:type="dcterms:W3CDTF">2020-09-13T10:12:00Z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חדד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23856361:2;22931212;26246488;5598765;5738608;23751299;23750885;22961884;25386231;26453881;23556627;21753803;23222727;24175087;23862489;22938500;13104267;26483544</vt:lpwstr>
  </property>
  <property fmtid="{D5CDD505-2E9C-101B-9397-08002B2CF9AE}" pid="9" name="CITY">
    <vt:lpwstr>מרכז</vt:lpwstr>
  </property>
  <property fmtid="{D5CDD505-2E9C-101B-9397-08002B2CF9AE}" pid="10" name="DATE">
    <vt:lpwstr>20200714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4216/013</vt:lpwstr>
  </property>
  <property fmtid="{D5CDD505-2E9C-101B-9397-08002B2CF9AE}" pid="15" name="LAWLISTTMP2">
    <vt:lpwstr>70301/499.a.1;040i;40jc;040d;40ja</vt:lpwstr>
  </property>
  <property fmtid="{D5CDD505-2E9C-101B-9397-08002B2CF9AE}" pid="16" name="LAWYER">
    <vt:lpwstr>איריס פיקר;אבי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16826</vt:lpwstr>
  </property>
  <property fmtid="{D5CDD505-2E9C-101B-9397-08002B2CF9AE}" pid="24" name="NEWPARTB">
    <vt:lpwstr>04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</vt:lpwstr>
  </property>
  <property fmtid="{D5CDD505-2E9C-101B-9397-08002B2CF9AE}" pid="60" name="PADIDATE">
    <vt:lpwstr>20200913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390120200714</vt:lpwstr>
  </property>
  <property fmtid="{D5CDD505-2E9C-101B-9397-08002B2CF9AE}" pid="70" name="TYPE_N_DATE">
    <vt:lpwstr>39020200714</vt:lpwstr>
  </property>
  <property fmtid="{D5CDD505-2E9C-101B-9397-08002B2CF9AE}" pid="71" name="VOLUME">
    <vt:lpwstr/>
  </property>
  <property fmtid="{D5CDD505-2E9C-101B-9397-08002B2CF9AE}" pid="72" name="WORDNUMPAGES">
    <vt:lpwstr>13</vt:lpwstr>
  </property>
</Properties>
</file>