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7"/>
        <w:gridCol w:w="3662"/>
        <w:gridCol w:w="99"/>
      </w:tblGrid>
      <w:tr w:rsidR="007E0A19" w:rsidRPr="00D74906" w:rsidTr="005F267E">
        <w:trPr>
          <w:gridAfter w:val="1"/>
          <w:wAfter w:w="99" w:type="dxa"/>
          <w:trHeight w:hRule="exact" w:val="418"/>
          <w:jc w:val="center"/>
        </w:trPr>
        <w:tc>
          <w:tcPr>
            <w:tcW w:w="8721" w:type="dxa"/>
            <w:gridSpan w:val="4"/>
          </w:tcPr>
          <w:p w:rsidR="007E0A19" w:rsidRPr="00D74906" w:rsidRDefault="007E0A19" w:rsidP="00E609FB">
            <w:pPr>
              <w:pStyle w:val="Header"/>
              <w:jc w:val="center"/>
              <w:rPr>
                <w:rFonts w:ascii="Tahoma" w:hAnsi="Tahoma" w:cs="Tahoma"/>
                <w:color w:val="000080"/>
                <w:rtl/>
              </w:rPr>
            </w:pPr>
            <w:bookmarkStart w:id="0" w:name="LastJudge"/>
            <w:r w:rsidRPr="00D74906">
              <w:rPr>
                <w:rFonts w:ascii="Tahoma" w:hAnsi="Tahoma" w:cs="Tahoma"/>
                <w:b/>
                <w:bCs/>
                <w:color w:val="000080"/>
                <w:rtl/>
              </w:rPr>
              <w:t>בית משפט השלום ברמלה</w:t>
            </w:r>
          </w:p>
        </w:tc>
      </w:tr>
      <w:tr w:rsidR="007E0A19" w:rsidRPr="00D74906" w:rsidTr="005F267E">
        <w:trPr>
          <w:gridAfter w:val="1"/>
          <w:wAfter w:w="99" w:type="dxa"/>
          <w:trHeight w:val="337"/>
          <w:jc w:val="center"/>
        </w:trPr>
        <w:tc>
          <w:tcPr>
            <w:tcW w:w="5059" w:type="dxa"/>
            <w:gridSpan w:val="3"/>
          </w:tcPr>
          <w:p w:rsidR="007E0A19" w:rsidRPr="00D74906" w:rsidRDefault="007E0A19" w:rsidP="00E609FB">
            <w:pPr>
              <w:rPr>
                <w:rFonts w:cs="FrankRuehl"/>
                <w:sz w:val="28"/>
                <w:szCs w:val="28"/>
                <w:rtl/>
              </w:rPr>
            </w:pPr>
            <w:r w:rsidRPr="00D74906">
              <w:rPr>
                <w:rFonts w:cs="FrankRuehl"/>
                <w:sz w:val="28"/>
                <w:szCs w:val="28"/>
                <w:rtl/>
              </w:rPr>
              <w:t>ת"פ</w:t>
            </w:r>
            <w:r w:rsidRPr="00D74906">
              <w:rPr>
                <w:rFonts w:cs="FrankRuehl" w:hint="cs"/>
                <w:sz w:val="28"/>
                <w:szCs w:val="28"/>
                <w:rtl/>
              </w:rPr>
              <w:t xml:space="preserve"> </w:t>
            </w:r>
            <w:r w:rsidRPr="00D74906">
              <w:rPr>
                <w:rFonts w:cs="FrankRuehl"/>
                <w:sz w:val="28"/>
                <w:szCs w:val="28"/>
                <w:rtl/>
              </w:rPr>
              <w:t>26004-12-23</w:t>
            </w:r>
            <w:r w:rsidRPr="00D74906">
              <w:rPr>
                <w:rFonts w:cs="FrankRuehl" w:hint="cs"/>
                <w:sz w:val="28"/>
                <w:szCs w:val="28"/>
                <w:rtl/>
              </w:rPr>
              <w:t xml:space="preserve"> </w:t>
            </w:r>
            <w:r w:rsidRPr="00D74906">
              <w:rPr>
                <w:rFonts w:cs="FrankRuehl"/>
                <w:sz w:val="28"/>
                <w:szCs w:val="28"/>
                <w:rtl/>
              </w:rPr>
              <w:t>מדינת ישראל נ' אזברגה(עציר) ואח'</w:t>
            </w:r>
          </w:p>
          <w:p w:rsidR="007E0A19" w:rsidRPr="00D74906" w:rsidRDefault="007E0A19" w:rsidP="00E609FB">
            <w:pPr>
              <w:pStyle w:val="Header"/>
              <w:rPr>
                <w:rFonts w:cs="FrankRuehl"/>
                <w:sz w:val="28"/>
                <w:szCs w:val="28"/>
                <w:rtl/>
              </w:rPr>
            </w:pPr>
          </w:p>
        </w:tc>
        <w:tc>
          <w:tcPr>
            <w:tcW w:w="3662" w:type="dxa"/>
          </w:tcPr>
          <w:p w:rsidR="007E0A19" w:rsidRPr="00D74906" w:rsidRDefault="007E0A19" w:rsidP="00E609FB">
            <w:pPr>
              <w:pStyle w:val="Header"/>
              <w:jc w:val="right"/>
              <w:rPr>
                <w:rFonts w:cs="FrankRuehl"/>
                <w:sz w:val="28"/>
                <w:szCs w:val="28"/>
                <w:rtl/>
              </w:rPr>
            </w:pPr>
          </w:p>
        </w:tc>
      </w:tr>
      <w:tr w:rsidR="007E0A19" w:rsidRPr="00D74906" w:rsidTr="005F26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7E0A19" w:rsidRPr="00D74906" w:rsidRDefault="007E0A19" w:rsidP="007E0A19">
            <w:pPr>
              <w:jc w:val="both"/>
              <w:rPr>
                <w:rFonts w:ascii="David" w:hAnsi="David"/>
                <w:sz w:val="26"/>
                <w:szCs w:val="26"/>
              </w:rPr>
            </w:pPr>
            <w:r w:rsidRPr="00D74906">
              <w:rPr>
                <w:rFonts w:hint="cs"/>
                <w:rtl/>
              </w:rPr>
              <w:t xml:space="preserve"> </w:t>
            </w:r>
            <w:r w:rsidRPr="00D74906">
              <w:rPr>
                <w:rFonts w:ascii="David" w:hAnsi="David" w:hint="cs"/>
                <w:sz w:val="26"/>
                <w:szCs w:val="26"/>
                <w:rtl/>
              </w:rPr>
              <w:t>ל</w:t>
            </w:r>
            <w:r w:rsidRPr="00D74906">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7E0A19" w:rsidRPr="00D74906" w:rsidRDefault="007E0A19" w:rsidP="00E609FB">
            <w:pPr>
              <w:rPr>
                <w:rFonts w:ascii="David" w:hAnsi="David"/>
                <w:b/>
                <w:bCs/>
                <w:sz w:val="26"/>
                <w:szCs w:val="26"/>
                <w:rtl/>
              </w:rPr>
            </w:pPr>
            <w:r w:rsidRPr="00D74906">
              <w:rPr>
                <w:rFonts w:ascii="David" w:hAnsi="David"/>
                <w:b/>
                <w:bCs/>
                <w:sz w:val="26"/>
                <w:szCs w:val="26"/>
                <w:rtl/>
              </w:rPr>
              <w:t>כבוד השופט  טל ענר</w:t>
            </w:r>
          </w:p>
          <w:p w:rsidR="007E0A19" w:rsidRPr="00D74906" w:rsidRDefault="007E0A19" w:rsidP="00E609FB">
            <w:pPr>
              <w:rPr>
                <w:rFonts w:ascii="David" w:hAnsi="David"/>
                <w:sz w:val="26"/>
                <w:szCs w:val="26"/>
                <w:rtl/>
              </w:rPr>
            </w:pPr>
          </w:p>
          <w:p w:rsidR="007E0A19" w:rsidRPr="00D74906" w:rsidRDefault="007E0A19" w:rsidP="007E0A19">
            <w:pPr>
              <w:jc w:val="both"/>
              <w:rPr>
                <w:rFonts w:ascii="David" w:hAnsi="David"/>
                <w:sz w:val="26"/>
                <w:szCs w:val="26"/>
              </w:rPr>
            </w:pPr>
          </w:p>
        </w:tc>
      </w:tr>
      <w:tr w:rsidR="007E0A19" w:rsidRPr="00D74906" w:rsidTr="005F26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7E0A19" w:rsidRPr="00D74906" w:rsidRDefault="007E0A19" w:rsidP="007E0A19">
            <w:pPr>
              <w:jc w:val="both"/>
              <w:rPr>
                <w:rFonts w:ascii="David" w:hAnsi="David"/>
                <w:sz w:val="26"/>
                <w:szCs w:val="26"/>
              </w:rPr>
            </w:pPr>
            <w:bookmarkStart w:id="1" w:name="FirstAppellant"/>
            <w:r w:rsidRPr="00D74906">
              <w:rPr>
                <w:rFonts w:ascii="David" w:hAnsi="David"/>
                <w:sz w:val="26"/>
                <w:szCs w:val="26"/>
                <w:rtl/>
              </w:rPr>
              <w:t>בעניין:</w:t>
            </w:r>
          </w:p>
        </w:tc>
        <w:tc>
          <w:tcPr>
            <w:tcW w:w="3219" w:type="dxa"/>
            <w:tcBorders>
              <w:top w:val="nil"/>
              <w:left w:val="nil"/>
              <w:bottom w:val="nil"/>
              <w:right w:val="nil"/>
            </w:tcBorders>
            <w:shd w:val="clear" w:color="auto" w:fill="auto"/>
          </w:tcPr>
          <w:p w:rsidR="007E0A19" w:rsidRPr="00D74906" w:rsidRDefault="007E0A19" w:rsidP="007E0A19">
            <w:pPr>
              <w:suppressLineNumbers/>
            </w:pPr>
            <w:r w:rsidRPr="00D74906">
              <w:rPr>
                <w:rFonts w:ascii="Arial" w:hAnsi="Arial" w:hint="cs"/>
                <w:b/>
                <w:bCs/>
                <w:sz w:val="26"/>
                <w:szCs w:val="26"/>
                <w:rtl/>
              </w:rPr>
              <w:t>ה</w:t>
            </w:r>
            <w:r w:rsidRPr="00D74906">
              <w:rPr>
                <w:rFonts w:ascii="Arial" w:hAnsi="Arial"/>
                <w:b/>
                <w:bCs/>
                <w:sz w:val="26"/>
                <w:szCs w:val="26"/>
                <w:rtl/>
              </w:rPr>
              <w:t>מאשימה</w:t>
            </w:r>
          </w:p>
          <w:p w:rsidR="007E0A19" w:rsidRPr="00D74906" w:rsidRDefault="007E0A19" w:rsidP="00E609FB">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7E0A19" w:rsidRPr="00D74906" w:rsidRDefault="007E0A19" w:rsidP="007E0A19">
            <w:pPr>
              <w:suppressLineNumbers/>
            </w:pPr>
            <w:r w:rsidRPr="00D74906">
              <w:rPr>
                <w:rFonts w:ascii="Arial" w:hAnsi="Arial"/>
                <w:b/>
                <w:bCs/>
                <w:sz w:val="26"/>
                <w:szCs w:val="26"/>
                <w:rtl/>
              </w:rPr>
              <w:t xml:space="preserve">מדינת ישראל </w:t>
            </w:r>
          </w:p>
          <w:p w:rsidR="007E0A19" w:rsidRPr="00D74906" w:rsidRDefault="007E0A19" w:rsidP="00E609FB">
            <w:pPr>
              <w:rPr>
                <w:rFonts w:ascii="David" w:hAnsi="David"/>
                <w:sz w:val="26"/>
                <w:szCs w:val="26"/>
              </w:rPr>
            </w:pPr>
          </w:p>
        </w:tc>
      </w:tr>
      <w:bookmarkEnd w:id="1"/>
      <w:tr w:rsidR="007E0A19" w:rsidRPr="00D74906" w:rsidTr="005F26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7E0A19" w:rsidRPr="00D74906" w:rsidRDefault="007E0A19" w:rsidP="007E0A19">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7E0A19" w:rsidRPr="00D74906" w:rsidRDefault="007E0A19" w:rsidP="007E0A19">
            <w:pPr>
              <w:jc w:val="center"/>
              <w:rPr>
                <w:rFonts w:ascii="David" w:hAnsi="David"/>
                <w:b/>
                <w:bCs/>
                <w:sz w:val="26"/>
                <w:szCs w:val="26"/>
                <w:rtl/>
              </w:rPr>
            </w:pPr>
          </w:p>
          <w:p w:rsidR="007E0A19" w:rsidRPr="00D74906" w:rsidRDefault="007E0A19" w:rsidP="007E0A19">
            <w:pPr>
              <w:jc w:val="center"/>
              <w:rPr>
                <w:rFonts w:ascii="David" w:hAnsi="David"/>
                <w:b/>
                <w:bCs/>
                <w:sz w:val="26"/>
                <w:szCs w:val="26"/>
                <w:rtl/>
              </w:rPr>
            </w:pPr>
            <w:r w:rsidRPr="00D74906">
              <w:rPr>
                <w:rFonts w:ascii="David" w:hAnsi="David"/>
                <w:b/>
                <w:bCs/>
                <w:sz w:val="26"/>
                <w:szCs w:val="26"/>
                <w:rtl/>
              </w:rPr>
              <w:t>נגד</w:t>
            </w:r>
          </w:p>
          <w:p w:rsidR="007E0A19" w:rsidRPr="00D74906" w:rsidRDefault="007E0A19" w:rsidP="007E0A19">
            <w:pPr>
              <w:jc w:val="both"/>
              <w:rPr>
                <w:rFonts w:ascii="David" w:hAnsi="David"/>
                <w:sz w:val="26"/>
                <w:szCs w:val="26"/>
              </w:rPr>
            </w:pPr>
          </w:p>
        </w:tc>
      </w:tr>
      <w:tr w:rsidR="007E0A19" w:rsidRPr="00D74906" w:rsidTr="005F26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7E0A19" w:rsidRPr="00D74906" w:rsidRDefault="007E0A19" w:rsidP="00E609FB">
            <w:pPr>
              <w:rPr>
                <w:rFonts w:ascii="David" w:hAnsi="David"/>
                <w:sz w:val="26"/>
                <w:szCs w:val="26"/>
                <w:rtl/>
              </w:rPr>
            </w:pPr>
          </w:p>
        </w:tc>
        <w:tc>
          <w:tcPr>
            <w:tcW w:w="3219" w:type="dxa"/>
            <w:tcBorders>
              <w:top w:val="nil"/>
              <w:left w:val="nil"/>
              <w:bottom w:val="nil"/>
              <w:right w:val="nil"/>
            </w:tcBorders>
            <w:shd w:val="clear" w:color="auto" w:fill="auto"/>
          </w:tcPr>
          <w:p w:rsidR="007E0A19" w:rsidRPr="00D74906" w:rsidRDefault="007E0A19" w:rsidP="00E609FB">
            <w:pPr>
              <w:rPr>
                <w:rFonts w:ascii="Arial" w:hAnsi="Arial"/>
                <w:b/>
                <w:bCs/>
                <w:sz w:val="26"/>
                <w:szCs w:val="26"/>
                <w:rtl/>
              </w:rPr>
            </w:pPr>
            <w:r w:rsidRPr="00D7490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rsidR="007E0A19" w:rsidRPr="00D74906" w:rsidRDefault="007E0A19" w:rsidP="007E0A19">
            <w:pPr>
              <w:suppressLineNumbers/>
            </w:pPr>
            <w:r w:rsidRPr="00D74906">
              <w:rPr>
                <w:rFonts w:ascii="Arial" w:hAnsi="Arial"/>
                <w:b/>
                <w:bCs/>
                <w:sz w:val="26"/>
                <w:szCs w:val="26"/>
                <w:rtl/>
              </w:rPr>
              <w:t>1. פאדי אזברגה (עציר)</w:t>
            </w:r>
            <w:r w:rsidRPr="00D74906">
              <w:rPr>
                <w:rFonts w:ascii="Arial" w:hAnsi="Arial" w:hint="cs"/>
                <w:b/>
                <w:bCs/>
                <w:sz w:val="26"/>
                <w:szCs w:val="26"/>
                <w:rtl/>
              </w:rPr>
              <w:t xml:space="preserve"> </w:t>
            </w:r>
          </w:p>
          <w:p w:rsidR="007E0A19" w:rsidRPr="00D74906" w:rsidRDefault="007E0A19" w:rsidP="007E0A19">
            <w:pPr>
              <w:suppressLineNumbers/>
            </w:pPr>
            <w:r w:rsidRPr="00D74906">
              <w:rPr>
                <w:rFonts w:ascii="Arial" w:hAnsi="Arial"/>
                <w:b/>
                <w:bCs/>
                <w:sz w:val="26"/>
                <w:szCs w:val="26"/>
                <w:rtl/>
              </w:rPr>
              <w:t>2. מוחידין אזברגה</w:t>
            </w:r>
            <w:r w:rsidRPr="00D74906">
              <w:rPr>
                <w:rFonts w:ascii="Arial" w:hAnsi="Arial" w:hint="cs"/>
                <w:b/>
                <w:bCs/>
                <w:sz w:val="26"/>
                <w:szCs w:val="26"/>
                <w:rtl/>
              </w:rPr>
              <w:t xml:space="preserve"> </w:t>
            </w:r>
            <w:r w:rsidRPr="00D74906">
              <w:rPr>
                <w:rFonts w:ascii="Arial" w:hAnsi="Arial"/>
                <w:b/>
                <w:bCs/>
                <w:sz w:val="26"/>
                <w:szCs w:val="26"/>
                <w:rtl/>
              </w:rPr>
              <w:t>–</w:t>
            </w:r>
            <w:r w:rsidRPr="00D74906">
              <w:rPr>
                <w:rFonts w:ascii="Arial" w:hAnsi="Arial" w:hint="cs"/>
                <w:b/>
                <w:bCs/>
                <w:sz w:val="26"/>
                <w:szCs w:val="26"/>
                <w:rtl/>
              </w:rPr>
              <w:t xml:space="preserve"> נדון</w:t>
            </w:r>
          </w:p>
        </w:tc>
      </w:tr>
    </w:tbl>
    <w:p w:rsidR="00D74906" w:rsidRPr="00D74906" w:rsidRDefault="00D74906" w:rsidP="00D74906">
      <w:pPr>
        <w:spacing w:before="120" w:after="120" w:line="240" w:lineRule="exact"/>
        <w:ind w:left="283" w:hanging="283"/>
        <w:jc w:val="both"/>
        <w:rPr>
          <w:rFonts w:ascii="FrankRuehl" w:hAnsi="FrankRuehl" w:cs="FrankRuehl"/>
          <w:rtl/>
        </w:rPr>
      </w:pPr>
    </w:p>
    <w:p w:rsidR="00D74906" w:rsidRPr="00D74906" w:rsidRDefault="00D74906" w:rsidP="00D74906">
      <w:pPr>
        <w:rPr>
          <w:sz w:val="26"/>
          <w:szCs w:val="26"/>
          <w:rtl/>
        </w:rPr>
      </w:pPr>
    </w:p>
    <w:p w:rsidR="005F267E" w:rsidRPr="005F267E" w:rsidRDefault="005F267E" w:rsidP="005F267E">
      <w:pPr>
        <w:spacing w:before="120" w:after="120" w:line="240" w:lineRule="exact"/>
        <w:ind w:left="283" w:hanging="283"/>
        <w:jc w:val="both"/>
        <w:rPr>
          <w:rFonts w:ascii="FrankRuehl" w:hAnsi="FrankRuehl" w:cs="FrankRuehl"/>
          <w:rtl/>
        </w:rPr>
      </w:pPr>
      <w:bookmarkStart w:id="2" w:name="LawTable"/>
      <w:bookmarkEnd w:id="2"/>
    </w:p>
    <w:p w:rsidR="005F267E" w:rsidRPr="005F267E" w:rsidRDefault="005F267E" w:rsidP="005F267E">
      <w:pPr>
        <w:spacing w:before="120" w:after="120" w:line="240" w:lineRule="exact"/>
        <w:ind w:left="283" w:hanging="283"/>
        <w:jc w:val="both"/>
        <w:rPr>
          <w:rFonts w:ascii="FrankRuehl" w:hAnsi="FrankRuehl" w:cs="FrankRuehl"/>
          <w:rtl/>
        </w:rPr>
      </w:pPr>
      <w:r w:rsidRPr="005F267E">
        <w:rPr>
          <w:rFonts w:ascii="FrankRuehl" w:hAnsi="FrankRuehl" w:cs="FrankRuehl"/>
          <w:rtl/>
        </w:rPr>
        <w:t xml:space="preserve">חקיקה שאוזכרה: </w:t>
      </w:r>
    </w:p>
    <w:p w:rsidR="005F267E" w:rsidRPr="005F267E" w:rsidRDefault="005F267E" w:rsidP="005F267E">
      <w:pPr>
        <w:spacing w:before="120" w:after="120" w:line="240" w:lineRule="exact"/>
        <w:ind w:left="283" w:hanging="283"/>
        <w:jc w:val="both"/>
        <w:rPr>
          <w:rFonts w:ascii="FrankRuehl" w:hAnsi="FrankRuehl" w:cs="FrankRuehl"/>
          <w:color w:val="0000FF"/>
          <w:rtl/>
        </w:rPr>
      </w:pPr>
      <w:hyperlink r:id="rId7" w:history="1">
        <w:r w:rsidRPr="005F267E">
          <w:rPr>
            <w:rStyle w:val="Hyperlink"/>
            <w:rFonts w:ascii="FrankRuehl" w:hAnsi="FrankRuehl" w:cs="FrankRuehl"/>
            <w:u w:val="none"/>
            <w:rtl/>
          </w:rPr>
          <w:t>פקודת הסמים המסוכנים [נוסח חדש], תשל"ג-1973</w:t>
        </w:r>
      </w:hyperlink>
      <w:r w:rsidRPr="005F267E">
        <w:rPr>
          <w:rFonts w:ascii="FrankRuehl" w:hAnsi="FrankRuehl" w:cs="FrankRuehl"/>
          <w:color w:val="0000FF"/>
          <w:rtl/>
        </w:rPr>
        <w:t xml:space="preserve">: סע'  </w:t>
      </w:r>
      <w:hyperlink r:id="rId8" w:history="1">
        <w:r w:rsidRPr="005F267E">
          <w:rPr>
            <w:rStyle w:val="Hyperlink"/>
            <w:rFonts w:ascii="FrankRuehl" w:hAnsi="FrankRuehl" w:cs="FrankRuehl"/>
            <w:u w:val="none"/>
          </w:rPr>
          <w:t>13</w:t>
        </w:r>
      </w:hyperlink>
      <w:r w:rsidRPr="005F267E">
        <w:rPr>
          <w:rFonts w:ascii="FrankRuehl" w:hAnsi="FrankRuehl" w:cs="FrankRuehl"/>
          <w:color w:val="0000FF"/>
          <w:rtl/>
        </w:rPr>
        <w:t xml:space="preserve">, </w:t>
      </w:r>
      <w:hyperlink r:id="rId9" w:history="1">
        <w:r w:rsidRPr="005F267E">
          <w:rPr>
            <w:rStyle w:val="Hyperlink"/>
            <w:rFonts w:ascii="FrankRuehl" w:hAnsi="FrankRuehl" w:cs="FrankRuehl"/>
            <w:u w:val="none"/>
          </w:rPr>
          <w:t>19</w:t>
        </w:r>
        <w:r w:rsidRPr="005F267E">
          <w:rPr>
            <w:rStyle w:val="Hyperlink"/>
            <w:rFonts w:ascii="FrankRuehl" w:hAnsi="FrankRuehl" w:cs="FrankRuehl"/>
            <w:u w:val="none"/>
            <w:rtl/>
          </w:rPr>
          <w:t>א</w:t>
        </w:r>
      </w:hyperlink>
    </w:p>
    <w:p w:rsidR="007E0A19" w:rsidRDefault="007E0A19" w:rsidP="005F267E">
      <w:pPr>
        <w:rPr>
          <w:rFonts w:hint="cs"/>
          <w:sz w:val="26"/>
          <w:szCs w:val="26"/>
          <w:rtl/>
        </w:rPr>
      </w:pPr>
      <w:bookmarkStart w:id="3" w:name="LawTable_End"/>
      <w:bookmarkEnd w:id="3"/>
    </w:p>
    <w:p w:rsidR="005F267E" w:rsidRDefault="005F267E" w:rsidP="005F267E">
      <w:pPr>
        <w:rPr>
          <w:rFonts w:hint="cs"/>
          <w:sz w:val="26"/>
          <w:szCs w:val="26"/>
          <w:rtl/>
        </w:rPr>
      </w:pPr>
    </w:p>
    <w:p w:rsidR="005F267E" w:rsidRDefault="005F267E" w:rsidP="005F267E">
      <w:pPr>
        <w:rPr>
          <w:rFonts w:hint="cs"/>
          <w:sz w:val="26"/>
          <w:szCs w:val="26"/>
          <w:rtl/>
        </w:rPr>
      </w:pPr>
    </w:p>
    <w:p w:rsidR="005F267E" w:rsidRPr="005F267E" w:rsidRDefault="005F267E" w:rsidP="005F267E">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E0A19" w:rsidRPr="00896878" w:rsidTr="007E0A19">
        <w:trPr>
          <w:trHeight w:val="355"/>
          <w:jc w:val="center"/>
        </w:trPr>
        <w:tc>
          <w:tcPr>
            <w:tcW w:w="8820" w:type="dxa"/>
            <w:tcBorders>
              <w:top w:val="nil"/>
              <w:left w:val="nil"/>
              <w:bottom w:val="nil"/>
              <w:right w:val="nil"/>
            </w:tcBorders>
            <w:shd w:val="clear" w:color="auto" w:fill="auto"/>
          </w:tcPr>
          <w:p w:rsidR="00D74906" w:rsidRPr="00D74906" w:rsidRDefault="00D74906" w:rsidP="00D74906">
            <w:pPr>
              <w:jc w:val="center"/>
              <w:rPr>
                <w:rFonts w:ascii="David" w:hAnsi="David"/>
                <w:b/>
                <w:bCs/>
                <w:sz w:val="32"/>
                <w:szCs w:val="32"/>
                <w:u w:val="single"/>
                <w:rtl/>
              </w:rPr>
            </w:pPr>
            <w:bookmarkStart w:id="4" w:name="PsakDin" w:colFirst="0" w:colLast="0"/>
            <w:bookmarkEnd w:id="0"/>
            <w:r w:rsidRPr="00D74906">
              <w:rPr>
                <w:rFonts w:ascii="David" w:hAnsi="David"/>
                <w:b/>
                <w:bCs/>
                <w:sz w:val="32"/>
                <w:szCs w:val="32"/>
                <w:u w:val="single"/>
                <w:rtl/>
              </w:rPr>
              <w:t>גזר דין   נאשם 1</w:t>
            </w:r>
          </w:p>
          <w:p w:rsidR="007E0A19" w:rsidRPr="00D74906" w:rsidRDefault="007E0A19" w:rsidP="00D74906">
            <w:pPr>
              <w:jc w:val="center"/>
              <w:rPr>
                <w:rFonts w:ascii="David" w:hAnsi="David"/>
                <w:bCs/>
                <w:sz w:val="32"/>
                <w:szCs w:val="32"/>
                <w:u w:val="single"/>
                <w:rtl/>
              </w:rPr>
            </w:pPr>
          </w:p>
        </w:tc>
      </w:tr>
      <w:bookmarkEnd w:id="4"/>
    </w:tbl>
    <w:p w:rsidR="007E0A19" w:rsidRPr="00896878" w:rsidRDefault="007E0A19" w:rsidP="007E0A19">
      <w:pPr>
        <w:rPr>
          <w:rFonts w:ascii="Arial" w:hAnsi="Arial"/>
          <w:b/>
          <w:bCs/>
          <w:sz w:val="26"/>
          <w:szCs w:val="26"/>
          <w:rtl/>
        </w:rPr>
      </w:pPr>
    </w:p>
    <w:p w:rsidR="007E0A19" w:rsidRDefault="007E0A19" w:rsidP="007E0A19">
      <w:pPr>
        <w:pStyle w:val="ListParagraph"/>
        <w:numPr>
          <w:ilvl w:val="0"/>
          <w:numId w:val="1"/>
        </w:numPr>
        <w:spacing w:line="360" w:lineRule="auto"/>
        <w:jc w:val="both"/>
        <w:rPr>
          <w:rFonts w:ascii="Arial" w:hAnsi="Arial"/>
        </w:rPr>
      </w:pPr>
      <w:bookmarkStart w:id="5" w:name="ABSTRACT_START"/>
      <w:bookmarkEnd w:id="5"/>
      <w:r w:rsidRPr="00896878">
        <w:rPr>
          <w:rFonts w:ascii="Arial" w:hAnsi="Arial" w:hint="cs"/>
          <w:rtl/>
        </w:rPr>
        <w:t>הנאשם הורשע לפי הודאתו בעובדות כתב האישום המתוקן האוחז שני אישומים:</w:t>
      </w:r>
    </w:p>
    <w:p w:rsidR="007E0A19" w:rsidRDefault="007E0A19" w:rsidP="007E0A19">
      <w:pPr>
        <w:pStyle w:val="ListParagraph"/>
        <w:spacing w:line="360" w:lineRule="auto"/>
        <w:ind w:left="360"/>
        <w:jc w:val="both"/>
        <w:rPr>
          <w:rFonts w:ascii="Arial" w:hAnsi="Arial"/>
        </w:rPr>
      </w:pPr>
    </w:p>
    <w:p w:rsidR="007E0A19" w:rsidRPr="00E12DB5" w:rsidRDefault="007E0A19" w:rsidP="007E0A19">
      <w:pPr>
        <w:pStyle w:val="ListParagraph"/>
        <w:numPr>
          <w:ilvl w:val="0"/>
          <w:numId w:val="1"/>
        </w:numPr>
        <w:spacing w:line="360" w:lineRule="auto"/>
        <w:jc w:val="both"/>
        <w:rPr>
          <w:rFonts w:ascii="Arial" w:hAnsi="Arial"/>
        </w:rPr>
      </w:pPr>
      <w:r w:rsidRPr="00E12DB5">
        <w:rPr>
          <w:rFonts w:ascii="Arial" w:hAnsi="Arial" w:hint="cs"/>
          <w:rtl/>
        </w:rPr>
        <w:t xml:space="preserve">לפי </w:t>
      </w:r>
      <w:r w:rsidRPr="00E12DB5">
        <w:rPr>
          <w:rFonts w:ascii="Arial" w:hAnsi="Arial" w:hint="cs"/>
          <w:u w:val="single"/>
          <w:rtl/>
        </w:rPr>
        <w:t>האישום הראשון</w:t>
      </w:r>
      <w:r w:rsidRPr="00E12DB5">
        <w:rPr>
          <w:rFonts w:ascii="Arial" w:hAnsi="Arial" w:hint="cs"/>
          <w:rtl/>
        </w:rPr>
        <w:t>, ביום 7.12.22 הגיע סוכן משטרתי סמוי (להלן: הסוכן) למתחם אזברגה-אלעזמי בלוד, כדי לפגוש את אדהם אחיו של הנאשם, אותו הכיר הכרות מוקדמת.</w:t>
      </w:r>
    </w:p>
    <w:p w:rsidR="007E0A19" w:rsidRPr="00896878" w:rsidRDefault="007E0A19" w:rsidP="007E0A19">
      <w:pPr>
        <w:pStyle w:val="ListParagraph"/>
        <w:rPr>
          <w:rFonts w:ascii="Arial" w:hAnsi="Arial"/>
          <w:rtl/>
        </w:rPr>
      </w:pPr>
      <w:bookmarkStart w:id="6" w:name="ABSTRACT_END"/>
      <w:bookmarkEnd w:id="6"/>
    </w:p>
    <w:p w:rsidR="007E0A19" w:rsidRPr="00896878" w:rsidRDefault="007E0A19" w:rsidP="007E0A19">
      <w:pPr>
        <w:pStyle w:val="ListParagraph"/>
        <w:numPr>
          <w:ilvl w:val="0"/>
          <w:numId w:val="1"/>
        </w:numPr>
        <w:spacing w:line="360" w:lineRule="auto"/>
        <w:jc w:val="both"/>
        <w:rPr>
          <w:rFonts w:ascii="Arial" w:hAnsi="Arial"/>
        </w:rPr>
      </w:pPr>
      <w:r w:rsidRPr="00896878">
        <w:rPr>
          <w:rFonts w:ascii="Arial" w:hAnsi="Arial" w:hint="cs"/>
          <w:rtl/>
        </w:rPr>
        <w:t xml:space="preserve">בהגעתו פגש בנאשם 2 ומסר לו שהוא מחפש את אדהם לצורך רכישת סמים. נאשם 2 מסר לסוכן שאדהם עצור, ושימתין לשובו של הנאשם הביתה. הסוכן מסר כי אינו יכול להמתין והשניים קבעו לשוחח בהמשך. מאוחר יותר באותו יום יצר הנאשם קשר טלפוני עם הסוכן, הזדהה כאחיו של אדהם והנחה את הסוכן לשוב למתחם כדי לבצע את העיסקה. הסוכן הגיע למתחם, פגש בשני הנאשמים וסיכם עם הנאשם כי ימכור לו 50 גרם קוקאין במחיר של 220 ש"ח לגרם. </w:t>
      </w:r>
    </w:p>
    <w:p w:rsidR="007E0A19" w:rsidRPr="00896878" w:rsidRDefault="007E0A19" w:rsidP="007E0A19">
      <w:pPr>
        <w:pStyle w:val="ListParagraph"/>
        <w:rPr>
          <w:rFonts w:ascii="Arial" w:hAnsi="Arial"/>
          <w:rtl/>
        </w:rPr>
      </w:pPr>
    </w:p>
    <w:p w:rsidR="007E0A19" w:rsidRPr="00896878" w:rsidRDefault="007E0A19" w:rsidP="007E0A19">
      <w:pPr>
        <w:pStyle w:val="ListParagraph"/>
        <w:numPr>
          <w:ilvl w:val="0"/>
          <w:numId w:val="1"/>
        </w:numPr>
        <w:spacing w:line="360" w:lineRule="auto"/>
        <w:jc w:val="both"/>
        <w:rPr>
          <w:rFonts w:ascii="Arial" w:hAnsi="Arial"/>
        </w:rPr>
      </w:pPr>
      <w:r w:rsidRPr="00896878">
        <w:rPr>
          <w:rFonts w:ascii="Arial" w:hAnsi="Arial" w:hint="cs"/>
          <w:rtl/>
        </w:rPr>
        <w:lastRenderedPageBreak/>
        <w:t>הנאשם נכנס הביתה, חזר כעבור זמן קצר ומסר לסוכן 34.91 גרם קוקאין עטופים בניילון נצמד. נאשם הציע לספק בהמשך 5 גרם נוספים אך הסוכן סרב. בתמורה לסמים שנמסרו שילם הסוכן לנאשם 7,700 ₪.</w:t>
      </w:r>
    </w:p>
    <w:p w:rsidR="007E0A19" w:rsidRPr="00896878" w:rsidRDefault="007E0A19" w:rsidP="007E0A19">
      <w:pPr>
        <w:pStyle w:val="ListParagraph"/>
        <w:rPr>
          <w:rFonts w:ascii="Arial" w:hAnsi="Arial"/>
          <w:rtl/>
        </w:rPr>
      </w:pPr>
    </w:p>
    <w:p w:rsidR="007E0A19" w:rsidRPr="00896878" w:rsidRDefault="007E0A19" w:rsidP="007E0A19">
      <w:pPr>
        <w:pStyle w:val="ListParagraph"/>
        <w:numPr>
          <w:ilvl w:val="0"/>
          <w:numId w:val="1"/>
        </w:numPr>
        <w:spacing w:line="360" w:lineRule="auto"/>
        <w:jc w:val="both"/>
        <w:rPr>
          <w:rFonts w:ascii="Arial" w:hAnsi="Arial"/>
        </w:rPr>
      </w:pPr>
      <w:r w:rsidRPr="00896878">
        <w:rPr>
          <w:rFonts w:ascii="Arial" w:hAnsi="Arial" w:hint="cs"/>
          <w:rtl/>
        </w:rPr>
        <w:t xml:space="preserve">לפי האישום השני, ביום 19.12.22 יצר הסוכן קשר טלפוני עם הנאשם וביקש לרכוש 60 גרם קוקאין. הנאשם הכווין את הסוכן למבנה מגורים בלוד, ובשעה 17:00 הגיע הסוכן לשם. הסוכן המתין ברכבו, והנאשם ניגש למבנה סמוך, יצא תוך זמן קצר, ומסר לסוכן 59.86 גרם קוקאין בשתי אריזות עטופות ניילון נצמד. בתמורה שילם הסוכן לנאשם 12,600 ₪. </w:t>
      </w:r>
    </w:p>
    <w:p w:rsidR="007E0A19" w:rsidRPr="00896878" w:rsidRDefault="007E0A19" w:rsidP="007E0A19">
      <w:pPr>
        <w:pStyle w:val="ListParagraph"/>
        <w:rPr>
          <w:rFonts w:ascii="Arial" w:hAnsi="Arial"/>
          <w:rtl/>
        </w:rPr>
      </w:pPr>
    </w:p>
    <w:p w:rsidR="007E0A19" w:rsidRDefault="007E0A19" w:rsidP="007E0A19">
      <w:pPr>
        <w:pStyle w:val="ListParagraph"/>
        <w:numPr>
          <w:ilvl w:val="0"/>
          <w:numId w:val="1"/>
        </w:numPr>
        <w:spacing w:line="360" w:lineRule="auto"/>
        <w:jc w:val="both"/>
        <w:rPr>
          <w:rFonts w:ascii="David" w:hAnsi="David"/>
        </w:rPr>
      </w:pPr>
      <w:r w:rsidRPr="00896878">
        <w:rPr>
          <w:rFonts w:ascii="Arial" w:hAnsi="Arial" w:hint="cs"/>
          <w:rtl/>
        </w:rPr>
        <w:t xml:space="preserve">בהתבסס על הודאתו בעובדות הנ"ל, הורשע הנאשם </w:t>
      </w:r>
      <w:r w:rsidRPr="00896878">
        <w:rPr>
          <w:rFonts w:ascii="Arial" w:hAnsi="Arial" w:hint="cs"/>
          <w:b/>
          <w:bCs/>
          <w:rtl/>
        </w:rPr>
        <w:t>ב</w:t>
      </w:r>
      <w:r w:rsidRPr="00896878">
        <w:rPr>
          <w:rFonts w:ascii="Arial" w:hAnsi="Arial" w:hint="cs"/>
          <w:b/>
          <w:bCs/>
          <w:u w:val="single"/>
          <w:rtl/>
        </w:rPr>
        <w:t>שתי עבירות</w:t>
      </w:r>
      <w:r w:rsidRPr="00896878">
        <w:rPr>
          <w:rFonts w:ascii="Arial" w:hAnsi="Arial" w:hint="cs"/>
          <w:b/>
          <w:bCs/>
          <w:rtl/>
        </w:rPr>
        <w:t xml:space="preserve"> של סחר בסם מסוכן</w:t>
      </w:r>
      <w:r w:rsidRPr="00896878">
        <w:rPr>
          <w:rFonts w:ascii="Arial" w:hAnsi="Arial" w:hint="cs"/>
          <w:rtl/>
        </w:rPr>
        <w:t xml:space="preserve">, עבירה </w:t>
      </w:r>
      <w:r w:rsidRPr="00896878">
        <w:rPr>
          <w:rFonts w:ascii="David" w:hAnsi="David"/>
          <w:rtl/>
        </w:rPr>
        <w:t xml:space="preserve">לפי </w:t>
      </w:r>
      <w:hyperlink r:id="rId10" w:history="1">
        <w:r w:rsidR="005F267E" w:rsidRPr="005F267E">
          <w:rPr>
            <w:rStyle w:val="Hyperlink"/>
            <w:rFonts w:ascii="David" w:hAnsi="David"/>
            <w:color w:val="0000FF"/>
            <w:rtl/>
          </w:rPr>
          <w:t>סעיף 13</w:t>
        </w:r>
      </w:hyperlink>
      <w:r w:rsidRPr="00896878">
        <w:rPr>
          <w:rFonts w:ascii="David" w:hAnsi="David"/>
          <w:rtl/>
        </w:rPr>
        <w:t xml:space="preserve"> + </w:t>
      </w:r>
      <w:hyperlink r:id="rId11" w:history="1">
        <w:r w:rsidR="005F267E" w:rsidRPr="005F267E">
          <w:rPr>
            <w:rStyle w:val="Hyperlink"/>
            <w:rFonts w:ascii="David" w:hAnsi="David"/>
            <w:color w:val="0000FF"/>
            <w:rtl/>
          </w:rPr>
          <w:t>19א</w:t>
        </w:r>
      </w:hyperlink>
      <w:r w:rsidRPr="00896878">
        <w:rPr>
          <w:rFonts w:ascii="David" w:hAnsi="David"/>
          <w:rtl/>
        </w:rPr>
        <w:t xml:space="preserve"> ל</w:t>
      </w:r>
      <w:hyperlink r:id="rId12" w:history="1">
        <w:r w:rsidR="00D74906" w:rsidRPr="00D74906">
          <w:rPr>
            <w:rFonts w:ascii="David" w:hAnsi="David"/>
            <w:color w:val="0000FF"/>
            <w:u w:val="single"/>
            <w:rtl/>
          </w:rPr>
          <w:t>פקודת הסמים המסוכנים</w:t>
        </w:r>
      </w:hyperlink>
      <w:r w:rsidRPr="00896878">
        <w:rPr>
          <w:rFonts w:ascii="David" w:hAnsi="David"/>
          <w:rtl/>
        </w:rPr>
        <w:t xml:space="preserve"> [נוסח חדש], תשל"ג-1973.</w:t>
      </w:r>
    </w:p>
    <w:p w:rsidR="007E0A19" w:rsidRPr="009B7878" w:rsidRDefault="007E0A19" w:rsidP="007E0A19">
      <w:pPr>
        <w:pStyle w:val="ListParagraph"/>
        <w:rPr>
          <w:rFonts w:ascii="David" w:hAnsi="David"/>
          <w:rtl/>
        </w:rPr>
      </w:pPr>
    </w:p>
    <w:p w:rsidR="007E0A19" w:rsidRPr="00896878" w:rsidRDefault="007E0A19" w:rsidP="007E0A19">
      <w:pPr>
        <w:pStyle w:val="ListParagraph"/>
        <w:numPr>
          <w:ilvl w:val="0"/>
          <w:numId w:val="1"/>
        </w:numPr>
        <w:spacing w:line="360" w:lineRule="auto"/>
        <w:jc w:val="both"/>
        <w:rPr>
          <w:rFonts w:ascii="David" w:hAnsi="David"/>
        </w:rPr>
      </w:pPr>
      <w:r>
        <w:rPr>
          <w:rFonts w:ascii="David" w:hAnsi="David" w:hint="cs"/>
          <w:rtl/>
        </w:rPr>
        <w:t xml:space="preserve">הוגש תסקיר חובה על הנאשם, בשל גילו. התסקיר מפרט את נסיבות חייו של הנאשם, עשירי מבין 15 אחים שאביו נפטר בהיותו פעוט. הנאשם נשר מלימודים לאחר 10 שנות לימוד כדי לסייע בפרנסת המשפחה.  הנאשם ביטא חרטה על מעשיו, אך שירות המבחן התרשם שקיים סיכון להמשך מעורבות פלילית בתחום הסמים. התסקיר אינו כולל המלצה טיפלית. </w:t>
      </w:r>
    </w:p>
    <w:p w:rsidR="007E0A19" w:rsidRPr="00896878" w:rsidRDefault="007E0A19" w:rsidP="007E0A19">
      <w:pPr>
        <w:pStyle w:val="ListParagraph"/>
        <w:rPr>
          <w:rFonts w:ascii="David" w:hAnsi="David"/>
          <w:color w:val="000000"/>
          <w:rtl/>
        </w:rPr>
      </w:pPr>
    </w:p>
    <w:p w:rsidR="007E0A19" w:rsidRPr="00896878" w:rsidRDefault="007E0A19" w:rsidP="007E0A19">
      <w:pPr>
        <w:pStyle w:val="ListParagraph"/>
        <w:numPr>
          <w:ilvl w:val="0"/>
          <w:numId w:val="1"/>
        </w:numPr>
        <w:spacing w:line="360" w:lineRule="auto"/>
        <w:jc w:val="both"/>
        <w:rPr>
          <w:rFonts w:ascii="David" w:hAnsi="David"/>
        </w:rPr>
      </w:pPr>
      <w:r w:rsidRPr="00896878">
        <w:rPr>
          <w:rFonts w:ascii="David" w:hAnsi="David"/>
          <w:color w:val="000000"/>
          <w:rtl/>
        </w:rPr>
        <w:t>בטיעוניה לעונש עמדה המאשימה על הערכים המוגנים בהם פגע הנאשם והדגישה את העובדה שמדובר בסם קשה ובכמות משמעותית בכל אחת מן העיסקאות. המאשימה עתרה, על בסיס פסיקה שהוגשה, לקבוע מתחם ענישה של 24 עד 48 חודשי מאסר לכל אחד מהאישומים. בתוך מתחם הענישה התבקשתי לגזור על הנאשם 48 חודשי מאסר לצד רכיבי ענישה נלווים, בדגש על קנס הולם, ולהכריז על הנאשם כסוחר סמים.</w:t>
      </w:r>
    </w:p>
    <w:p w:rsidR="007E0A19" w:rsidRPr="00896878" w:rsidRDefault="007E0A19" w:rsidP="007E0A19">
      <w:pPr>
        <w:pStyle w:val="ListParagraph"/>
        <w:rPr>
          <w:rFonts w:ascii="David" w:hAnsi="David"/>
          <w:color w:val="000000"/>
          <w:rtl/>
        </w:rPr>
      </w:pPr>
    </w:p>
    <w:p w:rsidR="007E0A19" w:rsidRPr="00896878" w:rsidRDefault="007E0A19" w:rsidP="007E0A19">
      <w:pPr>
        <w:pStyle w:val="ListParagraph"/>
        <w:numPr>
          <w:ilvl w:val="0"/>
          <w:numId w:val="1"/>
        </w:numPr>
        <w:spacing w:line="360" w:lineRule="auto"/>
        <w:jc w:val="both"/>
        <w:rPr>
          <w:rFonts w:ascii="David" w:hAnsi="David"/>
        </w:rPr>
      </w:pPr>
      <w:r w:rsidRPr="00896878">
        <w:rPr>
          <w:rFonts w:ascii="David" w:hAnsi="David"/>
          <w:color w:val="000000"/>
          <w:rtl/>
        </w:rPr>
        <w:t>טען כי עתירת המאשימה אינה מידתית ואינה מתיישבת עם מדיניות הענישה. הסנגור ציין כי הסוכן לא הופעל מלכתחילה מול הנאשם, ויצר עמו קשר באקראי. צוין גילו הצעיר של הנאשם, שהיה כבן 18.5 בלבד במועד ביצוע העבירות. בהתבסס על פסיקה אליה הופניתי עתרה ההגנה לקבוע מתחם ענישה בין 20 ל-30 חודשי מאסר.</w:t>
      </w:r>
    </w:p>
    <w:p w:rsidR="007E0A19" w:rsidRPr="00896878" w:rsidRDefault="007E0A19" w:rsidP="007E0A19">
      <w:pPr>
        <w:pStyle w:val="ListParagraph"/>
        <w:rPr>
          <w:rFonts w:ascii="David" w:hAnsi="David"/>
          <w:color w:val="000000"/>
          <w:rtl/>
        </w:rPr>
      </w:pPr>
    </w:p>
    <w:p w:rsidR="007E0A19" w:rsidRPr="00896878" w:rsidRDefault="007E0A19" w:rsidP="007E0A19">
      <w:pPr>
        <w:pStyle w:val="ListParagraph"/>
        <w:numPr>
          <w:ilvl w:val="0"/>
          <w:numId w:val="1"/>
        </w:numPr>
        <w:spacing w:line="360" w:lineRule="auto"/>
        <w:jc w:val="both"/>
        <w:rPr>
          <w:rFonts w:ascii="David" w:hAnsi="David"/>
        </w:rPr>
      </w:pPr>
      <w:r w:rsidRPr="00896878">
        <w:rPr>
          <w:rFonts w:ascii="David" w:hAnsi="David"/>
          <w:color w:val="000000"/>
          <w:rtl/>
        </w:rPr>
        <w:t>בקביעת מתחם העונש ההולם בהתאם לעקרון ההלימה יש להתחשב בערכים החברתיים שנפגעו, במידת הפגיעה, במדיניות הענישה הנוהגת ובנסיבות הקשורות בביצוע העבירה. בענייננו הערכים המוגנים שנפגעו הם בריאות הציבור והמלחמה בנגע הסמים.</w:t>
      </w:r>
    </w:p>
    <w:p w:rsidR="007E0A19" w:rsidRPr="00896878" w:rsidRDefault="007E0A19" w:rsidP="007E0A19">
      <w:pPr>
        <w:pStyle w:val="ListParagraph"/>
        <w:rPr>
          <w:rFonts w:ascii="David" w:hAnsi="David"/>
          <w:color w:val="000000"/>
          <w:rtl/>
        </w:rPr>
      </w:pPr>
    </w:p>
    <w:p w:rsidR="007E0A19" w:rsidRPr="00896878" w:rsidRDefault="007E0A19" w:rsidP="007E0A19">
      <w:pPr>
        <w:pStyle w:val="ListParagraph"/>
        <w:numPr>
          <w:ilvl w:val="0"/>
          <w:numId w:val="1"/>
        </w:numPr>
        <w:spacing w:line="360" w:lineRule="auto"/>
        <w:jc w:val="both"/>
        <w:rPr>
          <w:rFonts w:ascii="David" w:hAnsi="David"/>
        </w:rPr>
      </w:pPr>
      <w:r w:rsidRPr="00896878">
        <w:rPr>
          <w:rFonts w:ascii="David" w:hAnsi="David"/>
          <w:color w:val="000000"/>
          <w:rtl/>
        </w:rPr>
        <w:t xml:space="preserve">פסיקת בתי המשפט חזרה ושנתה כי מי שחוטא בסחר בסמים, לא כל שכן בסמים המוגדרים כקשים כגון קוקאין (לגבי סכנות ונזקי הקוקאין ר' </w:t>
      </w:r>
      <w:hyperlink r:id="rId13" w:history="1">
        <w:r w:rsidR="00D74906" w:rsidRPr="00D74906">
          <w:rPr>
            <w:rFonts w:ascii="David" w:hAnsi="David"/>
            <w:color w:val="0000FF"/>
            <w:u w:val="single"/>
            <w:rtl/>
          </w:rPr>
          <w:t>ע"פ 972/11</w:t>
        </w:r>
      </w:hyperlink>
      <w:r w:rsidRPr="00896878">
        <w:rPr>
          <w:rFonts w:ascii="David" w:hAnsi="David"/>
          <w:color w:val="000000"/>
          <w:rtl/>
        </w:rPr>
        <w:t xml:space="preserve"> </w:t>
      </w:r>
      <w:r w:rsidRPr="00896878">
        <w:rPr>
          <w:rFonts w:ascii="David" w:hAnsi="David"/>
          <w:b/>
          <w:bCs/>
          <w:color w:val="000000"/>
          <w:rtl/>
        </w:rPr>
        <w:t>מדינת ישראל נ' יונה</w:t>
      </w:r>
      <w:r w:rsidRPr="00896878">
        <w:rPr>
          <w:rFonts w:ascii="David" w:hAnsi="David"/>
          <w:color w:val="000000"/>
          <w:rtl/>
        </w:rPr>
        <w:t xml:space="preserve"> (נבו, 4.7.12, </w:t>
      </w:r>
      <w:r w:rsidRPr="00896878">
        <w:rPr>
          <w:rFonts w:ascii="David" w:hAnsi="David" w:hint="cs"/>
          <w:color w:val="000000"/>
          <w:rtl/>
        </w:rPr>
        <w:t>פסקה 4</w:t>
      </w:r>
      <w:r w:rsidRPr="00896878">
        <w:rPr>
          <w:rFonts w:ascii="David" w:hAnsi="David"/>
          <w:color w:val="000000"/>
          <w:rtl/>
        </w:rPr>
        <w:t xml:space="preserve">), ראוי לעונש של מאסר מאחורי סורג ובריח. כך למשל ברע"פ 6373/06 </w:t>
      </w:r>
      <w:r w:rsidRPr="00896878">
        <w:rPr>
          <w:rFonts w:ascii="David" w:hAnsi="David"/>
          <w:b/>
          <w:bCs/>
          <w:color w:val="000000"/>
          <w:rtl/>
        </w:rPr>
        <w:t>מדינת ישראל נ' אלנשמי</w:t>
      </w:r>
      <w:r w:rsidRPr="00896878">
        <w:rPr>
          <w:rFonts w:ascii="David" w:hAnsi="David"/>
          <w:color w:val="000000"/>
          <w:rtl/>
        </w:rPr>
        <w:t xml:space="preserve"> (נבו, 6.9.06) נכתב כי: </w:t>
      </w:r>
    </w:p>
    <w:p w:rsidR="007E0A19" w:rsidRPr="00896878" w:rsidRDefault="007E0A19" w:rsidP="007E0A19">
      <w:pPr>
        <w:pStyle w:val="ListParagraph"/>
        <w:rPr>
          <w:rFonts w:ascii="David" w:hAnsi="David"/>
          <w:color w:val="000000"/>
          <w:rtl/>
        </w:rPr>
      </w:pPr>
    </w:p>
    <w:p w:rsidR="007E0A19" w:rsidRPr="00896878" w:rsidRDefault="007E0A19" w:rsidP="007E0A19">
      <w:pPr>
        <w:pStyle w:val="ListParagraph"/>
        <w:ind w:left="1440" w:right="1701"/>
        <w:jc w:val="both"/>
        <w:rPr>
          <w:rFonts w:ascii="David" w:hAnsi="David"/>
          <w:b/>
          <w:bCs/>
        </w:rPr>
      </w:pPr>
      <w:r w:rsidRPr="00896878">
        <w:rPr>
          <w:rFonts w:ascii="David" w:hAnsi="David"/>
          <w:b/>
          <w:bCs/>
          <w:color w:val="000000"/>
          <w:rtl/>
        </w:rPr>
        <w:lastRenderedPageBreak/>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שהיה ממושכת מאחורי סורג ובריח".</w:t>
      </w:r>
    </w:p>
    <w:p w:rsidR="007E0A19" w:rsidRPr="00896878" w:rsidRDefault="007E0A19" w:rsidP="007E0A19">
      <w:pPr>
        <w:pStyle w:val="ListParagraph"/>
        <w:rPr>
          <w:rFonts w:ascii="David" w:hAnsi="David"/>
          <w:rtl/>
        </w:rPr>
      </w:pPr>
    </w:p>
    <w:p w:rsidR="007E0A19" w:rsidRPr="00896878" w:rsidRDefault="007E0A19" w:rsidP="007E0A19">
      <w:pPr>
        <w:pStyle w:val="ListParagraph"/>
        <w:numPr>
          <w:ilvl w:val="0"/>
          <w:numId w:val="1"/>
        </w:numPr>
        <w:spacing w:line="360" w:lineRule="auto"/>
        <w:jc w:val="both"/>
        <w:rPr>
          <w:rFonts w:ascii="David" w:hAnsi="David"/>
        </w:rPr>
      </w:pPr>
      <w:r w:rsidRPr="00896878">
        <w:rPr>
          <w:rFonts w:ascii="David" w:hAnsi="David"/>
          <w:rtl/>
        </w:rPr>
        <w:t xml:space="preserve">בענייננו, חומרת מעשיו של הנאשם נובעת </w:t>
      </w:r>
      <w:r>
        <w:rPr>
          <w:rFonts w:ascii="David" w:hAnsi="David"/>
          <w:rtl/>
        </w:rPr>
        <w:t>מהעובדה שמדובר בשתי ע</w:t>
      </w:r>
      <w:r w:rsidRPr="00896878">
        <w:rPr>
          <w:rFonts w:ascii="David" w:hAnsi="David"/>
          <w:rtl/>
        </w:rPr>
        <w:t xml:space="preserve">סקאות נפרדות, ומכמות הסם המשמעותית בכל אחת מהן. בניגוד לטענת ההגנה לפיה הנאשם "מתנהל ברף הנמוך של סחר בסמים", הנאשם הכווין את הסוכן, נשא ונתן עמו, הביא בעצמו את חבילות הסם, שהיו זמינות לו מיידית, וקיבל את תמורת העסקה לידו. גם אם קיימים גורמים עברייניים "בכירים" יותר בשרשרת האספקה והסחר, ניכר מהתנהלותו כי הנאשם מעורב עמוקות בעבריינות סמים. כמות הסם הגדולה שהחליפה ידיים מגלמת נזק פוטנציאלי ממשי, אם כי נזק זה נמנע בשל מכירת הסם לסוכן וקטיעת שרשרת ההפצה.   </w:t>
      </w:r>
    </w:p>
    <w:p w:rsidR="007E0A19" w:rsidRPr="00896878" w:rsidRDefault="007E0A19" w:rsidP="007E0A19">
      <w:pPr>
        <w:pStyle w:val="ListParagraph"/>
        <w:rPr>
          <w:rFonts w:ascii="David" w:hAnsi="David"/>
          <w:rtl/>
        </w:rPr>
      </w:pPr>
    </w:p>
    <w:p w:rsidR="007E0A19" w:rsidRPr="00896878" w:rsidRDefault="007E0A19" w:rsidP="007E0A19">
      <w:pPr>
        <w:pStyle w:val="ListParagraph"/>
        <w:numPr>
          <w:ilvl w:val="0"/>
          <w:numId w:val="1"/>
        </w:numPr>
        <w:spacing w:line="360" w:lineRule="auto"/>
        <w:jc w:val="both"/>
        <w:rPr>
          <w:rFonts w:ascii="David" w:hAnsi="David"/>
        </w:rPr>
      </w:pPr>
      <w:r w:rsidRPr="00896878">
        <w:rPr>
          <w:rFonts w:ascii="David" w:hAnsi="David"/>
          <w:rtl/>
        </w:rPr>
        <w:t>באשר למדיניות הענישה, לצד ההנחיה הכללית בפסיקה להחמיר בעונשיהם של סוחרי סמים, רמת הענישה נובעת בעיקרה ממספר העסקאות, סוג הסם וכמותו. אציין כאמת מידה, מבין פסקי דין רבים, את הבאים:</w:t>
      </w:r>
    </w:p>
    <w:p w:rsidR="007E0A19" w:rsidRPr="00896878" w:rsidRDefault="007E0A19" w:rsidP="007E0A19">
      <w:pPr>
        <w:pStyle w:val="ListParagraph"/>
        <w:rPr>
          <w:rFonts w:ascii="David" w:hAnsi="David"/>
          <w:rtl/>
        </w:rPr>
      </w:pPr>
    </w:p>
    <w:p w:rsidR="007E0A19" w:rsidRPr="00896878" w:rsidRDefault="00D74906" w:rsidP="007E0A19">
      <w:pPr>
        <w:pStyle w:val="ListParagraph"/>
        <w:numPr>
          <w:ilvl w:val="0"/>
          <w:numId w:val="2"/>
        </w:numPr>
        <w:spacing w:line="360" w:lineRule="auto"/>
        <w:jc w:val="both"/>
        <w:rPr>
          <w:rFonts w:ascii="David" w:hAnsi="David"/>
        </w:rPr>
      </w:pPr>
      <w:hyperlink r:id="rId14" w:history="1">
        <w:r w:rsidRPr="00D74906">
          <w:rPr>
            <w:rFonts w:ascii="David" w:hAnsi="David"/>
            <w:color w:val="0000FF"/>
            <w:u w:val="single"/>
            <w:rtl/>
          </w:rPr>
          <w:t>עפ"ג (מרכז) 8112-11-23</w:t>
        </w:r>
      </w:hyperlink>
      <w:r w:rsidR="007E0A19" w:rsidRPr="00896878">
        <w:rPr>
          <w:rFonts w:ascii="David" w:hAnsi="David"/>
          <w:rtl/>
        </w:rPr>
        <w:t xml:space="preserve"> </w:t>
      </w:r>
      <w:r w:rsidR="007E0A19" w:rsidRPr="00896878">
        <w:rPr>
          <w:rFonts w:ascii="David" w:hAnsi="David"/>
          <w:b/>
          <w:bCs/>
          <w:rtl/>
        </w:rPr>
        <w:t>אבו חג'ג' נ' מדינת ישראל</w:t>
      </w:r>
      <w:r w:rsidR="007E0A19" w:rsidRPr="00896878">
        <w:rPr>
          <w:rFonts w:ascii="David" w:hAnsi="David"/>
          <w:rtl/>
        </w:rPr>
        <w:t xml:space="preserve"> (19.3.24): הנאשם הורשע במכירת קוקאין בכמויות 10, 20, 20 גרם </w:t>
      </w:r>
      <w:r w:rsidR="007E0A19">
        <w:rPr>
          <w:rFonts w:ascii="David" w:hAnsi="David" w:hint="cs"/>
          <w:rtl/>
        </w:rPr>
        <w:t>[</w:t>
      </w:r>
      <w:r w:rsidR="007E0A19" w:rsidRPr="00896878">
        <w:rPr>
          <w:rFonts w:ascii="David" w:hAnsi="David"/>
          <w:rtl/>
        </w:rPr>
        <w:t>כמות מצטברת קטנה מבענייננו, אך בשלוש עסקאות</w:t>
      </w:r>
      <w:r w:rsidR="007E0A19">
        <w:rPr>
          <w:rFonts w:ascii="David" w:hAnsi="David" w:hint="cs"/>
          <w:rtl/>
        </w:rPr>
        <w:t>]</w:t>
      </w:r>
      <w:r w:rsidR="007E0A19" w:rsidRPr="00896878">
        <w:rPr>
          <w:rFonts w:ascii="David" w:hAnsi="David"/>
          <w:rtl/>
        </w:rPr>
        <w:t>. נקבע מתחם של</w:t>
      </w:r>
      <w:r w:rsidR="007E0A19">
        <w:rPr>
          <w:rFonts w:ascii="David" w:hAnsi="David" w:hint="cs"/>
          <w:rtl/>
        </w:rPr>
        <w:t xml:space="preserve"> 24 עד 48 </w:t>
      </w:r>
      <w:r w:rsidR="007E0A19" w:rsidRPr="00896878">
        <w:rPr>
          <w:rFonts w:ascii="David" w:hAnsi="David"/>
          <w:rtl/>
        </w:rPr>
        <w:t>חודשי מאסר בפועל; ערעור לבית המשפט המחוזי נדחה.</w:t>
      </w:r>
    </w:p>
    <w:p w:rsidR="007E0A19" w:rsidRPr="005D48B5" w:rsidRDefault="007E0A19" w:rsidP="007E0A19">
      <w:pPr>
        <w:pStyle w:val="ListParagraph"/>
        <w:spacing w:line="360" w:lineRule="auto"/>
        <w:ind w:left="1080"/>
        <w:jc w:val="both"/>
        <w:rPr>
          <w:rFonts w:ascii="David" w:hAnsi="David"/>
        </w:rPr>
      </w:pPr>
    </w:p>
    <w:p w:rsidR="007E0A19" w:rsidRDefault="00D74906" w:rsidP="007E0A19">
      <w:pPr>
        <w:pStyle w:val="ListParagraph"/>
        <w:numPr>
          <w:ilvl w:val="0"/>
          <w:numId w:val="2"/>
        </w:numPr>
        <w:spacing w:line="360" w:lineRule="auto"/>
        <w:jc w:val="both"/>
        <w:rPr>
          <w:rFonts w:ascii="David" w:hAnsi="David"/>
        </w:rPr>
      </w:pPr>
      <w:hyperlink r:id="rId15" w:history="1">
        <w:r w:rsidRPr="00D74906">
          <w:rPr>
            <w:rFonts w:ascii="David" w:hAnsi="David"/>
            <w:color w:val="0000FF"/>
            <w:u w:val="single"/>
            <w:rtl/>
          </w:rPr>
          <w:t>עפ"ג (מרכז) 5501-09-17</w:t>
        </w:r>
      </w:hyperlink>
      <w:r w:rsidR="007E0A19" w:rsidRPr="00896878">
        <w:rPr>
          <w:rFonts w:ascii="David" w:hAnsi="David"/>
          <w:rtl/>
        </w:rPr>
        <w:t xml:space="preserve"> </w:t>
      </w:r>
      <w:r w:rsidR="007E0A19" w:rsidRPr="00896878">
        <w:rPr>
          <w:rFonts w:ascii="David" w:hAnsi="David"/>
          <w:b/>
          <w:bCs/>
          <w:rtl/>
        </w:rPr>
        <w:t>סמאדה נ' מדינת ישראל</w:t>
      </w:r>
      <w:r w:rsidR="007E0A19" w:rsidRPr="00896878">
        <w:rPr>
          <w:rFonts w:ascii="David" w:hAnsi="David"/>
          <w:rtl/>
        </w:rPr>
        <w:t xml:space="preserve"> (6.2.18): הנאשם מכר לסוכן משטרתי קוקאין ב-3 הזדמנויות </w:t>
      </w:r>
      <w:r w:rsidR="007E0A19">
        <w:rPr>
          <w:rFonts w:ascii="David" w:hAnsi="David" w:hint="cs"/>
          <w:rtl/>
        </w:rPr>
        <w:t>[</w:t>
      </w:r>
      <w:r w:rsidR="007E0A19" w:rsidRPr="00896878">
        <w:rPr>
          <w:rFonts w:ascii="David" w:hAnsi="David"/>
          <w:rtl/>
        </w:rPr>
        <w:t>10, 23, ו-15 גרם</w:t>
      </w:r>
      <w:r w:rsidR="007E0A19">
        <w:rPr>
          <w:rFonts w:ascii="David" w:hAnsi="David" w:hint="cs"/>
          <w:rtl/>
        </w:rPr>
        <w:t>, כמחצית הכמות מבענייננו]</w:t>
      </w:r>
      <w:r w:rsidR="007E0A19" w:rsidRPr="00896878">
        <w:rPr>
          <w:rFonts w:ascii="David" w:hAnsi="David"/>
          <w:rtl/>
        </w:rPr>
        <w:t>. נקבע מתחם ש</w:t>
      </w:r>
      <w:r w:rsidR="007E0A19">
        <w:rPr>
          <w:rFonts w:ascii="David" w:hAnsi="David" w:hint="cs"/>
          <w:rtl/>
        </w:rPr>
        <w:t xml:space="preserve">ל 12 עד 24 </w:t>
      </w:r>
      <w:r w:rsidR="007E0A19" w:rsidRPr="00896878">
        <w:rPr>
          <w:rFonts w:ascii="David" w:hAnsi="David"/>
          <w:rtl/>
        </w:rPr>
        <w:t>חודשי מאסר לכל עסקה, ונגזרו 35 חודשי מאסר. ערעור על חומרת העונש נדחה.</w:t>
      </w:r>
    </w:p>
    <w:p w:rsidR="007E0A19" w:rsidRPr="00896878" w:rsidRDefault="007E0A19" w:rsidP="007E0A19">
      <w:pPr>
        <w:pStyle w:val="ListParagraph"/>
        <w:rPr>
          <w:rFonts w:ascii="David" w:hAnsi="David"/>
          <w:rtl/>
        </w:rPr>
      </w:pPr>
    </w:p>
    <w:p w:rsidR="007E0A19" w:rsidRDefault="00D74906" w:rsidP="007E0A19">
      <w:pPr>
        <w:pStyle w:val="ListParagraph"/>
        <w:numPr>
          <w:ilvl w:val="0"/>
          <w:numId w:val="2"/>
        </w:numPr>
        <w:spacing w:line="360" w:lineRule="auto"/>
        <w:jc w:val="both"/>
        <w:rPr>
          <w:rFonts w:ascii="David" w:hAnsi="David"/>
        </w:rPr>
      </w:pPr>
      <w:hyperlink r:id="rId16" w:history="1">
        <w:r w:rsidRPr="00D74906">
          <w:rPr>
            <w:rFonts w:ascii="David" w:hAnsi="David"/>
            <w:color w:val="0000FF"/>
            <w:u w:val="single"/>
            <w:rtl/>
          </w:rPr>
          <w:t>עפ"ג (מרכז) 38428-10-19</w:t>
        </w:r>
      </w:hyperlink>
      <w:r w:rsidR="007E0A19" w:rsidRPr="00896878">
        <w:rPr>
          <w:rFonts w:ascii="David" w:hAnsi="David"/>
          <w:rtl/>
        </w:rPr>
        <w:t xml:space="preserve"> </w:t>
      </w:r>
      <w:r w:rsidR="007E0A19" w:rsidRPr="00896878">
        <w:rPr>
          <w:rFonts w:ascii="David" w:hAnsi="David"/>
          <w:b/>
          <w:bCs/>
          <w:rtl/>
        </w:rPr>
        <w:t>מוזיין נ' מדינת ישראל</w:t>
      </w:r>
      <w:r w:rsidR="007E0A19" w:rsidRPr="00896878">
        <w:rPr>
          <w:rFonts w:ascii="David" w:hAnsi="David"/>
          <w:rtl/>
        </w:rPr>
        <w:t xml:space="preserve"> (11.2.20): הנאשם, צעיר נעדר עבר פלילי מכר לסוכן 8 גרם קוקאין. נקבע מתחם של</w:t>
      </w:r>
      <w:r w:rsidR="007E0A19">
        <w:rPr>
          <w:rFonts w:ascii="David" w:hAnsi="David" w:hint="cs"/>
          <w:rtl/>
        </w:rPr>
        <w:t xml:space="preserve"> 12 עד 24 </w:t>
      </w:r>
      <w:r w:rsidR="007E0A19" w:rsidRPr="00896878">
        <w:rPr>
          <w:rFonts w:ascii="David" w:hAnsi="David"/>
          <w:rtl/>
        </w:rPr>
        <w:t xml:space="preserve">חודשי מאסר. </w:t>
      </w:r>
    </w:p>
    <w:p w:rsidR="007E0A19" w:rsidRPr="005D48B5" w:rsidRDefault="007E0A19" w:rsidP="007E0A19">
      <w:pPr>
        <w:pStyle w:val="ListParagraph"/>
        <w:rPr>
          <w:rFonts w:ascii="David" w:hAnsi="David"/>
          <w:rtl/>
        </w:rPr>
      </w:pPr>
    </w:p>
    <w:p w:rsidR="007E0A19" w:rsidRDefault="007E0A19" w:rsidP="007E0A19">
      <w:pPr>
        <w:pStyle w:val="ListParagraph"/>
        <w:numPr>
          <w:ilvl w:val="0"/>
          <w:numId w:val="2"/>
        </w:numPr>
        <w:spacing w:line="360" w:lineRule="auto"/>
        <w:jc w:val="both"/>
        <w:rPr>
          <w:rFonts w:ascii="David" w:hAnsi="David"/>
        </w:rPr>
      </w:pPr>
      <w:r w:rsidRPr="00896878">
        <w:rPr>
          <w:rFonts w:ascii="David" w:hAnsi="David"/>
          <w:rtl/>
        </w:rPr>
        <w:t xml:space="preserve">ת"פ (תל אביב) 73652-01-8 </w:t>
      </w:r>
      <w:r w:rsidRPr="00896878">
        <w:rPr>
          <w:rFonts w:ascii="David" w:hAnsi="David"/>
          <w:b/>
          <w:bCs/>
          <w:rtl/>
        </w:rPr>
        <w:t xml:space="preserve">מדינת ישראל נ' מכאוי </w:t>
      </w:r>
      <w:r w:rsidRPr="00896878">
        <w:rPr>
          <w:rFonts w:ascii="David" w:hAnsi="David"/>
          <w:rtl/>
        </w:rPr>
        <w:t>(12.8.21): 2 עסקאות מכירת קוקאין בסדרי גודל דומים לענייננו</w:t>
      </w:r>
      <w:r>
        <w:rPr>
          <w:rFonts w:ascii="David" w:hAnsi="David" w:hint="cs"/>
          <w:rtl/>
        </w:rPr>
        <w:t xml:space="preserve"> - </w:t>
      </w:r>
      <w:r w:rsidRPr="00896878">
        <w:rPr>
          <w:rFonts w:ascii="David" w:hAnsi="David"/>
          <w:rtl/>
        </w:rPr>
        <w:t>20 גרם ו-50 גרם. נקבעו מתחמי ענישה נפרדים 20-47 חודשי מאסר למכירת 20 גרם, 30-60 חודשי מאסר למכירת 50 גרם.</w:t>
      </w:r>
    </w:p>
    <w:p w:rsidR="007E0A19" w:rsidRPr="00896878" w:rsidRDefault="007E0A19" w:rsidP="007E0A19">
      <w:pPr>
        <w:pStyle w:val="ListParagraph"/>
        <w:rPr>
          <w:rFonts w:ascii="David" w:hAnsi="David"/>
          <w:rtl/>
        </w:rPr>
      </w:pPr>
    </w:p>
    <w:p w:rsidR="007E0A19" w:rsidRDefault="00D74906" w:rsidP="007E0A19">
      <w:pPr>
        <w:pStyle w:val="ListParagraph"/>
        <w:numPr>
          <w:ilvl w:val="0"/>
          <w:numId w:val="2"/>
        </w:numPr>
        <w:spacing w:line="360" w:lineRule="auto"/>
        <w:jc w:val="both"/>
        <w:rPr>
          <w:rFonts w:ascii="David" w:hAnsi="David"/>
        </w:rPr>
      </w:pPr>
      <w:hyperlink r:id="rId17" w:history="1">
        <w:r w:rsidRPr="00D74906">
          <w:rPr>
            <w:rFonts w:ascii="David" w:hAnsi="David"/>
            <w:color w:val="0000FF"/>
            <w:u w:val="single"/>
            <w:rtl/>
          </w:rPr>
          <w:t>ת"פ (תל אביב) 27612-02-19</w:t>
        </w:r>
      </w:hyperlink>
      <w:r w:rsidR="007E0A19" w:rsidRPr="00896878">
        <w:rPr>
          <w:rFonts w:ascii="David" w:hAnsi="David"/>
          <w:rtl/>
        </w:rPr>
        <w:t xml:space="preserve"> </w:t>
      </w:r>
      <w:r w:rsidR="007E0A19" w:rsidRPr="00896878">
        <w:rPr>
          <w:rFonts w:ascii="David" w:hAnsi="David"/>
          <w:b/>
          <w:bCs/>
          <w:rtl/>
        </w:rPr>
        <w:t>מדינת ישראל נ' קאראנטינאג'י</w:t>
      </w:r>
      <w:r w:rsidR="007E0A19" w:rsidRPr="00896878">
        <w:rPr>
          <w:rFonts w:ascii="David" w:hAnsi="David"/>
          <w:rtl/>
        </w:rPr>
        <w:t xml:space="preserve"> (23.6.19): 2 עסקאות מכירת קוקאין במשקלים של כ-30 ו-50 גרם. נקבע מתחם של 30-60 חודשי מאסר לעסקת 50 הגרם, ונגזרו 36 חודשי מאסר בפועל (ר' בפסק דין זה הפניות נרחבות לפסיקת בתי המשפט המחוזיים בנסיבות דומות).</w:t>
      </w:r>
    </w:p>
    <w:p w:rsidR="007E0A19" w:rsidRPr="00896878" w:rsidRDefault="007E0A19" w:rsidP="007E0A19">
      <w:pPr>
        <w:pStyle w:val="ListParagraph"/>
        <w:rPr>
          <w:rFonts w:ascii="David" w:hAnsi="David"/>
          <w:rtl/>
        </w:rPr>
      </w:pPr>
    </w:p>
    <w:p w:rsidR="007E0A19" w:rsidRPr="00186383" w:rsidRDefault="007E0A19" w:rsidP="007E0A19">
      <w:pPr>
        <w:pStyle w:val="ListParagraph"/>
        <w:numPr>
          <w:ilvl w:val="0"/>
          <w:numId w:val="1"/>
        </w:numPr>
        <w:spacing w:line="360" w:lineRule="auto"/>
        <w:jc w:val="both"/>
        <w:rPr>
          <w:rFonts w:ascii="David" w:hAnsi="David"/>
        </w:rPr>
      </w:pPr>
      <w:r w:rsidRPr="00186383">
        <w:rPr>
          <w:rFonts w:ascii="David" w:hAnsi="David"/>
          <w:b/>
          <w:bCs/>
          <w:rtl/>
        </w:rPr>
        <w:t>לאור האמור עד כה, מצאתי כי מתחם העונש ההולם את מעשי הנאשם נע בין 30 ל-60 חודשי מאסר בפועל, לצד רכיבי ענישה נלווים</w:t>
      </w:r>
      <w:r w:rsidRPr="00186383">
        <w:rPr>
          <w:rFonts w:ascii="David" w:hAnsi="David"/>
          <w:rtl/>
        </w:rPr>
        <w:t xml:space="preserve">. </w:t>
      </w:r>
    </w:p>
    <w:p w:rsidR="007E0A19" w:rsidRDefault="007E0A19" w:rsidP="007E0A19">
      <w:pPr>
        <w:pStyle w:val="ListParagraph"/>
        <w:spacing w:line="360" w:lineRule="auto"/>
        <w:ind w:left="360"/>
        <w:jc w:val="both"/>
        <w:rPr>
          <w:rFonts w:ascii="David" w:hAnsi="David"/>
        </w:rPr>
      </w:pPr>
    </w:p>
    <w:p w:rsidR="007E0A19" w:rsidRDefault="007E0A19" w:rsidP="007E0A19">
      <w:pPr>
        <w:pStyle w:val="ListParagraph"/>
        <w:numPr>
          <w:ilvl w:val="0"/>
          <w:numId w:val="1"/>
        </w:numPr>
        <w:spacing w:line="360" w:lineRule="auto"/>
        <w:jc w:val="both"/>
        <w:rPr>
          <w:rFonts w:ascii="David" w:hAnsi="David"/>
        </w:rPr>
      </w:pPr>
      <w:r w:rsidRPr="005D48B5">
        <w:rPr>
          <w:rFonts w:ascii="David" w:hAnsi="David"/>
          <w:rtl/>
        </w:rPr>
        <w:t>בתוך מתחם הענישה מצאתי כי יש לגזור את דינו של הנאשם סמוך לרף התחתון, בעיקר בשל הודאתו וגילו הצעיר מאוד בעת ביצוע העבירות. לא אגזור את דינו ברף התחתון ממש, בהינתן הרשעה קודמת בסחר בסמים מבית המשפט לנוער ובהתחשב שהנאשם ביצע את העבירות בתיק זה לאחר שהוגש נגדו כתב האישום הקודם.</w:t>
      </w:r>
    </w:p>
    <w:p w:rsidR="007E0A19" w:rsidRPr="005D48B5" w:rsidRDefault="007E0A19" w:rsidP="007E0A19">
      <w:pPr>
        <w:pStyle w:val="ListParagraph"/>
        <w:rPr>
          <w:rFonts w:ascii="David" w:hAnsi="David"/>
          <w:rtl/>
        </w:rPr>
      </w:pPr>
    </w:p>
    <w:p w:rsidR="007E0A19" w:rsidRDefault="007E0A19" w:rsidP="007E0A19">
      <w:pPr>
        <w:pStyle w:val="ListParagraph"/>
        <w:numPr>
          <w:ilvl w:val="0"/>
          <w:numId w:val="1"/>
        </w:numPr>
        <w:spacing w:line="360" w:lineRule="auto"/>
        <w:jc w:val="both"/>
        <w:rPr>
          <w:rFonts w:ascii="David" w:hAnsi="David"/>
        </w:rPr>
      </w:pPr>
      <w:r w:rsidRPr="005D48B5">
        <w:rPr>
          <w:rFonts w:ascii="David" w:hAnsi="David"/>
          <w:rtl/>
        </w:rPr>
        <w:t>לצד עונש המאסר, והמאסר המותנה, על הענישה לכלול רכיב כלכלי משמעותי, הואיל ומדובר בעבירות המבוצעות מתוך מניע כלכלי.</w:t>
      </w:r>
    </w:p>
    <w:p w:rsidR="007E0A19" w:rsidRPr="005D48B5" w:rsidRDefault="007E0A19" w:rsidP="007E0A19">
      <w:pPr>
        <w:pStyle w:val="ListParagraph"/>
        <w:rPr>
          <w:rFonts w:ascii="David" w:hAnsi="David"/>
          <w:rtl/>
        </w:rPr>
      </w:pPr>
    </w:p>
    <w:p w:rsidR="007E0A19" w:rsidRPr="005D48B5" w:rsidRDefault="007E0A19" w:rsidP="007E0A19">
      <w:pPr>
        <w:pStyle w:val="ListParagraph"/>
        <w:numPr>
          <w:ilvl w:val="0"/>
          <w:numId w:val="1"/>
        </w:numPr>
        <w:spacing w:line="360" w:lineRule="auto"/>
        <w:jc w:val="both"/>
        <w:rPr>
          <w:rFonts w:ascii="David" w:hAnsi="David"/>
        </w:rPr>
      </w:pPr>
      <w:r w:rsidRPr="005D48B5">
        <w:rPr>
          <w:rFonts w:ascii="David" w:hAnsi="David"/>
          <w:b/>
          <w:bCs/>
          <w:u w:val="single"/>
          <w:rtl/>
        </w:rPr>
        <w:t>לאור האמור לעיל אני גוזר על הנאשם את העונשים הבאים</w:t>
      </w:r>
      <w:r w:rsidRPr="005D48B5">
        <w:rPr>
          <w:rFonts w:ascii="David" w:hAnsi="David"/>
          <w:rtl/>
        </w:rPr>
        <w:t>:</w:t>
      </w:r>
    </w:p>
    <w:p w:rsidR="007E0A19" w:rsidRPr="00896878" w:rsidRDefault="007E0A19" w:rsidP="007E0A19">
      <w:pPr>
        <w:pStyle w:val="ListParagraph"/>
        <w:rPr>
          <w:rFonts w:ascii="David" w:hAnsi="David"/>
          <w:rtl/>
        </w:rPr>
      </w:pPr>
    </w:p>
    <w:p w:rsidR="007E0A19" w:rsidRPr="005D48B5" w:rsidRDefault="007E0A19" w:rsidP="007E0A19">
      <w:pPr>
        <w:pStyle w:val="ListParagraph"/>
        <w:numPr>
          <w:ilvl w:val="1"/>
          <w:numId w:val="1"/>
        </w:numPr>
        <w:spacing w:line="360" w:lineRule="auto"/>
        <w:jc w:val="both"/>
        <w:rPr>
          <w:rFonts w:ascii="David" w:hAnsi="David"/>
        </w:rPr>
      </w:pPr>
      <w:r w:rsidRPr="00186383">
        <w:rPr>
          <w:rFonts w:ascii="David" w:hAnsi="David"/>
          <w:b/>
          <w:bCs/>
          <w:rtl/>
        </w:rPr>
        <w:t>32 חודשי מאסר בפועל</w:t>
      </w:r>
      <w:r w:rsidRPr="00186383">
        <w:rPr>
          <w:rFonts w:ascii="David" w:hAnsi="David"/>
          <w:rtl/>
        </w:rPr>
        <w:t>, בניכוי</w:t>
      </w:r>
      <w:r w:rsidRPr="005D48B5">
        <w:rPr>
          <w:rFonts w:ascii="David" w:hAnsi="David"/>
          <w:rtl/>
        </w:rPr>
        <w:t xml:space="preserve"> ימי מעצרו לפי רישומי שב"ס.</w:t>
      </w:r>
    </w:p>
    <w:p w:rsidR="007E0A19" w:rsidRPr="00896878" w:rsidRDefault="007E0A19" w:rsidP="007E0A19">
      <w:pPr>
        <w:pStyle w:val="ListParagraph"/>
        <w:numPr>
          <w:ilvl w:val="1"/>
          <w:numId w:val="1"/>
        </w:numPr>
        <w:spacing w:line="360" w:lineRule="auto"/>
        <w:jc w:val="both"/>
        <w:rPr>
          <w:rFonts w:ascii="David" w:hAnsi="David"/>
        </w:rPr>
      </w:pPr>
      <w:r w:rsidRPr="005D48B5">
        <w:rPr>
          <w:rFonts w:ascii="David" w:hAnsi="David"/>
          <w:b/>
          <w:bCs/>
          <w:color w:val="000000"/>
          <w:rtl/>
        </w:rPr>
        <w:t>9 חודשי מאסר</w:t>
      </w:r>
      <w:r w:rsidRPr="005D48B5">
        <w:rPr>
          <w:rFonts w:ascii="David" w:hAnsi="David" w:hint="cs"/>
          <w:b/>
          <w:bCs/>
          <w:color w:val="000000"/>
          <w:rtl/>
        </w:rPr>
        <w:t xml:space="preserve"> על תנאי</w:t>
      </w:r>
      <w:r w:rsidRPr="00896878">
        <w:rPr>
          <w:rFonts w:ascii="David" w:hAnsi="David"/>
          <w:color w:val="000000"/>
          <w:rtl/>
        </w:rPr>
        <w:t xml:space="preserve">, </w:t>
      </w:r>
      <w:r>
        <w:rPr>
          <w:rFonts w:ascii="David" w:hAnsi="David" w:hint="cs"/>
          <w:color w:val="000000"/>
          <w:rtl/>
        </w:rPr>
        <w:t xml:space="preserve">לבל </w:t>
      </w:r>
      <w:r w:rsidRPr="00896878">
        <w:rPr>
          <w:rFonts w:ascii="David" w:hAnsi="David"/>
          <w:color w:val="000000"/>
          <w:rtl/>
        </w:rPr>
        <w:t>יעבור תוך 3 שנים מיום שחרורו ממאסר עבירה על פקודת הסמים מסוג פשע</w:t>
      </w:r>
      <w:r>
        <w:rPr>
          <w:rFonts w:ascii="David" w:hAnsi="David" w:hint="cs"/>
          <w:color w:val="000000"/>
          <w:rtl/>
        </w:rPr>
        <w:t>.</w:t>
      </w:r>
    </w:p>
    <w:p w:rsidR="007E0A19" w:rsidRPr="00896878" w:rsidRDefault="007E0A19" w:rsidP="007E0A19">
      <w:pPr>
        <w:pStyle w:val="ListParagraph"/>
        <w:numPr>
          <w:ilvl w:val="1"/>
          <w:numId w:val="1"/>
        </w:numPr>
        <w:spacing w:line="360" w:lineRule="auto"/>
        <w:jc w:val="both"/>
        <w:rPr>
          <w:rFonts w:ascii="David" w:hAnsi="David"/>
        </w:rPr>
      </w:pPr>
      <w:r w:rsidRPr="005D48B5">
        <w:rPr>
          <w:rFonts w:ascii="David" w:hAnsi="David"/>
          <w:b/>
          <w:bCs/>
          <w:color w:val="000000"/>
          <w:rtl/>
        </w:rPr>
        <w:t>3 חודשי מאסר</w:t>
      </w:r>
      <w:r w:rsidRPr="005D48B5">
        <w:rPr>
          <w:rFonts w:ascii="David" w:hAnsi="David" w:hint="cs"/>
          <w:b/>
          <w:bCs/>
          <w:color w:val="000000"/>
          <w:rtl/>
        </w:rPr>
        <w:t xml:space="preserve"> על תנאי</w:t>
      </w:r>
      <w:r>
        <w:rPr>
          <w:rFonts w:ascii="David" w:hAnsi="David" w:hint="cs"/>
          <w:color w:val="000000"/>
          <w:rtl/>
        </w:rPr>
        <w:t xml:space="preserve">, לבל </w:t>
      </w:r>
      <w:r w:rsidRPr="00896878">
        <w:rPr>
          <w:rFonts w:ascii="David" w:hAnsi="David"/>
          <w:color w:val="000000"/>
          <w:rtl/>
        </w:rPr>
        <w:t>יעבור תוך שנתיים מיום שחרורו ממאסר עבירה על פקודת הסמים מסוג עוון.</w:t>
      </w:r>
    </w:p>
    <w:p w:rsidR="007E0A19" w:rsidRPr="00896878" w:rsidRDefault="007E0A19" w:rsidP="007E0A19">
      <w:pPr>
        <w:pStyle w:val="ListParagraph"/>
        <w:numPr>
          <w:ilvl w:val="1"/>
          <w:numId w:val="1"/>
        </w:numPr>
        <w:spacing w:line="360" w:lineRule="auto"/>
        <w:jc w:val="both"/>
        <w:rPr>
          <w:rFonts w:ascii="David" w:hAnsi="David"/>
        </w:rPr>
      </w:pPr>
      <w:r w:rsidRPr="005D48B5">
        <w:rPr>
          <w:rFonts w:ascii="David" w:hAnsi="David"/>
          <w:b/>
          <w:bCs/>
          <w:color w:val="000000"/>
          <w:rtl/>
        </w:rPr>
        <w:t>קנס בסך 15,000 ₪</w:t>
      </w:r>
      <w:r w:rsidRPr="00896878">
        <w:rPr>
          <w:rFonts w:ascii="David" w:hAnsi="David"/>
          <w:color w:val="000000"/>
          <w:rtl/>
        </w:rPr>
        <w:t>, או 90 ימי מאסר תמורתו. הקנס ישולם עד ליום 1.12.2024.</w:t>
      </w:r>
    </w:p>
    <w:p w:rsidR="007E0A19" w:rsidRPr="00896878" w:rsidRDefault="007E0A19" w:rsidP="007E0A19">
      <w:pPr>
        <w:pStyle w:val="ListParagraph"/>
        <w:numPr>
          <w:ilvl w:val="1"/>
          <w:numId w:val="1"/>
        </w:numPr>
        <w:spacing w:line="360" w:lineRule="auto"/>
        <w:jc w:val="both"/>
        <w:rPr>
          <w:rFonts w:ascii="David" w:hAnsi="David"/>
        </w:rPr>
      </w:pPr>
      <w:r w:rsidRPr="00E12DB5">
        <w:rPr>
          <w:rFonts w:ascii="David" w:hAnsi="David"/>
          <w:b/>
          <w:bCs/>
          <w:color w:val="000000"/>
          <w:rtl/>
        </w:rPr>
        <w:t>אני מכריז על הנאשם כסוחר סמים</w:t>
      </w:r>
      <w:r w:rsidRPr="00896878">
        <w:rPr>
          <w:rFonts w:ascii="David" w:hAnsi="David"/>
          <w:color w:val="000000"/>
          <w:rtl/>
        </w:rPr>
        <w:t>.</w:t>
      </w:r>
    </w:p>
    <w:p w:rsidR="007E0A19" w:rsidRPr="00896878" w:rsidRDefault="007E0A19" w:rsidP="007E0A19">
      <w:pPr>
        <w:spacing w:line="360" w:lineRule="auto"/>
        <w:jc w:val="both"/>
        <w:rPr>
          <w:rFonts w:ascii="David" w:hAnsi="David"/>
          <w:color w:val="000000"/>
          <w:rtl/>
        </w:rPr>
      </w:pPr>
    </w:p>
    <w:p w:rsidR="007E0A19" w:rsidRPr="00896878" w:rsidRDefault="007E0A19" w:rsidP="007E0A19">
      <w:pPr>
        <w:spacing w:line="360" w:lineRule="auto"/>
        <w:jc w:val="both"/>
        <w:rPr>
          <w:rFonts w:ascii="David" w:hAnsi="David"/>
          <w:rtl/>
        </w:rPr>
      </w:pPr>
      <w:r w:rsidRPr="00896878">
        <w:rPr>
          <w:rFonts w:ascii="David" w:hAnsi="David"/>
          <w:color w:val="000000"/>
          <w:rtl/>
        </w:rPr>
        <w:t>ניתן צו כללי למוצגים.</w:t>
      </w:r>
    </w:p>
    <w:p w:rsidR="007E0A19" w:rsidRPr="00D74906" w:rsidRDefault="00D74906" w:rsidP="007E0A19">
      <w:pPr>
        <w:spacing w:line="360" w:lineRule="auto"/>
        <w:jc w:val="both"/>
        <w:rPr>
          <w:rFonts w:ascii="Arial" w:hAnsi="Arial"/>
          <w:color w:val="FFFFFF"/>
          <w:sz w:val="2"/>
          <w:szCs w:val="2"/>
          <w:rtl/>
        </w:rPr>
      </w:pPr>
      <w:r w:rsidRPr="00D74906">
        <w:rPr>
          <w:rFonts w:ascii="Arial" w:hAnsi="Arial"/>
          <w:color w:val="FFFFFF"/>
          <w:sz w:val="2"/>
          <w:szCs w:val="2"/>
          <w:rtl/>
        </w:rPr>
        <w:t>5129371</w:t>
      </w:r>
    </w:p>
    <w:p w:rsidR="007E0A19" w:rsidRPr="00896878" w:rsidRDefault="00D74906" w:rsidP="007E0A19">
      <w:pPr>
        <w:spacing w:line="360" w:lineRule="auto"/>
        <w:jc w:val="both"/>
        <w:rPr>
          <w:rFonts w:ascii="Arial" w:hAnsi="Arial"/>
          <w:rtl/>
        </w:rPr>
      </w:pPr>
      <w:r w:rsidRPr="00D74906">
        <w:rPr>
          <w:rFonts w:ascii="Arial" w:hAnsi="Arial"/>
          <w:b/>
          <w:bCs/>
          <w:color w:val="FFFFFF"/>
          <w:sz w:val="2"/>
          <w:szCs w:val="2"/>
          <w:u w:val="single"/>
          <w:rtl/>
        </w:rPr>
        <w:t>54678313</w:t>
      </w:r>
      <w:r w:rsidR="007E0A19" w:rsidRPr="00896878">
        <w:rPr>
          <w:rFonts w:ascii="Arial" w:hAnsi="Arial" w:hint="cs"/>
          <w:b/>
          <w:bCs/>
          <w:u w:val="single"/>
          <w:rtl/>
        </w:rPr>
        <w:t>זכות ערעור לבית המשפט המחוזי תוך 45 ימים</w:t>
      </w:r>
      <w:r w:rsidR="007E0A19" w:rsidRPr="00896878">
        <w:rPr>
          <w:rFonts w:ascii="Arial" w:hAnsi="Arial" w:hint="cs"/>
          <w:rtl/>
        </w:rPr>
        <w:t>.</w:t>
      </w:r>
    </w:p>
    <w:p w:rsidR="007E0A19" w:rsidRPr="00896878" w:rsidRDefault="007E0A19" w:rsidP="007E0A19">
      <w:pPr>
        <w:rPr>
          <w:rFonts w:ascii="Arial" w:hAnsi="Arial"/>
          <w:b/>
          <w:bCs/>
          <w:rtl/>
        </w:rPr>
      </w:pPr>
    </w:p>
    <w:p w:rsidR="007E0A19" w:rsidRPr="00896878" w:rsidRDefault="00D74906" w:rsidP="007E0A19">
      <w:pPr>
        <w:spacing w:line="360" w:lineRule="auto"/>
        <w:jc w:val="both"/>
        <w:rPr>
          <w:rFonts w:ascii="Arial" w:hAnsi="Arial"/>
          <w:b/>
          <w:bCs/>
          <w:sz w:val="26"/>
          <w:szCs w:val="26"/>
          <w:rtl/>
        </w:rPr>
      </w:pPr>
      <w:bookmarkStart w:id="7" w:name="Nitan"/>
      <w:r>
        <w:rPr>
          <w:rFonts w:ascii="Arial" w:hAnsi="Arial"/>
          <w:b/>
          <w:bCs/>
          <w:rtl/>
        </w:rPr>
        <w:t xml:space="preserve">ניתן היום,  כ"א אלול תשפ"ד, 24 ספטמבר 2024, במעמד הצדדים. </w:t>
      </w:r>
      <w:bookmarkEnd w:id="7"/>
      <w:r w:rsidR="007E0A19" w:rsidRPr="00896878">
        <w:rPr>
          <w:rFonts w:ascii="Arial" w:hAnsi="Arial"/>
          <w:b/>
          <w:bCs/>
          <w:rtl/>
        </w:rPr>
        <w:tab/>
      </w:r>
      <w:r w:rsidR="007E0A19" w:rsidRPr="00896878">
        <w:rPr>
          <w:rFonts w:ascii="Arial" w:hAnsi="Arial"/>
          <w:b/>
          <w:bCs/>
          <w:sz w:val="26"/>
          <w:szCs w:val="26"/>
          <w:rtl/>
        </w:rPr>
        <w:tab/>
      </w:r>
      <w:r w:rsidR="007E0A19" w:rsidRPr="00896878">
        <w:rPr>
          <w:rFonts w:ascii="Arial" w:hAnsi="Arial"/>
          <w:b/>
          <w:bCs/>
          <w:sz w:val="26"/>
          <w:szCs w:val="26"/>
          <w:rtl/>
        </w:rPr>
        <w:tab/>
      </w:r>
      <w:r w:rsidR="007E0A19" w:rsidRPr="00896878">
        <w:rPr>
          <w:rFonts w:ascii="Arial" w:hAnsi="Arial"/>
          <w:b/>
          <w:bCs/>
          <w:sz w:val="26"/>
          <w:szCs w:val="26"/>
          <w:rtl/>
        </w:rPr>
        <w:tab/>
      </w:r>
      <w:r w:rsidR="007E0A19" w:rsidRPr="00896878">
        <w:rPr>
          <w:rFonts w:ascii="Arial" w:hAnsi="Arial"/>
          <w:b/>
          <w:bCs/>
          <w:sz w:val="26"/>
          <w:szCs w:val="26"/>
          <w:rtl/>
        </w:rPr>
        <w:tab/>
      </w:r>
      <w:r w:rsidR="007E0A19" w:rsidRPr="00896878">
        <w:rPr>
          <w:rFonts w:ascii="Arial" w:hAnsi="Arial"/>
          <w:b/>
          <w:bCs/>
          <w:sz w:val="26"/>
          <w:szCs w:val="26"/>
          <w:rtl/>
        </w:rPr>
        <w:tab/>
      </w:r>
      <w:r w:rsidR="007E0A19" w:rsidRPr="00896878">
        <w:rPr>
          <w:rFonts w:ascii="Arial" w:hAnsi="Arial"/>
          <w:b/>
          <w:bCs/>
          <w:sz w:val="26"/>
          <w:szCs w:val="26"/>
          <w:rtl/>
        </w:rPr>
        <w:tab/>
      </w:r>
      <w:r w:rsidR="007E0A19" w:rsidRPr="00896878">
        <w:rPr>
          <w:rFonts w:ascii="Arial" w:hAnsi="Arial" w:hint="cs"/>
          <w:b/>
          <w:bCs/>
          <w:sz w:val="26"/>
          <w:szCs w:val="26"/>
          <w:rtl/>
        </w:rPr>
        <w:t xml:space="preserve">         </w:t>
      </w:r>
    </w:p>
    <w:p w:rsidR="007E0A19" w:rsidRPr="00896878" w:rsidRDefault="007E0A19" w:rsidP="00D74906">
      <w:pPr>
        <w:jc w:val="center"/>
      </w:pPr>
      <w:r w:rsidRPr="00896878">
        <w:rPr>
          <w:rFonts w:ascii="Arial" w:hAnsi="Arial"/>
          <w:b/>
          <w:bCs/>
          <w:sz w:val="26"/>
          <w:szCs w:val="26"/>
          <w:rtl/>
        </w:rPr>
        <w:t xml:space="preserve">   </w:t>
      </w:r>
      <w:r w:rsidRPr="00896878">
        <w:rPr>
          <w:rFonts w:ascii="Arial" w:hAnsi="Arial"/>
          <w:b/>
          <w:bCs/>
          <w:sz w:val="26"/>
          <w:szCs w:val="26"/>
          <w:rtl/>
        </w:rPr>
        <w:tab/>
      </w:r>
      <w:r w:rsidRPr="00896878">
        <w:rPr>
          <w:rFonts w:ascii="Arial" w:hAnsi="Arial"/>
          <w:b/>
          <w:bCs/>
          <w:sz w:val="26"/>
          <w:szCs w:val="26"/>
          <w:rtl/>
        </w:rPr>
        <w:tab/>
      </w:r>
      <w:r w:rsidRPr="00896878">
        <w:rPr>
          <w:rFonts w:ascii="Arial" w:hAnsi="Arial"/>
          <w:b/>
          <w:bCs/>
          <w:sz w:val="26"/>
          <w:szCs w:val="26"/>
          <w:rtl/>
        </w:rPr>
        <w:tab/>
      </w:r>
      <w:r w:rsidRPr="00896878">
        <w:rPr>
          <w:rFonts w:ascii="Arial" w:hAnsi="Arial"/>
          <w:b/>
          <w:bCs/>
          <w:sz w:val="26"/>
          <w:szCs w:val="26"/>
          <w:rtl/>
        </w:rPr>
        <w:tab/>
      </w:r>
      <w:r w:rsidRPr="00896878">
        <w:rPr>
          <w:rFonts w:ascii="Arial" w:hAnsi="Arial"/>
          <w:b/>
          <w:bCs/>
          <w:sz w:val="26"/>
          <w:szCs w:val="26"/>
          <w:rtl/>
        </w:rPr>
        <w:tab/>
      </w:r>
    </w:p>
    <w:p w:rsidR="007E0A19" w:rsidRPr="005F267E" w:rsidRDefault="005F267E" w:rsidP="007E0A19">
      <w:pPr>
        <w:jc w:val="center"/>
        <w:rPr>
          <w:rFonts w:ascii="Arial" w:hAnsi="Arial"/>
          <w:b/>
          <w:bCs/>
          <w:color w:val="FFFFFF"/>
          <w:sz w:val="2"/>
          <w:szCs w:val="2"/>
          <w:rtl/>
        </w:rPr>
      </w:pPr>
      <w:r w:rsidRPr="005F267E">
        <w:rPr>
          <w:rFonts w:ascii="Arial" w:hAnsi="Arial"/>
          <w:b/>
          <w:bCs/>
          <w:color w:val="FFFFFF"/>
          <w:sz w:val="2"/>
          <w:szCs w:val="2"/>
          <w:rtl/>
        </w:rPr>
        <w:t>5129371</w:t>
      </w:r>
    </w:p>
    <w:p w:rsidR="00CA7855" w:rsidRPr="005F267E" w:rsidRDefault="005F267E" w:rsidP="00D74906">
      <w:pPr>
        <w:keepNext/>
        <w:rPr>
          <w:rFonts w:ascii="David" w:hAnsi="David"/>
          <w:color w:val="FFFFFF"/>
          <w:sz w:val="2"/>
          <w:szCs w:val="2"/>
          <w:rtl/>
        </w:rPr>
      </w:pPr>
      <w:r w:rsidRPr="005F267E">
        <w:rPr>
          <w:rFonts w:ascii="David" w:hAnsi="David"/>
          <w:color w:val="FFFFFF"/>
          <w:sz w:val="2"/>
          <w:szCs w:val="2"/>
          <w:rtl/>
        </w:rPr>
        <w:t>54678313</w:t>
      </w:r>
    </w:p>
    <w:p w:rsidR="00D74906" w:rsidRDefault="00D74906" w:rsidP="00D74906">
      <w:pPr>
        <w:rPr>
          <w:rtl/>
        </w:rPr>
      </w:pPr>
    </w:p>
    <w:p w:rsidR="00D74906" w:rsidRDefault="00D74906" w:rsidP="00D74906">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rsidR="005F267E" w:rsidRPr="005F267E" w:rsidRDefault="005F267E" w:rsidP="005F267E">
      <w:pPr>
        <w:keepNext/>
        <w:rPr>
          <w:rFonts w:ascii="David" w:hAnsi="David"/>
          <w:color w:val="000000"/>
          <w:sz w:val="22"/>
          <w:szCs w:val="22"/>
          <w:rtl/>
        </w:rPr>
      </w:pPr>
    </w:p>
    <w:p w:rsidR="005F267E" w:rsidRPr="005F267E" w:rsidRDefault="005F267E" w:rsidP="005F267E">
      <w:pPr>
        <w:keepNext/>
        <w:rPr>
          <w:rFonts w:ascii="David" w:hAnsi="David"/>
          <w:color w:val="000000"/>
          <w:sz w:val="22"/>
          <w:szCs w:val="22"/>
          <w:rtl/>
        </w:rPr>
      </w:pPr>
      <w:r w:rsidRPr="005F267E">
        <w:rPr>
          <w:rFonts w:ascii="David" w:hAnsi="David"/>
          <w:color w:val="000000"/>
          <w:sz w:val="22"/>
          <w:szCs w:val="22"/>
          <w:rtl/>
        </w:rPr>
        <w:t>טל ענר 54678313-/</w:t>
      </w:r>
    </w:p>
    <w:p w:rsidR="00D74906" w:rsidRPr="00D74906" w:rsidRDefault="005F267E" w:rsidP="005F267E">
      <w:pPr>
        <w:rPr>
          <w:color w:val="0000FF"/>
          <w:u w:val="single"/>
        </w:rPr>
      </w:pPr>
      <w:r w:rsidRPr="005F267E">
        <w:rPr>
          <w:color w:val="000000"/>
          <w:u w:val="single"/>
          <w:rtl/>
        </w:rPr>
        <w:t>נוסח מסמך זה כפוף לשינויי ניסוח ועריכה</w:t>
      </w:r>
    </w:p>
    <w:sectPr w:rsidR="00D74906" w:rsidRPr="00D74906" w:rsidSect="005F267E">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A4168" w:rsidRDefault="00FA4168" w:rsidP="00991B30">
      <w:r>
        <w:separator/>
      </w:r>
    </w:p>
  </w:endnote>
  <w:endnote w:type="continuationSeparator" w:id="0">
    <w:p w:rsidR="00FA4168" w:rsidRDefault="00FA4168" w:rsidP="00991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F267E" w:rsidRDefault="005F267E" w:rsidP="005F267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E609FB" w:rsidRPr="005F267E" w:rsidRDefault="005F267E" w:rsidP="005F267E">
    <w:pPr>
      <w:pStyle w:val="Footer"/>
      <w:pBdr>
        <w:top w:val="single" w:sz="4" w:space="1" w:color="auto"/>
        <w:between w:val="single" w:sz="4" w:space="0" w:color="auto"/>
      </w:pBdr>
      <w:spacing w:after="60"/>
      <w:jc w:val="center"/>
      <w:rPr>
        <w:rFonts w:ascii="FrankRuehl" w:hAnsi="FrankRuehl" w:cs="FrankRuehl"/>
        <w:color w:val="000000"/>
      </w:rPr>
    </w:pPr>
    <w:r w:rsidRPr="005F267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F267E" w:rsidRDefault="005F267E" w:rsidP="005F267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0E4C">
      <w:rPr>
        <w:rFonts w:ascii="FrankRuehl" w:hAnsi="FrankRuehl" w:cs="FrankRuehl"/>
        <w:noProof/>
        <w:rtl/>
      </w:rPr>
      <w:t>1</w:t>
    </w:r>
    <w:r>
      <w:rPr>
        <w:rFonts w:ascii="FrankRuehl" w:hAnsi="FrankRuehl" w:cs="FrankRuehl"/>
        <w:rtl/>
      </w:rPr>
      <w:fldChar w:fldCharType="end"/>
    </w:r>
  </w:p>
  <w:p w:rsidR="00E609FB" w:rsidRPr="005F267E" w:rsidRDefault="005F267E" w:rsidP="005F267E">
    <w:pPr>
      <w:pStyle w:val="Footer"/>
      <w:pBdr>
        <w:top w:val="single" w:sz="4" w:space="1" w:color="auto"/>
        <w:between w:val="single" w:sz="4" w:space="0" w:color="auto"/>
      </w:pBdr>
      <w:spacing w:after="60"/>
      <w:jc w:val="center"/>
      <w:rPr>
        <w:rFonts w:ascii="FrankRuehl" w:hAnsi="FrankRuehl" w:cs="FrankRuehl"/>
        <w:color w:val="000000"/>
      </w:rPr>
    </w:pPr>
    <w:r w:rsidRPr="005F267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A4168" w:rsidRDefault="00FA4168" w:rsidP="00991B30">
      <w:r>
        <w:separator/>
      </w:r>
    </w:p>
  </w:footnote>
  <w:footnote w:type="continuationSeparator" w:id="0">
    <w:p w:rsidR="00FA4168" w:rsidRDefault="00FA4168" w:rsidP="00991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4906" w:rsidRPr="005F267E" w:rsidRDefault="005F267E" w:rsidP="005F267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26004-12-23</w:t>
    </w:r>
    <w:r>
      <w:rPr>
        <w:rFonts w:ascii="David" w:hAnsi="David"/>
        <w:color w:val="000000"/>
        <w:sz w:val="22"/>
        <w:szCs w:val="22"/>
        <w:rtl/>
      </w:rPr>
      <w:tab/>
      <w:t xml:space="preserve"> מדינת ישראל נ' פאדי אזברגה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74906" w:rsidRPr="005F267E" w:rsidRDefault="005F267E" w:rsidP="005F267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26004-12-23</w:t>
    </w:r>
    <w:r>
      <w:rPr>
        <w:rFonts w:ascii="David" w:hAnsi="David"/>
        <w:color w:val="000000"/>
        <w:sz w:val="22"/>
        <w:szCs w:val="22"/>
        <w:rtl/>
      </w:rPr>
      <w:tab/>
      <w:t xml:space="preserve"> מדינת ישראל נ' פאדי אזברגה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579E4"/>
    <w:multiLevelType w:val="hybridMultilevel"/>
    <w:tmpl w:val="3C2E3486"/>
    <w:lvl w:ilvl="0" w:tplc="0409000F">
      <w:start w:val="1"/>
      <w:numFmt w:val="decimal"/>
      <w:lvlText w:val="%1."/>
      <w:lvlJc w:val="left"/>
      <w:pPr>
        <w:ind w:left="360" w:hanging="360"/>
      </w:pPr>
      <w:rPr>
        <w:rFonts w:hint="default"/>
      </w:rPr>
    </w:lvl>
    <w:lvl w:ilvl="1" w:tplc="6428BD50">
      <w:start w:val="1"/>
      <w:numFmt w:val="hebrew1"/>
      <w:lvlText w:val="%2."/>
      <w:lvlJc w:val="left"/>
      <w:pPr>
        <w:ind w:left="1080" w:hanging="360"/>
      </w:pPr>
      <w:rPr>
        <w:rFonts w:ascii="David" w:eastAsia="Times New Roman" w:hAnsi="David" w:cs="David"/>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504FF3"/>
    <w:multiLevelType w:val="hybridMultilevel"/>
    <w:tmpl w:val="1CA650A4"/>
    <w:lvl w:ilvl="0" w:tplc="45E82D1E">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77069467">
    <w:abstractNumId w:val="0"/>
  </w:num>
  <w:num w:numId="2" w16cid:durableId="875233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0A19"/>
    <w:rsid w:val="001B5A3B"/>
    <w:rsid w:val="005F267E"/>
    <w:rsid w:val="007E0A19"/>
    <w:rsid w:val="00991B30"/>
    <w:rsid w:val="009E6AAC"/>
    <w:rsid w:val="00CA7855"/>
    <w:rsid w:val="00D74906"/>
    <w:rsid w:val="00D80E4C"/>
    <w:rsid w:val="00E609FB"/>
    <w:rsid w:val="00FA41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0B6B7A1-B121-422B-85B2-35F319B7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A19"/>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E0A19"/>
    <w:pPr>
      <w:tabs>
        <w:tab w:val="center" w:pos="4153"/>
        <w:tab w:val="right" w:pos="8306"/>
      </w:tabs>
    </w:pPr>
  </w:style>
  <w:style w:type="character" w:customStyle="1" w:styleId="HeaderChar">
    <w:name w:val="Header Char"/>
    <w:link w:val="Header"/>
    <w:rsid w:val="007E0A19"/>
    <w:rPr>
      <w:rFonts w:ascii="Times New Roman" w:eastAsia="Times New Roman" w:hAnsi="Times New Roman" w:cs="David"/>
      <w:sz w:val="24"/>
      <w:szCs w:val="24"/>
    </w:rPr>
  </w:style>
  <w:style w:type="paragraph" w:styleId="Footer">
    <w:name w:val="footer"/>
    <w:basedOn w:val="Normal"/>
    <w:link w:val="FooterChar"/>
    <w:rsid w:val="007E0A19"/>
    <w:pPr>
      <w:tabs>
        <w:tab w:val="center" w:pos="4153"/>
        <w:tab w:val="right" w:pos="8306"/>
      </w:tabs>
    </w:pPr>
  </w:style>
  <w:style w:type="character" w:customStyle="1" w:styleId="FooterChar">
    <w:name w:val="Footer Char"/>
    <w:link w:val="Footer"/>
    <w:rsid w:val="007E0A19"/>
    <w:rPr>
      <w:rFonts w:ascii="Times New Roman" w:eastAsia="Times New Roman" w:hAnsi="Times New Roman" w:cs="David"/>
      <w:sz w:val="24"/>
      <w:szCs w:val="24"/>
    </w:rPr>
  </w:style>
  <w:style w:type="table" w:styleId="TableGrid">
    <w:name w:val="Table Grid"/>
    <w:basedOn w:val="TableNormal"/>
    <w:rsid w:val="007E0A1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7E0A19"/>
  </w:style>
  <w:style w:type="paragraph" w:styleId="ListParagraph">
    <w:name w:val="List Paragraph"/>
    <w:basedOn w:val="Normal"/>
    <w:qFormat/>
    <w:rsid w:val="007E0A19"/>
    <w:pPr>
      <w:ind w:left="720"/>
      <w:contextualSpacing/>
    </w:pPr>
  </w:style>
  <w:style w:type="character" w:styleId="Hyperlink">
    <w:name w:val="Hyperlink"/>
    <w:rsid w:val="00D7490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5738608"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5439387" TargetMode="External"/><Relationship Id="rId2" Type="http://schemas.openxmlformats.org/officeDocument/2006/relationships/styles" Target="styles.xml"/><Relationship Id="rId16" Type="http://schemas.openxmlformats.org/officeDocument/2006/relationships/hyperlink" Target="http://www.nevo.co.il/case/26123547"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3133293" TargetMode="External"/><Relationship Id="rId23"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30166943"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7063</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3604593</vt:i4>
      </vt:variant>
      <vt:variant>
        <vt:i4>30</vt:i4>
      </vt:variant>
      <vt:variant>
        <vt:i4>0</vt:i4>
      </vt:variant>
      <vt:variant>
        <vt:i4>5</vt:i4>
      </vt:variant>
      <vt:variant>
        <vt:lpwstr>http://www.nevo.co.il/case/25439387</vt:lpwstr>
      </vt:variant>
      <vt:variant>
        <vt:lpwstr/>
      </vt:variant>
      <vt:variant>
        <vt:i4>3407989</vt:i4>
      </vt:variant>
      <vt:variant>
        <vt:i4>27</vt:i4>
      </vt:variant>
      <vt:variant>
        <vt:i4>0</vt:i4>
      </vt:variant>
      <vt:variant>
        <vt:i4>5</vt:i4>
      </vt:variant>
      <vt:variant>
        <vt:lpwstr>http://www.nevo.co.il/case/26123547</vt:lpwstr>
      </vt:variant>
      <vt:variant>
        <vt:lpwstr/>
      </vt:variant>
      <vt:variant>
        <vt:i4>3735670</vt:i4>
      </vt:variant>
      <vt:variant>
        <vt:i4>24</vt:i4>
      </vt:variant>
      <vt:variant>
        <vt:i4>0</vt:i4>
      </vt:variant>
      <vt:variant>
        <vt:i4>5</vt:i4>
      </vt:variant>
      <vt:variant>
        <vt:lpwstr>http://www.nevo.co.il/case/23133293</vt:lpwstr>
      </vt:variant>
      <vt:variant>
        <vt:lpwstr/>
      </vt:variant>
      <vt:variant>
        <vt:i4>3145851</vt:i4>
      </vt:variant>
      <vt:variant>
        <vt:i4>21</vt:i4>
      </vt:variant>
      <vt:variant>
        <vt:i4>0</vt:i4>
      </vt:variant>
      <vt:variant>
        <vt:i4>5</vt:i4>
      </vt:variant>
      <vt:variant>
        <vt:lpwstr>http://www.nevo.co.il/case/30166943</vt:lpwstr>
      </vt:variant>
      <vt:variant>
        <vt:lpwstr/>
      </vt:variant>
      <vt:variant>
        <vt:i4>3670139</vt:i4>
      </vt:variant>
      <vt:variant>
        <vt:i4>18</vt:i4>
      </vt:variant>
      <vt:variant>
        <vt:i4>0</vt:i4>
      </vt:variant>
      <vt:variant>
        <vt:i4>5</vt:i4>
      </vt:variant>
      <vt:variant>
        <vt:lpwstr>http://www.nevo.co.il/case/5738608</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2024-12-03T08:37:00Z</dcterms:created>
  <dcterms:modified xsi:type="dcterms:W3CDTF">2024-12-03T08:37:00Z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26004</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פאדי אזברגה;מוחידין אזברגה </vt:lpwstr>
  </property>
  <property fmtid="{D5CDD505-2E9C-101B-9397-08002B2CF9AE}" pid="10" name="JUDGE">
    <vt:lpwstr>טל ענר</vt:lpwstr>
  </property>
  <property fmtid="{D5CDD505-2E9C-101B-9397-08002B2CF9AE}" pid="11" name="CITY">
    <vt:lpwstr>רמ'</vt:lpwstr>
  </property>
  <property fmtid="{D5CDD505-2E9C-101B-9397-08002B2CF9AE}" pid="12" name="DATE">
    <vt:lpwstr>20240924</vt:lpwstr>
  </property>
  <property fmtid="{D5CDD505-2E9C-101B-9397-08002B2CF9AE}" pid="13" name="TYPE_N_DATE">
    <vt:lpwstr>38020240924</vt:lpwstr>
  </property>
  <property fmtid="{D5CDD505-2E9C-101B-9397-08002B2CF9AE}" pid="14" name="CASESLISTTMP1">
    <vt:lpwstr>5738608;30166943;23133293;26123547;25439387</vt:lpwstr>
  </property>
  <property fmtid="{D5CDD505-2E9C-101B-9397-08002B2CF9AE}" pid="15" name="CASENOTES1">
    <vt:lpwstr>ProcID=174;&amp;PartA=6373&amp;PartC=06</vt:lpwstr>
  </property>
  <property fmtid="{D5CDD505-2E9C-101B-9397-08002B2CF9AE}" pid="16" name="CASENOTES2">
    <vt:lpwstr>ProcID=209&amp;PartA=73652&amp;PartC=01</vt:lpwstr>
  </property>
  <property fmtid="{D5CDD505-2E9C-101B-9397-08002B2CF9AE}" pid="17" name="WORDNUMPAGES">
    <vt:lpwstr>4</vt:lpwstr>
  </property>
  <property fmtid="{D5CDD505-2E9C-101B-9397-08002B2CF9AE}" pid="18" name="TYPE_ABS_DATE">
    <vt:lpwstr>380020240924</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4216/013;019a</vt:lpwstr>
  </property>
</Properties>
</file>