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721.0" w:type="dxa"/>
        <w:jc w:val="center"/>
        <w:tblLayout w:type="fixed"/>
        <w:tblLook w:val="0000"/>
      </w:tblPr>
      <w:tblGrid>
        <w:gridCol w:w="5059"/>
        <w:gridCol w:w="3662"/>
        <w:tblGridChange w:id="0">
          <w:tblGrid>
            <w:gridCol w:w="5059"/>
            <w:gridCol w:w="3662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gridSpan w:val="2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בית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משפט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השלום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באילת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28565-05-24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מדינת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ישראל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'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אלמלם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עציר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3"/>
        <w:gridCol w:w="3219"/>
        <w:gridCol w:w="4678"/>
        <w:tblGridChange w:id="0">
          <w:tblGrid>
            <w:gridCol w:w="923"/>
            <w:gridCol w:w="3219"/>
            <w:gridCol w:w="4678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bidi w:val="1"/>
              <w:jc w:val="both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לפני</w:t>
            </w: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bidi w:val="1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כבוד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השופט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גיל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אדלמן</w:t>
            </w:r>
          </w:p>
          <w:p w:rsidR="00000000" w:rsidDel="00000000" w:rsidP="00000000" w:rsidRDefault="00000000" w:rsidRPr="00000000" w14:paraId="0000000B">
            <w:pPr>
              <w:bidi w:val="1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bidi w:val="1"/>
              <w:jc w:val="both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30j0zll" w:id="1"/>
          <w:bookmarkEnd w:id="1"/>
          <w:bookmarkStart w:colFirst="0" w:colLast="0" w:name="bookmark=id.1fob9te" w:id="2"/>
          <w:bookmarkEnd w:id="2"/>
          <w:p w:rsidR="00000000" w:rsidDel="00000000" w:rsidP="00000000" w:rsidRDefault="00000000" w:rsidRPr="00000000" w14:paraId="0000000E">
            <w:pPr>
              <w:bidi w:val="1"/>
              <w:jc w:val="both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בעניין</w:t>
            </w:r>
            <w:r w:rsidDel="00000000" w:rsidR="00000000" w:rsidRPr="00000000">
              <w:rPr>
                <w:rFonts w:ascii="David" w:cs="David" w:eastAsia="David" w:hAnsi="David"/>
                <w:sz w:val="26"/>
                <w:szCs w:val="26"/>
                <w:rtl w:val="1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bidi w:val="1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המאשימה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bidi w:val="1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bidi w:val="1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מדינת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ישראל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bidi w:val="1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ע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כ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עוה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ד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ליטל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סגל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מלכה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bidi w:val="1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bidi w:val="1"/>
              <w:jc w:val="both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bidi w:val="1"/>
              <w:jc w:val="center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bidi w:val="1"/>
              <w:jc w:val="center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rtl w:val="1"/>
              </w:rPr>
              <w:t xml:space="preserve">נגד</w:t>
            </w:r>
          </w:p>
          <w:p w:rsidR="00000000" w:rsidDel="00000000" w:rsidP="00000000" w:rsidRDefault="00000000" w:rsidRPr="00000000" w14:paraId="00000017">
            <w:pPr>
              <w:bidi w:val="1"/>
              <w:jc w:val="both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bidi w:val="1"/>
              <w:jc w:val="both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bidi w:val="1"/>
              <w:jc w:val="center"/>
              <w:rPr>
                <w:rFonts w:ascii="David" w:cs="David" w:eastAsia="David" w:hAnsi="David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bidi w:val="1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bidi w:val="1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הנאשם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bidi w:val="1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אורי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אלמלם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עציר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) </w:t>
            </w:r>
          </w:p>
          <w:p w:rsidR="00000000" w:rsidDel="00000000" w:rsidP="00000000" w:rsidRDefault="00000000" w:rsidRPr="00000000" w14:paraId="0000001F">
            <w:pPr>
              <w:bidi w:val="1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ע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כ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עוה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ד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אסף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לוי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bidi w:val="1"/>
              <w:rPr>
                <w:rFonts w:ascii="David" w:cs="David" w:eastAsia="David" w:hAnsi="Davi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bidi w:val="1"/>
        <w:spacing w:after="120" w:before="120" w:line="240" w:lineRule="auto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23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Fonts w:ascii="FrankRuehl" w:cs="FrankRuehl" w:eastAsia="FrankRuehl" w:hAnsi="FrankRuehl"/>
          <w:rtl w:val="1"/>
        </w:rPr>
        <w:t xml:space="preserve">חקיקה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שאוזכרה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: </w:t>
      </w:r>
    </w:p>
    <w:p w:rsidR="00000000" w:rsidDel="00000000" w:rsidP="00000000" w:rsidRDefault="00000000" w:rsidRPr="00000000" w14:paraId="00000025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  <w:color w:val="0000ff"/>
        </w:rPr>
      </w:pPr>
      <w:hyperlink r:id="rId9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פקודת</w:t>
        </w:r>
      </w:hyperlink>
      <w:hyperlink r:id="rId10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הסמים</w:t>
        </w:r>
      </w:hyperlink>
      <w:hyperlink r:id="rId12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 </w:t>
        </w:r>
      </w:hyperlink>
      <w:hyperlink r:id="rId13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המסוכנים</w:t>
        </w:r>
      </w:hyperlink>
      <w:hyperlink r:id="rId14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 [</w:t>
        </w:r>
      </w:hyperlink>
      <w:hyperlink r:id="rId15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נוסח</w:t>
        </w:r>
      </w:hyperlink>
      <w:hyperlink r:id="rId16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 </w:t>
        </w:r>
      </w:hyperlink>
      <w:hyperlink r:id="rId17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חדש</w:t>
        </w:r>
      </w:hyperlink>
      <w:hyperlink r:id="rId18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], </w:t>
        </w:r>
      </w:hyperlink>
      <w:hyperlink r:id="rId19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תשל</w:t>
        </w:r>
      </w:hyperlink>
      <w:hyperlink r:id="rId20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"</w:t>
        </w:r>
      </w:hyperlink>
      <w:hyperlink r:id="rId21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ג</w:t>
        </w:r>
      </w:hyperlink>
      <w:hyperlink r:id="rId22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-1973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'  </w:t>
      </w:r>
      <w:hyperlink r:id="rId23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(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א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), </w:t>
      </w:r>
      <w:hyperlink r:id="rId24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(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ג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), </w:t>
      </w:r>
      <w:hyperlink r:id="rId25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0"/>
          </w:rPr>
          <w:t xml:space="preserve">13</w:t>
        </w:r>
      </w:hyperlink>
      <w:r w:rsidDel="00000000" w:rsidR="00000000" w:rsidRPr="00000000">
        <w:rPr>
          <w:rFonts w:ascii="FrankRuehl" w:cs="FrankRuehl" w:eastAsia="FrankRuehl" w:hAnsi="FrankRuehl"/>
          <w:color w:val="0000ff"/>
          <w:rtl w:val="0"/>
        </w:rPr>
        <w:t xml:space="preserve">, </w:t>
      </w:r>
      <w:hyperlink r:id="rId26">
        <w:r w:rsidDel="00000000" w:rsidR="00000000" w:rsidRPr="00000000">
          <w:rPr>
            <w:rtl w:val="0"/>
          </w:rPr>
        </w:r>
      </w:hyperlink>
      <w:hyperlink r:id="rId27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19</w:t>
        </w:r>
      </w:hyperlink>
      <w:hyperlink r:id="rId28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א</w:t>
        </w:r>
      </w:hyperlink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26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tyjcwt" w:id="5"/>
          <w:bookmarkEnd w:id="5"/>
          <w:p w:rsidR="00000000" w:rsidDel="00000000" w:rsidP="00000000" w:rsidRDefault="00000000" w:rsidRPr="00000000" w14:paraId="00000029">
            <w:pPr>
              <w:bidi w:val="1"/>
              <w:jc w:val="center"/>
              <w:rPr>
                <w:rFonts w:ascii="David" w:cs="David" w:eastAsia="David" w:hAnsi="David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32"/>
                <w:szCs w:val="32"/>
                <w:u w:val="single"/>
                <w:rtl w:val="1"/>
              </w:rPr>
              <w:t xml:space="preserve">גזר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32"/>
                <w:szCs w:val="32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32"/>
                <w:szCs w:val="32"/>
                <w:u w:val="single"/>
                <w:rtl w:val="1"/>
              </w:rPr>
              <w:t xml:space="preserve">דין</w:t>
            </w:r>
          </w:p>
          <w:p w:rsidR="00000000" w:rsidDel="00000000" w:rsidP="00000000" w:rsidRDefault="00000000" w:rsidRPr="00000000" w14:paraId="0000002A">
            <w:pPr>
              <w:bidi w:val="1"/>
              <w:jc w:val="center"/>
              <w:rPr>
                <w:rFonts w:ascii="David" w:cs="David" w:eastAsia="David" w:hAnsi="David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bidi w:val="1"/>
        <w:spacing w:line="360" w:lineRule="auto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המסגרת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העובדתית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אלמלם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הודאתו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בעובדות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מתוקן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המייחס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יבוא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הספקה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2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סעיפים</w:t>
        </w:r>
      </w:hyperlink>
      <w:hyperlink r:id="rId3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hyperlink r:id="rId31">
        <w:r w:rsidDel="00000000" w:rsidR="00000000" w:rsidRPr="00000000">
          <w:rPr>
            <w:rtl w:val="0"/>
          </w:rPr>
        </w:r>
      </w:hyperlink>
      <w:hyperlink r:id="rId32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19</w:t>
        </w:r>
      </w:hyperlink>
      <w:hyperlink r:id="rId3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א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hyperlink r:id="rId34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פקודת</w:t>
        </w:r>
      </w:hyperlink>
      <w:hyperlink r:id="rId35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36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הסמים</w:t>
        </w:r>
      </w:hyperlink>
      <w:hyperlink r:id="rId3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38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1973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פקודת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הספקת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3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סעיפים</w:t>
        </w:r>
      </w:hyperlink>
      <w:hyperlink r:id="rId4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hyperlink r:id="rId41">
        <w:r w:rsidDel="00000000" w:rsidR="00000000" w:rsidRPr="00000000">
          <w:rPr>
            <w:rtl w:val="0"/>
          </w:rPr>
        </w:r>
      </w:hyperlink>
      <w:hyperlink r:id="rId42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19</w:t>
        </w:r>
      </w:hyperlink>
      <w:hyperlink r:id="rId4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א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לפקודת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והחזקה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לצריכה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עצמית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44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סעיף</w:t>
        </w:r>
      </w:hyperlink>
      <w:hyperlink r:id="rId45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7(</w:t>
        </w:r>
      </w:hyperlink>
      <w:hyperlink r:id="rId46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א</w:t>
        </w:r>
      </w:hyperlink>
      <w:hyperlink r:id="rId4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 </w:t>
      </w:r>
      <w:hyperlink r:id="rId48">
        <w:r w:rsidDel="00000000" w:rsidR="00000000" w:rsidRPr="00000000">
          <w:rPr>
            <w:rtl w:val="0"/>
          </w:rPr>
        </w:r>
      </w:hyperlink>
      <w:hyperlink r:id="rId4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7(</w:t>
        </w:r>
      </w:hyperlink>
      <w:hyperlink r:id="rId5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ג</w:t>
        </w:r>
      </w:hyperlink>
      <w:hyperlink r:id="rId51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רישא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לפקודת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t3h5sf" w:id="7"/>
    <w:bookmarkEnd w:id="7"/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במועדים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הרלוונטיים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סמוי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פיקוח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ובהנחיית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משטרת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איסוף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סוחרי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2.00000000000003" w:lineRule="auto"/>
        <w:ind w:left="72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פורט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הכללי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המתוקן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היכרות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מוקדמת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הרלוונטי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הטלפון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הנייד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24.1.2024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19:48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פעילותו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לקניית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מסוחרי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לטלפון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הנייד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לשיחה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כמתואר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אפליקציית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ווטסאפ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בהודעה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תרשום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לאמור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סיכמו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בהודעות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זמניות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באפליקציה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שנמחקות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קריאתן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רכישה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קטמין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- 1,100 ₪.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מפורט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בסמוך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20:36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"4005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בסמוך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20:47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בחניית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4005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פגש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ומכר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קטמין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4.7903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וקיבל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1,100 ₪.</w:t>
      </w:r>
    </w:p>
    <w:p w:rsidR="00000000" w:rsidDel="00000000" w:rsidP="00000000" w:rsidRDefault="00000000" w:rsidRPr="00000000" w14:paraId="00000035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24.1.2024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20:18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הטלפון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הנייד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ושאל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קטמין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כמתואר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יאללה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סוגים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יערבב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הסוגים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וסיכמו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להיפגש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- 4005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כמתואר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בסמוך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20:29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בחניית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4005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פגש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קטמין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4.5882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השלישי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28.4.2024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החזיק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8.5067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60" w:lineRule="auto"/>
        <w:ind w:left="72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מתילמטקתינון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14.2733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E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החזיק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כסף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מזומן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700 ₪.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בהליך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גישור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15.7.2024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המתוקן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והורשע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הודאתו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שפורטו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הופנה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לקבלת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תסקיר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לעניין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עונשית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הטיעון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bidi w:val="1"/>
        <w:spacing w:line="360" w:lineRule="auto"/>
        <w:ind w:left="3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15.10.2024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נשמעו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הטיעונים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60" w:lineRule="auto"/>
        <w:ind w:left="360" w:right="0" w:firstLine="0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line="360" w:lineRule="auto"/>
        <w:jc w:val="both"/>
        <w:rPr>
          <w:rFonts w:ascii="David" w:cs="David" w:eastAsia="David" w:hAnsi="David"/>
          <w:u w:val="single"/>
        </w:rPr>
      </w:pP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תסקיר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המבחן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בתסקיר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שהוגש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1.10.2024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התסקיר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התסקיר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גלל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נסיבות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הרקע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לשימושו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הנפשי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ובהמשך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התייחסותו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המיוחסות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הציג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מסמכים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המאמתים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לשימוש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קאנביס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רפואי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אבחונו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כפוסט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טראומטי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אירועי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השבעה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באוקטובר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2023,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בפסטיבל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וסיפר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מתקופת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המוטיבציה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למכירת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נבעה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רצון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לסייע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לחברו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שהשתתף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כמוהו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בפסטיבל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זקוק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להתמודד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קשייו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לעניין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החזקת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המסוכנים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נהג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בתדירות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יומית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קצינת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התרשמה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מוטיבציה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מילולית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ראשונית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להשתלב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בהליך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מרכז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מעוניין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להשתלב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בקהילה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בצעיר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הנוטה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להתמודד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משברים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התמודדותו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קשיי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חרדה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אבחנתו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כפוסט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טראומתי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כבעל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לאימפולסיביות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בוויסות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דחפים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להיגררות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שולית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שנלקחו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חומרת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הפלילי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התמכרותו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העדר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מוטיבציה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אינטנסיבי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בקהילה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כנגדו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המליץ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מוחשית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בדמות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הומלץ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בהליך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בתחום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ההתמכרויות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ירצה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line="360" w:lineRule="auto"/>
        <w:jc w:val="both"/>
        <w:rPr>
          <w:rFonts w:ascii="David" w:cs="David" w:eastAsia="David" w:hAnsi="David"/>
          <w:u w:val="single"/>
        </w:rPr>
      </w:pP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טיעוני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לעונש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בטיעוניה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הדגישה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הערכים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המוגנים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נפגעו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כתוצאה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ממעשי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בריאות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הציבור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והגנה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נגע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והפצתם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הסכימה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מעשיו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המפורטים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בשלושת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האישומים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מהווים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עבריינית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ועתרה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לקביעת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ביקשה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למקם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עונשו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הבינוני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הוסיפה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פלילי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שעומדת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לזכותו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מתוקן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הגישור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וחסך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שיפוטי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מעמיק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ומהתסקיר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מוטיבציה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אינטנסיבי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בקהילה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מגביר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הסיכון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להישנות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בעניינו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58">
      <w:pPr>
        <w:bidi w:val="1"/>
        <w:spacing w:line="360" w:lineRule="auto"/>
        <w:ind w:left="374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התובעת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הפנתה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לפסיקה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לתמוך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בעתירתה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גיליון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הרשעות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קודמות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  (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/1) </w:t>
      </w:r>
      <w:r w:rsidDel="00000000" w:rsidR="00000000" w:rsidRPr="00000000">
        <w:rPr>
          <w:rFonts w:ascii="David" w:cs="David" w:eastAsia="David" w:hAnsi="David"/>
          <w:rtl w:val="1"/>
        </w:rPr>
        <w:t xml:space="preserve">וגזר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פלילי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hyperlink r:id="rId5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ת</w:t>
        </w:r>
      </w:hyperlink>
      <w:hyperlink r:id="rId5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5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5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(</w:t>
        </w:r>
      </w:hyperlink>
      <w:hyperlink r:id="rId5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אי</w:t>
        </w:r>
      </w:hyperlink>
      <w:hyperlink r:id="rId5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') 60655-07-20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/2),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ביקשה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להורות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מותנה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התלוי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ועומד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נגד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9">
      <w:pPr>
        <w:bidi w:val="1"/>
        <w:spacing w:line="360" w:lineRule="auto"/>
        <w:ind w:left="374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ההגנה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בטיעוניה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ההגנה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עתרה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למקם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עונשו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בתחתית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וביקשה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להפעיל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המותנה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התלוי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ועומד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נגדו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כשמחציתו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בחופף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שייגזר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ומחציתו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במצטבר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הסנגור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הוסיף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השתלב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בקהילה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מסיבות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שאינן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תלויות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כסובל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מפוסט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טראומה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נוטל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תרופות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וכדורים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פסיכיאטריים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וזקוק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נפשי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לקבלו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בקהילה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לזקוף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לחובתו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השתלב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ההגנה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לזקוף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לזכותו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המיוחסות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בהזדמנות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ולקח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התקבלו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חומרי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החקירה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ההגנה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הדגיש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תקופה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ממושכת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וסובל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ממצב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נפשי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ירוד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נוכח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ניצול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מטבח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מסיבת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הפרעת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דחק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פוסט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טראומטית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נוטל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כדורים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פסיכיאטריים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ומטופל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פסיכיאטר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בנסיבות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הסניגור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לחרוג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שיקולי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לופליאנסקי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hyperlink r:id="rId58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ע</w:t>
        </w:r>
      </w:hyperlink>
      <w:hyperlink r:id="rId5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6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61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5669/14</w:t>
        </w:r>
      </w:hyperlink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לופליאנסקי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29.12.2015) -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ישנם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לחרוג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בהעדר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שיקולי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מטעמי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ההגנה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הפנתה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לפסיקה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לתמוך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בעתירתה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העונשית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מטופל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בקנאביס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רפואי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סרקוול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ציפרלקס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אקס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פסיכיאטרי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כדורי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לוקח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9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כדורים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כדורים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מתנצל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ויודע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- 7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לעשירי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עשיתי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עצמי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ואמרתי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אגיע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למצב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מקווה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שכשאני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אצא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אעשה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לעצמי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- 100%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שנכפה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מבחירה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360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והכרעה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360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60" w:lineRule="auto"/>
        <w:ind w:left="0" w:right="0" w:firstLine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bidi w:val="1"/>
        <w:spacing w:after="0" w:line="360" w:lineRule="auto"/>
        <w:ind w:left="3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הסכימו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עמדתם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מבחן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שהותווה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בפסיקה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בפרשה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עבריינית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במסגרתה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סיפק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והחזיק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6B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bidi w:val="1"/>
        <w:spacing w:after="0" w:line="360" w:lineRule="auto"/>
        <w:ind w:left="3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הערכים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המוגנים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פגע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השמירה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בריאותם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הגופנית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והנפשית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צרכני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צרכני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פוטנציאליים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ההגנה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הציבור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משתמשי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התמכרותם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והצורך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בהשגת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נוספת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נוהגים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עבריינית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פגיעה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ברכוש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הציבור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ובביטחונו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bidi w:val="1"/>
        <w:spacing w:after="0" w:line="360" w:lineRule="auto"/>
        <w:ind w:left="3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מידת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הפגיעה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בערכים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המוגנים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בינונית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גבוהה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החזיק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מבוטלת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המוגדרים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שפגיעתם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והשפעותיהם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הרסניות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הוגדר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בפסיקה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- "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הרעים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והמרים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טבעו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הממכר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והתלות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הגבוהה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הנוצרת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ומחמת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השפעותיו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ההרסניות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גוף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ונפשו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hyperlink r:id="rId6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ע</w:t>
        </w:r>
      </w:hyperlink>
      <w:hyperlink r:id="rId6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6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6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972/11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יונה</w:t>
      </w:r>
      <w:r w:rsidDel="00000000" w:rsidR="00000000" w:rsidRPr="00000000">
        <w:rPr>
          <w:rFonts w:ascii="David" w:cs="David" w:eastAsia="David" w:hAnsi="David"/>
          <w:rtl w:val="0"/>
        </w:rPr>
        <w:t xml:space="preserve"> (4.7.2012))".</w:t>
      </w:r>
    </w:p>
    <w:p w:rsidR="00000000" w:rsidDel="00000000" w:rsidP="00000000" w:rsidRDefault="00000000" w:rsidRPr="00000000" w14:paraId="0000006F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וסיפק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קטמין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הזדמנויות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מוקדמת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ענייניו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הטלפון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הנייד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מכאן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שחלקו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מרכזי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למעשיו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מוקדם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72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60" w:lineRule="auto"/>
        <w:ind w:left="36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מדיניות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הנהוגה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הגישו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פסיקה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לתמיכה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בעמדתם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לחלקה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ולהפנות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לפסיקה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נוספת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bidi w:val="1"/>
        <w:spacing w:line="360" w:lineRule="auto"/>
        <w:ind w:left="509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hyperlink r:id="rId6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ת</w:t>
        </w:r>
      </w:hyperlink>
      <w:hyperlink r:id="rId6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6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6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(</w:t>
        </w:r>
      </w:hyperlink>
      <w:hyperlink r:id="rId7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אי</w:t>
        </w:r>
      </w:hyperlink>
      <w:hyperlink r:id="rId7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') 48646-08-19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(16.1.2020)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הודאתו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החזקה</w:t>
      </w:r>
      <w:r w:rsidDel="00000000" w:rsidR="00000000" w:rsidRPr="00000000">
        <w:rPr>
          <w:rFonts w:ascii="David" w:cs="David" w:eastAsia="David" w:hAnsi="David"/>
          <w:rtl w:val="1"/>
        </w:rPr>
        <w:t xml:space="preserve">/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לצריכה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עצמית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הספקת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וסחר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שהחזיק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3.7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קנביס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0.96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ומכר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4.9278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3,500 ₪. </w:t>
      </w:r>
      <w:r w:rsidDel="00000000" w:rsidR="00000000" w:rsidRPr="00000000">
        <w:rPr>
          <w:rFonts w:ascii="David" w:cs="David" w:eastAsia="David" w:hAnsi="David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14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42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. 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פלילי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הושתו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21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מותנים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מהחזיק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נהיגה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24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מותנית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מהחזיק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הנהיגה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וחילוט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הכספים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שנתפסו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509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509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72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ת</w:t>
        </w:r>
      </w:hyperlink>
      <w:hyperlink r:id="rId7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74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75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(</w:t>
        </w:r>
      </w:hyperlink>
      <w:hyperlink r:id="rId76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י</w:t>
        </w:r>
      </w:hyperlink>
      <w:hyperlink r:id="rId7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-</w:t>
        </w:r>
      </w:hyperlink>
      <w:hyperlink r:id="rId78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ם</w:t>
        </w:r>
      </w:hyperlink>
      <w:hyperlink r:id="rId7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) 42431-08-23</w:t>
        </w:r>
      </w:hyperlink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אבוטבול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ואח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(30.5.2024)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הודאתו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מתוקן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והחזקת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אגרופן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שהעביר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משטרתי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39.29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MDMA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KATAMINE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דוסה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18,300 ₪.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לעבירת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נלווית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לעבירת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החזקת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אגרופן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לריצוי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פלילי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נגזרו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קנס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7,000 ₪,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התחייבות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6,000 ₪,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75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ימי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פסילה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מהחזיק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נהיגה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פסילה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מותנית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חילוט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כספים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ותפוסים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509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509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8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ת</w:t>
        </w:r>
      </w:hyperlink>
      <w:hyperlink r:id="rId81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82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8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(</w:t>
        </w:r>
      </w:hyperlink>
      <w:hyperlink r:id="rId84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רח</w:t>
        </w:r>
      </w:hyperlink>
      <w:hyperlink r:id="rId85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') 59578-12-21</w:t>
        </w:r>
      </w:hyperlink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רוטרו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(5.2.2024)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כתבי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בהחזקת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כגנוב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החזקת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סכין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ובנהיגה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שרכש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קטנוע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בסכום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600 ₪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שחשד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גנוב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החזיק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סכין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ונהג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פקע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- 12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והחזקת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לצריכה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עצמית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שמכר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קטאמין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0.7926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400 ₪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והחזיק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13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טבליות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MDMA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מתילמקאתינון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1.906.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עונשים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נלווים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הניתנים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לריצוי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וקנס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החורג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ממתחמי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שיקולי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וגזר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נעדר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פלילי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קנס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2,000 ₪,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בהיקף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350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בהיקף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וחילוט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הכספים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שנתפסו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509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86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רע</w:t>
        </w:r>
      </w:hyperlink>
      <w:hyperlink r:id="rId8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88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8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5494/19</w:t>
        </w:r>
      </w:hyperlink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רנד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(22.8.2019):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קריסטל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לקוחות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750 ₪)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בהחזקת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הירואין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(11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וקוקאין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(1.9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נגזרו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לריצוי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ערער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גזר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וערעורו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נדחה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הערעור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הוגשה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העליון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נדחתה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הוטל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חמור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ועיקר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להיאבק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בתופעת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משמעותית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ומרתיעה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2.00000000000003" w:lineRule="auto"/>
        <w:ind w:left="72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509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9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רע</w:t>
        </w:r>
      </w:hyperlink>
      <w:hyperlink r:id="rId91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92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9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5353/17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טפרה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(18.9.17)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נדחתה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תיווך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שתיווך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הזדמנויות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משטרתי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רכישת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1.1592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1,500 ₪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4.5440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4,000 ₪.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משטרתי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2.0174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2,500 ₪.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וגזר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התחשבות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בנסיבות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והתמדתו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בהליך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לריצוי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המדינה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החמיר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בעונשו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שהושתו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לריצוי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2.00000000000003" w:lineRule="auto"/>
        <w:ind w:left="72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509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94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רע</w:t>
        </w:r>
      </w:hyperlink>
      <w:hyperlink r:id="rId95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96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9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8408/15</w:t>
        </w:r>
      </w:hyperlink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חביב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(9.12.2015)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נדחתה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מבקש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במצטבר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והחזקת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לצריכה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עצמית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- 15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דחה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ערעורו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גזר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- 18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מהאישומים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פלילי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שיקומי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המליץ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בעונשו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נידון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- 17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ועונשים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נלווים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2.00000000000003" w:lineRule="auto"/>
        <w:ind w:left="72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509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98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רע</w:t>
        </w:r>
      </w:hyperlink>
      <w:hyperlink r:id="rId9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0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101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126/15</w:t>
        </w:r>
      </w:hyperlink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חביף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(13.1.2015)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יסוד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הודאתו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סמוי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הזדמנויות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0.3901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0.8179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2.5056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-18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וגזר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פלילי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מכביד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והפעלת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שסה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ירצה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ובקשת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נדחו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2.00000000000003" w:lineRule="auto"/>
        <w:ind w:left="72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509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102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רע</w:t>
        </w:r>
      </w:hyperlink>
      <w:hyperlink r:id="rId10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04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105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7681/13</w:t>
        </w:r>
      </w:hyperlink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דקה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(21.1.2014)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נדחתה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שמכר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משטרתי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הרואין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מצטבר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- 2.8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למבקש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השתתף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גמילה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דחה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ערעורו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גזר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- 12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ודן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-10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נלווית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2.00000000000003" w:lineRule="auto"/>
        <w:ind w:left="72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509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עפ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מרכז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13959-12-19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ברייר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(24.11.2020)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המשיב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בביצוע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4.8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- 1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משיקולי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והשית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המשיב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ועונשים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המדינה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ועונשו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הוחמר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ירוצו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2.00000000000003" w:lineRule="auto"/>
        <w:ind w:left="72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509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106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עפ</w:t>
        </w:r>
      </w:hyperlink>
      <w:hyperlink r:id="rId10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08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ג</w:t>
        </w:r>
      </w:hyperlink>
      <w:hyperlink r:id="rId10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(</w:t>
        </w:r>
      </w:hyperlink>
      <w:hyperlink r:id="rId11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י</w:t>
        </w:r>
      </w:hyperlink>
      <w:hyperlink r:id="rId111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-</w:t>
        </w:r>
      </w:hyperlink>
      <w:hyperlink r:id="rId112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ם</w:t>
        </w:r>
      </w:hyperlink>
      <w:hyperlink r:id="rId11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) 1434-12-18</w:t>
        </w:r>
      </w:hyperlink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נסים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(13.3.2019)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המשיב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2.4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2,200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; 2.35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2,500 ₪; 2.37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2,000 ₪,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וירוצו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והשית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המשיב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לריצוי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קנס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וצו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המדינה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במספר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לריצוי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בעבודות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והרף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העליון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24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קמא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לחרוג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המשיב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בניכוי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תקופת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מעצרו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ביטול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2.00000000000003" w:lineRule="auto"/>
        <w:ind w:left="72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509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4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רע</w:t>
        </w:r>
      </w:hyperlink>
      <w:hyperlink r:id="rId115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16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11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1473/18</w:t>
        </w:r>
      </w:hyperlink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אוחיון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(22.4.2018):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הרשיע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הודאתו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החזקת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לצריכה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עצמית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שהחזיק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1.6888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ויחידת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0.4185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הוטל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קנס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ופסילה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התביעה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לתקופה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לתקופה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חרג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מטעמי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והטיל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לתקופה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העליון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דחה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2.00000000000003" w:lineRule="auto"/>
        <w:ind w:left="72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60" w:lineRule="auto"/>
        <w:ind w:left="509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8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עפ</w:t>
        </w:r>
      </w:hyperlink>
      <w:hyperlink r:id="rId11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2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ג</w:t>
        </w:r>
      </w:hyperlink>
      <w:hyperlink r:id="rId121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(</w:t>
        </w:r>
      </w:hyperlink>
      <w:hyperlink r:id="rId122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מרכז</w:t>
        </w:r>
      </w:hyperlink>
      <w:hyperlink r:id="rId12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) 33119-07-17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סלאמה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(26.12.2017)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נדחה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ערעורו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המערער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נעדר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פלילי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הודאתו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בקוקאין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1.77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ובסיוע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בקוקאין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והשית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קנס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10,000 ₪,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ופסילה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מותנית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מהחזיק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נהיגה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גזר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קמא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משקף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כראוי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מדיניות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הראויה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". </w:t>
      </w:r>
    </w:p>
    <w:p w:rsidR="00000000" w:rsidDel="00000000" w:rsidP="00000000" w:rsidRDefault="00000000" w:rsidRPr="00000000" w14:paraId="0000008B">
      <w:pPr>
        <w:bidi w:val="1"/>
        <w:spacing w:after="120" w:before="120" w:line="360" w:lineRule="auto"/>
        <w:ind w:left="360" w:firstLine="0"/>
        <w:jc w:val="both"/>
        <w:rPr>
          <w:rFonts w:ascii="David" w:cs="David" w:eastAsia="David" w:hAnsi="David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לעקרון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המנחה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לערכים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המוגנים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שנפגעו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ולמידת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הפגיעה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למדיניות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הנוהגת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ולנסיבות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הקשורות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בביצוע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line="360" w:lineRule="auto"/>
        <w:jc w:val="both"/>
        <w:rPr>
          <w:rFonts w:ascii="David" w:cs="David" w:eastAsia="David" w:hAnsi="David"/>
          <w:u w:val="single"/>
        </w:rPr>
      </w:pP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המתאים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במיוחס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בהזדמנות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מוקדמת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חסך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שיפוטי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העדתו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הלוגיסטיקה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הכרוכה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שחרורו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בכוונתו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לאפיק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ומבלי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שהטיפול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וישקם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מטיעוני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ההגנה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ומקריאת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תסקיר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חווה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גופו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ובנפשו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אירועי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באוקטובר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2023,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השתתף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בפסטיבל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הנובה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האירוע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הותיר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צלקות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בנפשו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הוכר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כפוסט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טראומתי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התסקיר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מלמד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כתוצאה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העמקה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לידי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בהגברת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תדירות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בתדירות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יומית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."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האירועים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המפורטים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התרחשו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לנתק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השפעת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האירועים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סיפר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לקצינת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סיפק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ומכר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בפניו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זקוק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לסמם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ניצול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פסטיבל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הנובה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- 7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דנא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סיפר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נוטל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כדורים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נוכח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הנפשי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השהות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ומכבידה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24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ולחובתו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הרשעות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קודמות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החזקת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לצריכה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עצמית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ריצה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עונשי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2.00000000000003" w:lineRule="auto"/>
        <w:ind w:left="72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60" w:lineRule="auto"/>
        <w:ind w:left="36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עונשו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הבינוני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תחתון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רכיבי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נלווית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משית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העונשים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בניכוי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ימי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מעצרו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לרישומי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60" w:lineRule="auto"/>
        <w:ind w:left="36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מותנה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שהוטל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10.1.2022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124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ת</w:t>
        </w:r>
      </w:hyperlink>
      <w:hyperlink r:id="rId125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26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12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60655-07-20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יופעל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שחודש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מתוכו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ירוצה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מצטבר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וחודשיים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חופף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9E">
      <w:pPr>
        <w:bidi w:val="1"/>
        <w:spacing w:line="360" w:lineRule="auto"/>
        <w:ind w:left="374" w:firstLine="0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סך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הכל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ירצה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לתקופה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16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בניכוי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ימי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מעצרו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60" w:lineRule="auto"/>
        <w:ind w:left="36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מותנה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ואולם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יישא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יעבור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פקודת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המסוכנים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פשע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שחרורו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bidi w:val="1"/>
        <w:spacing w:line="360" w:lineRule="auto"/>
        <w:ind w:left="3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מותנה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יישא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hyperlink r:id="rId12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פקודת</w:t>
        </w:r>
      </w:hyperlink>
      <w:hyperlink r:id="rId12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13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הסמים</w:t>
        </w:r>
      </w:hyperlink>
      <w:hyperlink r:id="rId13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13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עוון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שחרורו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A2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bidi w:val="1"/>
        <w:spacing w:line="360" w:lineRule="auto"/>
        <w:ind w:left="3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קנס</w:t>
      </w:r>
      <w:r w:rsidDel="00000000" w:rsidR="00000000" w:rsidRPr="00000000">
        <w:rPr>
          <w:rFonts w:ascii="David" w:cs="David" w:eastAsia="David" w:hAnsi="David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2,000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תחתיו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הקנס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ישולם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- 10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תשלומים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חודשיים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שווים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ורצופים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התשלום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ישולם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1.4.2025 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ובכל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לחודש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שלאחר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פיגור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בתשלום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התשלומים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שנקבעו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יעמיד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לפירעון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מידיי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יתרת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הקנס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שטרם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שולמה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ויחייב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בתשלום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תוספת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פיגורים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כחוק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</w:p>
    <w:p w:rsidR="00000000" w:rsidDel="00000000" w:rsidP="00000000" w:rsidRDefault="00000000" w:rsidRPr="00000000" w14:paraId="000000A4">
      <w:pPr>
        <w:bidi w:val="1"/>
        <w:spacing w:line="360" w:lineRule="auto"/>
        <w:ind w:left="233" w:firstLine="0"/>
        <w:jc w:val="both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spacing w:line="360" w:lineRule="auto"/>
        <w:ind w:left="233" w:firstLine="0"/>
        <w:jc w:val="both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תשומת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לשלם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הקנס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כעבור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מהיום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בשובר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תשלום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466" w:right="0" w:hanging="284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המקוון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האכיפה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והגבייה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hyperlink r:id="rId13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www.eca.gov.il</w:t>
        </w:r>
      </w:hyperlink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466" w:right="0" w:hanging="284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מוקד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טלפוני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בשרות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עצמי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מרכז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גבייה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35592*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073-2055000;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466" w:right="0" w:hanging="284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במזומן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סניף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בנק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הדואר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בהצגת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בשוברי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2.00000000000003" w:lineRule="auto"/>
        <w:ind w:left="720" w:right="0" w:firstLine="0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bidi w:val="1"/>
        <w:spacing w:line="360" w:lineRule="auto"/>
        <w:ind w:left="3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פסילה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מהחזיק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מקבל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נהיגה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פוסל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מהחזיק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נהיגה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שחרורו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שחרורו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יציג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במזכירות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שהייה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ופסילתו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יובהר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בהעדר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שהייה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כאמור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תחל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הפסילה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שחרורו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תימנה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הצהיר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בפניי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בידו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להפקיד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AB">
      <w:pPr>
        <w:bidi w:val="1"/>
        <w:spacing w:line="360" w:lineRule="auto"/>
        <w:ind w:left="36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bidi w:val="1"/>
        <w:spacing w:line="360" w:lineRule="auto"/>
        <w:ind w:left="3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מכריז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ומורה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חילוט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הכסף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והרכוש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שנתפסו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ברשותו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ושימשו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כאמצעי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60" w:lineRule="auto"/>
        <w:ind w:left="36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זכות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>
          <w:rFonts w:ascii="Arial" w:cs="Arial" w:eastAsia="Arial" w:hAnsi="Arial"/>
          <w:b w:val="1"/>
          <w:color w:val="ffffff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"/>
          <w:szCs w:val="2"/>
          <w:rtl w:val="0"/>
        </w:rPr>
        <w:t xml:space="preserve">5129371</w:t>
      </w:r>
    </w:p>
    <w:p w:rsidR="00000000" w:rsidDel="00000000" w:rsidP="00000000" w:rsidRDefault="00000000" w:rsidRPr="00000000" w14:paraId="000000B2">
      <w:pPr>
        <w:bidi w:val="1"/>
        <w:rPr>
          <w:rFonts w:ascii="Arial" w:cs="Arial" w:eastAsia="Arial" w:hAnsi="Arial"/>
          <w:b w:val="1"/>
          <w:color w:val="ffffff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"/>
          <w:szCs w:val="2"/>
          <w:rtl w:val="0"/>
        </w:rPr>
        <w:t xml:space="preserve">54678313</w:t>
      </w:r>
    </w:p>
    <w:p w:rsidR="00000000" w:rsidDel="00000000" w:rsidP="00000000" w:rsidRDefault="00000000" w:rsidRPr="00000000" w14:paraId="000000B3">
      <w:pPr>
        <w:bidi w:val="1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0B4">
      <w:pPr>
        <w:bidi w:val="1"/>
        <w:spacing w:line="360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חשוון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תשפ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, 24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נובמבר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2024,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בנוכחות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. </w:t>
        <w:tab/>
        <w:tab/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B5">
      <w:pPr>
        <w:bidi w:val="1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 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אדלמן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54678313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color w:val="000000"/>
          <w:rtl w:val="1"/>
        </w:rPr>
        <w:t xml:space="preserve">נוסח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מסמך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כפוף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לשינויי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ניסוח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ועריכה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jc w:val="center"/>
        <w:rPr>
          <w:color w:val="0000ff"/>
          <w:u w:val="single"/>
        </w:rPr>
      </w:pPr>
      <w:hyperlink r:id="rId134">
        <w:r w:rsidDel="00000000" w:rsidR="00000000" w:rsidRPr="00000000">
          <w:rPr>
            <w:color w:val="0000ff"/>
            <w:u w:val="single"/>
            <w:rtl w:val="1"/>
          </w:rPr>
          <w:t xml:space="preserve">בעניין</w:t>
        </w:r>
      </w:hyperlink>
      <w:hyperlink r:id="rId135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36">
        <w:r w:rsidDel="00000000" w:rsidR="00000000" w:rsidRPr="00000000">
          <w:rPr>
            <w:color w:val="0000ff"/>
            <w:u w:val="single"/>
            <w:rtl w:val="1"/>
          </w:rPr>
          <w:t xml:space="preserve">עריכה</w:t>
        </w:r>
      </w:hyperlink>
      <w:hyperlink r:id="rId137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38">
        <w:r w:rsidDel="00000000" w:rsidR="00000000" w:rsidRPr="00000000">
          <w:rPr>
            <w:color w:val="0000ff"/>
            <w:u w:val="single"/>
            <w:rtl w:val="1"/>
          </w:rPr>
          <w:t xml:space="preserve">ושינויים</w:t>
        </w:r>
      </w:hyperlink>
      <w:hyperlink r:id="rId139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40">
        <w:r w:rsidDel="00000000" w:rsidR="00000000" w:rsidRPr="00000000">
          <w:rPr>
            <w:color w:val="0000ff"/>
            <w:u w:val="single"/>
            <w:rtl w:val="1"/>
          </w:rPr>
          <w:t xml:space="preserve">במסמכי</w:t>
        </w:r>
      </w:hyperlink>
      <w:hyperlink r:id="rId141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42">
        <w:r w:rsidDel="00000000" w:rsidR="00000000" w:rsidRPr="00000000">
          <w:rPr>
            <w:color w:val="0000ff"/>
            <w:u w:val="single"/>
            <w:rtl w:val="1"/>
          </w:rPr>
          <w:t xml:space="preserve">פסיקה</w:t>
        </w:r>
      </w:hyperlink>
      <w:hyperlink r:id="rId143">
        <w:r w:rsidDel="00000000" w:rsidR="00000000" w:rsidRPr="00000000">
          <w:rPr>
            <w:color w:val="0000ff"/>
            <w:u w:val="single"/>
            <w:rtl w:val="1"/>
          </w:rPr>
          <w:t xml:space="preserve">, </w:t>
        </w:r>
      </w:hyperlink>
      <w:hyperlink r:id="rId144">
        <w:r w:rsidDel="00000000" w:rsidR="00000000" w:rsidRPr="00000000">
          <w:rPr>
            <w:color w:val="0000ff"/>
            <w:u w:val="single"/>
            <w:rtl w:val="1"/>
          </w:rPr>
          <w:t xml:space="preserve">חקיקה</w:t>
        </w:r>
      </w:hyperlink>
      <w:hyperlink r:id="rId145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46">
        <w:r w:rsidDel="00000000" w:rsidR="00000000" w:rsidRPr="00000000">
          <w:rPr>
            <w:color w:val="0000ff"/>
            <w:u w:val="single"/>
            <w:rtl w:val="1"/>
          </w:rPr>
          <w:t xml:space="preserve">ועוד</w:t>
        </w:r>
      </w:hyperlink>
      <w:hyperlink r:id="rId147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48">
        <w:r w:rsidDel="00000000" w:rsidR="00000000" w:rsidRPr="00000000">
          <w:rPr>
            <w:color w:val="0000ff"/>
            <w:u w:val="single"/>
            <w:rtl w:val="1"/>
          </w:rPr>
          <w:t xml:space="preserve">באתר</w:t>
        </w:r>
      </w:hyperlink>
      <w:hyperlink r:id="rId149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50">
        <w:r w:rsidDel="00000000" w:rsidR="00000000" w:rsidRPr="00000000">
          <w:rPr>
            <w:color w:val="0000ff"/>
            <w:u w:val="single"/>
            <w:rtl w:val="1"/>
          </w:rPr>
          <w:t xml:space="preserve">נבו</w:t>
        </w:r>
      </w:hyperlink>
      <w:hyperlink r:id="rId151">
        <w:r w:rsidDel="00000000" w:rsidR="00000000" w:rsidRPr="00000000">
          <w:rPr>
            <w:color w:val="0000ff"/>
            <w:u w:val="single"/>
            <w:rtl w:val="1"/>
          </w:rPr>
          <w:t xml:space="preserve"> – </w:t>
        </w:r>
      </w:hyperlink>
      <w:hyperlink r:id="rId152">
        <w:r w:rsidDel="00000000" w:rsidR="00000000" w:rsidRPr="00000000">
          <w:rPr>
            <w:color w:val="0000ff"/>
            <w:u w:val="single"/>
            <w:rtl w:val="1"/>
          </w:rPr>
          <w:t xml:space="preserve">הקש</w:t>
        </w:r>
      </w:hyperlink>
      <w:hyperlink r:id="rId153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54">
        <w:r w:rsidDel="00000000" w:rsidR="00000000" w:rsidRPr="00000000">
          <w:rPr>
            <w:color w:val="0000ff"/>
            <w:u w:val="single"/>
            <w:rtl w:val="1"/>
          </w:rPr>
          <w:t xml:space="preserve">כאן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jc w:val="center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sectPr>
      <w:headerReference r:id="rId155" w:type="default"/>
      <w:headerReference r:id="rId156" w:type="even"/>
      <w:footerReference r:id="rId157" w:type="default"/>
      <w:footerReference r:id="rId158" w:type="even"/>
      <w:pgSz w:h="16840" w:w="11907" w:orient="portrait"/>
      <w:pgMar w:bottom="2552" w:top="1701" w:left="1701" w:right="1701" w:header="18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David"/>
  <w:font w:name="FrankRuehl"/>
  <w:font w:name="Calibri"/>
  <w:font w:name="Courier New"/>
  <w:font w:name="Tahoma">
    <w:embedRegular w:fontKey="{00000000-0000-0000-0000-000000000000}" r:id="rId3" w:subsetted="0"/>
    <w:embedBold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6" style="width:43.8pt;height:17.85pt" type="#_x0000_t75">
          <v:imagedata r:id="rId1" o:title="Nevologo2"/>
        </v:shape>
      </w:pic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5" style="width:43.8pt;height:17.85pt" type="#_x0000_t75">
          <v:imagedata r:id="rId2" o:title="Nevologo2"/>
        </v:shape>
      </w:pic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אי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') 28565-05-24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אורי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אלמלם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אי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') 28565-05-24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אורי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אלמלם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David" w:cs="David" w:eastAsia="David" w:hAnsi="David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center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804" w:hanging="359.99999999999994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5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6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1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5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7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9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1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3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5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7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9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E0BD9"/>
    <w:pPr>
      <w:bidi w:val="1"/>
    </w:pPr>
    <w:rPr>
      <w:rFonts w:ascii="Times New Roman" w:cs="David" w:eastAsia="Times New Roman" w:hAnsi="Times New Roman"/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9E0BD9"/>
    <w:pPr>
      <w:tabs>
        <w:tab w:val="center" w:pos="4153"/>
        <w:tab w:val="right" w:pos="8306"/>
      </w:tabs>
    </w:pPr>
  </w:style>
  <w:style w:type="character" w:styleId="HeaderChar" w:customStyle="1">
    <w:name w:val="Header Char"/>
    <w:link w:val="Header"/>
    <w:rsid w:val="009E0BD9"/>
    <w:rPr>
      <w:rFonts w:ascii="Times New Roman" w:cs="David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9E0BD9"/>
    <w:pPr>
      <w:tabs>
        <w:tab w:val="center" w:pos="4153"/>
        <w:tab w:val="right" w:pos="8306"/>
      </w:tabs>
    </w:pPr>
  </w:style>
  <w:style w:type="character" w:styleId="FooterChar" w:customStyle="1">
    <w:name w:val="Footer Char"/>
    <w:link w:val="Footer"/>
    <w:rsid w:val="009E0BD9"/>
    <w:rPr>
      <w:rFonts w:ascii="Times New Roman" w:cs="David" w:eastAsia="Times New Roman" w:hAnsi="Times New Roman"/>
      <w:sz w:val="24"/>
      <w:szCs w:val="24"/>
    </w:rPr>
  </w:style>
  <w:style w:type="table" w:styleId="TableGrid">
    <w:name w:val="Table Grid"/>
    <w:basedOn w:val="TableNormal"/>
    <w:rsid w:val="009E0BD9"/>
    <w:pPr>
      <w:bidi w:val="1"/>
    </w:pPr>
    <w:rPr>
      <w:rFonts w:ascii="Times New Roman" w:cs="Times New Roman" w:eastAsia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rsid w:val="009E0BD9"/>
  </w:style>
  <w:style w:type="character" w:styleId="Hyperlink">
    <w:name w:val="Hyperlink"/>
    <w:rsid w:val="009E0BD9"/>
    <w:rPr>
      <w:color w:val="0563c1"/>
      <w:u w:val="single"/>
    </w:rPr>
  </w:style>
  <w:style w:type="character" w:styleId="ListParagraphChar" w:customStyle="1">
    <w:name w:val="List Paragraph Char"/>
    <w:link w:val="ListParagraph"/>
    <w:locked w:val="1"/>
    <w:rsid w:val="009E0BD9"/>
  </w:style>
  <w:style w:type="paragraph" w:styleId="ListParagraph">
    <w:name w:val="List Paragraph"/>
    <w:basedOn w:val="Normal"/>
    <w:link w:val="ListParagraphChar"/>
    <w:qFormat w:val="1"/>
    <w:rsid w:val="009E0BD9"/>
    <w:pPr>
      <w:spacing w:after="160" w:line="252" w:lineRule="auto"/>
      <w:ind w:left="720"/>
      <w:contextualSpacing w:val="1"/>
    </w:pPr>
    <w:rPr>
      <w:rFonts w:ascii="Calibri" w:cs="Arial" w:eastAsia="Calibri" w:hAnsi="Calibri"/>
      <w:sz w:val="22"/>
      <w:szCs w:val="22"/>
    </w:rPr>
  </w:style>
  <w:style w:type="paragraph" w:styleId="ruller4" w:customStyle="1">
    <w:name w:val="ruller4"/>
    <w:basedOn w:val="Normal"/>
    <w:rsid w:val="009E0BD9"/>
    <w:pPr>
      <w:bidi w:val="0"/>
      <w:spacing w:after="100" w:afterAutospacing="1" w:before="100" w:beforeAutospacing="1"/>
    </w:pPr>
    <w:rPr>
      <w:rFonts w:cs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nevo.co.il/law/4216/13" TargetMode="External"/><Relationship Id="rId42" Type="http://schemas.openxmlformats.org/officeDocument/2006/relationships/hyperlink" Target="http://www.nevo.co.il/law/4216/19a" TargetMode="External"/><Relationship Id="rId41" Type="http://schemas.openxmlformats.org/officeDocument/2006/relationships/hyperlink" Target="http://www.nevo.co.il/law/4216/19a" TargetMode="External"/><Relationship Id="rId44" Type="http://schemas.openxmlformats.org/officeDocument/2006/relationships/hyperlink" Target="http://www.nevo.co.il/law/4216/7.a" TargetMode="External"/><Relationship Id="rId43" Type="http://schemas.openxmlformats.org/officeDocument/2006/relationships/hyperlink" Target="http://www.nevo.co.il/law/4216/19a" TargetMode="External"/><Relationship Id="rId46" Type="http://schemas.openxmlformats.org/officeDocument/2006/relationships/hyperlink" Target="http://www.nevo.co.il/law/4216/7.a" TargetMode="External"/><Relationship Id="rId45" Type="http://schemas.openxmlformats.org/officeDocument/2006/relationships/hyperlink" Target="http://www.nevo.co.il/law/4216/7.a" TargetMode="External"/><Relationship Id="rId107" Type="http://schemas.openxmlformats.org/officeDocument/2006/relationships/hyperlink" Target="http://www.nevo.co.il/case/25193405" TargetMode="External"/><Relationship Id="rId106" Type="http://schemas.openxmlformats.org/officeDocument/2006/relationships/hyperlink" Target="http://www.nevo.co.il/case/25193405" TargetMode="External"/><Relationship Id="rId105" Type="http://schemas.openxmlformats.org/officeDocument/2006/relationships/hyperlink" Target="http://www.nevo.co.il/case/10459115" TargetMode="External"/><Relationship Id="rId104" Type="http://schemas.openxmlformats.org/officeDocument/2006/relationships/hyperlink" Target="http://www.nevo.co.il/case/10459115" TargetMode="External"/><Relationship Id="rId109" Type="http://schemas.openxmlformats.org/officeDocument/2006/relationships/hyperlink" Target="http://www.nevo.co.il/case/25193405" TargetMode="External"/><Relationship Id="rId108" Type="http://schemas.openxmlformats.org/officeDocument/2006/relationships/hyperlink" Target="http://www.nevo.co.il/case/25193405" TargetMode="External"/><Relationship Id="rId48" Type="http://schemas.openxmlformats.org/officeDocument/2006/relationships/hyperlink" Target="http://www.nevo.co.il/law/4216/7.c" TargetMode="External"/><Relationship Id="rId47" Type="http://schemas.openxmlformats.org/officeDocument/2006/relationships/hyperlink" Target="http://www.nevo.co.il/law/4216/7.a" TargetMode="External"/><Relationship Id="rId49" Type="http://schemas.openxmlformats.org/officeDocument/2006/relationships/hyperlink" Target="http://www.nevo.co.il/law/4216/7.c" TargetMode="External"/><Relationship Id="rId103" Type="http://schemas.openxmlformats.org/officeDocument/2006/relationships/hyperlink" Target="http://www.nevo.co.il/case/10459115" TargetMode="External"/><Relationship Id="rId102" Type="http://schemas.openxmlformats.org/officeDocument/2006/relationships/hyperlink" Target="http://www.nevo.co.il/case/10459115" TargetMode="External"/><Relationship Id="rId101" Type="http://schemas.openxmlformats.org/officeDocument/2006/relationships/hyperlink" Target="http://www.nevo.co.il/case/18793360" TargetMode="External"/><Relationship Id="rId100" Type="http://schemas.openxmlformats.org/officeDocument/2006/relationships/hyperlink" Target="http://www.nevo.co.il/case/18793360" TargetMode="External"/><Relationship Id="rId31" Type="http://schemas.openxmlformats.org/officeDocument/2006/relationships/hyperlink" Target="http://www.nevo.co.il/law/4216/19a" TargetMode="External"/><Relationship Id="rId30" Type="http://schemas.openxmlformats.org/officeDocument/2006/relationships/hyperlink" Target="http://www.nevo.co.il/law/4216/13" TargetMode="External"/><Relationship Id="rId33" Type="http://schemas.openxmlformats.org/officeDocument/2006/relationships/hyperlink" Target="http://www.nevo.co.il/law/4216/19a" TargetMode="External"/><Relationship Id="rId32" Type="http://schemas.openxmlformats.org/officeDocument/2006/relationships/hyperlink" Target="http://www.nevo.co.il/law/4216/19a" TargetMode="External"/><Relationship Id="rId35" Type="http://schemas.openxmlformats.org/officeDocument/2006/relationships/hyperlink" Target="http://www.nevo.co.il/law/4216" TargetMode="External"/><Relationship Id="rId34" Type="http://schemas.openxmlformats.org/officeDocument/2006/relationships/hyperlink" Target="http://www.nevo.co.il/law/4216" TargetMode="External"/><Relationship Id="rId37" Type="http://schemas.openxmlformats.org/officeDocument/2006/relationships/hyperlink" Target="http://www.nevo.co.il/law/4216" TargetMode="External"/><Relationship Id="rId36" Type="http://schemas.openxmlformats.org/officeDocument/2006/relationships/hyperlink" Target="http://www.nevo.co.il/law/4216" TargetMode="External"/><Relationship Id="rId39" Type="http://schemas.openxmlformats.org/officeDocument/2006/relationships/hyperlink" Target="http://www.nevo.co.il/law/4216/13" TargetMode="External"/><Relationship Id="rId38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law/4216/7.c" TargetMode="External"/><Relationship Id="rId23" Type="http://schemas.openxmlformats.org/officeDocument/2006/relationships/hyperlink" Target="http://www.nevo.co.il/law/4216/7.a" TargetMode="External"/><Relationship Id="rId129" Type="http://schemas.openxmlformats.org/officeDocument/2006/relationships/hyperlink" Target="http://www.nevo.co.il/law/4216" TargetMode="External"/><Relationship Id="rId128" Type="http://schemas.openxmlformats.org/officeDocument/2006/relationships/hyperlink" Target="http://www.nevo.co.il/law/4216" TargetMode="External"/><Relationship Id="rId127" Type="http://schemas.openxmlformats.org/officeDocument/2006/relationships/hyperlink" Target="http://www.nevo.co.il/case/26877678" TargetMode="External"/><Relationship Id="rId126" Type="http://schemas.openxmlformats.org/officeDocument/2006/relationships/hyperlink" Target="http://www.nevo.co.il/case/26877678" TargetMode="External"/><Relationship Id="rId26" Type="http://schemas.openxmlformats.org/officeDocument/2006/relationships/hyperlink" Target="http://www.nevo.co.il/law/4216/19a" TargetMode="External"/><Relationship Id="rId121" Type="http://schemas.openxmlformats.org/officeDocument/2006/relationships/hyperlink" Target="http://www.nevo.co.il/case/22832600" TargetMode="External"/><Relationship Id="rId25" Type="http://schemas.openxmlformats.org/officeDocument/2006/relationships/hyperlink" Target="http://www.nevo.co.il/law/4216/13" TargetMode="External"/><Relationship Id="rId120" Type="http://schemas.openxmlformats.org/officeDocument/2006/relationships/hyperlink" Target="http://www.nevo.co.il/case/22832600" TargetMode="External"/><Relationship Id="rId28" Type="http://schemas.openxmlformats.org/officeDocument/2006/relationships/hyperlink" Target="http://www.nevo.co.il/law/4216/19a" TargetMode="External"/><Relationship Id="rId27" Type="http://schemas.openxmlformats.org/officeDocument/2006/relationships/hyperlink" Target="http://www.nevo.co.il/law/4216/19a" TargetMode="External"/><Relationship Id="rId125" Type="http://schemas.openxmlformats.org/officeDocument/2006/relationships/hyperlink" Target="http://www.nevo.co.il/case/26877678" TargetMode="External"/><Relationship Id="rId29" Type="http://schemas.openxmlformats.org/officeDocument/2006/relationships/hyperlink" Target="http://www.nevo.co.il/law/4216/13" TargetMode="External"/><Relationship Id="rId124" Type="http://schemas.openxmlformats.org/officeDocument/2006/relationships/hyperlink" Target="http://www.nevo.co.il/case/26877678" TargetMode="External"/><Relationship Id="rId123" Type="http://schemas.openxmlformats.org/officeDocument/2006/relationships/hyperlink" Target="http://www.nevo.co.il/case/22832600" TargetMode="External"/><Relationship Id="rId122" Type="http://schemas.openxmlformats.org/officeDocument/2006/relationships/hyperlink" Target="http://www.nevo.co.il/case/22832600" TargetMode="External"/><Relationship Id="rId95" Type="http://schemas.openxmlformats.org/officeDocument/2006/relationships/hyperlink" Target="http://www.nevo.co.il/case/20787902" TargetMode="External"/><Relationship Id="rId94" Type="http://schemas.openxmlformats.org/officeDocument/2006/relationships/hyperlink" Target="http://www.nevo.co.il/case/20787902" TargetMode="External"/><Relationship Id="rId97" Type="http://schemas.openxmlformats.org/officeDocument/2006/relationships/hyperlink" Target="http://www.nevo.co.il/case/20787902" TargetMode="External"/><Relationship Id="rId96" Type="http://schemas.openxmlformats.org/officeDocument/2006/relationships/hyperlink" Target="http://www.nevo.co.il/case/20787902" TargetMode="External"/><Relationship Id="rId11" Type="http://schemas.openxmlformats.org/officeDocument/2006/relationships/hyperlink" Target="http://www.nevo.co.il/law/4216" TargetMode="External"/><Relationship Id="rId99" Type="http://schemas.openxmlformats.org/officeDocument/2006/relationships/hyperlink" Target="http://www.nevo.co.il/case/18793360" TargetMode="External"/><Relationship Id="rId10" Type="http://schemas.openxmlformats.org/officeDocument/2006/relationships/hyperlink" Target="http://www.nevo.co.il/law/4216" TargetMode="External"/><Relationship Id="rId98" Type="http://schemas.openxmlformats.org/officeDocument/2006/relationships/hyperlink" Target="http://www.nevo.co.il/case/18793360" TargetMode="External"/><Relationship Id="rId13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91" Type="http://schemas.openxmlformats.org/officeDocument/2006/relationships/hyperlink" Target="http://www.nevo.co.il/case/22797714" TargetMode="External"/><Relationship Id="rId90" Type="http://schemas.openxmlformats.org/officeDocument/2006/relationships/hyperlink" Target="http://www.nevo.co.il/case/22797714" TargetMode="External"/><Relationship Id="rId93" Type="http://schemas.openxmlformats.org/officeDocument/2006/relationships/hyperlink" Target="http://www.nevo.co.il/case/22797714" TargetMode="External"/><Relationship Id="rId92" Type="http://schemas.openxmlformats.org/officeDocument/2006/relationships/hyperlink" Target="http://www.nevo.co.il/case/22797714" TargetMode="External"/><Relationship Id="rId118" Type="http://schemas.openxmlformats.org/officeDocument/2006/relationships/hyperlink" Target="http://www.nevo.co.il/case/22832600" TargetMode="External"/><Relationship Id="rId117" Type="http://schemas.openxmlformats.org/officeDocument/2006/relationships/hyperlink" Target="http://www.nevo.co.il/case/23750765" TargetMode="External"/><Relationship Id="rId116" Type="http://schemas.openxmlformats.org/officeDocument/2006/relationships/hyperlink" Target="http://www.nevo.co.il/case/23750765" TargetMode="External"/><Relationship Id="rId115" Type="http://schemas.openxmlformats.org/officeDocument/2006/relationships/hyperlink" Target="http://www.nevo.co.il/case/23750765" TargetMode="External"/><Relationship Id="rId119" Type="http://schemas.openxmlformats.org/officeDocument/2006/relationships/hyperlink" Target="http://www.nevo.co.il/case/22832600" TargetMode="External"/><Relationship Id="rId15" Type="http://schemas.openxmlformats.org/officeDocument/2006/relationships/hyperlink" Target="http://www.nevo.co.il/law/4216" TargetMode="External"/><Relationship Id="rId110" Type="http://schemas.openxmlformats.org/officeDocument/2006/relationships/hyperlink" Target="http://www.nevo.co.il/case/25193405" TargetMode="External"/><Relationship Id="rId14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" TargetMode="External"/><Relationship Id="rId114" Type="http://schemas.openxmlformats.org/officeDocument/2006/relationships/hyperlink" Target="http://www.nevo.co.il/case/23750765" TargetMode="External"/><Relationship Id="rId18" Type="http://schemas.openxmlformats.org/officeDocument/2006/relationships/hyperlink" Target="http://www.nevo.co.il/law/4216" TargetMode="External"/><Relationship Id="rId113" Type="http://schemas.openxmlformats.org/officeDocument/2006/relationships/hyperlink" Target="http://www.nevo.co.il/case/25193405" TargetMode="External"/><Relationship Id="rId112" Type="http://schemas.openxmlformats.org/officeDocument/2006/relationships/hyperlink" Target="http://www.nevo.co.il/case/25193405" TargetMode="External"/><Relationship Id="rId111" Type="http://schemas.openxmlformats.org/officeDocument/2006/relationships/hyperlink" Target="http://www.nevo.co.il/case/25193405" TargetMode="External"/><Relationship Id="rId84" Type="http://schemas.openxmlformats.org/officeDocument/2006/relationships/hyperlink" Target="http://www.nevo.co.il/case/28203751" TargetMode="External"/><Relationship Id="rId83" Type="http://schemas.openxmlformats.org/officeDocument/2006/relationships/hyperlink" Target="http://www.nevo.co.il/case/28203751" TargetMode="External"/><Relationship Id="rId86" Type="http://schemas.openxmlformats.org/officeDocument/2006/relationships/hyperlink" Target="http://www.nevo.co.il/case/25977712" TargetMode="External"/><Relationship Id="rId85" Type="http://schemas.openxmlformats.org/officeDocument/2006/relationships/hyperlink" Target="http://www.nevo.co.il/case/28203751" TargetMode="External"/><Relationship Id="rId88" Type="http://schemas.openxmlformats.org/officeDocument/2006/relationships/hyperlink" Target="http://www.nevo.co.il/case/25977712" TargetMode="External"/><Relationship Id="rId150" Type="http://schemas.openxmlformats.org/officeDocument/2006/relationships/hyperlink" Target="http://www.nevo.co.il/advertisements/nevo-100.doc" TargetMode="External"/><Relationship Id="rId87" Type="http://schemas.openxmlformats.org/officeDocument/2006/relationships/hyperlink" Target="http://www.nevo.co.il/case/25977712" TargetMode="External"/><Relationship Id="rId89" Type="http://schemas.openxmlformats.org/officeDocument/2006/relationships/hyperlink" Target="http://www.nevo.co.il/case/25977712" TargetMode="External"/><Relationship Id="rId80" Type="http://schemas.openxmlformats.org/officeDocument/2006/relationships/hyperlink" Target="http://www.nevo.co.il/case/28203751" TargetMode="External"/><Relationship Id="rId82" Type="http://schemas.openxmlformats.org/officeDocument/2006/relationships/hyperlink" Target="http://www.nevo.co.il/case/28203751" TargetMode="External"/><Relationship Id="rId81" Type="http://schemas.openxmlformats.org/officeDocument/2006/relationships/hyperlink" Target="http://www.nevo.co.il/case/28203751" TargetMode="External"/><Relationship Id="rId3" Type="http://schemas.openxmlformats.org/officeDocument/2006/relationships/theme" Target="theme/theme1.xml"/><Relationship Id="rId149" Type="http://schemas.openxmlformats.org/officeDocument/2006/relationships/hyperlink" Target="http://www.nevo.co.il/advertisements/nevo-100.doc" TargetMode="External"/><Relationship Id="rId4" Type="http://schemas.openxmlformats.org/officeDocument/2006/relationships/settings" Target="settings.xml"/><Relationship Id="rId148" Type="http://schemas.openxmlformats.org/officeDocument/2006/relationships/hyperlink" Target="http://www.nevo.co.il/advertisements/nevo-100.doc" TargetMode="External"/><Relationship Id="rId9" Type="http://schemas.openxmlformats.org/officeDocument/2006/relationships/hyperlink" Target="http://www.nevo.co.il/law/4216" TargetMode="External"/><Relationship Id="rId143" Type="http://schemas.openxmlformats.org/officeDocument/2006/relationships/hyperlink" Target="http://www.nevo.co.il/advertisements/nevo-100.doc" TargetMode="External"/><Relationship Id="rId142" Type="http://schemas.openxmlformats.org/officeDocument/2006/relationships/hyperlink" Target="http://www.nevo.co.il/advertisements/nevo-100.doc" TargetMode="External"/><Relationship Id="rId141" Type="http://schemas.openxmlformats.org/officeDocument/2006/relationships/hyperlink" Target="http://www.nevo.co.il/advertisements/nevo-100.doc" TargetMode="External"/><Relationship Id="rId140" Type="http://schemas.openxmlformats.org/officeDocument/2006/relationships/hyperlink" Target="http://www.nevo.co.il/advertisements/nevo-100.doc" TargetMode="External"/><Relationship Id="rId5" Type="http://schemas.openxmlformats.org/officeDocument/2006/relationships/fontTable" Target="fontTable.xml"/><Relationship Id="rId147" Type="http://schemas.openxmlformats.org/officeDocument/2006/relationships/hyperlink" Target="http://www.nevo.co.il/advertisements/nevo-100.doc" TargetMode="External"/><Relationship Id="rId6" Type="http://schemas.openxmlformats.org/officeDocument/2006/relationships/numbering" Target="numbering.xml"/><Relationship Id="rId146" Type="http://schemas.openxmlformats.org/officeDocument/2006/relationships/hyperlink" Target="http://www.nevo.co.il/advertisements/nevo-100.doc" TargetMode="External"/><Relationship Id="rId7" Type="http://schemas.openxmlformats.org/officeDocument/2006/relationships/styles" Target="styles.xml"/><Relationship Id="rId145" Type="http://schemas.openxmlformats.org/officeDocument/2006/relationships/hyperlink" Target="http://www.nevo.co.il/advertisements/nevo-100.doc" TargetMode="External"/><Relationship Id="rId8" Type="http://schemas.openxmlformats.org/officeDocument/2006/relationships/customXml" Target="../customXML/item1.xml"/><Relationship Id="rId144" Type="http://schemas.openxmlformats.org/officeDocument/2006/relationships/hyperlink" Target="http://www.nevo.co.il/advertisements/nevo-100.doc" TargetMode="External"/><Relationship Id="rId73" Type="http://schemas.openxmlformats.org/officeDocument/2006/relationships/hyperlink" Target="http://www.nevo.co.il/case/29945300" TargetMode="External"/><Relationship Id="rId72" Type="http://schemas.openxmlformats.org/officeDocument/2006/relationships/hyperlink" Target="http://www.nevo.co.il/case/29945300" TargetMode="External"/><Relationship Id="rId75" Type="http://schemas.openxmlformats.org/officeDocument/2006/relationships/hyperlink" Target="http://www.nevo.co.il/case/29945300" TargetMode="External"/><Relationship Id="rId74" Type="http://schemas.openxmlformats.org/officeDocument/2006/relationships/hyperlink" Target="http://www.nevo.co.il/case/29945300" TargetMode="External"/><Relationship Id="rId77" Type="http://schemas.openxmlformats.org/officeDocument/2006/relationships/hyperlink" Target="http://www.nevo.co.il/case/29945300" TargetMode="External"/><Relationship Id="rId76" Type="http://schemas.openxmlformats.org/officeDocument/2006/relationships/hyperlink" Target="http://www.nevo.co.il/case/29945300" TargetMode="External"/><Relationship Id="rId79" Type="http://schemas.openxmlformats.org/officeDocument/2006/relationships/hyperlink" Target="http://www.nevo.co.il/case/29945300" TargetMode="External"/><Relationship Id="rId78" Type="http://schemas.openxmlformats.org/officeDocument/2006/relationships/hyperlink" Target="http://www.nevo.co.il/case/29945300" TargetMode="External"/><Relationship Id="rId71" Type="http://schemas.openxmlformats.org/officeDocument/2006/relationships/hyperlink" Target="http://www.nevo.co.il/case/25981371" TargetMode="External"/><Relationship Id="rId70" Type="http://schemas.openxmlformats.org/officeDocument/2006/relationships/hyperlink" Target="http://www.nevo.co.il/case/25981371" TargetMode="External"/><Relationship Id="rId139" Type="http://schemas.openxmlformats.org/officeDocument/2006/relationships/hyperlink" Target="http://www.nevo.co.il/advertisements/nevo-100.doc" TargetMode="External"/><Relationship Id="rId138" Type="http://schemas.openxmlformats.org/officeDocument/2006/relationships/hyperlink" Target="http://www.nevo.co.il/advertisements/nevo-100.doc" TargetMode="External"/><Relationship Id="rId137" Type="http://schemas.openxmlformats.org/officeDocument/2006/relationships/hyperlink" Target="http://www.nevo.co.il/advertisements/nevo-100.doc" TargetMode="External"/><Relationship Id="rId132" Type="http://schemas.openxmlformats.org/officeDocument/2006/relationships/hyperlink" Target="http://www.nevo.co.il/law/4216" TargetMode="External"/><Relationship Id="rId131" Type="http://schemas.openxmlformats.org/officeDocument/2006/relationships/hyperlink" Target="http://www.nevo.co.il/law/4216" TargetMode="External"/><Relationship Id="rId130" Type="http://schemas.openxmlformats.org/officeDocument/2006/relationships/hyperlink" Target="http://www.nevo.co.il/law/4216" TargetMode="External"/><Relationship Id="rId136" Type="http://schemas.openxmlformats.org/officeDocument/2006/relationships/hyperlink" Target="http://www.nevo.co.il/advertisements/nevo-100.doc" TargetMode="External"/><Relationship Id="rId135" Type="http://schemas.openxmlformats.org/officeDocument/2006/relationships/hyperlink" Target="http://www.nevo.co.il/advertisements/nevo-100.doc" TargetMode="External"/><Relationship Id="rId134" Type="http://schemas.openxmlformats.org/officeDocument/2006/relationships/hyperlink" Target="http://www.nevo.co.il/advertisements/nevo-100.doc" TargetMode="External"/><Relationship Id="rId133" Type="http://schemas.openxmlformats.org/officeDocument/2006/relationships/hyperlink" Target="http://www.eca.gov.il" TargetMode="External"/><Relationship Id="rId62" Type="http://schemas.openxmlformats.org/officeDocument/2006/relationships/hyperlink" Target="http://www.nevo.co.il/case/5738608" TargetMode="External"/><Relationship Id="rId61" Type="http://schemas.openxmlformats.org/officeDocument/2006/relationships/hyperlink" Target="http://www.nevo.co.il/case/17954217" TargetMode="External"/><Relationship Id="rId64" Type="http://schemas.openxmlformats.org/officeDocument/2006/relationships/hyperlink" Target="http://www.nevo.co.il/case/5738608" TargetMode="External"/><Relationship Id="rId63" Type="http://schemas.openxmlformats.org/officeDocument/2006/relationships/hyperlink" Target="http://www.nevo.co.il/case/5738608" TargetMode="External"/><Relationship Id="rId66" Type="http://schemas.openxmlformats.org/officeDocument/2006/relationships/hyperlink" Target="http://www.nevo.co.il/case/25981371" TargetMode="External"/><Relationship Id="rId65" Type="http://schemas.openxmlformats.org/officeDocument/2006/relationships/hyperlink" Target="http://www.nevo.co.il/case/5738608" TargetMode="External"/><Relationship Id="rId68" Type="http://schemas.openxmlformats.org/officeDocument/2006/relationships/hyperlink" Target="http://www.nevo.co.il/case/25981371" TargetMode="External"/><Relationship Id="rId67" Type="http://schemas.openxmlformats.org/officeDocument/2006/relationships/hyperlink" Target="http://www.nevo.co.il/case/25981371" TargetMode="External"/><Relationship Id="rId60" Type="http://schemas.openxmlformats.org/officeDocument/2006/relationships/hyperlink" Target="http://www.nevo.co.il/case/17954217" TargetMode="External"/><Relationship Id="rId69" Type="http://schemas.openxmlformats.org/officeDocument/2006/relationships/hyperlink" Target="http://www.nevo.co.il/case/25981371" TargetMode="External"/><Relationship Id="rId51" Type="http://schemas.openxmlformats.org/officeDocument/2006/relationships/hyperlink" Target="http://www.nevo.co.il/law/4216/7.c" TargetMode="External"/><Relationship Id="rId50" Type="http://schemas.openxmlformats.org/officeDocument/2006/relationships/hyperlink" Target="http://www.nevo.co.il/law/4216/7.c" TargetMode="External"/><Relationship Id="rId53" Type="http://schemas.openxmlformats.org/officeDocument/2006/relationships/hyperlink" Target="http://www.nevo.co.il/case/26877678" TargetMode="External"/><Relationship Id="rId52" Type="http://schemas.openxmlformats.org/officeDocument/2006/relationships/hyperlink" Target="http://www.nevo.co.il/case/26877678" TargetMode="External"/><Relationship Id="rId55" Type="http://schemas.openxmlformats.org/officeDocument/2006/relationships/hyperlink" Target="http://www.nevo.co.il/case/26877678" TargetMode="External"/><Relationship Id="rId54" Type="http://schemas.openxmlformats.org/officeDocument/2006/relationships/hyperlink" Target="http://www.nevo.co.il/case/26877678" TargetMode="External"/><Relationship Id="rId57" Type="http://schemas.openxmlformats.org/officeDocument/2006/relationships/hyperlink" Target="http://www.nevo.co.il/case/26877678" TargetMode="External"/><Relationship Id="rId56" Type="http://schemas.openxmlformats.org/officeDocument/2006/relationships/hyperlink" Target="http://www.nevo.co.il/case/26877678" TargetMode="External"/><Relationship Id="rId59" Type="http://schemas.openxmlformats.org/officeDocument/2006/relationships/hyperlink" Target="http://www.nevo.co.il/case/17954217" TargetMode="External"/><Relationship Id="rId154" Type="http://schemas.openxmlformats.org/officeDocument/2006/relationships/hyperlink" Target="http://www.nevo.co.il/advertisements/nevo-100.doc" TargetMode="External"/><Relationship Id="rId58" Type="http://schemas.openxmlformats.org/officeDocument/2006/relationships/hyperlink" Target="http://www.nevo.co.il/case/17954217" TargetMode="External"/><Relationship Id="rId153" Type="http://schemas.openxmlformats.org/officeDocument/2006/relationships/hyperlink" Target="http://www.nevo.co.il/advertisements/nevo-100.doc" TargetMode="External"/><Relationship Id="rId152" Type="http://schemas.openxmlformats.org/officeDocument/2006/relationships/hyperlink" Target="http://www.nevo.co.il/advertisements/nevo-100.doc" TargetMode="External"/><Relationship Id="rId151" Type="http://schemas.openxmlformats.org/officeDocument/2006/relationships/hyperlink" Target="http://www.nevo.co.il/advertisements/nevo-100.doc" TargetMode="External"/><Relationship Id="rId158" Type="http://schemas.openxmlformats.org/officeDocument/2006/relationships/footer" Target="footer1.xml"/><Relationship Id="rId157" Type="http://schemas.openxmlformats.org/officeDocument/2006/relationships/footer" Target="footer2.xml"/><Relationship Id="rId156" Type="http://schemas.openxmlformats.org/officeDocument/2006/relationships/header" Target="header1.xml"/><Relationship Id="rId155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Tahoma-regular.ttf"/><Relationship Id="rId4" Type="http://schemas.openxmlformats.org/officeDocument/2006/relationships/font" Target="fonts/Tahoma-bold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<Relationships xmlns="http://schemas.openxmlformats.org/package/2006/relationships"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l3+UGe5iidymTB9G3lU2htfRoA==">CgMxLjAyCWlkLmdqZGd4czIKaWQuMzBqMHpsbDIKaWQuMWZvYjl0ZTIKaWQuM3pueXNoNzIKaWQuMmV0OTJwMDIJaWQudHlqY3d0MgppZC4zZHk2dmttMgppZC4xdDNoNXNmMgppZC40ZDM0b2c4OAByITFQcGQ3N1RBZEdaZ3psYk80dzhGWVVIMndGclB4N0ZFMw==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2024-12-03T08:37:00Z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28565</vt:lpwstr>
  </property>
  <property fmtid="{D5CDD505-2E9C-101B-9397-08002B2CF9AE}" pid="6" name="NEWPARTB">
    <vt:lpwstr>05</vt:lpwstr>
  </property>
  <property fmtid="{D5CDD505-2E9C-101B-9397-08002B2CF9AE}" pid="7" name="NEWPARTC">
    <vt:lpwstr>24</vt:lpwstr>
  </property>
  <property fmtid="{D5CDD505-2E9C-101B-9397-08002B2CF9AE}" pid="8" name="APPELLANT">
    <vt:lpwstr>מדינת ישראל</vt:lpwstr>
  </property>
  <property fmtid="{D5CDD505-2E9C-101B-9397-08002B2CF9AE}" pid="9" name="APPELLEE">
    <vt:lpwstr>אורי אלמלם</vt:lpwstr>
  </property>
  <property fmtid="{D5CDD505-2E9C-101B-9397-08002B2CF9AE}" pid="10" name="LAWYER">
    <vt:lpwstr>ליטל סגל מלכה;אסף לוי</vt:lpwstr>
  </property>
  <property fmtid="{D5CDD505-2E9C-101B-9397-08002B2CF9AE}" pid="11" name="JUDGE">
    <vt:lpwstr>גיל אדלמן</vt:lpwstr>
  </property>
  <property fmtid="{D5CDD505-2E9C-101B-9397-08002B2CF9AE}" pid="12" name="CITY">
    <vt:lpwstr>אי'</vt:lpwstr>
  </property>
  <property fmtid="{D5CDD505-2E9C-101B-9397-08002B2CF9AE}" pid="13" name="DATE">
    <vt:lpwstr>20241124</vt:lpwstr>
  </property>
  <property fmtid="{D5CDD505-2E9C-101B-9397-08002B2CF9AE}" pid="14" name="TYPE_N_DATE">
    <vt:lpwstr>38020241124</vt:lpwstr>
  </property>
  <property fmtid="{D5CDD505-2E9C-101B-9397-08002B2CF9AE}" pid="15" name="CASESLISTTMP1">
    <vt:lpwstr>26877678:2;17954217;5738608;25981371;29945300;28203751;25977712;22797714;20787902;18793360;10459115;25193405;23750765;22832600</vt:lpwstr>
  </property>
  <property fmtid="{D5CDD505-2E9C-101B-9397-08002B2CF9AE}" pid="16" name="CASENOTES1">
    <vt:lpwstr>ProcID=135&amp;PartA=13959&amp;PartB=12&amp;PartC=19</vt:lpwstr>
  </property>
  <property fmtid="{D5CDD505-2E9C-101B-9397-08002B2CF9AE}" pid="17" name="ISABSTRACT">
    <vt:lpwstr>Y</vt:lpwstr>
  </property>
  <property fmtid="{D5CDD505-2E9C-101B-9397-08002B2CF9AE}" pid="18" name="WORDNUMPAGES">
    <vt:lpwstr>10</vt:lpwstr>
  </property>
  <property fmtid="{D5CDD505-2E9C-101B-9397-08002B2CF9AE}" pid="19" name="TYPE_ABS_DATE">
    <vt:lpwstr>380020241124</vt:lpwstr>
  </property>
  <property fmtid="{D5CDD505-2E9C-101B-9397-08002B2CF9AE}" pid="20" name="LAWLISTTMP1">
    <vt:lpwstr>4216/013:2;019a:2;007.a;007.c</vt:lpwstr>
  </property>
</Properties>
</file>