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31122-11-15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יצחק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דנה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מרשק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מרום</w:t>
            </w:r>
            <w:r>
              <w:rPr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אלמוג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יצחק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פורר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כתב</w:t>
      </w:r>
      <w:r>
        <w:rPr>
          <w:rFonts w:cs="Calibri" w:ascii="Calibri" w:hAnsi="Calibri"/>
          <w:b/>
          <w:bCs/>
          <w:u w:val="single"/>
          <w:rtl w:val="true"/>
        </w:rPr>
        <w:t>-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9" w:name="ABSTRACT_START"/>
      <w:bookmarkEnd w:id="9"/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לצריכה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נוסח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1973</w:t>
      </w:r>
      <w:r>
        <w:rPr>
          <w:rFonts w:cs="Calibri" w:ascii="Calibri" w:hAnsi="Calibri"/>
          <w:rtl w:val="true"/>
        </w:rPr>
        <w:t xml:space="preserve"> [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פקודת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cs="Calibri" w:ascii="Calibri" w:hAnsi="Calibri"/>
          <w:rtl w:val="true"/>
        </w:rPr>
        <w:t>"].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  <w:t xml:space="preserve"> </w:t>
      </w:r>
      <w:r>
        <w:rPr>
          <w:rFonts w:ascii="Calibri" w:hAnsi="Calibri" w:cs="Calibri"/>
          <w:rtl w:val="true"/>
        </w:rPr>
        <w:t>מעובדות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בבוקר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2.11.15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יעקב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שיפוטיים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10" w:name="ABSTRACT_END"/>
      <w:bookmarkEnd w:id="10"/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כניסת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השוטרים</w:t>
      </w:r>
      <w:r>
        <w:rPr>
          <w:rFonts w:cs="Calibri" w:ascii="Calibri" w:hAnsi="Calibri"/>
          <w:rtl w:val="true"/>
        </w:rPr>
        <w:t xml:space="preserve">").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קופסה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199.33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M.D.M.A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כניסת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השמאלי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שבקומה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הקופסה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משהבחינו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צעקו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הקופסה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בתגובה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מהחדר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שהסתכל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מהחלון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הקופסה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החצר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199.33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56" w:before="0" w:after="160"/>
        <w:ind w:hanging="720" w:start="720" w:end="0"/>
        <w:jc w:val="start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מהתסקיר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נובמבר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במרפדייה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מוכרת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לאגף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הרווחה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בעיריית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פסיכוסוציאלית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מתמשכת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שהתגרשו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כמנהלת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כטבח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אחיו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סכיזופרניה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והתמכרותי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בלימודיו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מהפרעות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וריכוז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ריטלין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תופעות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לוואי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התגייס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כחייל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מקא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כשהשתחרר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בריאות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בפיצרייה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השחרור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מהצבא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הצהרותיו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  <w:t xml:space="preserve"> </w:t>
      </w:r>
      <w:r>
        <w:rPr>
          <w:rFonts w:ascii="Calibri" w:hAnsi="Calibri" w:cs="Calibri"/>
          <w:rtl w:val="true"/>
        </w:rPr>
        <w:t>לחובת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הצהירה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המיועדת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לצעירים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התקדמותו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מאפייניו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הומלץ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סירב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לקשייו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הממושכת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מגבילים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בחירותיו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הבעייתיות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שהתקבלה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אפקט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הרתעתי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הקונקרטית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ולדרישות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הקבוצה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חיצונית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להיטיב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ביכולותיו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להתבוננות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להתנהלות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לנתק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לחלוטין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חיצוניים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ולהעמיק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הקונקרטית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הושפע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מקבוצת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בהערכה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בפגיעות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התועלתנית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כשנתיים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נקיות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בסיכום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אנטי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סוציאליים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מורכבות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ובסביבה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בעייתית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שאופיינה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בנורמות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למישורים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בעייתיים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ונורמות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בעייתיים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שפיתח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ממושכת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בעיתוי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לבעייתיות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בשינוי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כגורמי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דיווחיו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כגורמי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ונטייתו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להתנהלות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צרכיו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לתפיסתו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לחופשה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השוללות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בעיתוי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תובנות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והתנהלותו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ייתכן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אינטנסיבי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וממושך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אוכלוסייה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בעייתית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ראיות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מטעם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התביעה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. </w:t>
        <w:tab/>
        <w:t xml:space="preserve"> </w:t>
      </w:r>
      <w:r>
        <w:rPr>
          <w:rFonts w:ascii="Calibri" w:hAnsi="Calibri" w:cs="Calibri"/>
          <w:rtl w:val="true"/>
        </w:rPr>
        <w:t>גיליון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22.3.16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2012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התפרצות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ראיות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מטעם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ההגנה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מעסיקו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כעשור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חריצותו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מעבודתו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ופירטה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וכמותו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ממושכת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הגדולה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מקדימה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מתוכננת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עתירת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הקונקרטית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וממוקד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שאישיותו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אנטיסוציאליים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לבעייתיות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בשינוי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מחלוקת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גיסו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לעתיד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רגעית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אלמנטים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מינורי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הזכיר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2.11.15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21.1.16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לשביעות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מעסיקו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למענו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לבקשתו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והוכיח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לקרוא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מועד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אוכלוסייה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בעייתית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כשלגישתו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ובמרכזן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מבוקש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.  </w:t>
        <w:tab/>
      </w:r>
      <w:r>
        <w:rPr>
          <w:rFonts w:ascii="Calibri" w:hAnsi="Calibri" w:cs="Calibri"/>
          <w:rtl w:val="true"/>
        </w:rPr>
        <w:t>בדברו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בערך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הנגרמים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MDMA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אקסטזי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במרכז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u w:val="single"/>
          <w:rtl w:val="true"/>
        </w:rPr>
        <w:t>נסיבות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הקשורות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בביצוע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שוויו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להכשיל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ליעדם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פועלים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נקודתית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מתמשכת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מדיניות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הענישה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המתחייבת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ייאמר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ind w:start="1440" w:end="0"/>
        <w:jc w:val="both"/>
        <w:rPr/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חומרתה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המופלגת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לצריכה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צורך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להכביר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מילים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מדובר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גדולה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וייאמר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בהרואין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.)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נועדה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קודם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לכל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לשרת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מטרת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הגמול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לעבריין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עיסוק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העלול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לסכן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ולפגוע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בבריאות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המשתמשים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שנית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להעביר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חד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משמעי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הרתעה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ביחס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לעבריינים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פוטנציאליים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ולשמש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אזהרה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אפקטיבי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שמתכוון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חלק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במערכת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ההעברות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בסמים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תהא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תהא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הפונקציה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בשרשרת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מזה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רב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מדגישים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בפסיקתם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חשיבות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החשובים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לביעורו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ההחמרה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משרתת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מטרות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הגמול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וההרתעה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היעדים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העיקריים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בתחום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: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211/09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אזולאי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22.6.10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. </w:t>
        <w:tab/>
        <w:t xml:space="preserve"> </w:t>
      </w: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הכוללות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נקודתית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MDMA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200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60000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והשלכתו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היעד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המרכזיים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8215/08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יוסף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4.2.09</w:t>
      </w:r>
      <w:r>
        <w:rPr>
          <w:rFonts w:cs="Calibri" w:ascii="Calibri" w:hAnsi="Calibri"/>
          <w:rtl w:val="true"/>
        </w:rPr>
        <w:t xml:space="preserve">]: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נדרשו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שהכילו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MDMA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ונמלטו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והכשלת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גמילה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תחילה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באשפוזית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בקהילה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נקיות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הגמילה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הגמילה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10498/05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אלמקייס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22.5.06</w:t>
      </w:r>
      <w:r>
        <w:rPr>
          <w:rFonts w:cs="Calibri" w:ascii="Calibri" w:hAnsi="Calibri"/>
          <w:rtl w:val="true"/>
        </w:rPr>
        <w:t xml:space="preserve">]: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348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אקסטזי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נכללה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והומלץ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ולניסיונו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מסודר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בסוג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הפסיקה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עקבית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לאמור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לגזור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מכבידים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למנוע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נזקם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מהציבור</w:t>
      </w:r>
      <w:r>
        <w:rPr>
          <w:rFonts w:cs="Calibri" w:ascii="Calibri" w:hAnsi="Calibri"/>
          <w:b/>
          <w:bCs/>
          <w:rtl w:val="true"/>
        </w:rPr>
        <w:t>."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9979/08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בודרם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21.4.09</w:t>
      </w:r>
      <w:r>
        <w:rPr>
          <w:rFonts w:cs="Calibri" w:ascii="Calibri" w:hAnsi="Calibri"/>
          <w:rtl w:val="true"/>
        </w:rPr>
        <w:t>] (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cs="Calibri" w:ascii="Calibri" w:hAnsi="Calibri"/>
          <w:rtl w:val="true"/>
        </w:rPr>
        <w:t xml:space="preserve">):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טבליות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MDMA</w:t>
      </w:r>
      <w:r>
        <w:rPr>
          <w:rFonts w:cs="Calibri" w:ascii="Calibri" w:hAnsi="Calibri"/>
        </w:rPr>
        <w:t>, 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מכנסיו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טבליות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1.9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אבקת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MDMA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התגורר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המתחייבת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מהודאת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העולה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המערער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נמנה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המסייעים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בהפצתו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בקרב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בישראל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נזקו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נדמה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צורך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להשחית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מילים</w:t>
      </w:r>
      <w:r>
        <w:rPr>
          <w:rFonts w:cs="Calibri" w:ascii="Calibri" w:hAnsi="Calibri"/>
          <w:b/>
          <w:bCs/>
          <w:rtl w:val="true"/>
        </w:rPr>
        <w:t>."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ab/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3967-09-11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אלפקיר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19.12.11</w:t>
      </w:r>
      <w:r>
        <w:rPr>
          <w:rFonts w:cs="Calibri" w:ascii="Calibri" w:hAnsi="Calibri"/>
          <w:rtl w:val="true"/>
        </w:rPr>
        <w:t>] (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cs="Calibri" w:ascii="Calibri" w:hAnsi="Calibri"/>
          <w:rtl w:val="true"/>
        </w:rPr>
        <w:t xml:space="preserve">):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שהכילה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1108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טבליות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MDMA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פסקי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רלבנטיים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אבחנות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מתבקשות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הולם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אשר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15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</w:t>
      </w:r>
      <w:r>
        <w:rPr>
          <w:rFonts w:cs="Calibri" w:ascii="Calibri" w:hAnsi="Calibri"/>
          <w:u w:val="single"/>
          <w:rtl w:val="true"/>
        </w:rPr>
        <w:t xml:space="preserve">- </w:t>
      </w:r>
      <w:r>
        <w:rPr>
          <w:rFonts w:cs="Calibri" w:ascii="Calibri" w:hAnsi="Calibri"/>
          <w:u w:val="single"/>
        </w:rPr>
        <w:t>36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u w:val="single"/>
          <w:rtl w:val="true"/>
        </w:rPr>
        <w:t>נסיבות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שאינן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קשורות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לביצוע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התפתחו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המורכבת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הקונקרטית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והוכיח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לתפקד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תעסוקה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הוערך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אפקט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מדאיגה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אנטי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סוציאליים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בעיתוי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לבעייתיות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בשינוי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בלקיחת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אמיתית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כששוקלת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מעט </w:t>
      </w:r>
      <w:r>
        <w:rPr>
          <w:rFonts w:ascii="Calibri" w:hAnsi="Calibri" w:cs="Calibri"/>
          <w:rtl w:val="true"/>
        </w:rPr>
        <w:t>מעל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i/>
          <w:i/>
          <w:iCs/>
        </w:rPr>
      </w:pPr>
      <w:r>
        <w:rPr>
          <w:rFonts w:cs="Calibri" w:ascii="Calibri" w:hAnsi="Calibri"/>
          <w:rtl w:val="true"/>
        </w:rPr>
        <w:tab/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</w:rPr>
        <w:t>2.11.15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21.1.16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-7" w:end="0"/>
        <w:jc w:val="both"/>
        <w:rPr>
          <w:rFonts w:ascii="David" w:hAnsi="David" w:cs="David"/>
          <w:i/>
          <w:i/>
          <w:iCs/>
        </w:rPr>
      </w:pPr>
      <w:r>
        <w:rPr>
          <w:rFonts w:cs="David" w:ascii="David" w:hAnsi="David"/>
          <w:i/>
          <w:i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7500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יקוזז מהערבון במזומן שהופקד בתיק 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הדרים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5.3.17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, </w:t>
      </w:r>
      <w:r>
        <w:rPr/>
        <w:t>08-9787336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והתנאים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בנוסף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הוצא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עיכוב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יציאה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מהארץ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שאני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איסור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יציאה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הארץ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לסיום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ריצוי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המאסר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יפקיד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דרכונו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במזכירות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tl w:val="true"/>
          <w:lang w:val="en-IL" w:eastAsia="en-IL"/>
        </w:rPr>
        <w:t>-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ראשון</w:t>
      </w:r>
      <w:r>
        <w:rPr>
          <w:rtl w:val="true"/>
          <w:lang w:val="en-IL" w:eastAsia="en-IL"/>
        </w:rPr>
        <w:t xml:space="preserve">, </w:t>
      </w:r>
      <w:r>
        <w:rPr>
          <w:lang w:val="en-IL" w:eastAsia="en-IL"/>
        </w:rPr>
        <w:t>5.2</w:t>
      </w:r>
      <w:r>
        <w:rPr>
          <w:lang w:val="en-IL" w:eastAsia="en-IL"/>
        </w:rPr>
        <w:t>.17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ככל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שהופקד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הדרכון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בהליכי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בכך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ניתן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להשמדת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הסמים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pacing w:lineRule="auto" w:line="360"/>
        <w:ind w:start="-7"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הודעה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זכות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ערעור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לבית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>המשפט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העליון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תוך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יום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31122-11-15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אלמוג יצחק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40c.a" TargetMode="External"/><Relationship Id="rId7" Type="http://schemas.openxmlformats.org/officeDocument/2006/relationships/hyperlink" Target="http://www.nevo.co.il/law/70301/40i.a" TargetMode="External"/><Relationship Id="rId8" Type="http://schemas.openxmlformats.org/officeDocument/2006/relationships/hyperlink" Target="http://www.nevo.co.il/law/70301/40ja" TargetMode="External"/><Relationship Id="rId9" Type="http://schemas.openxmlformats.org/officeDocument/2006/relationships/hyperlink" Target="http://www.nevo.co.il/law/4216/7.a" TargetMode="External"/><Relationship Id="rId10" Type="http://schemas.openxmlformats.org/officeDocument/2006/relationships/hyperlink" Target="http://www.nevo.co.il/law/4216/7.c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0c.a" TargetMode="External"/><Relationship Id="rId14" Type="http://schemas.openxmlformats.org/officeDocument/2006/relationships/hyperlink" Target="http://www.nevo.co.il/law/70301/40i.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5698919" TargetMode="External"/><Relationship Id="rId17" Type="http://schemas.openxmlformats.org/officeDocument/2006/relationships/hyperlink" Target="http://www.nevo.co.il/case/6123727" TargetMode="External"/><Relationship Id="rId18" Type="http://schemas.openxmlformats.org/officeDocument/2006/relationships/hyperlink" Target="http://www.nevo.co.il/case/6170968" TargetMode="External"/><Relationship Id="rId19" Type="http://schemas.openxmlformats.org/officeDocument/2006/relationships/hyperlink" Target="http://www.nevo.co.il/case/6162970" TargetMode="External"/><Relationship Id="rId20" Type="http://schemas.openxmlformats.org/officeDocument/2006/relationships/hyperlink" Target="http://www.nevo.co.il/case/3777101" TargetMode="External"/><Relationship Id="rId21" Type="http://schemas.openxmlformats.org/officeDocument/2006/relationships/hyperlink" Target="http://www.nevo.co.il/law/70301/40ja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  <Pages>12</Pages>
  <Words>2774</Words>
  <Characters>13192</Characters>
  <CharactersWithSpaces>15978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2022-08-31T13:35:00Z</dcterms:created>
  <dc:creator> </dc:creator>
  <dc:description/>
  <cp:keywords/>
  <dc:language>en-IL</dc:language>
  <cp:lastModifiedBy>h1</cp:lastModifiedBy>
  <dcterms:modified xsi:type="dcterms:W3CDTF">2022-08-31T13:35:00Z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אלמוג יצחק </vt:lpwstr>
  </property>
  <property fmtid="{D5CDD505-2E9C-101B-9397-08002B2CF9AE}" pid="4" name="CASESLISTTMP1">
    <vt:lpwstr>5698919;6123727;6170968;6162970;3777101</vt:lpwstr>
  </property>
  <property fmtid="{D5CDD505-2E9C-101B-9397-08002B2CF9AE}" pid="5" name="CITY">
    <vt:lpwstr>מרכז</vt:lpwstr>
  </property>
  <property fmtid="{D5CDD505-2E9C-101B-9397-08002B2CF9AE}" pid="6" name="DATE">
    <vt:lpwstr>20170202</vt:lpwstr>
  </property>
  <property fmtid="{D5CDD505-2E9C-101B-9397-08002B2CF9AE}" pid="7" name="ISABSTRACT">
    <vt:lpwstr>Y</vt:lpwstr>
  </property>
  <property fmtid="{D5CDD505-2E9C-101B-9397-08002B2CF9AE}" pid="8" name="JUDGE">
    <vt:lpwstr>דנה מרשק מרום</vt:lpwstr>
  </property>
  <property fmtid="{D5CDD505-2E9C-101B-9397-08002B2CF9AE}" pid="9" name="LAWLISTTMP1">
    <vt:lpwstr>4216/007.a;007.c</vt:lpwstr>
  </property>
  <property fmtid="{D5CDD505-2E9C-101B-9397-08002B2CF9AE}" pid="10" name="LAWLISTTMP2">
    <vt:lpwstr>70301/040c.a;040i.a;40ja</vt:lpwstr>
  </property>
  <property fmtid="{D5CDD505-2E9C-101B-9397-08002B2CF9AE}" pid="11" name="LAWYER">
    <vt:lpwstr>ירון פורר;שרה טל</vt:lpwstr>
  </property>
  <property fmtid="{D5CDD505-2E9C-101B-9397-08002B2CF9AE}" pid="12" name="NEWPARTA">
    <vt:lpwstr>31122</vt:lpwstr>
  </property>
  <property fmtid="{D5CDD505-2E9C-101B-9397-08002B2CF9AE}" pid="13" name="NEWPARTB">
    <vt:lpwstr>11</vt:lpwstr>
  </property>
  <property fmtid="{D5CDD505-2E9C-101B-9397-08002B2CF9AE}" pid="14" name="NEWPARTC">
    <vt:lpwstr>15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390020170202</vt:lpwstr>
  </property>
  <property fmtid="{D5CDD505-2E9C-101B-9397-08002B2CF9AE}" pid="19" name="TYPE_N_DATE">
    <vt:lpwstr>39020170202</vt:lpwstr>
  </property>
  <property fmtid="{D5CDD505-2E9C-101B-9397-08002B2CF9AE}" pid="20" name="WORDNUMPAGES">
    <vt:lpwstr>9</vt:lpwstr>
  </property>
</Properties>
</file>