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4"/>
        <w:gridCol w:w="3664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39573-10-18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נדאף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bidi w:val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</w:rPr>
              <w:t xml:space="preserve"> </w:t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bidi w:val="0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ind w:start="26" w:end="0"/>
              <w:jc w:val="end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</w:r>
          </w:p>
          <w:p>
            <w:pPr>
              <w:pStyle w:val="Normal"/>
              <w:bidi w:val="0"/>
              <w:jc w:val="end"/>
              <w:rPr/>
            </w:pPr>
            <w:r>
              <w:rPr>
                <w:rFonts w:cs="Times New Roman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bidi w:val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bidi w:val="0"/>
              <w:ind w:start="26" w:end="0"/>
              <w:jc w:val="end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bidi w:val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מייסרא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נדאף</w:t>
            </w:r>
            <w:r>
              <w:rPr>
                <w:b/>
                <w:bCs/>
                <w:sz w:val="26"/>
                <w:szCs w:val="26"/>
                <w:rtl w:val="true"/>
              </w:rPr>
              <w:t>,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</w:rPr>
              <w:t xml:space="preserve">  </w:t>
            </w:r>
            <w:r>
              <w:rPr>
                <w:rFonts w:cs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bidi w:val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bookmarkStart w:id="3" w:name="FirstLawyer"/>
      <w:r>
        <w:rPr>
          <w:rtl w:val="true"/>
        </w:rPr>
        <w:t>בשם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סלימאן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שאדי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דבאח</w:t>
      </w:r>
    </w:p>
    <w:p>
      <w:pPr>
        <w:pStyle w:val="Normal"/>
        <w:ind w:end="0"/>
        <w:jc w:val="start"/>
        <w:rPr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7.2.19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ניתנה הכרעת דין בעניינו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במסגרת הסדר חלקי שלא כלל הסדר אודות העונש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הודה בעבירה של החזקת סם מסוכן שלא לצריכה עצמית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לפי סעיף </w:t>
      </w:r>
      <w:hyperlink r:id="rId8">
        <w:r>
          <w:rPr>
            <w:rStyle w:val="Hyperlink"/>
            <w:rFonts w:cs="David" w:ascii="David" w:hAnsi="David"/>
            <w:sz w:val="26"/>
            <w:szCs w:val="26"/>
          </w:rPr>
          <w:t>7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 + 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רישא ל</w:t>
      </w:r>
      <w:hyperlink r:id="rId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[</w:t>
      </w:r>
      <w:r>
        <w:rPr>
          <w:rFonts w:ascii="David" w:hAnsi="David"/>
          <w:sz w:val="26"/>
          <w:sz w:val="26"/>
          <w:szCs w:val="26"/>
          <w:rtl w:val="true"/>
        </w:rPr>
        <w:t>נוסח חדש</w:t>
      </w:r>
      <w:r>
        <w:rPr>
          <w:rFonts w:cs="David" w:ascii="David" w:hAnsi="David"/>
          <w:sz w:val="26"/>
          <w:szCs w:val="26"/>
          <w:rtl w:val="true"/>
        </w:rPr>
        <w:t xml:space="preserve">], </w:t>
      </w:r>
      <w:r>
        <w:rPr>
          <w:rFonts w:ascii="David" w:hAnsi="David"/>
          <w:sz w:val="26"/>
          <w:sz w:val="26"/>
          <w:szCs w:val="26"/>
          <w:rtl w:val="true"/>
        </w:rPr>
        <w:t>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1973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bookmarkStart w:id="10" w:name="ABSTRACT_END"/>
      <w:bookmarkEnd w:id="10"/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על פי כתב האישום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6.10.18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הגיע הנאשם לדירה בחיפה כשהוא נושא עמו תיק גב ובתוכו הרואין במשקל כולל של </w:t>
      </w:r>
      <w:r>
        <w:rPr>
          <w:rFonts w:cs="David" w:ascii="David" w:hAnsi="David"/>
          <w:sz w:val="26"/>
          <w:szCs w:val="26"/>
        </w:rPr>
        <w:t>204.909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נטו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200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טבליות </w:t>
      </w:r>
      <w:r>
        <w:rPr>
          <w:rFonts w:cs="David" w:ascii="David" w:hAnsi="David"/>
          <w:sz w:val="26"/>
          <w:szCs w:val="26"/>
        </w:rPr>
        <w:t>MDMA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וכן שברי טבליות </w:t>
      </w:r>
      <w:r>
        <w:rPr>
          <w:rFonts w:cs="David" w:ascii="David" w:hAnsi="David"/>
          <w:sz w:val="26"/>
          <w:szCs w:val="26"/>
        </w:rPr>
        <w:t>MDMA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במשקל כולל של </w:t>
      </w:r>
      <w:r>
        <w:rPr>
          <w:rFonts w:cs="David" w:ascii="David" w:hAnsi="David"/>
          <w:sz w:val="26"/>
          <w:szCs w:val="26"/>
        </w:rPr>
        <w:t>9.4305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 xml:space="preserve">נטו וחשיש במשקל כולל של </w:t>
      </w:r>
      <w:r>
        <w:rPr>
          <w:rFonts w:cs="David" w:ascii="David" w:hAnsi="David"/>
          <w:sz w:val="26"/>
          <w:szCs w:val="26"/>
        </w:rPr>
        <w:t>861.75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נטו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טענות המדינה לעניין העונש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המדינה ביקשה להשית מאסר בפועל לתקופה משמעותית ולפסול את רישיון הנהיגה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הודגשה חומרת עבירות הסמים והצורך בהטלת ענישה מרתיעה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1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7070/03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עליאן זניד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2006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hyperlink r:id="rId1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6029/03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גולן שמאי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9.2.2004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כמו כן הוזכר שהנאשם הורשע בהחזקת </w:t>
      </w:r>
      <w:r>
        <w:rPr>
          <w:rFonts w:cs="David" w:ascii="David" w:hAnsi="David"/>
          <w:sz w:val="26"/>
          <w:szCs w:val="26"/>
        </w:rPr>
        <w:t>MDMA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שהפך בשנים אחרונות לנפוץ במיוחד בקרב צעירים והוא סם בעל השפעות הרסניות במיוחד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1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37468-09-16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ריאסונוב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25.4.2017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הוספו טענות כי שככל שמדובר בהרואין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מדובר סם קשה ביותר הגורם לנזקים אדירים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לתכנון מוקדם כאשר הנאשם החביא את הסמים בתוך תיק ואת התיק בתוך מכונת כביסה בדירה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שחלקו היחסי של הנאשם היה מלא ושהוא ביצע את העבירות במקרה לבדו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ביחס לנזקים הצפויים במיצוע העבירות הפנתה המדינה לחומרת עבירות הסמים למיניהן ונטען שהנאשם היה יכול לדעת את אשר הוא עשה בהיותו בגיר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שהסיבות שהביאו את הנאשם לביצוע העבירה היו תאוות בצע גרידא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נטען למתחם ענישה הנע בין </w:t>
      </w:r>
      <w:r>
        <w:rPr>
          <w:rFonts w:cs="David" w:ascii="David" w:hAnsi="David"/>
          <w:sz w:val="26"/>
          <w:szCs w:val="26"/>
        </w:rPr>
        <w:t>5-8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המדינה אזכרה את הפסיקה הבאה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1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8820/14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זהר שחר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17.5.15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המערער הורשע על פי הודאתו בעבירות סמים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החזיק חשיש במשקל </w:t>
      </w:r>
      <w:r>
        <w:rPr>
          <w:rFonts w:cs="David" w:ascii="David" w:hAnsi="David"/>
          <w:sz w:val="26"/>
          <w:szCs w:val="26"/>
        </w:rPr>
        <w:t>3.74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 xml:space="preserve">וקוקאין במשקל </w:t>
      </w:r>
      <w:r>
        <w:rPr>
          <w:rFonts w:cs="David" w:ascii="David" w:hAnsi="David"/>
          <w:sz w:val="26"/>
          <w:szCs w:val="26"/>
        </w:rPr>
        <w:t>112.316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 xml:space="preserve">'.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כי בגין החזקת עשרות גרמים של הרואין וקוקאין מצדיק מתחם ענישה שבין </w:t>
      </w:r>
      <w:r>
        <w:rPr>
          <w:rFonts w:cs="David" w:ascii="David" w:hAnsi="David"/>
          <w:sz w:val="26"/>
          <w:szCs w:val="26"/>
        </w:rPr>
        <w:t>3-5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המערער הושתו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כחלק מהסדר טיעון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1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1313/14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מאל בהתימי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9.6.15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הורשע המערער בהחזקת קוקאין במשקל </w:t>
      </w:r>
      <w:r>
        <w:rPr>
          <w:rFonts w:cs="David" w:ascii="David" w:hAnsi="David"/>
          <w:sz w:val="26"/>
          <w:szCs w:val="26"/>
        </w:rPr>
        <w:t>50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והושת עליו עונש של </w:t>
      </w:r>
      <w:r>
        <w:rPr>
          <w:rFonts w:cs="David" w:ascii="David" w:hAnsi="David"/>
          <w:sz w:val="26"/>
          <w:szCs w:val="26"/>
        </w:rPr>
        <w:t>42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הערעור נדחה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1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5374/12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שלמה אברג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9.1.13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המערער הורשע על פי הודאתו בהחזקת סמים מסוג קוקאין במשל </w:t>
      </w:r>
      <w:r>
        <w:rPr>
          <w:rFonts w:cs="David" w:ascii="David" w:hAnsi="David"/>
          <w:sz w:val="26"/>
          <w:szCs w:val="26"/>
        </w:rPr>
        <w:t>43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ונידון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בערעור נקבע שהעונש אינו חורג ממדיניות הענישה המקובלת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1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1932/15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פיליפ בן סעדון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17.4.16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המערער  הורשע על פי הודאתו בהחזקת </w:t>
      </w:r>
      <w:r>
        <w:rPr>
          <w:rFonts w:cs="David" w:ascii="David" w:hAnsi="David"/>
          <w:sz w:val="26"/>
          <w:szCs w:val="26"/>
        </w:rPr>
        <w:t>26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קוקאין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446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 אקסטזי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400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חשיש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הערכאה הדיונית גזרה עליו </w:t>
      </w:r>
      <w:r>
        <w:rPr>
          <w:rFonts w:cs="David" w:ascii="David" w:hAnsi="David"/>
          <w:sz w:val="26"/>
          <w:szCs w:val="26"/>
        </w:rPr>
        <w:t>42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ערעורו על חומרת העונש נדחה ונקבע שרמת הענישה בגין החזקת כמות של עשרות גרמים של סמים מסוכנים נעה בין </w:t>
      </w:r>
      <w:r>
        <w:rPr>
          <w:rFonts w:cs="David" w:ascii="David" w:hAnsi="David"/>
          <w:sz w:val="26"/>
          <w:szCs w:val="26"/>
        </w:rPr>
        <w:t>3-5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hyperlink r:id="rId1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482/20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מטר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4.6.20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הורשע בהחזקת </w:t>
      </w:r>
      <w:r>
        <w:rPr>
          <w:rFonts w:cs="David" w:ascii="David" w:hAnsi="David"/>
          <w:sz w:val="26"/>
          <w:szCs w:val="26"/>
        </w:rPr>
        <w:t>65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הרואין וכן בעבירת איומים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הערכאה הדיונית קבעה מתחם ענישה בין </w:t>
      </w:r>
      <w:r>
        <w:rPr>
          <w:rFonts w:cs="David" w:ascii="David" w:hAnsi="David"/>
          <w:sz w:val="26"/>
          <w:szCs w:val="26"/>
        </w:rPr>
        <w:t>3-5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והוטלו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הערעור התקבל באופן חלקי עקב פגם בעריכת החיפוש ונקבע שירצה </w:t>
      </w:r>
      <w:r>
        <w:rPr>
          <w:rFonts w:cs="David" w:ascii="David" w:hAnsi="David"/>
          <w:sz w:val="26"/>
          <w:szCs w:val="26"/>
        </w:rPr>
        <w:t>42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במקרה דנן ביקשה המדינה שהעונש ייגזר באמצע המתחם ובנוסף שיושת 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קנס כספי משמעותי ופסילת רישיון נהיגה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טענות הנאשם לעניין העונש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הנאשם טען שאין לקבל את עמדת המדינה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שהשיקול הראשי אמור להיות האינטרס הציבורי ולא רק עניין הענישה לבדו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שניתנה לנאשם הזדמנות להשתקם והוא עשה זאת בהצלחה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כאשר התיק נפתח באוקטובר </w:t>
      </w:r>
      <w:r>
        <w:rPr>
          <w:rFonts w:cs="David" w:ascii="David" w:hAnsi="David"/>
          <w:sz w:val="26"/>
          <w:szCs w:val="26"/>
        </w:rPr>
        <w:t>2018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ומאז התקיימו בו ישיבות רבות ובמשך הזמן הנאשם ביצע תהליך שיקומי שלם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ששירות המבחן נכנס לעובי הקורה והצליח לבנות מערכת שיקומית שהצליחה לעזור לנאשם ולשקמו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שהענישה הינה לעולם אינדיווידואלית ויש לפסוק בכל מקרה על נסיבותיו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נטען שהנאשם נקלט לתהליך גמילה משמעותי ומוצלח במוסד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אילנות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ונטען שיש לקבל את עמדת שירות המבחן שהייתה מבוססת על הנתונים של המקרה והצלחת השיקום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לעניין התחשבות בתהליכי שיקום הפנה הסנגור ל</w:t>
      </w:r>
      <w:hyperlink r:id="rId1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1903/13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עאישה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14.7.2013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hyperlink r:id="rId1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262/14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מוחמד נאשף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22.1.2014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hyperlink r:id="rId2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7555/14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פלוני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10.6.2015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כמו כן נטען שיש אינטרס ציבורי בצמצום מאסרים שאינם הכרחיים ובעניין זה הסנגור הפנה ל</w:t>
      </w:r>
      <w:hyperlink r:id="rId2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בג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ץ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1892/14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האגודה לזכויות האזרח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שר הפנים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13.6.2017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hyperlink r:id="rId2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4167/12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אוחנה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17.3.2013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הוזכר שהנאשם היה עצור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הוזכר עוד כי הנאשם סיים את כל שלבי השיקום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מגורים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קהילה ויציאה לחיים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בהצלחה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כעת הוא מתגורר בביתו עם שני ילדיו ואשתו ומטופל ביחידה להתמכרויות מסמים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נטען שיש מקום שבית המשפט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יבוא לקראת הנאשם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בעקבות ההצלחה שנחל בתהליך השיקום וכי השיקום מהווה אינטרס ציבורי ראשון במעלה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דברי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 הודה על ההזדמנות שניתנה לו ללכת לטיפול בקהילה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טען שהשאיר אחריו את עברו הפלילי והפך לאדם אחר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טען שחזר למשפחתו וחי חיים קונסטרוקטיביים וחיוביים לאחר שעבר תקופה לא פשוטה בה למד הלקח מהעבירות ולקח אחריות על חייו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טען ששיקומו מוצלח ושהוא דבק בו</w:t>
      </w:r>
      <w:r>
        <w:rPr>
          <w:rFonts w:cs="David" w:ascii="David" w:hAnsi="David"/>
          <w:sz w:val="26"/>
          <w:szCs w:val="26"/>
          <w:rtl w:val="true"/>
        </w:rPr>
        <w:t>. 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אני היום לא משתמש בסמים ואני חי על הרגליים ונושם</w:t>
      </w:r>
      <w:r>
        <w:rPr>
          <w:rFonts w:cs="David" w:ascii="David" w:hAnsi="David"/>
          <w:b/>
          <w:bCs/>
          <w:sz w:val="26"/>
          <w:szCs w:val="26"/>
          <w:rtl w:val="true"/>
        </w:rPr>
        <w:t>..</w:t>
      </w:r>
      <w:r>
        <w:rPr>
          <w:rFonts w:cs="David" w:ascii="David" w:hAnsi="David"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u w:val="single"/>
          <w:rtl w:val="true"/>
        </w:rPr>
        <w:t xml:space="preserve">תסקיר ראשון מיום </w:t>
      </w:r>
      <w:r>
        <w:rPr>
          <w:rFonts w:cs="David" w:ascii="David" w:hAnsi="David"/>
          <w:sz w:val="26"/>
          <w:szCs w:val="26"/>
          <w:u w:val="single"/>
        </w:rPr>
        <w:t>30.6.19</w:t>
      </w:r>
      <w:r>
        <w:rPr>
          <w:rFonts w:cs="David" w:ascii="David" w:hAnsi="David"/>
          <w:sz w:val="26"/>
          <w:szCs w:val="26"/>
          <w:u w:val="single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תוארו קורותיו של הנאשם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 xml:space="preserve">שהוא בן </w:t>
      </w:r>
      <w:r>
        <w:rPr>
          <w:rFonts w:cs="David" w:ascii="David" w:hAnsi="David"/>
          <w:sz w:val="26"/>
          <w:szCs w:val="26"/>
        </w:rPr>
        <w:t>29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תושב חיפה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חי בזוגיות ואב לבת שהיא בת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ובן בן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השכלתו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לימוד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חלקן במסגרת חוץ ביתית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לאורך השנים עבד כקצב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בתקופה שקדמה למעצרו של כחודש לא עבד בשל משבר אישי ומשפחתי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משפחת מוצאו מונה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אחים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אחד מאחיו כלוא בגין עבירת סמים ובעל רקע התמכרותי ואח נוסף הינו בעל רקע התמכרותי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הוריו גרושים מזה שנים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המשבר האישי סב סביב חשיפתו של אחד האחים כסוכן סמוי ובשל כך חווה הנאשם איום לחייו והתקשה לתפקד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גדל בתנאים בעייתיים ואביו גם סבל מהתמכרות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בנו הקטן מתמודד עם קשיים בשל פגיעת ראש שעבר בהיותו בן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השתמש בסמים החל מגיל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כאשר השימוש נפסק נוכח מעצרו הנוכחי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שאז הוא השתלב בקבוצה טיפולית במסגרת שב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ס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כיוון שהנאשם תיאר עייפות מאורח חיים התמכרותי והביע רצון להשתלב במסגרת טיפולית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הומלץ באותו שלב למרות הערכה לקיום סיכון משמעותי נדחה הדיון לצורך בחינת שילובו באפיק טיפולי בקהילה טיפולית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אילנות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תסקיר מיום </w:t>
      </w:r>
      <w:r>
        <w:rPr>
          <w:rFonts w:cs="David" w:ascii="David" w:hAnsi="David"/>
          <w:sz w:val="26"/>
          <w:szCs w:val="26"/>
        </w:rPr>
        <w:t>9.9.19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הומלץ על צירופו בקהילה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בתסקירי המשך מיום </w:t>
      </w:r>
      <w:r>
        <w:rPr>
          <w:rFonts w:cs="David" w:ascii="David" w:hAnsi="David"/>
          <w:sz w:val="26"/>
          <w:szCs w:val="26"/>
        </w:rPr>
        <w:t>5.12.19</w:t>
      </w:r>
      <w:r>
        <w:rPr>
          <w:rFonts w:cs="David" w:ascii="David" w:hAnsi="David"/>
          <w:sz w:val="26"/>
          <w:szCs w:val="26"/>
          <w:rtl w:val="true"/>
        </w:rPr>
        <w:t xml:space="preserve"> , </w:t>
      </w:r>
      <w:r>
        <w:rPr>
          <w:rFonts w:cs="David" w:ascii="David" w:hAnsi="David"/>
          <w:sz w:val="26"/>
          <w:szCs w:val="26"/>
        </w:rPr>
        <w:t>8.3.20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23.6.20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29.9.20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הומלץ על דחיית הדיון לצורך מיצוי תהליך השיקום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בתסקיר המשך מיום </w:t>
      </w:r>
      <w:r>
        <w:rPr>
          <w:rFonts w:cs="David" w:ascii="David" w:hAnsi="David"/>
          <w:sz w:val="26"/>
          <w:szCs w:val="26"/>
        </w:rPr>
        <w:t>14.2.21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תואר דוח סיכום שנת טיפול ושיקום ממנו עלה שהנאשם סיים שנת טיפול בתאריך </w:t>
      </w:r>
      <w:r>
        <w:rPr>
          <w:rFonts w:cs="David" w:ascii="David" w:hAnsi="David"/>
          <w:sz w:val="26"/>
          <w:szCs w:val="26"/>
        </w:rPr>
        <w:t>31.1.21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בשל מצב רפואי שאינו קשור לסמים הוא לא שולב בהוסטל שיקומי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עלה שבמסגרת השהות בקהילה שמר הנאשם על הכללים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ביצע תפקידים משמעותיים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היה מטופל חיובי שהצליח לקדם את עצמו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הגורמים הטיפוליים העריכו שחל אצלו שינוי משמעותי למרות שסבל מבעיות בריאות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תואר שלאורך תקופה של כ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דבק הנאשם בטיפול ושינה את דפוסיו ופיתוח מודעות לדפוסיו ההתמכרותיים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באותו שלב שקל שירות המבחן להמליץ על הנאשם ענישה שיקומית של צו מבחן ושל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צ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בשל בעיות בריאות לא ניתן היה להתקדם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בקשת דחיה נוספת התקבלה ביום </w:t>
      </w:r>
      <w:r>
        <w:rPr>
          <w:rFonts w:cs="David" w:ascii="David" w:hAnsi="David"/>
          <w:sz w:val="26"/>
          <w:szCs w:val="26"/>
        </w:rPr>
        <w:t>25.3.21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וביום </w:t>
      </w:r>
      <w:r>
        <w:rPr>
          <w:rFonts w:cs="David" w:ascii="David" w:hAnsi="David"/>
          <w:sz w:val="26"/>
          <w:szCs w:val="26"/>
        </w:rPr>
        <w:t>7.6.21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ניתן תסקיר סופי לאחר שהנאשם עבר טיפולים רפואיים לבעיות הבריאות הומלץ על צו מבחן למשך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במהלכם ימשיך בקשר טיפולי ביחידה לטיפול בהתמכרויות והמלץ על צו 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צ בהיקף של </w:t>
      </w:r>
      <w:r>
        <w:rPr>
          <w:rFonts w:cs="David" w:ascii="David" w:hAnsi="David"/>
          <w:sz w:val="26"/>
          <w:szCs w:val="26"/>
        </w:rPr>
        <w:t>300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שעות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אין ספק שעבירות הסמים חמורות ומחייבות קביעת מתחם ענישה הולם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במקרה זה מתחם הענישה נע בין </w:t>
      </w:r>
      <w:r>
        <w:rPr>
          <w:rFonts w:cs="David" w:ascii="David" w:hAnsi="David"/>
          <w:sz w:val="26"/>
          <w:szCs w:val="26"/>
        </w:rPr>
        <w:t>4-6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בהתאם לפסיקה שהובאה על ידי המדינה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ואולם במקרה זה מתקיים האמור </w:t>
      </w:r>
      <w:hyperlink r:id="rId23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40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ד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ל</w:t>
      </w:r>
      <w:hyperlink r:id="rId2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start="1440" w:end="426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</w:rPr>
        <w:t>40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  <w:tab/>
        <w:t>(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b/>
          <w:bCs/>
          <w:sz w:val="26"/>
          <w:szCs w:val="26"/>
          <w:rtl w:val="true"/>
        </w:rPr>
        <w:t>)</w:t>
        <w:tab/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קבע בית המשפט את מתחם העונש ההולם בהתאם לעיקרון המנחה ומצא כי הנאשם השתקם או כי יש סיכוי של ממש שישתקם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רשאי הוא לחרוג ממתחם העונש ההולם ולקבוע את עונשו של הנאשם לפי שיקולי שיקומו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וכן להורות על נקיטת אמצעי שיקומי כלפי הנאשם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לרבות העמדתו במבחן לפי סעיפים </w:t>
      </w:r>
      <w:r>
        <w:rPr>
          <w:rFonts w:cs="David" w:ascii="David" w:hAnsi="David"/>
          <w:b/>
          <w:bCs/>
          <w:sz w:val="26"/>
          <w:szCs w:val="26"/>
        </w:rPr>
        <w:t>82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או </w:t>
      </w:r>
      <w:r>
        <w:rPr>
          <w:rFonts w:cs="David" w:ascii="David" w:hAnsi="David"/>
          <w:b/>
          <w:bCs/>
          <w:sz w:val="26"/>
          <w:szCs w:val="26"/>
        </w:rPr>
        <w:t>86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או לפי 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פקודת המבחן</w:t>
        </w:r>
      </w:hyperlink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[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נוסח חדש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],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התשכ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1969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שהיה מכור לסמים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ובא ממשפחה עם רקע בעייתי בסמים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וביצע את העבירות על רקע 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הצליח לעמוד במהלך שיקומי ארוך ואינטנסיבי שמתועד היטב בתסקירים הרבים שנעשו ואשר תואר לעיל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ההמלצות של שירות המבחן מבוססות בעמידה של הנאשם בכל שלבי התכנית בה נטל חלק עד כה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כעת נאשם בדרך לחזרה למעגל חיים נורמטיבי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המקרה הנוכחי מהווה לדעתי אחד מהמקרים החריגים בהם מוצדק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לאור פוטנציאל גבוה לשיקום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להעדיף שיקולי שיקום על פני שיקולי ענישה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ראו </w:t>
      </w:r>
      <w:hyperlink r:id="rId2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7555/14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לעיל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/>
          <w:sz w:val="26"/>
          <w:sz w:val="26"/>
          <w:szCs w:val="26"/>
          <w:rtl w:val="true"/>
        </w:rPr>
        <w:t>לצד האינטרס הציבורי בענישת עבריינים קיים גם אינטרס ציבורי מקביל בשיקומם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דא עקא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לא תמיד ניתן לשלב בין האינטרסים בו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זמנית ובמקרה זה שליחת הנאשם למאסר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גם לתקופה קצרה יותר בהתחשב בשיקומו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תחשוף אותו ללחצים וסיטואציות שעלולים לדרדר אותו חזרה לעולם הסמים ועבירות הסמים למרות הדרך שעבר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המלצת שירות המבחן להטיל תקופת מבחן תשמור על האינטרס הציבורי בהיבט הענישתי כאשר במקרה שהנאשם לא יתמיד בשיקום ניתן יהיה לחזור לפסוק לחובתו עונש הולם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ואולם בשלב זה יש לדעתי להעדיף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הן משיקולים אישיים של הנאשם והן משיקולים כלליים של טובת הציבור 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>להמשיך ללכת בדרך של שיקום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sz w:val="26"/>
          <w:szCs w:val="26"/>
        </w:rPr>
        <w:t>21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אשר על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הנני משית על הנאשם עונשים כדלקמן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מאסר בפועל ל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לריצוי בדרך של עבודות שירות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צו מבחן למשך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בהתאם להוראת שירות המבחן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מאסר על תנאי של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חודשים 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אשר יופעל במידה והנאשם יבצע עבירות סמים מסוג פשע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בנסיבות המקרה לא מצאתי מקום להטיל קנס או לפסול את רישיון הנהיגה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הוסבר לנאשם שאם לא יקפיד על תנאי המבחן הוא יהיה חשוף לביטול הצו והטלת עונש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sz w:val="26"/>
          <w:szCs w:val="26"/>
          <w:u w:val="single"/>
        </w:rPr>
        <w:t>45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יום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1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אדר א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06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פברואר </w:t>
      </w:r>
      <w:r>
        <w:rPr>
          <w:rFonts w:cs="David" w:ascii="David" w:hAnsi="David"/>
          <w:sz w:val="26"/>
          <w:szCs w:val="26"/>
        </w:rPr>
        <w:t>2022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בנוכחות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39573-10-18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מייסרא נדאף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9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1553" TargetMode="External"/><Relationship Id="rId8" Type="http://schemas.openxmlformats.org/officeDocument/2006/relationships/hyperlink" Target="http://www.nevo.co.il/law/4216/7.a.;7.c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case/6094597" TargetMode="External"/><Relationship Id="rId11" Type="http://schemas.openxmlformats.org/officeDocument/2006/relationships/hyperlink" Target="http://www.nevo.co.il/case/5786821" TargetMode="External"/><Relationship Id="rId12" Type="http://schemas.openxmlformats.org/officeDocument/2006/relationships/hyperlink" Target="http://www.nevo.co.il/case/22007871" TargetMode="External"/><Relationship Id="rId13" Type="http://schemas.openxmlformats.org/officeDocument/2006/relationships/hyperlink" Target="http://www.nevo.co.il/case/18753213" TargetMode="External"/><Relationship Id="rId14" Type="http://schemas.openxmlformats.org/officeDocument/2006/relationships/hyperlink" Target="http://www.nevo.co.il/case/12063973" TargetMode="External"/><Relationship Id="rId15" Type="http://schemas.openxmlformats.org/officeDocument/2006/relationships/hyperlink" Target="http://www.nevo.co.il/case/5590128" TargetMode="External"/><Relationship Id="rId16" Type="http://schemas.openxmlformats.org/officeDocument/2006/relationships/hyperlink" Target="http://www.nevo.co.il/case/20118363" TargetMode="External"/><Relationship Id="rId17" Type="http://schemas.openxmlformats.org/officeDocument/2006/relationships/hyperlink" Target="http://www.nevo.co.il/case/26375569" TargetMode="External"/><Relationship Id="rId18" Type="http://schemas.openxmlformats.org/officeDocument/2006/relationships/hyperlink" Target="http://www.nevo.co.il/case/6824952" TargetMode="External"/><Relationship Id="rId19" Type="http://schemas.openxmlformats.org/officeDocument/2006/relationships/hyperlink" Target="http://www.nevo.co.il/case/11269647" TargetMode="External"/><Relationship Id="rId20" Type="http://schemas.openxmlformats.org/officeDocument/2006/relationships/hyperlink" Target="http://www.nevo.co.il/case/18653899" TargetMode="External"/><Relationship Id="rId21" Type="http://schemas.openxmlformats.org/officeDocument/2006/relationships/hyperlink" Target="http://www.nevo.co.il/case/13055183" TargetMode="External"/><Relationship Id="rId22" Type="http://schemas.openxmlformats.org/officeDocument/2006/relationships/hyperlink" Target="http://www.nevo.co.il/case/5585864" TargetMode="External"/><Relationship Id="rId23" Type="http://schemas.openxmlformats.org/officeDocument/2006/relationships/hyperlink" Target="http://www.nevo.co.il/law/70301/40d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1553" TargetMode="External"/><Relationship Id="rId26" Type="http://schemas.openxmlformats.org/officeDocument/2006/relationships/hyperlink" Target="http://www.nevo.co.il/case/18653899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2023-03-19T14:59:00Z</dcterms:created>
  <dc:creator> </dc:creator>
  <dc:description/>
  <cp:keywords/>
  <dc:language>en-IL</dc:language>
  <cp:lastModifiedBy>h1</cp:lastModifiedBy>
  <dcterms:modified xsi:type="dcterms:W3CDTF">2023-03-19T14:59:00Z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מייסרא נדאף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6094597;5786821;22007871;18753213;12063973;5590128;20118363;26375569;6824952;11269647;18653899:2;13055183;5585864</vt:lpwstr>
  </property>
  <property fmtid="{D5CDD505-2E9C-101B-9397-08002B2CF9AE}" pid="9" name="CITY">
    <vt:lpwstr>חי'</vt:lpwstr>
  </property>
  <property fmtid="{D5CDD505-2E9C-101B-9397-08002B2CF9AE}" pid="10" name="DATE">
    <vt:lpwstr>20220206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70301/040d</vt:lpwstr>
  </property>
  <property fmtid="{D5CDD505-2E9C-101B-9397-08002B2CF9AE}" pid="16" name="LAWLISTTMP3">
    <vt:lpwstr>71553</vt:lpwstr>
  </property>
  <property fmtid="{D5CDD505-2E9C-101B-9397-08002B2CF9AE}" pid="17" name="LAWYER">
    <vt:lpwstr>נג'וא סלימאן;שאדי דבאח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39573</vt:lpwstr>
  </property>
  <property fmtid="{D5CDD505-2E9C-101B-9397-08002B2CF9AE}" pid="24" name="NEWPARTB">
    <vt:lpwstr>10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390020220206</vt:lpwstr>
  </property>
  <property fmtid="{D5CDD505-2E9C-101B-9397-08002B2CF9AE}" pid="36" name="TYPE_N_DATE">
    <vt:lpwstr>39020220206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