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8306"/>
                <w:tab w:val="center" w:pos="4153" w:leader="none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 דניאל בן טולילה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4153"/>
                <w:tab w:val="right" w:pos="8306" w:leader="none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</w:rPr>
              <w:t>26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 xml:space="preserve">נובמבר </w:t>
            </w:r>
            <w:r>
              <w:rPr>
                <w:b/>
                <w:bCs/>
              </w:rPr>
              <w:t>2018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 xml:space="preserve">פ </w:t>
            </w:r>
            <w:r>
              <w:rPr>
                <w:b/>
                <w:bCs/>
              </w:rPr>
              <w:t>5680-02-18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>
          <w:trHeight w:val="724" w:hRule="atLeast"/>
          <w:cantSplit w:val="true"/>
        </w:trPr>
        <w:tc>
          <w:tcPr>
            <w:tcW w:w="2880" w:type="dxa"/>
            <w:tcBorders/>
          </w:tcPr>
          <w:p>
            <w:pPr>
              <w:pStyle w:val="Normal"/>
              <w:spacing w:lineRule="auto" w:line="360"/>
              <w:ind w:start="26" w:end="0"/>
              <w:jc w:val="both"/>
              <w:rPr>
                <w:rFonts w:eastAsia="David"/>
              </w:rPr>
            </w:pPr>
            <w:bookmarkStart w:id="2" w:name="FirstAppellant"/>
            <w:bookmarkStart w:id="3" w:name="_GoBack"/>
            <w:bookmarkEnd w:id="2"/>
            <w:bookmarkEnd w:id="3"/>
            <w:r>
              <w:rPr>
                <w:rFonts w:eastAsia="David"/>
                <w:rtl w:val="true"/>
              </w:rPr>
              <w:t xml:space="preserve">  </w:t>
            </w:r>
          </w:p>
          <w:p>
            <w:pPr>
              <w:pStyle w:val="Normal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פמ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כ – עו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ד נוימן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2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לירן מועזיז</w:t>
            </w:r>
            <w:r>
              <w:rPr>
                <w:rFonts w:ascii="Times New Roman" w:hAnsi="Times New Roman"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–בעצמו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כ – עו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שניידר 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4" w:name="Links_Start"/>
      <w:bookmarkEnd w:id="4"/>
      <w:r>
        <w:rPr>
          <w:rFonts w:ascii="FrankRuehl" w:hAnsi="FrankRuehl" w:cs="FrankRuehl"/>
          <w:rtl w:val="true"/>
        </w:rPr>
        <w:t>ספרות</w:t>
      </w:r>
      <w:r>
        <w:rPr>
          <w:rFonts w:cs="FrankRuehl" w:ascii="FrankRuehl" w:hAnsi="FrankRuehl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u w:val="none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יעקב קדמי  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על פקודת הסמים המסוכנים </w:t>
        </w:r>
        <w:r>
          <w:rPr>
            <w:rStyle w:val="Hyperlink"/>
            <w:rFonts w:cs="FrankRuehl" w:ascii="FrankRuehl" w:hAnsi="FrankRuehl"/>
            <w:b/>
            <w:bCs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הדין בראי הפסיקה 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3">
        <w:r>
          <w:rPr>
            <w:rtl w:val="true"/>
          </w:rPr>
        </w:r>
      </w:hyperlink>
      <w:bookmarkStart w:id="5" w:name="LawTable"/>
      <w:bookmarkStart w:id="6" w:name="Links_End"/>
      <w:bookmarkStart w:id="7" w:name="LawTable"/>
      <w:bookmarkStart w:id="8" w:name="Links_End"/>
      <w:bookmarkEnd w:id="7"/>
      <w:bookmarkEnd w:id="8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ascii="FrankRuehl" w:hAnsi="FrankRuehl" w:cs="FrankRuehl"/>
          <w:color w:val="0000FF"/>
          <w:rtl w:val="true"/>
        </w:rPr>
        <w:t>חקיקה שאוזכרה</w:t>
      </w:r>
      <w:r>
        <w:rPr>
          <w:rFonts w:cs="FrankRuehl" w:ascii="FrankRuehl" w:hAnsi="FrankRuehl"/>
          <w:color w:val="0000FF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4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1973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u w:val="none"/>
          </w:rPr>
          <w:t>7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7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7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1982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u w:val="none"/>
          </w:rPr>
          <w:t>192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9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9" w:name="LawTable_End"/>
      <w:bookmarkStart w:id="10" w:name="LawTable_End"/>
      <w:bookmarkEnd w:id="10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bookmarkStart w:id="11" w:name="PsakDin"/>
            <w:bookmarkEnd w:id="11"/>
            <w:r>
              <w:rPr>
                <w:rFonts w:ascii="Arial" w:hAnsi="Arial" w:cs="Times New Roman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 xml:space="preserve"> </w:t>
            </w:r>
            <w:r>
              <w:rPr>
                <w:rFonts w:ascii="Arial" w:hAnsi="Arial" w:cs="Times New Roman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cs="Times New Roman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bookmarkStart w:id="12" w:name="ABSTRACT_START"/>
      <w:bookmarkEnd w:id="12"/>
      <w:r>
        <w:rPr>
          <w:rFonts w:ascii="Arial" w:hAnsi="Arial" w:cs="Arial"/>
          <w:rtl w:val="true"/>
        </w:rPr>
        <w:t xml:space="preserve">הנאשם הורשע על פי הודאתו בעובדות כתב האישום המתוקן בעבירה של החזקת סם מסוכן שלא לצריכה עצמית בהתאם להוראת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)+(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[</w:t>
      </w:r>
      <w:r>
        <w:rPr>
          <w:rFonts w:ascii="Times New Roman" w:hAnsi="Times New Roman" w:cs="Times New Roman"/>
          <w:rtl w:val="true"/>
        </w:rPr>
        <w:t>נוסח חדש</w:t>
      </w:r>
      <w:r>
        <w:rPr>
          <w:rFonts w:cs="Times New Roman" w:ascii="Times New Roman" w:hAnsi="Times New Roman"/>
          <w:rtl w:val="true"/>
        </w:rPr>
        <w:t xml:space="preserve">], </w:t>
      </w:r>
      <w:r>
        <w:rPr>
          <w:rFonts w:ascii="Times New Roman" w:hAnsi="Times New Roman" w:cs="Times New Roman"/>
          <w:rtl w:val="true"/>
        </w:rPr>
        <w:t>תשל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ג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1973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פקודת הסמים המסוכנים</w:t>
      </w:r>
      <w:r>
        <w:rPr>
          <w:rFonts w:cs="Arial" w:ascii="Arial" w:hAnsi="Arial"/>
          <w:rtl w:val="true"/>
        </w:rPr>
        <w:t xml:space="preserve">"). </w:t>
      </w:r>
      <w:bookmarkStart w:id="13" w:name="ABSTRACT_END"/>
      <w:bookmarkEnd w:id="13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על פי המתואר בעובדות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שאינו ידוע 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אולם עובר לתאריך </w:t>
      </w:r>
      <w:r>
        <w:rPr>
          <w:rFonts w:cs="Arial" w:ascii="Arial" w:hAnsi="Arial"/>
        </w:rPr>
        <w:t>7.1.18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סיכמו אלי תורג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מן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אלי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 xml:space="preserve">ואדם אחר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האחר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לבצע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ייבוא סם מסוכן מסוג </w:t>
      </w:r>
      <w:r>
        <w:rPr>
          <w:rFonts w:cs="Arial" w:ascii="Arial" w:hAnsi="Arial"/>
        </w:rPr>
        <w:t>MDMA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הסם המסוכן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 "</w:t>
      </w:r>
      <w:r>
        <w:rPr>
          <w:rFonts w:ascii="Arial" w:hAnsi="Arial" w:cs="Arial"/>
          <w:b/>
          <w:b/>
          <w:bCs/>
          <w:rtl w:val="true"/>
        </w:rPr>
        <w:t>הסיכום</w:t>
      </w:r>
      <w:r>
        <w:rPr>
          <w:rFonts w:cs="Arial" w:ascii="Arial" w:hAnsi="Arial"/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במסגרת הסיכום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אלי והאחר הזמינו את הסם המסוכן תחת שם בדוי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ולכתובת בדויה בעיר דימונה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כשהסם המסוכן ארוז בחבילה ומוחבא בתחתית מתקן חשמלי לחימום אוכל בתוך החבילה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החבילה</w:t>
      </w:r>
      <w:r>
        <w:rPr>
          <w:rFonts w:cs="Arial" w:ascii="Arial" w:hAnsi="Arial"/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10.1.18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החבילה והסם המסוכן בתוכה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הועברו לנקודת איסוף של דואר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בחנות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סלקשיין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בעיר דימונה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החנות</w:t>
      </w:r>
      <w:r>
        <w:rPr>
          <w:rFonts w:cs="Arial" w:ascii="Arial" w:hAnsi="Arial"/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לשם איסוף החבילה מהחנות פנה אלי אל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העובד כנהג מונית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 ממנו כי יגיע לעיסוקו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ייקח מאלי ייפוי כוח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מכן יאסוף את החבילה מהחנות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עבור איסוף זה אלי והאחר ישלמו לנאשם סכום של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4,000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עובר לתאריך </w:t>
      </w:r>
      <w:r>
        <w:rPr>
          <w:rFonts w:cs="Arial" w:ascii="Arial" w:hAnsi="Arial"/>
        </w:rPr>
        <w:t>12.1.18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אלי והאחר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זייפו ייפוי כוח תחת השם הבדוי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ומסרו לנאשם על מנת שיסע עמו לחנות ויאסוף משם את הסם המסוכן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12.1.18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10:00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 הנאשם אל החנות ואסף משם את החבילה ובה הסם המסוכן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כשהוא מחזיקו שלא כדין ושלא לצריכתו העצמית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בסמוך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נסע הנאשם עם החבילה מהעיר דימונה לעיר שדרות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בסמוך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נסע אל הפיצוצייה שבבעלותו של אלי בעיר שדרות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בהגיעו לפיצוציה העביר הנאשם את החבילה ובה הסם המסוכן לידי אלי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והניחה בתוך תא המטען ברכב מסוג מזדה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מספר רישוי </w:t>
      </w:r>
      <w:r>
        <w:rPr>
          <w:rFonts w:cs="Arial" w:ascii="Arial" w:hAnsi="Arial"/>
        </w:rPr>
        <w:t>77-131-56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הרכב</w:t>
      </w:r>
      <w:r>
        <w:rPr>
          <w:rFonts w:cs="Arial" w:ascii="Arial" w:hAnsi="Arial"/>
          <w:rtl w:val="true"/>
        </w:rPr>
        <w:t xml:space="preserve">"). </w:t>
      </w:r>
      <w:r>
        <w:rPr>
          <w:rFonts w:ascii="Arial" w:hAnsi="Arial" w:cs="Arial"/>
          <w:rtl w:val="true"/>
        </w:rPr>
        <w:t>בסמוך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נעצר על ידי המשטרה בעיר שדרות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בשלב כלשהו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כשנודע לאלי כי הנאשם נעצר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נסע אלי עם הרכב והסם המסוכן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חייג לאחר ועדכן אותו אודות המצב שנוצר ורצונו להיפטר מהסם המסוכן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מיד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אלי עצר את הרכב בצידי הדרך בתוך העיר שדרות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יצא מהרכב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פתח את תא המטען והוציא את החבילה על מנת להשליכה מן הרכב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 אז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נעצר אלי על ידי כוחות המשטרה אשר הגיעו למקום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במהלך מעצרו של אלי נתפסו </w:t>
      </w:r>
      <w:r>
        <w:rPr>
          <w:rFonts w:cs="Arial" w:ascii="Arial" w:hAnsi="Arial"/>
          <w:b/>
          <w:bCs/>
        </w:rPr>
        <w:t>8,363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המכילים סם מסוכן מסוג </w:t>
      </w:r>
      <w:r>
        <w:rPr>
          <w:rFonts w:cs="Arial" w:ascii="Arial" w:hAnsi="Arial"/>
        </w:rPr>
        <w:t>MDMA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הנאשם במעשיו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החזיק בצוותא חדא עם אלי והאחר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בסם מסוכן מסוג </w:t>
      </w:r>
      <w:r>
        <w:rPr>
          <w:rFonts w:cs="Arial" w:ascii="Arial" w:hAnsi="Arial"/>
        </w:rPr>
        <w:t>MDMA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בכמות של </w:t>
      </w:r>
      <w:r>
        <w:rPr>
          <w:rFonts w:cs="Arial" w:ascii="Arial" w:hAnsi="Arial"/>
        </w:rPr>
        <w:t>8,363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הכל שלא לצריכתו העצמית ובלי שהיה בידו היתר כדין לעשות כן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>עד כאן עובדות כתב האישום המתוקן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במסגרת ההסדר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ולעניין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הוסכם כי המאשימה תגביל עצמה לעונש של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מאסר בפועל לצד ענישה נלווית הכוללת גם חילוט רכבו של הנאשם בהסכמה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חלף השתת קנס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ואילו ההגנה תהיה חופשית בטיעוניה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להשלמת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תורג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מן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5775-02-18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סוכם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תגביל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חופשית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בטיעוניה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1.11.18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נילוות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תסקיר שרות מבחן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בן </w:t>
      </w: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נשוי ואב לשני תינוקות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טרם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עבד כנהג מונית עצמאי והתגורר ביחידת דיור הצמודה לבית הוריו בשדרות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סיים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עם בגרות חלקית וסיים שרות צבאי מלא כנהג בוס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שחרורו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עבד בעבודת מזדמנות במשך כשנתיים ובמקביל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למד קורס מיגון ושמע לרכב וכן קורס נהגי מוניות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עבד כנהג מונית שכיר במשך שנה ובחמש השנים האחרונות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כעצמאי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שלל מעורבות פלילית קודמת במשפחתו ושיתף כי משפחתו הגיבה בכעס רב על הסתבכותו לצד מתן תמיכה וגיבוי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בהתייחסו להשפעת מעשיו על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ניכר שאלו מעוררים אצלו רגשות אשם כבדים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תחושת אכזבה וכישלון עצמי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שלל שימוש באלכוהול וסמים ובדיקות לגילוי שרידי סם נמצאו נקיות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בנוגע לעבירה בה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שיתף כי במסגרת עבודתו כנהג מונית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מבצע מעת לעת שליחויות גם עבור עסקים וכך גם עשה למען חברו שהינו בעל קיוסק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שיתף כי בתחילה ביצע עבור החבר את השליחויות מבלי לשאול תוכן המשלוחים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בהמשך כעבור שתיים שלוש פעמים שראה שהוא מקבל סכומי כסף גבוהים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התעוררו בו סימני שאלה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בעקבותיהם פנה לחברו שאמר לו שמדובר בסמים שאין חשש להעבירם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היות ומדובר בסמים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קלים ורפואיים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לדברי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כעבור שבועיים שוב פנה אליו החבר וביקש ממנו לבצע עבורו משלוח 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בתחילה סירב אולם בהמשך שוכנע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כיוון שלא היה נעים לו לסרב לחברו הטוב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אבחון משותף למניעיו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מסר כי ביצע את העבירה בשל רצונו להפיק רווח כספי מהיר וקל וכן בשל קשייו לסרב לחברו הקרוב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להתרשמות שרות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מסוגל לערוך תהליך הסתכלות פנימית על המניעים בבסיס מעשיו</w:t>
      </w:r>
      <w:r>
        <w:rPr>
          <w:rFonts w:cs="Arial" w:ascii="Arial" w:hAnsi="Arial"/>
          <w:rtl w:val="true"/>
        </w:rPr>
        <w:t xml:space="preserve">,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בעל מערכת ערכים נורמטיבית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דפוסי עבריינות מושרשים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לצד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שרות המבחן התרשם כי זה עלול במצבים מסוימים כגון פיתוי לרווח כלכלי מהיר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להגמיש גבולותיו הפנימיים והחיצוניים ולפעול בדרכים עקיפות לצורך סיפוק צרכיו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עולה מודעות ראשונית ביחס לחלקיו המכשילים כשהליך הפלילי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לראשונה בחייו ממריץ אותו לערוך חשבון נפש תוך נכונות להסתייע בגורמי הטיפול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ביחס </w:t>
      </w:r>
      <w:r>
        <w:rPr>
          <w:rFonts w:ascii="Arial" w:hAnsi="Arial" w:cs="Arial"/>
          <w:u w:val="single"/>
          <w:rtl w:val="true"/>
        </w:rPr>
        <w:t>לגורמי סיכוי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שרות המבחן מונה את התנהלותו הנורמטיבית של הנאשם עד למועד 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גילוי אחריות ויציבות במישורי חייו השונים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פתיחות וכנות ביחס לעצמו ולביצוע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שרות המבחן מונה את התרשמותם כי הנאשם שאפתן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חרוץ ובעל מסירות גבוהה לעבודתו למשפחה שמהווים מוקדים מרכזיים בחייו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ההליך המשפטי במסגרתו נעצר נחווה על ידו כאירוע מזעזע ומטלטל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המחירים האישיים והמשפחתיים אותם הוא משלם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גורמים לו לחשוב על טיב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המוטיבציה שזה מביע ללמידה אישית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נתפסת ככנה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ביחס </w:t>
      </w:r>
      <w:r>
        <w:rPr>
          <w:rFonts w:ascii="Arial" w:hAnsi="Arial" w:cs="Arial"/>
          <w:u w:val="single"/>
          <w:rtl w:val="true"/>
        </w:rPr>
        <w:t>לגורמי הסיכון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שרות המבחן מציין את הקושי של הנאשם להציב לעצמו גבולות ברורים ולעמוד במצבים של פיתוי לרווחים אישיים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נלקחו בחשבון דבריו לפיהם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מתקשה להתנהל באסרטיביות מול אנשים קרובים לו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שרות המבחן סבור כי שליחתו לעונש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אפילו ירוצה בדרך של עבודות שרות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עלולה לפגוע בו באופן משמעותי ולהביא להידרדרות בכל מישורי חייו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שרות המבחן סבור כי יש להשית על הנאשם ענישה בעלת גוון טיפולי בדמות צו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 בהיקף נרחב של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ממליץ שרות המבחן להימנע מהרשעת הנאשם וזאת בשל חששו של הנאשם כי הרשעה תפגע בפרנסתו ותקשה עליו להשתלב במקום עבודה חדש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נוסף לדברים אלו וכנימוק להימנע מהרשעת הנאשם מונה שירות מבחן את היעדרו של עבר פלילי ונכונותו להתחייב להליך טיפולי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הצדדים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טיעוניה לעונש הפנתה לערכים המוגנים בהם פגע הנאשם בדגש על הצורך להגן על בריאות הציבור מפני השפעתם הקשה של הסמים המסוכנים כמו גם הנזקים הנלווים לעבירות הסמים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עמדה המאשימה על הצורך להילחם מלחמת חורמה בעבירות הסמים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וכלפי כל המעורבים בשרשרת הפצת הסם כפי שעמדו על כך בתי המשפט בשורה של פסקי 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ככל שהדבר נוגע לנסיבות 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ביקשה המאשימה להפנות לכך שמדובר בסם הנמנה עם הסמים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הקשים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בכמות גבוהה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שנועד להפצה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כי אמנם הסמים נתפסו אך על בית המשפט לקחת במכלול שיקוליו את הנזק הרב שהיה נגרם אילו הסמים אלו היו נמכרים למשתמשים השונים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כי מדובר בעבירה שקדמו לה תכנון ומחשבה כשחלקו העובדתי של הנאשם חיוני ומשמעותי גם אם אינו מצוי בראש הפירמידה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המדובר במעשים המבוצעים מתוך רצון להפיק רווח כלכלי מהיר וקל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כל אלה ובהתאם לפסיקה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סבורה המאשימה כי מתחם העונש ההולם בנסיבות תיק זה נע בין שנתיים לשש שנים כשבהתאם להסדר המאשימה תעתור למקם את עונשו בחלקו התחתון לצד הענישה הנלווית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סבורה כי אין מקום לבטל את הרשעתו של הנאשם בדגש על כך שסוג העבירה בה הודה הנאשם אינו מאפשר להימנע מהרשעה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 מבית משפט לאמץ את המלצת שירות מבחן הן ביחס לסוגיית ההימנעות מהרשעה והן ביחס לעונש המומלץ בדמות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כי מדובר בנאשם שחלקו העובדתי קטן משמעותית מחלקם של האחרים ומצטמצם להחזקה של הסם לפרק זמן קצר יחסית של כשעה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עוד נטען כי היסוד הנפשי שנלווה למעשיו היה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עצימת עיניים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וחרף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לוקח אחריות מלאה על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שיתף פעולה עם גורמי אכיפת החוק והביא להפללתם של המעורבים הנוספים ולפיענוח הפרשה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היה עצור מאחורי סורג ובריח חודשיים וחצי במעצר אותו חווה כטראומתי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מאז מעצרו תחת איזוק אלקטרוני הנאשם השתלב בהליך טיפולי אליו הוא מחויב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הסנגור הוסיף ופירט בדבר מאפייניו האישיים של הנאשם בדגש על היותו אדם נורמטיבי נעדר דפוסי התנהגות עבריינים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מוטיבציה לטיפול ומוסר עבודה גבוה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גר בעיר שדרות במקום בו המצב הביטחוני אינו שפיר ועל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נוכחותו במחיצת אשתו וילדיו הקטנים מקבלת משנה תוקף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נטען כי הפסיקה הנוהגת נמוכה משמעותית מזו שעותרת לה המאשימה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אלו כאשר מדובר באדם שסיכויי השיקום בעינינו גבוהים ביותר והמלצת שירות מבחן מדגישה את הצורך באפיק טיפולי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מקום להשית עליו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מטעמו של הנאשם הוגשו בהסכמה לבית המשפט מספר מכתבים ומסמכים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u w:val="single"/>
          <w:rtl w:val="true"/>
        </w:rPr>
        <w:t>ראש עיריית שדרות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 xml:space="preserve">מר </w:t>
      </w:r>
      <w:r>
        <w:rPr>
          <w:rFonts w:ascii="Arial" w:hAnsi="Arial" w:cs="Arial"/>
          <w:b/>
          <w:b/>
          <w:bCs/>
          <w:u w:val="single"/>
          <w:rtl w:val="true"/>
        </w:rPr>
        <w:t>אלון דוידי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ציין כי מתוך היכרותו האישית עם הנאשם זוהי מעידה חד פעמית שאינה מאפיינת אורחותיו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תיאר כיצד הנאשם מסייע בהסעתם של ילדים ואנשים מוגבלים וכי הלה נחשב לנהג אהוד ואהוב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באגף הרווחה בעיריית שדרות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קיימים פתרונות טיפוליים עבור הנאשם והם מוכנים לסייע לו ככל שיידרש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u w:val="single"/>
          <w:rtl w:val="true"/>
        </w:rPr>
        <w:t xml:space="preserve">הגברת </w:t>
      </w:r>
      <w:r>
        <w:rPr>
          <w:rFonts w:ascii="Arial" w:hAnsi="Arial" w:cs="Arial"/>
          <w:b/>
          <w:b/>
          <w:bCs/>
          <w:u w:val="single"/>
          <w:rtl w:val="true"/>
        </w:rPr>
        <w:t>דפנה ממן</w:t>
      </w:r>
      <w:r>
        <w:rPr>
          <w:rFonts w:cs="Arial" w:ascii="Arial" w:hAnsi="Arial"/>
          <w:b/>
          <w:bCs/>
          <w:u w:val="single"/>
          <w:rtl w:val="true"/>
        </w:rPr>
        <w:t>,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עו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ס ופסיכותרפיסטית</w:t>
      </w:r>
      <w:r>
        <w:rPr>
          <w:rFonts w:ascii="Arial" w:hAnsi="Arial" w:cs="Arial"/>
          <w:rtl w:val="true"/>
        </w:rPr>
        <w:t xml:space="preserve"> פירטה אף היא דבר התרשמותה לפיה לנאשם ואשתו ערכים נורמטיביים וחיי משפחה מסודרים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 פירטה על ההשפעה הרבה שיש להליך הפלילי על משפחת הנאשם תוך ציון הרגרסיה בהתנהגותו של בנם בן השנתיים וחודשיים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u w:val="single"/>
          <w:rtl w:val="true"/>
        </w:rPr>
        <w:t xml:space="preserve">מר </w:t>
      </w:r>
      <w:r>
        <w:rPr>
          <w:rFonts w:ascii="Arial" w:hAnsi="Arial" w:cs="Arial"/>
          <w:b/>
          <w:b/>
          <w:bCs/>
          <w:u w:val="single"/>
          <w:rtl w:val="true"/>
        </w:rPr>
        <w:t>שי חג</w:t>
      </w:r>
      <w:r>
        <w:rPr>
          <w:rFonts w:cs="Arial" w:ascii="Arial" w:hAnsi="Arial"/>
          <w:b/>
          <w:bCs/>
          <w:u w:val="single"/>
          <w:rtl w:val="true"/>
        </w:rPr>
        <w:t>'</w:t>
      </w:r>
      <w:r>
        <w:rPr>
          <w:rFonts w:ascii="Arial" w:hAnsi="Arial" w:cs="Arial"/>
          <w:b/>
          <w:b/>
          <w:bCs/>
          <w:u w:val="single"/>
          <w:rtl w:val="true"/>
        </w:rPr>
        <w:t>ג</w:t>
      </w:r>
      <w:r>
        <w:rPr>
          <w:rFonts w:cs="Arial" w:ascii="Arial" w:hAnsi="Arial"/>
          <w:b/>
          <w:bCs/>
          <w:u w:val="single"/>
          <w:rtl w:val="true"/>
        </w:rPr>
        <w:t>'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ראש המועצה האזורית מרחבים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כתב אף הוא בזכות הנאשם כשלדבריו מכירו כאיש עבודה מסור ואחראי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נהג אהוב ומבוקש שעבד במועצה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עוד במסגרת הטיעונים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 xml:space="preserve">העיד מר </w:t>
      </w:r>
      <w:r>
        <w:rPr>
          <w:rFonts w:ascii="Arial" w:hAnsi="Arial" w:cs="Arial"/>
          <w:b/>
          <w:b/>
          <w:bCs/>
          <w:u w:val="single"/>
          <w:rtl w:val="true"/>
        </w:rPr>
        <w:t>חן אבנר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בעל תחנת מוניות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מעסיקו של הנאשם</w:t>
      </w:r>
      <w:r>
        <w:rPr>
          <w:rFonts w:ascii="Arial" w:hAnsi="Arial" w:cs="Arial"/>
          <w:rtl w:val="true"/>
        </w:rPr>
        <w:t xml:space="preserve"> בחמש וחצי השנים האחרונות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לדבריו בכל משך העסקתו של הנאשם מעולם לא התקבלה תלונה בעניינו וזאת בשונה מיתרת הנהגים בתחנה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הלקוחות מביעים שביעות רצון מאופן עבודתו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חלק מעבודתו של הנאשם כולל הסעות עבור משרד החינוך אשר דורש כתנאי להעסקה תעודת יושר מכל נהג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הותרת הרשעתו תמנע ממנו עבודה עבור משרד החינוך ואף תמנע העסקתו באופן כולל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הגברת </w:t>
      </w:r>
      <w:r>
        <w:rPr>
          <w:rFonts w:ascii="Arial" w:hAnsi="Arial" w:cs="Arial"/>
          <w:u w:val="single"/>
          <w:rtl w:val="true"/>
        </w:rPr>
        <w:t>גבאי ענת</w:t>
      </w:r>
      <w:r>
        <w:rPr>
          <w:rFonts w:ascii="Arial" w:hAnsi="Arial" w:cs="Arial"/>
          <w:rtl w:val="true"/>
        </w:rPr>
        <w:t xml:space="preserve"> העידה כי בנה בן הארבע וחצי שנים מתנייד על כסא גלגלים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ובאופן שונה תכלית שוני מנהגים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טיפח את בנה באופן מעורר הערצה ומשמש עבורו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וכך גם עבורה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נהג אישי לכל 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 טוב לב והיא מבקשת שלא להחמיר עימו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דיון והכרעה</w:t>
      </w:r>
      <w:r>
        <w:rPr>
          <w:rFonts w:cs="Arial" w:ascii="Arial" w:hAnsi="Aria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IL" w:eastAsia="en-I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ביטול  הרשעה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טרם בית המשפט יידרש לגזירת עונשו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שומה להידרש לעתירת ההגנה להורות על ביטול הרשעתו של הנאשם בהתאם להוראת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192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</w:hyperlink>
      <w:r>
        <w:rPr>
          <w:rFonts w:ascii="Arial" w:hAnsi="Arial" w:cs="Arial"/>
          <w:rtl w:val="true"/>
        </w:rPr>
        <w:t xml:space="preserve"> ל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סדר הדין הפלילי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1982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וכפי המלצת שירות מבחן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מסגרת נורמטיבית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הנחת המוצא ביחס לשאלת הרשעתו של נאשם הינה כי מי אשר נמצא אשם בביצוע המעשים המיוחסים לו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יורשע בדין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בעצם ההרשעה מביעה החברה סלידה מהמעשה ומקווה להשיג הרתעה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בעניין זה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9262/03</w:t>
        </w:r>
      </w:hyperlink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ׁפורסם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20.4.04</w:t>
      </w:r>
      <w:r>
        <w:rPr>
          <w:rFonts w:cs="Arial" w:ascii="Arial" w:hAnsi="Arial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המבחנים הנוגעים לשאלת 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הרשעה והשימוש בסמכות חריגה זו נקבע במספר הלכות מובילות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זה ר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בין היתר</w:t>
      </w:r>
      <w:r>
        <w:rPr>
          <w:rFonts w:ascii="Arial" w:hAnsi="Arial" w:cs="Arial"/>
          <w:color w:val="000000"/>
          <w:rtl w:val="true"/>
        </w:rPr>
        <w:t xml:space="preserve"> רע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 xml:space="preserve">פ </w:t>
      </w:r>
      <w:r>
        <w:rPr>
          <w:rFonts w:cs="Arial" w:ascii="Arial" w:hAnsi="Arial"/>
          <w:color w:val="000000"/>
        </w:rPr>
        <w:t>432/85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רומנו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י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21.8.85</w:t>
      </w:r>
      <w:r>
        <w:rPr>
          <w:rFonts w:cs="Arial" w:ascii="Arial" w:hAnsi="Arial"/>
          <w:rtl w:val="true"/>
        </w:rPr>
        <w:t xml:space="preserve">),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2669/00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פלוני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b/>
          <w:bCs/>
          <w:rtl w:val="true"/>
        </w:rPr>
        <w:t xml:space="preserve"> "</w:t>
      </w:r>
      <w:r>
        <w:rPr>
          <w:rFonts w:ascii="Arial" w:hAnsi="Arial" w:cs="Arial"/>
          <w:b/>
          <w:b/>
          <w:bCs/>
          <w:rtl w:val="true"/>
        </w:rPr>
        <w:t>הלכת פלוני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17.8.00</w:t>
      </w:r>
      <w:r>
        <w:rPr>
          <w:rFonts w:cs="Arial" w:ascii="Arial" w:hAnsi="Arial"/>
          <w:rtl w:val="true"/>
        </w:rPr>
        <w:t xml:space="preserve">),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2083/96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תמר כתב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פורסם בנבו </w:t>
      </w:r>
      <w:r>
        <w:rPr>
          <w:rFonts w:cs="Arial" w:ascii="Arial" w:hAnsi="Arial"/>
        </w:rPr>
        <w:t>21.8.97</w:t>
      </w:r>
      <w:r>
        <w:rPr>
          <w:rFonts w:cs="Arial" w:ascii="Arial" w:hAnsi="Arial"/>
          <w:rtl w:val="true"/>
        </w:rPr>
        <w:t>)(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הלכת כתב</w:t>
      </w:r>
      <w:r>
        <w:rPr>
          <w:rFonts w:cs="Arial" w:ascii="Arial" w:hAnsi="Arial"/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בתמצית נקבע כי הימנעות מהרשעה אפשרית בהצטבר שני גורמים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u w:val="single"/>
          <w:rtl w:val="true"/>
        </w:rPr>
        <w:t>ראשית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טיב העבירה בנסיבות ביצועה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מאפשרים לוותר בנסיבות המקרה המסוים על ההרשעה מבלי לפגוע באופן מהותי בשיקולי הענישה האחרים </w:t>
      </w:r>
      <w:r>
        <w:rPr>
          <w:rFonts w:ascii="Arial" w:hAnsi="Arial" w:cs="Arial"/>
          <w:u w:val="single"/>
          <w:rtl w:val="true"/>
        </w:rPr>
        <w:t>ושנית</w:t>
      </w:r>
      <w:r>
        <w:rPr>
          <w:rFonts w:cs="Arial" w:ascii="Arial" w:hAnsi="Arial"/>
          <w:u w:val="single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ההרשעה לפגוע פגיעה חמורה בשיקום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בהלכת פלוני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ציינה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פרוקצ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יה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ind w:start="567" w:end="709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משהתבקש בית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המשפט לשקול אימתי יחיל את הכלל המדבר בחובת הרשעה ומתי יחיל את החריג בדבר הימנעות מהרשעה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נדרש איזון שיקולים המעמיד את האינטרס הציבורי אל מול נסיבותיו האינדיווידואליות של הנאשם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בראייה כוללת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נשקל מן הצד האחד הצורך במיצויו של ההליך הפלילי בדרך של הרשעת העבריין כדי להשיג בכך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בין היתר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את גורם ההרתעה והאכיפה השוויונית של החוק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שיקול ציבורי זה פועל במשנה תוקף ככל שחומרת העבירה גדולה יותר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והנזקים לפרט ולציבור מביצועה גוברים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[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].</w:t>
      </w:r>
    </w:p>
    <w:p>
      <w:pPr>
        <w:pStyle w:val="Normal"/>
        <w:ind w:start="567" w:end="709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עוד נקבע בפסיקה כי הפעלת סמכות זו של 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תופעל במקרים </w:t>
      </w:r>
      <w:r>
        <w:rPr>
          <w:rFonts w:ascii="Arial" w:hAnsi="Arial" w:cs="Arial"/>
          <w:u w:val="single"/>
          <w:rtl w:val="true"/>
        </w:rPr>
        <w:t>חריגים ויוצאי דופן בלבד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ראה בין היתר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5446/15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חמינוב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3.3.16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יישום המבחנים שפורטו לעיל למקרה שבפנינו מוביל למסקנה כי הנאשם לא עמד באף אחד מהמבחנים הנוגעים להימנעות מהרשעה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כל שכן שילובם יחדיו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אשר לחומרת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סבורני כי די בה כדי להוביל למסקנה כי אין מקום להורות על ביטול הרשעתו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בקליפת אגוז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שכן הדברים יפורטו באריכות בהמשך גזר הדין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מדובר במי שהחזיק שלא לצריכתו העצמית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כמות עצומה של סם מסוג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</w:t>
      </w:r>
      <w:r>
        <w:rPr>
          <w:rFonts w:cs="Arial" w:ascii="Arial" w:hAnsi="Arial"/>
          <w:sz w:val="20"/>
          <w:szCs w:val="20"/>
        </w:rPr>
        <w:t>MDMA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הנמנה על הסמים הקשים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ופעל אגב החזקה זו כחלק משרשרת הפצת הסם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עבור בצע כסף ורצון לרווח כלכלי מהיר על חשבון בריאותו של הציבור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מעבר לחריגותו של הכלל הנוגע 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אי הרשעה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שומה להזכיר כי בעבירות 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ונוכח חומרתן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דרך הכלל האינטרס האישי בכללו אינטרס השיקום של הנאשם ייסוג מפני עקרונות של גמול והרתעה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לשון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המשוכה הניצבת בפני הנאשם להוכיח כי העבירה בה חטא מאפשרת הימנעות מהרשעה גבוהה אף יותר עת עסקינן בעבירות סמים במדרג גבוה של חומרה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כדוגמה ליישום האמור ראה 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5018/18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עומר בוזגלו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21.10.18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בו נדון עניינו של מבקש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סטודנט לרפואה שעתר לביטול הרשעתו לאחר שהורשע בבית משפט השלום בעבירות של גידול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יצור והכנת 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החזקה ושימוש בסמים לצריכה עצמית והפרעה לשוטר במילוי תפקידו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במקרה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גידל המבקש בצוותא שתילי קנבוס במשקל </w:t>
      </w:r>
      <w:r>
        <w:rPr>
          <w:rFonts w:cs="Arial" w:ascii="Arial" w:hAnsi="Arial"/>
        </w:rPr>
        <w:t>544.9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בדירה וסירב לפתוח את הדלת לשוטרים כאשר הגיעו לדירה והחל לזרוק מהחלון שתילי סם ואדניות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בחיפוש שנערך בדירה נמצא </w:t>
      </w:r>
      <w:r>
        <w:rPr>
          <w:rFonts w:cs="Arial" w:ascii="Arial" w:hAnsi="Arial"/>
        </w:rPr>
        <w:t>3.6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קנבוס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במקרה זה בית המשפט מוכן להניח שהרשעה תפגע באפשרותו של הנאשם לשמש כרופא וחרף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חומרת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מותיר את ההרשעה על כנה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ind w:start="567" w:end="567"/>
        <w:jc w:val="both"/>
        <w:rPr/>
      </w:pPr>
      <w:r>
        <w:rPr>
          <w:rFonts w:cs="Arial" w:ascii="Arial" w:hAnsi="Arial"/>
          <w:b/>
          <w:bCs/>
          <w:spacing w:val="10"/>
          <w:rtl w:val="true"/>
        </w:rPr>
        <w:t>"</w:t>
      </w:r>
      <w:r>
        <w:rPr>
          <w:rFonts w:cs="Arial TUR;Arial" w:ascii="Arial TUR;Arial" w:hAnsi="Arial TUR;Arial"/>
          <w:b/>
          <w:bCs/>
          <w:spacing w:val="10"/>
          <w:rtl w:val="true"/>
        </w:rPr>
        <w:t>..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אני סבור כי גם אם עלולה להיפגע יכולת המבקש לשמש כרופא בעתיד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צדק בית משפט קמא בכך שהותיר את הדיון בדבר בידי הגורם המוסמך </w:t>
      </w:r>
      <w:r>
        <w:rPr>
          <w:rFonts w:cs="Arial TUR;Arial" w:ascii="Arial TUR;Arial" w:hAnsi="Arial TUR;Arial"/>
          <w:b/>
          <w:bCs/>
          <w:spacing w:val="10"/>
          <w:rtl w:val="true"/>
        </w:rPr>
        <w:t>(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פסקה </w:t>
      </w:r>
      <w:r>
        <w:rPr>
          <w:rFonts w:cs="Arial TUR;Arial" w:ascii="Arial TUR;Arial" w:hAnsi="Arial TUR;Arial"/>
          <w:b/>
          <w:bCs/>
          <w:spacing w:val="10"/>
        </w:rPr>
        <w:t>8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לפסק הדין בערעור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)...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ind w:start="567" w:end="567"/>
        <w:jc w:val="both"/>
        <w:rPr>
          <w:rFonts w:ascii="Garamond" w:hAnsi="Garamond" w:cs="Garamond"/>
          <w:b/>
          <w:bCs/>
          <w:spacing w:val="10"/>
        </w:rPr>
      </w:pPr>
      <w:r>
        <w:rPr>
          <w:rFonts w:cs="Garamond" w:ascii="Garamond" w:hAnsi="Garamond"/>
          <w:b/>
          <w:bCs/>
          <w:spacing w:val="10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ind w:start="567" w:end="567"/>
        <w:jc w:val="both"/>
        <w:rPr>
          <w:rFonts w:ascii="Century" w:hAnsi="Century" w:cs="Century"/>
          <w:b/>
          <w:bCs/>
          <w:spacing w:val="10"/>
        </w:rPr>
      </w:pPr>
      <w:r>
        <w:rPr>
          <w:rFonts w:ascii="Garamond" w:hAnsi="Garamond" w:cs="Garamond"/>
          <w:b/>
          <w:b/>
          <w:bCs/>
          <w:spacing w:val="10"/>
          <w:rtl w:val="true"/>
        </w:rPr>
        <w:t>זאת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ועוד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מקובלת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עליי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קביעת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הערכאות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הקודמות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כי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המבקש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אינו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עומד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גם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בתנאי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השני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שנקבע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לשם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ביטול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הרשעה</w:t>
      </w:r>
      <w:r>
        <w:rPr>
          <w:rFonts w:cs="Garamond" w:ascii="Garamond" w:hAnsi="Garamond"/>
          <w:b/>
          <w:bCs/>
          <w:spacing w:val="10"/>
          <w:rtl w:val="true"/>
        </w:rPr>
        <w:t xml:space="preserve">. </w:t>
      </w:r>
      <w:r>
        <w:rPr>
          <w:rFonts w:ascii="Garamond" w:hAnsi="Garamond" w:cs="Garamond"/>
          <w:b/>
          <w:b/>
          <w:bCs/>
          <w:spacing w:val="10"/>
          <w:rtl w:val="true"/>
        </w:rPr>
        <w:t>העבירות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בהן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הורשע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המבקש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ונסיבות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ביצוען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– </w:t>
      </w:r>
      <w:r>
        <w:rPr>
          <w:rFonts w:ascii="Garamond" w:hAnsi="Garamond" w:cs="Garamond"/>
          <w:b/>
          <w:b/>
          <w:bCs/>
          <w:spacing w:val="10"/>
          <w:rtl w:val="true"/>
        </w:rPr>
        <w:t>גידול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יצור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והכנת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סמים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מסוכנים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החזקה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ושימוש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בסמים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לצריכה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עצמית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והפרעה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לשוטר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במילוי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תפקידו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– </w:t>
      </w:r>
      <w:r>
        <w:rPr>
          <w:rFonts w:ascii="Garamond" w:hAnsi="Garamond" w:cs="Garamond"/>
          <w:b/>
          <w:b/>
          <w:bCs/>
          <w:spacing w:val="10"/>
          <w:rtl w:val="true"/>
        </w:rPr>
        <w:t>אינן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מאפשרות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להימנע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מהרשעתו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של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המבקש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מבלי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לפגוע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בשיקולי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הענישה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האחרים</w:t>
      </w:r>
      <w:r>
        <w:rPr>
          <w:rFonts w:cs="Garamond" w:ascii="Garamond" w:hAnsi="Garamond"/>
          <w:b/>
          <w:bCs/>
          <w:spacing w:val="10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pacing w:val="10"/>
        </w:rPr>
      </w:pPr>
      <w:r>
        <w:rPr>
          <w:rFonts w:cs="Arial" w:ascii="Arial" w:hAnsi="Arial"/>
          <w:b/>
          <w:bCs/>
          <w:spacing w:val="1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כסיכום ביניים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די בחומרת מעשיו של הנאשם כדי להותיר הרשעתו של הנאשם על כנה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ודוק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למעלה מן הצורך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אם תמצא לומר כי העבירות אותן ביצע הנאשם מאפשרות הימנעות מהרשעה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שלא מתקיים בענייננו התנאי השני המצטבר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היינו פגיעה קשה בשיקומו של הנאשם ונזק בלתי פרופורציונאלי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הנאשם עבד עובר למעצרו כנהג מונית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 ברור האם הדבר נעשה במסגרת עצמאית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כפי המופיע בתסקיר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או כשכיר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כפי שנטען במהלך הטיעונים לעונש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בין כך ובין כך לא הוכח בפני בית המשפט שהרשעה תמנע ממנו לעבוד כנהג מונית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הטענה הערטילאית שהועלתה על ידי מר אבנרי בדבר פגיעה בעבודתו של הנאשם כנהג הסעות מטעם משרד החינוך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איננה סיבה מיוחדת המצדיקה ביטול הרשעה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ואפילו תמצא לומר כי יהא בהרשעה כדי לפגוע ביכולתו לעבוד כנהג מונית או אז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מבלי להקל ראש בהכשרה שזה עבר כדי לשמש כנהג מונית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מדובר בירידה לטמיון של שנות אקדמיה רבות או מאמץ יוצא דופן שנעשה כחלק מהכשרתו לשמש כנהג מונית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עניין לנו בנאשם צעיר שיוכל להתפרנס בדרכים רבות ולאו דווקא כנהג מונית ורק ככזה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מכל המקובץ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חומרת העבירה בה הורשע הנאשם ונוכח כך שלא הוכחה פגיעה קשה ובלתי פרופורציונאלית בשיקומו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ההרשעה תיוותר על כנה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IL" w:eastAsia="en-IL"/>
        </w:rPr>
      </w:pPr>
      <w:r>
        <w:rPr>
          <w:rFonts w:cs="Arial" w:ascii="Arial" w:hAnsi="Arial"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גזירת עונשו של הנאשם</w:t>
      </w:r>
      <w:r>
        <w:rPr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בתיק זה  עניין לנו ב</w:t>
      </w:r>
      <w:r>
        <w:rPr>
          <w:rtl w:val="true"/>
        </w:rPr>
        <w:t>"</w:t>
      </w:r>
      <w:r>
        <w:rPr>
          <w:rtl w:val="true"/>
        </w:rPr>
        <w:t>הסדר טווח</w:t>
      </w:r>
      <w:r>
        <w:rPr>
          <w:rtl w:val="true"/>
        </w:rPr>
        <w:t xml:space="preserve">" </w:t>
      </w:r>
      <w:r>
        <w:rPr>
          <w:rtl w:val="true"/>
        </w:rPr>
        <w:t xml:space="preserve">כאשר המאשימה עותרת לעונש ראוי של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 מאסר בפועל לצד ענישה נלווית ואילו ההגנה חופשיה בטיעוניה</w:t>
      </w:r>
      <w:r>
        <w:rPr>
          <w:rtl w:val="true"/>
        </w:rPr>
        <w:t xml:space="preserve">. </w:t>
      </w:r>
      <w:r>
        <w:rPr>
          <w:rtl w:val="true"/>
        </w:rPr>
        <w:t>כשזו תמונת הדברים</w:t>
      </w:r>
      <w:r>
        <w:rPr>
          <w:rtl w:val="true"/>
        </w:rPr>
        <w:t xml:space="preserve">, </w:t>
      </w:r>
      <w:r>
        <w:rPr>
          <w:rtl w:val="true"/>
        </w:rPr>
        <w:t>נשאלת אפוא השאלה האם יש מקום להידרש לקביעתו של מתחם עונש הולם עובר לגזירת עונשו של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tl w:val="true"/>
        </w:rPr>
        <w:t>הגם שאין הסכמה כללית בפסיקה בנוגע לסוגיה זו</w:t>
      </w:r>
      <w:r>
        <w:rPr>
          <w:rtl w:val="true"/>
        </w:rPr>
        <w:t xml:space="preserve">, </w:t>
      </w:r>
      <w:r>
        <w:rPr>
          <w:rtl w:val="true"/>
        </w:rPr>
        <w:t>ניתן לומר כי בהתאם ל</w:t>
      </w:r>
      <w:r>
        <w:rPr>
          <w:rtl w:val="true"/>
        </w:rPr>
        <w:t>"</w:t>
      </w:r>
      <w:r>
        <w:rPr>
          <w:rtl w:val="true"/>
        </w:rPr>
        <w:t>שדרה המרכזית</w:t>
      </w:r>
      <w:r>
        <w:rPr>
          <w:rtl w:val="true"/>
        </w:rPr>
        <w:t xml:space="preserve">" </w:t>
      </w:r>
      <w:r>
        <w:rPr>
          <w:rtl w:val="true"/>
        </w:rPr>
        <w:t>בפסיקה הנוהגת</w:t>
      </w:r>
      <w:r>
        <w:rPr>
          <w:rtl w:val="true"/>
        </w:rPr>
        <w:t xml:space="preserve">, </w:t>
      </w:r>
      <w:r>
        <w:rPr>
          <w:rtl w:val="true"/>
        </w:rPr>
        <w:t>על דרך הכלל</w:t>
      </w:r>
      <w:r>
        <w:rPr>
          <w:rtl w:val="true"/>
        </w:rPr>
        <w:t xml:space="preserve">, </w:t>
      </w:r>
      <w:r>
        <w:rPr>
          <w:rtl w:val="true"/>
        </w:rPr>
        <w:t>בעת ש</w:t>
      </w:r>
      <w:r>
        <w:rPr>
          <w:rtl w:val="true"/>
        </w:rPr>
        <w:t>"</w:t>
      </w:r>
      <w:r>
        <w:rPr>
          <w:rtl w:val="true"/>
        </w:rPr>
        <w:t>הסדר הטווח</w:t>
      </w:r>
      <w:r>
        <w:rPr>
          <w:rtl w:val="true"/>
        </w:rPr>
        <w:t xml:space="preserve">" </w:t>
      </w:r>
      <w:r>
        <w:rPr>
          <w:rtl w:val="true"/>
        </w:rPr>
        <w:t>המוצג לבית המשפט נמצא בעיניו כסביר</w:t>
      </w:r>
      <w:r>
        <w:rPr>
          <w:rtl w:val="true"/>
        </w:rPr>
        <w:t xml:space="preserve">, </w:t>
      </w:r>
      <w:r>
        <w:rPr>
          <w:rtl w:val="true"/>
        </w:rPr>
        <w:t>אין מקום להידרש לקביעתם של מתחמים וראה בין היתר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512/13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4.12.13</w:t>
      </w:r>
      <w:r>
        <w:rPr>
          <w:rtl w:val="true"/>
        </w:rPr>
        <w:t xml:space="preserve">),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 </w:t>
        </w:r>
        <w:r>
          <w:rPr>
            <w:rStyle w:val="Hyperlink"/>
            <w:color w:val="0000FF"/>
            <w:u w:val="single"/>
          </w:rPr>
          <w:t>8109/15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אביטן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9.6.16</w:t>
      </w:r>
      <w:r>
        <w:rPr>
          <w:rtl w:val="true"/>
        </w:rPr>
        <w:t>), (</w:t>
      </w:r>
      <w:r>
        <w:rPr>
          <w:rtl w:val="true"/>
        </w:rPr>
        <w:t>דעתו של כב</w:t>
      </w:r>
      <w:r>
        <w:rPr>
          <w:rtl w:val="true"/>
        </w:rPr>
        <w:t xml:space="preserve">' </w:t>
      </w:r>
      <w:r>
        <w:rPr>
          <w:rtl w:val="true"/>
        </w:rPr>
        <w:t>השופט 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),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2524/15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שפרנוביץ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8.9.16</w:t>
      </w:r>
      <w:r>
        <w:rPr>
          <w:rtl w:val="true"/>
        </w:rPr>
        <w:t>) (</w:t>
      </w:r>
      <w:r>
        <w:rPr>
          <w:rtl w:val="true"/>
        </w:rPr>
        <w:t xml:space="preserve">פסקאות </w:t>
      </w:r>
      <w:r>
        <w:rPr/>
        <w:t>18-19</w:t>
      </w:r>
      <w:r>
        <w:rPr>
          <w:rtl w:val="true"/>
        </w:rPr>
        <w:t xml:space="preserve"> </w:t>
      </w:r>
      <w:r>
        <w:rPr>
          <w:rtl w:val="true"/>
        </w:rPr>
        <w:t>לפסק הדין</w:t>
      </w:r>
      <w:r>
        <w:rPr>
          <w:rtl w:val="true"/>
        </w:rPr>
        <w:t xml:space="preserve">), 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6799/14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אופיר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tl w:val="true"/>
        </w:rPr>
        <w:t>(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16.3.15</w:t>
      </w:r>
      <w:r>
        <w:rPr>
          <w:rtl w:val="true"/>
        </w:rPr>
        <w:t xml:space="preserve">) </w:t>
      </w:r>
      <w:r>
        <w:rPr>
          <w:rFonts w:ascii="Arial" w:hAnsi="Arial" w:cs="Arial"/>
          <w:rtl w:val="true"/>
        </w:rPr>
        <w:t>ו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3856/13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3.2.14</w:t>
      </w:r>
      <w:r>
        <w:rPr>
          <w:rtl w:val="true"/>
        </w:rPr>
        <w:t>)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הואיל ובית המשפט סבור כי טווח הענישה המוסכם בין הצדדים סביר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אדרש לקביעתו של מתחם עונש הולם וזאת הגם שבקביעת עונשו הסופי של הנאשם יילקחו בחשבון פרמטרים רבים אותם בית המשפט משקלל בקביעת מתחם שכזה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לגופם של דברים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color w:val="0000FF"/>
          <w:u w:val="single"/>
          <w:rtl w:val="true"/>
        </w:rPr>
        <w:t xml:space="preserve">, </w:t>
      </w:r>
      <w:r>
        <w:rPr>
          <w:rFonts w:ascii="Arial" w:hAnsi="Arial" w:cs="Arial"/>
          <w:color w:val="0000FF"/>
          <w:u w:val="single"/>
          <w:rtl w:val="true"/>
        </w:rPr>
        <w:t>התשל</w:t>
      </w:r>
      <w:r>
        <w:rPr>
          <w:rFonts w:cs="Arial" w:ascii="Arial" w:hAnsi="Arial"/>
          <w:color w:val="0000FF"/>
          <w:u w:val="single"/>
          <w:rtl w:val="true"/>
        </w:rPr>
        <w:t>"</w:t>
      </w:r>
      <w:r>
        <w:rPr>
          <w:rFonts w:ascii="Arial" w:hAnsi="Arial" w:cs="Arial"/>
          <w:color w:val="0000FF"/>
          <w:u w:val="single"/>
          <w:rtl w:val="true"/>
        </w:rPr>
        <w:t>ז</w:t>
      </w:r>
      <w:r>
        <w:rPr>
          <w:rFonts w:cs="Arial" w:ascii="Arial" w:hAnsi="Arial"/>
          <w:color w:val="0000FF"/>
          <w:u w:val="single"/>
          <w:rtl w:val="true"/>
        </w:rPr>
        <w:t xml:space="preserve">- </w:t>
      </w:r>
      <w:r>
        <w:rPr>
          <w:rFonts w:cs="Arial" w:ascii="Arial" w:hAnsi="Arial"/>
          <w:color w:val="0000FF"/>
          <w:u w:val="single"/>
        </w:rPr>
        <w:t>1977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בקביעת מתחם העונש בהתאם לעקרון ההלימה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בית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המשפט להתחשב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בערך החברתי שנפגע מביצוע העבירה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במידת הפגיעה בו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במדיניות הענישה הנהוגה ובנסיבות הקשורות בביצוע העבירה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Fonts w:ascii="Arial" w:hAnsi="Arial" w:cs="Arial"/>
          <w:rtl w:val="true"/>
        </w:rPr>
        <w:t>הערך החברתי המוגן העומד בבסיס עבירות הסמים הינו בראש ובראשונה בריאות הציבור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בתי המשפט חזרו רבות על הצורך במיגור עבירות אלו וזאת בכל שלבי מערך הפצת הסם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בשימוש עצמי וכלה בעבירות הסחר החמורות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עבירות אלו לרוב מחוללות עבירות נוספות וזאת בשל הצורך העז להשיג את אותה מנת סם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החומרה בענישה שיש לנקוט כלפי המעורבים בשרשרת הפצת הסם ר</w:t>
      </w:r>
      <w:r>
        <w:rPr>
          <w:rFonts w:cs="Arial" w:ascii="Arial" w:hAnsi="Arial"/>
          <w:rtl w:val="true"/>
        </w:rPr>
        <w:t xml:space="preserve">' 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211/09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שמעון אזולאי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לפסק דינה של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פרוקצ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יה</w:t>
      </w:r>
      <w:r>
        <w:rPr>
          <w:rFonts w:cs="Arial" w:ascii="Arial" w:hAnsi="Arial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פורסם בנבו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Arial" w:ascii="Arial" w:hAnsi="Arial"/>
        </w:rPr>
        <w:t>22.6.2010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ind w:start="708" w:end="426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>...</w:t>
      </w:r>
      <w:r>
        <w:rPr>
          <w:rFonts w:ascii="Arial" w:hAnsi="Arial" w:cs="Arial"/>
          <w:b/>
          <w:b/>
          <w:bCs/>
          <w:rtl w:val="true"/>
        </w:rPr>
        <w:t>הענישה בעבירות מסוג זה נועדה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קודם לכל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לשרת את מטרת הגמול לעבריין על עיסוק בסם העלול לסכן חיי אדם ולפגוע בבריאות המשתמשים בו</w:t>
      </w:r>
      <w:r>
        <w:rPr>
          <w:rFonts w:cs="Arial" w:ascii="Arial" w:hAnsi="Arial"/>
          <w:b/>
          <w:bCs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שנית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העונש להעביר מסר חד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משמעי של הרתעה ביחס לעבריינים פוטנציאליים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ולשמש אות אזהרה אפקטיבי לכל מי שמתכוון לקחת חלק במערכת ההעברות והסחר בסמים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תהא אשר תהא הפונקציה אותה הוא ממלא בשרשרת זו של העברת הסם מיד ליד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מזה זמן רב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מדגישים בתי המשפט בפסיקתם את חשיבות הערך הענישתי בעבירות סמים כאחד הכלים החשובים בפעילות לביעורו של נגע הסמים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ההחמרה בענישה בגין עבירות סמים משרתת את מטרות הגמול וההרתעה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שהן היעדים העיקריים של הענישה בתחום הסמים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start="720" w:end="426"/>
        <w:jc w:val="both"/>
        <w:rPr>
          <w:rFonts w:ascii="Arial TUR;Arial" w:hAnsi="Arial TUR;Arial" w:cs="Arial TUR;Arial"/>
          <w:b/>
          <w:bCs/>
          <w:spacing w:val="10"/>
        </w:rPr>
      </w:pPr>
      <w:r>
        <w:rPr>
          <w:rFonts w:cs="Arial TUR;Arial" w:ascii="Arial TUR;Arial" w:hAnsi="Arial TUR;Arial"/>
          <w:b/>
          <w:bCs/>
          <w:spacing w:val="1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בש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10638/08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יפתח ויצמן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ascii="Arial" w:hAnsi="Arial" w:cs="Arial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[</w:t>
      </w:r>
      <w:r>
        <w:rPr>
          <w:rFonts w:ascii="Times New Roman" w:hAnsi="Times New Roman" w:cs="Times New Roman"/>
          <w:rtl w:val="true"/>
        </w:rPr>
        <w:t>פסקה יב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להחלטתו של כב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השופט רובינשטיין</w:t>
      </w:r>
      <w:r>
        <w:rPr>
          <w:rFonts w:cs="Times New Roman" w:ascii="Times New Roman" w:hAnsi="Times New Roman"/>
          <w:rtl w:val="true"/>
        </w:rPr>
        <w:t>] (</w:t>
      </w:r>
      <w:r>
        <w:rPr>
          <w:rFonts w:ascii="Times New Roman" w:hAnsi="Times New Roman" w:cs="Times New Roman"/>
          <w:rtl w:val="true"/>
        </w:rPr>
        <w:t>פורסם בנבו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</w:rPr>
        <w:t>23.12.08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Arial" w:hAnsi="Arial" w:cs="Arial"/>
          <w:rtl w:val="true"/>
        </w:rPr>
        <w:t>התייחס בית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המשפט העליון לעבירה של החזקת סם שלא לצריכה עצמית זו בציינו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start="708" w:end="426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העבירה של אחזקת סמים שלא לצריכה עצמית היא אחותה של עבירת הסחר בסמים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והעונש המרבי לגביהן שווה – עד עשרים שנות מאסר או קנס פי עשרים וחמישה מן הקנס האמור בסעיף </w:t>
      </w:r>
      <w:r>
        <w:rPr>
          <w:rFonts w:cs="Arial" w:ascii="Arial" w:hAnsi="Arial"/>
          <w:b/>
          <w:bCs/>
        </w:rPr>
        <w:t>16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>)(</w:t>
      </w:r>
      <w:r>
        <w:rPr>
          <w:rFonts w:cs="Arial" w:ascii="Arial" w:hAnsi="Arial"/>
          <w:b/>
          <w:bCs/>
        </w:rPr>
        <w:t>4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ascii="Arial" w:hAnsi="Arial" w:cs="Arial"/>
          <w:b/>
          <w:b/>
          <w:bCs/>
          <w:rtl w:val="true"/>
        </w:rPr>
        <w:t>ל</w:t>
      </w:r>
      <w:hyperlink r:id="rId29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תשל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ז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1977</w:t>
      </w:r>
      <w:r>
        <w:rPr>
          <w:rFonts w:cs="Arial" w:ascii="Arial" w:hAnsi="Arial"/>
          <w:b/>
          <w:bCs/>
          <w:rtl w:val="true"/>
        </w:rPr>
        <w:t xml:space="preserve"> (</w:t>
      </w:r>
      <w:r>
        <w:rPr>
          <w:rFonts w:ascii="Arial" w:hAnsi="Arial" w:cs="Arial"/>
          <w:b/>
          <w:b/>
          <w:bCs/>
          <w:rtl w:val="true"/>
        </w:rPr>
        <w:t xml:space="preserve">סעיף </w:t>
      </w:r>
      <w:r>
        <w:rPr>
          <w:rFonts w:cs="Arial" w:ascii="Arial" w:hAnsi="Arial"/>
          <w:b/>
          <w:bCs/>
        </w:rPr>
        <w:t>7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ascii="Arial" w:hAnsi="Arial" w:cs="Arial"/>
          <w:b/>
          <w:b/>
          <w:bCs/>
          <w:rtl w:val="true"/>
        </w:rPr>
        <w:t>לפקודת הסמים לעניין החזקת סמים שלא לצריכה עצמית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וסעיף </w:t>
      </w:r>
      <w:r>
        <w:rPr>
          <w:rFonts w:cs="Arial" w:ascii="Arial" w:hAnsi="Arial"/>
          <w:b/>
          <w:bCs/>
        </w:rPr>
        <w:t>19</w:t>
      </w:r>
      <w:r>
        <w:rPr>
          <w:rFonts w:ascii="Arial" w:hAnsi="Arial" w:cs="Arial"/>
          <w:b/>
          <w:b/>
          <w:bCs/>
          <w:rtl w:val="true"/>
        </w:rPr>
        <w:t>א לעניין יבוא וסחר</w:t>
      </w:r>
      <w:r>
        <w:rPr>
          <w:rFonts w:cs="Arial" w:ascii="Arial" w:hAnsi="Arial"/>
          <w:b/>
          <w:bCs/>
          <w:rtl w:val="true"/>
        </w:rPr>
        <w:t xml:space="preserve">). </w:t>
      </w:r>
      <w:r>
        <w:rPr>
          <w:rFonts w:ascii="Arial" w:hAnsi="Arial" w:cs="Arial"/>
          <w:b/>
          <w:b/>
          <w:bCs/>
          <w:rtl w:val="true"/>
        </w:rPr>
        <w:t xml:space="preserve">ראו גם </w:t>
      </w:r>
      <w:hyperlink r:id="rId30">
        <w:r>
          <w:rPr>
            <w:rStyle w:val="Hyperlink"/>
            <w:rFonts w:ascii="Arial" w:hAnsi="Arial" w:cs="Arial"/>
            <w:b/>
            <w:b/>
            <w:bCs/>
            <w:rtl w:val="true"/>
          </w:rPr>
          <w:t>קדמי</w:t>
        </w:r>
      </w:hyperlink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פקודת הסמים המסוכנים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הדין בראי הפסיקה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מהדורת תשס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ז – עמ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cs="Arial" w:ascii="Arial" w:hAnsi="Arial"/>
          <w:b/>
          <w:bCs/>
        </w:rPr>
        <w:t>86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185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198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הצד השווה בין שתי העבירות הוא הזיקה להפצת הסמים לזולת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בפוטנציאל או בפועל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בין בתמורה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סחר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ובין אם אחרת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אשר לפסיקה הנוהגת ובטרם זו תפורט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שתי הערות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ראשית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בדומה לעבירות רבות בקודקס הפלילי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למצוא מגוון רחב של עונשים החל מעונשים צופי פני עתיד וכלה בעונשים המגיעים לכדי מספר שנים מאחורי סורג ובריח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דרך הכלל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משקלו של הסם וסוגו הם הפרמטרים העיקריים הנלקחים בחשבון עובר לגזירת העונש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המדובר בפרמטרים עיקריים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לאו דווקא בלעדיים שכן במכלול שיקוליו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בית המשפט שת לבו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לחלקו של הנאשם בשרשרת הפצת הסם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המניע למעשים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מעורבותו בעולם הסמים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משך החזקת הסם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מקום החזקתו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יתר הנסיבות האופפות את ביצוע העבירה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תוך התייחסות לשאלה האם הסם כבר מחולק למנות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הימצאות מאזניים אלקטרוניות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רשימות קונים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סכומי כסף גבוהים במזומן ועוד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חרף השונות וכפי שיפורט להלן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ניתן לומר כי על דרך הכלל החזקת סם מסוכן מסוג </w:t>
      </w:r>
      <w:r>
        <w:rPr>
          <w:rFonts w:cs="Arial" w:ascii="Arial" w:hAnsi="Arial"/>
          <w:sz w:val="20"/>
          <w:szCs w:val="20"/>
        </w:rPr>
        <w:t>MDMA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בכמות של </w:t>
      </w:r>
      <w:r>
        <w:rPr>
          <w:rFonts w:ascii="Arial" w:hAnsi="Arial" w:cs="Arial"/>
          <w:u w:val="single"/>
          <w:rtl w:val="true"/>
        </w:rPr>
        <w:t xml:space="preserve">מאות </w:t>
      </w:r>
      <w:r>
        <w:rPr>
          <w:rFonts w:ascii="Arial" w:hAnsi="Arial" w:cs="Arial"/>
          <w:rtl w:val="true"/>
        </w:rPr>
        <w:t>טבליות שלא לצריכה עצמית תוביל למאסר בפועל שיכול ויגיע לשנה ויותר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הערה שנייה נוגעת לכך שהפסיקה הנוהגת מהווה אך פרמטר אחד שעל בית המשפט לקחתו בחשבון כחלק ממכלול שיקולים עובר לקביעת מתחם העונש ההולם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לשון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בהבניית שיקול הדעת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כוונה לערוך ממוצע סטטיסטי של טווחי ענישה נוהגים ואל לו לבית המשפט להיות כבול לרמת הענישה הנהוגה אם יש מקום לשנותה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 מקום שבו נסיבותיו של התיק הנדון מצדיקות קביעתו של מתחם עונש שאינו עולה בהכרח בקנה אחד עם הענישה הנוהגת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ראה 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4910/16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פסקה לפסק דינה של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חיות</w:t>
      </w:r>
      <w:r>
        <w:rPr>
          <w:rFonts w:cs="Arial" w:ascii="Arial" w:hAnsi="Arial"/>
          <w:rtl w:val="true"/>
        </w:rPr>
        <w:t>](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5.4.17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בהינתן הערות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להלן מדגם של הפסיקה הנוהגת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end="0"/>
        <w:jc w:val="both"/>
        <w:rPr>
          <w:rFonts w:ascii="Arial" w:hAnsi="Arial" w:cs="Arial"/>
          <w:lang w:val="en-IL" w:eastAsia="en-IL"/>
        </w:rPr>
      </w:pPr>
      <w:r>
        <w:rPr>
          <w:rFonts w:cs="Arial" w:ascii="Arial" w:hAnsi="Arial"/>
          <w:rtl w:val="true"/>
          <w:lang w:val="en-IL" w:eastAsia="en-IL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u w:val="single"/>
          <w:rtl w:val="true"/>
        </w:rPr>
        <w:t>ב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9979/08</w:t>
        </w:r>
      </w:hyperlink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רפי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בודרם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</w:t>
      </w:r>
      <w:r>
        <w:rPr>
          <w:rFonts w:cs="Calibri" w:ascii="Calibri" w:hAnsi="Calibri"/>
          <w:b/>
          <w:bCs/>
          <w:u w:val="single"/>
          <w:rtl w:val="true"/>
        </w:rPr>
        <w:t xml:space="preserve">' </w:t>
      </w:r>
      <w:r>
        <w:rPr>
          <w:rFonts w:ascii="Calibri" w:hAnsi="Calibri" w:cs="Calibri"/>
          <w:b/>
          <w:b/>
          <w:bCs/>
          <w:u w:val="single"/>
          <w:rtl w:val="true"/>
        </w:rPr>
        <w:t>מדינת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ישראל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  <w:rtl w:val="true"/>
        </w:rPr>
        <w:t>(</w:t>
      </w:r>
      <w:r>
        <w:rPr>
          <w:rFonts w:ascii="Calibri" w:hAnsi="Calibri" w:cs="Calibri"/>
          <w:u w:val="single"/>
          <w:rtl w:val="true"/>
        </w:rPr>
        <w:t>פורסם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בנבו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cs="Calibri" w:ascii="Calibri" w:hAnsi="Calibri"/>
          <w:u w:val="single"/>
        </w:rPr>
        <w:t>21.4.09</w:t>
      </w:r>
      <w:r>
        <w:rPr>
          <w:rFonts w:cs="Calibri" w:ascii="Calibri" w:hAnsi="Calibri"/>
          <w:u w:val="single"/>
          <w:rtl w:val="true"/>
        </w:rPr>
        <w:t>)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242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טבליות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MDMA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אבקת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MDMA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בקובעו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המערער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נמצא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מחזיק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גדולה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ומכוח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הודאתו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מתחייבת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המסקנה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לשימושם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אחרים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העולה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המערער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נמנה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המסייעים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בהפצתו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בקרב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החברה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בישראל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נזקו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נדמה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צורך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להשחית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מילים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בנסיבות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גילינו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חומרה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כלשהי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ומכאן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החלטנו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לדחות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הערעור</w:t>
      </w:r>
      <w:r>
        <w:rPr>
          <w:rFonts w:cs="Calibri" w:ascii="Calibri" w:hAnsi="Calibri"/>
          <w:b/>
          <w:bCs/>
          <w:rtl w:val="true"/>
        </w:rPr>
        <w:t>".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u w:val="single"/>
          <w:rtl w:val="true"/>
        </w:rPr>
        <w:t>ב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8215/08</w:t>
        </w:r>
      </w:hyperlink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חזן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יוסף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</w:t>
      </w:r>
      <w:r>
        <w:rPr>
          <w:rFonts w:cs="Calibri" w:ascii="Calibri" w:hAnsi="Calibri"/>
          <w:b/>
          <w:bCs/>
          <w:u w:val="single"/>
          <w:rtl w:val="true"/>
        </w:rPr>
        <w:t xml:space="preserve">' </w:t>
      </w:r>
      <w:r>
        <w:rPr>
          <w:rFonts w:ascii="Calibri" w:hAnsi="Calibri" w:cs="Calibri"/>
          <w:b/>
          <w:b/>
          <w:bCs/>
          <w:u w:val="single"/>
          <w:rtl w:val="true"/>
        </w:rPr>
        <w:t>מדינת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ישראל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  <w:rtl w:val="true"/>
        </w:rPr>
        <w:t>(</w:t>
      </w:r>
      <w:r>
        <w:rPr>
          <w:rFonts w:ascii="Calibri" w:hAnsi="Calibri" w:cs="Calibri"/>
          <w:u w:val="single"/>
          <w:rtl w:val="true"/>
        </w:rPr>
        <w:t>פורסם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בנבו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cs="Calibri" w:ascii="Calibri" w:hAnsi="Calibri"/>
          <w:u w:val="single"/>
        </w:rPr>
        <w:t>4.2.09</w:t>
      </w:r>
      <w:r>
        <w:rPr>
          <w:rFonts w:cs="Calibri" w:ascii="Calibri" w:hAnsi="Calibri"/>
          <w:u w:val="single"/>
          <w:rtl w:val="true"/>
        </w:rPr>
        <w:t>)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1000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MDMA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גמילה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בקהילה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סגורה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בציינו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מעשים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מחייבים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חמורה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יותר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מזו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שהוטלה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המערער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מאותו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טעם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שתהליך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הגמילה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נטל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חלק</w:t>
      </w:r>
      <w:r>
        <w:rPr>
          <w:rFonts w:cs="Calibri" w:ascii="Calibri" w:hAnsi="Calibri"/>
          <w:b/>
          <w:bCs/>
          <w:rtl w:val="true"/>
        </w:rPr>
        <w:t>".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u w:val="single"/>
          <w:rtl w:val="true"/>
        </w:rPr>
        <w:t>ב</w:t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10498/05</w:t>
        </w:r>
      </w:hyperlink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אלמקייס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</w:t>
      </w:r>
      <w:r>
        <w:rPr>
          <w:rFonts w:cs="Calibri" w:ascii="Calibri" w:hAnsi="Calibri"/>
          <w:b/>
          <w:bCs/>
          <w:u w:val="single"/>
          <w:rtl w:val="true"/>
        </w:rPr>
        <w:t xml:space="preserve">' </w:t>
      </w:r>
      <w:r>
        <w:rPr>
          <w:rFonts w:ascii="Calibri" w:hAnsi="Calibri" w:cs="Calibri"/>
          <w:b/>
          <w:b/>
          <w:bCs/>
          <w:u w:val="single"/>
          <w:rtl w:val="true"/>
        </w:rPr>
        <w:t>מדינת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ישראל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  <w:rtl w:val="true"/>
        </w:rPr>
        <w:t>(</w:t>
      </w:r>
      <w:r>
        <w:rPr>
          <w:rFonts w:ascii="Calibri" w:hAnsi="Calibri" w:cs="Calibri"/>
          <w:u w:val="single"/>
          <w:rtl w:val="true"/>
        </w:rPr>
        <w:t>פורסם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בנבו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cs="Calibri" w:ascii="Calibri" w:hAnsi="Calibri"/>
          <w:u w:val="single"/>
        </w:rPr>
        <w:t>22.5.06</w:t>
      </w:r>
      <w:r>
        <w:rPr>
          <w:rFonts w:cs="Calibri" w:ascii="Calibri" w:hAnsi="Calibri"/>
          <w:u w:val="single"/>
          <w:rtl w:val="true"/>
        </w:rPr>
        <w:t>)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348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אקסטזי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בציינו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המערער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הודאתו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ניכרת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לצריכה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עצמית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בסוג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עמדת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הפסיקה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עקבית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לאמור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לגזור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מכבידים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למנוע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נזקם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מהציבור</w:t>
      </w:r>
      <w:r>
        <w:rPr>
          <w:rFonts w:cs="Calibri" w:ascii="Calibri" w:hAnsi="Calibri"/>
          <w:b/>
          <w:bCs/>
          <w:rtl w:val="true"/>
        </w:rPr>
        <w:t>".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רלוונטי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end="0"/>
        <w:jc w:val="both"/>
        <w:rPr/>
      </w:pPr>
      <w:r>
        <w:rPr>
          <w:rFonts w:ascii="Arial" w:hAnsi="Arial" w:cs="Arial"/>
          <w:u w:val="single"/>
          <w:rtl w:val="true"/>
        </w:rPr>
        <w:t>ב</w:t>
      </w: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7776/05</w:t>
        </w:r>
      </w:hyperlink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 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רז נתן</w:t>
      </w:r>
      <w:r>
        <w:rPr>
          <w:rFonts w:ascii="Arial" w:hAnsi="Arial" w:cs="Arial"/>
          <w:u w:val="single"/>
          <w:rtl w:val="true"/>
        </w:rPr>
        <w:t xml:space="preserve"> </w:t>
      </w:r>
      <w:r>
        <w:rPr>
          <w:rFonts w:cs="Arial" w:ascii="Arial" w:hAnsi="Arial"/>
          <w:u w:val="single"/>
          <w:rtl w:val="true"/>
        </w:rPr>
        <w:t>(</w:t>
      </w:r>
      <w:r>
        <w:rPr>
          <w:rFonts w:ascii="Arial" w:hAnsi="Arial" w:cs="Arial"/>
          <w:u w:val="single"/>
          <w:rtl w:val="true"/>
        </w:rPr>
        <w:t xml:space="preserve">פורסם בנבו </w:t>
      </w:r>
      <w:r>
        <w:rPr>
          <w:rFonts w:cs="Arial" w:ascii="Arial" w:hAnsi="Arial"/>
          <w:u w:val="single"/>
        </w:rPr>
        <w:t>2.1.06</w:t>
      </w:r>
      <w:r>
        <w:rPr>
          <w:rFonts w:cs="Arial" w:ascii="Arial" w:hAnsi="Arial"/>
          <w:rtl w:val="true"/>
        </w:rPr>
        <w:t xml:space="preserve">)- </w:t>
      </w:r>
      <w:r>
        <w:rPr>
          <w:rFonts w:ascii="Arial" w:hAnsi="Arial" w:cs="Arial"/>
          <w:rtl w:val="true"/>
        </w:rPr>
        <w:t xml:space="preserve">נדון ערעורה של המדינה על קולת העונש של נאשם שהחזיק </w:t>
      </w:r>
      <w:r>
        <w:rPr>
          <w:rFonts w:cs="Arial" w:ascii="Arial" w:hAnsi="Arial"/>
          <w:b/>
          <w:bCs/>
        </w:rPr>
        <w:t>1050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טבליות של סם מסוכן מסוג אקסטזי יחד עם </w:t>
      </w:r>
      <w:r>
        <w:rPr>
          <w:rFonts w:cs="Arial" w:ascii="Arial" w:hAnsi="Arial"/>
        </w:rPr>
        <w:t>0.5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חשיש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השית על הנאשם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מאסר בדרך של עבודות שירות לצד ענישה נלווית תוך מתן עדיפות לשיקולי שיקום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מקבל את הערעור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מחמיר בעונשו של הנאשם וגוזר עליו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מאסר בפועל בציינו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הנמקתו של בית המשפט המחוזי אינה מקובלת עלינו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בידי המערער נמצאה כמות גדולה של טבליות סם שכל אחת מהן היא מנה בפני עצמה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בהודאת המערער לפיה לא נועד הסם לצריכה עצמית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מתבקשת המסקנה כי הוא נועד לסחר ולמצער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להפצה ברבים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מכאן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בפנינו נאשם נוסף שגמר אומר לפגוע באינטרס ציבורי עליון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ascii="Arial" w:hAnsi="Arial" w:cs="Arial"/>
          <w:b/>
          <w:b/>
          <w:bCs/>
          <w:rtl w:val="true"/>
        </w:rPr>
        <w:t>מלחמה בנגע הסמים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ascii="Arial" w:hAnsi="Arial" w:cs="Arial"/>
          <w:b/>
          <w:b/>
          <w:bCs/>
          <w:rtl w:val="true"/>
        </w:rPr>
        <w:t>משום הרווח הקל שצפוי לו מעיסוק בזוי זה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לפיכך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פסקנו וחזרנו ופסקנו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כי בעבירות בתחום זה יהיה לנסיבות האישיות משקל מועט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ודינם של העוסקים בסחר בסם הוא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ככלל מעצר ממש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end="0"/>
        <w:jc w:val="both"/>
        <w:rPr/>
      </w:pPr>
      <w:r>
        <w:rPr>
          <w:rFonts w:ascii="Arial" w:hAnsi="Arial" w:cs="Arial"/>
          <w:u w:val="single"/>
          <w:rtl w:val="true"/>
        </w:rPr>
        <w:t>ב</w:t>
      </w:r>
      <w:hyperlink r:id="rId3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9068/00</w:t>
        </w:r>
      </w:hyperlink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מרדכי אורן 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</w:t>
      </w:r>
      <w:r>
        <w:rPr>
          <w:rFonts w:ascii="Arial" w:hAnsi="Arial" w:cs="Arial"/>
          <w:u w:val="single"/>
          <w:rtl w:val="true"/>
        </w:rPr>
        <w:t xml:space="preserve"> </w:t>
      </w:r>
      <w:r>
        <w:rPr>
          <w:rFonts w:cs="Arial" w:ascii="Arial" w:hAnsi="Arial"/>
          <w:u w:val="single"/>
          <w:rtl w:val="true"/>
        </w:rPr>
        <w:t>(</w:t>
      </w:r>
      <w:r>
        <w:rPr>
          <w:rFonts w:ascii="Arial" w:hAnsi="Arial" w:cs="Arial"/>
          <w:u w:val="single"/>
          <w:rtl w:val="true"/>
        </w:rPr>
        <w:t xml:space="preserve">פורסם בנבו </w:t>
      </w:r>
      <w:r>
        <w:rPr>
          <w:rFonts w:cs="Arial" w:ascii="Arial" w:hAnsi="Arial"/>
          <w:u w:val="single"/>
        </w:rPr>
        <w:t>30.1.01</w:t>
      </w:r>
      <w:r>
        <w:rPr>
          <w:rFonts w:cs="Arial" w:ascii="Arial" w:hAnsi="Arial"/>
          <w:u w:val="single"/>
          <w:rtl w:val="true"/>
        </w:rPr>
        <w:t>)-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הורשע הנאשם בהחזקת </w:t>
      </w:r>
      <w:r>
        <w:rPr>
          <w:rFonts w:cs="Arial" w:ascii="Arial" w:hAnsi="Arial"/>
          <w:b/>
          <w:bCs/>
        </w:rPr>
        <w:t>497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טבליות של סם מסוג </w:t>
      </w:r>
      <w:r>
        <w:rPr>
          <w:rFonts w:cs="Arial" w:ascii="Arial" w:hAnsi="Arial"/>
        </w:rPr>
        <w:t>MDMA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שלא לצריכתו העצמית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המדובר בנאשם לא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עבר פלילי שהודה במיוחס לו ועבד לפרנסתו עובר להסתבכותו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המחוזי גזר עליו שנה מאסר בפועל לצד ענישה נלווית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דוחה את הערעור על חומרת העונש בציינו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אכן מאסרו של אדם כרוך בקשיים לו ולמשפחתו במיוחד כאשר מדובר במאסר ראשון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אך לנוכח חומרת המעשה בו חטא ולאור מדיניות הענישה הנהוגה בסוג זה של עבירות לא סברנו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גם לאחר שעיינו בתסקיר העדכני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שיש מקום ללכת לקראת המערער מעבר למה שהלך בית המשפט המחוזי</w:t>
      </w:r>
      <w:r>
        <w:rPr>
          <w:rFonts w:cs="Arial" w:ascii="Arial" w:hAnsi="Arial"/>
          <w:b/>
          <w:bCs/>
          <w:rtl w:val="true"/>
        </w:rPr>
        <w:t>...".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u w:val="single"/>
          <w:rtl w:val="true"/>
        </w:rPr>
        <w:t>ב</w:t>
      </w:r>
      <w:hyperlink r:id="rId3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color w:val="0000FF"/>
            <w:u w:val="single"/>
          </w:rPr>
          <w:t>701-12-16</w:t>
        </w:r>
      </w:hyperlink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מדינת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ישראל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</w:t>
      </w:r>
      <w:r>
        <w:rPr>
          <w:rFonts w:cs="Calibri" w:ascii="Calibri" w:hAnsi="Calibri"/>
          <w:b/>
          <w:bCs/>
          <w:u w:val="single"/>
          <w:rtl w:val="true"/>
        </w:rPr>
        <w:t xml:space="preserve">' </w:t>
      </w:r>
      <w:r>
        <w:rPr>
          <w:rFonts w:ascii="Calibri" w:hAnsi="Calibri" w:cs="Calibri"/>
          <w:b/>
          <w:b/>
          <w:bCs/>
          <w:u w:val="single"/>
          <w:rtl w:val="true"/>
        </w:rPr>
        <w:t>עומר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  <w:rtl w:val="true"/>
        </w:rPr>
        <w:t>(</w:t>
      </w:r>
      <w:r>
        <w:rPr>
          <w:rFonts w:ascii="Calibri" w:hAnsi="Calibri" w:cs="Calibri"/>
          <w:u w:val="single"/>
          <w:rtl w:val="true"/>
        </w:rPr>
        <w:t>פורסם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בנבו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cs="Calibri" w:ascii="Calibri" w:hAnsi="Calibri"/>
          <w:u w:val="single"/>
        </w:rPr>
        <w:t>1.10.17</w:t>
      </w:r>
      <w:r>
        <w:rPr>
          <w:rFonts w:cs="Calibri" w:ascii="Calibri" w:hAnsi="Calibri"/>
          <w:b/>
          <w:bCs/>
          <w:u w:val="single"/>
          <w:rtl w:val="true"/>
        </w:rPr>
        <w:t>)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701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טבליות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cs="Calibri" w:ascii="Calibri" w:hAnsi="Calibri"/>
        </w:rPr>
        <w:t>MDMA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העצמית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end="0"/>
        <w:jc w:val="both"/>
        <w:rPr/>
      </w:pPr>
      <w:r>
        <w:rPr>
          <w:rFonts w:ascii="Arial" w:hAnsi="Arial" w:cs="Arial"/>
          <w:u w:val="single"/>
          <w:rtl w:val="true"/>
        </w:rPr>
        <w:t>ב</w:t>
      </w:r>
      <w:hyperlink r:id="rId3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31122-11-15</w:t>
        </w:r>
      </w:hyperlink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 נגד אלמוג יצחק</w:t>
      </w:r>
      <w:r>
        <w:rPr>
          <w:rFonts w:ascii="Arial" w:hAnsi="Arial" w:cs="Arial"/>
          <w:u w:val="single"/>
          <w:rtl w:val="true"/>
        </w:rPr>
        <w:t xml:space="preserve"> </w:t>
      </w:r>
      <w:r>
        <w:rPr>
          <w:rFonts w:cs="Arial" w:ascii="Arial" w:hAnsi="Arial"/>
          <w:u w:val="single"/>
          <w:rtl w:val="true"/>
        </w:rPr>
        <w:t>(</w:t>
      </w:r>
      <w:r>
        <w:rPr>
          <w:rFonts w:ascii="Arial" w:hAnsi="Arial" w:cs="Arial"/>
          <w:u w:val="single"/>
          <w:rtl w:val="true"/>
        </w:rPr>
        <w:t>פורסם בנבו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cs="Arial" w:ascii="Arial" w:hAnsi="Arial"/>
          <w:u w:val="single"/>
        </w:rPr>
        <w:t>2.2.17</w:t>
      </w:r>
      <w:r>
        <w:rPr>
          <w:rFonts w:cs="Arial" w:ascii="Arial" w:hAnsi="Arial"/>
          <w:rtl w:val="true"/>
        </w:rPr>
        <w:t xml:space="preserve">)- </w:t>
      </w:r>
      <w:r>
        <w:rPr>
          <w:rFonts w:ascii="Arial" w:hAnsi="Arial" w:cs="Arial"/>
          <w:rtl w:val="true"/>
        </w:rPr>
        <w:t xml:space="preserve">הורשע נאשם בכך שהחזיק סם מסוג </w:t>
      </w:r>
      <w:r>
        <w:rPr>
          <w:rFonts w:cs="Arial" w:ascii="Arial" w:hAnsi="Arial"/>
        </w:rPr>
        <w:t>MDMA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במשקל </w:t>
      </w:r>
      <w:r>
        <w:rPr>
          <w:rFonts w:cs="Arial" w:ascii="Arial" w:hAnsi="Arial"/>
        </w:rPr>
        <w:t>199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</w:t>
      </w:r>
      <w:r>
        <w:rPr>
          <w:rFonts w:cs="Arial" w:ascii="Arial" w:hAnsi="Arial"/>
          <w:rtl w:val="true"/>
        </w:rPr>
        <w:t xml:space="preserve">'. </w:t>
      </w:r>
      <w:r>
        <w:rPr>
          <w:rFonts w:ascii="Arial" w:hAnsi="Arial" w:cs="Arial"/>
          <w:rtl w:val="true"/>
        </w:rPr>
        <w:t>במקרה זה מדובר בנאשם צעיר שהודה בעבירה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גוזר עליו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end="0"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end="0"/>
        <w:jc w:val="both"/>
        <w:rPr/>
      </w:pPr>
      <w:r>
        <w:rPr>
          <w:rFonts w:ascii="Arial" w:hAnsi="Arial" w:cs="Arial"/>
          <w:u w:val="single"/>
          <w:rtl w:val="true"/>
        </w:rPr>
        <w:t>ב</w:t>
      </w:r>
      <w:hyperlink r:id="rId3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6931-08-09</w:t>
        </w:r>
      </w:hyperlink>
      <w:r>
        <w:rPr>
          <w:rFonts w:cs="Arial" w:ascii="Arial" w:hAnsi="Arial"/>
          <w:u w:val="single"/>
          <w:rtl w:val="true"/>
        </w:rPr>
        <w:t xml:space="preserve"> (</w:t>
      </w:r>
      <w:r>
        <w:rPr>
          <w:rFonts w:ascii="Arial" w:hAnsi="Arial" w:cs="Arial"/>
          <w:u w:val="single"/>
          <w:rtl w:val="true"/>
        </w:rPr>
        <w:t>מחוזי חי</w:t>
      </w:r>
      <w:r>
        <w:rPr>
          <w:rFonts w:cs="Arial" w:ascii="Arial" w:hAnsi="Arial"/>
          <w:u w:val="single"/>
          <w:rtl w:val="true"/>
        </w:rPr>
        <w:t xml:space="preserve">')  </w:t>
      </w:r>
      <w:r>
        <w:rPr>
          <w:rFonts w:ascii="Arial" w:hAnsi="Arial" w:cs="Arial"/>
          <w:b/>
          <w:b/>
          <w:bCs/>
          <w:u w:val="single"/>
          <w:rtl w:val="true"/>
        </w:rPr>
        <w:t>ויקטור עייש 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</w:t>
      </w:r>
      <w:r>
        <w:rPr>
          <w:rFonts w:ascii="Arial" w:hAnsi="Arial" w:cs="Arial"/>
          <w:u w:val="single"/>
          <w:rtl w:val="true"/>
        </w:rPr>
        <w:t xml:space="preserve"> </w:t>
      </w:r>
      <w:r>
        <w:rPr>
          <w:rFonts w:cs="Arial" w:ascii="Arial" w:hAnsi="Arial"/>
          <w:u w:val="single"/>
          <w:rtl w:val="true"/>
        </w:rPr>
        <w:t>(</w:t>
      </w:r>
      <w:r>
        <w:rPr>
          <w:rFonts w:ascii="Arial" w:hAnsi="Arial" w:cs="Arial"/>
          <w:u w:val="single"/>
          <w:rtl w:val="true"/>
        </w:rPr>
        <w:t>פורסם בנבו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cs="Arial" w:ascii="Arial" w:hAnsi="Arial"/>
          <w:u w:val="single"/>
        </w:rPr>
        <w:t>29.4.10</w:t>
      </w:r>
      <w:r>
        <w:rPr>
          <w:rFonts w:cs="Arial" w:ascii="Arial" w:hAnsi="Arial"/>
          <w:u w:val="single"/>
          <w:rtl w:val="true"/>
        </w:rPr>
        <w:t>)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נדחה ערעורו של מערער אשר הורשע בעבירה של החזקת סמים שלא לצריכה עצמית ונגזרו עליו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  וכן הופעל במצטבר עונש מאסר מותנה בן שנתיים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המתואר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המערער החזיק בביתו  </w:t>
      </w:r>
      <w:r>
        <w:rPr>
          <w:rFonts w:cs="Arial" w:ascii="Arial" w:hAnsi="Arial"/>
          <w:b/>
          <w:bCs/>
        </w:rPr>
        <w:t>734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של סם מסוכן מסוג </w:t>
      </w:r>
      <w:r>
        <w:rPr>
          <w:rFonts w:cs="Arial" w:ascii="Arial" w:hAnsi="Arial"/>
        </w:rPr>
        <w:t>MDMA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במקרה זה היה למערער עבר פלילי מכביד בעבירות הסמים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המקובץ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ובכמויות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שבפניי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מובילות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מרביתה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ונוגעות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קנאביס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hyperlink r:id="rId4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 </w:t>
        </w:r>
        <w:r>
          <w:rPr>
            <w:rStyle w:val="Hyperlink"/>
            <w:rFonts w:cs="Calibri" w:ascii="Calibri" w:hAnsi="Calibri"/>
            <w:color w:val="0000FF"/>
            <w:u w:val="single"/>
          </w:rPr>
          <w:t>1969-02-17</w:t>
        </w:r>
      </w:hyperlink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מרקיאל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אלישייב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21.2.18</w:t>
      </w:r>
      <w:r>
        <w:rPr>
          <w:rFonts w:cs="Calibri" w:ascii="Calibri" w:hAnsi="Calibri"/>
          <w:rtl w:val="true"/>
        </w:rPr>
        <w:t xml:space="preserve">), </w:t>
      </w:r>
      <w:hyperlink r:id="rId4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29504-09-13</w:t>
        </w:r>
      </w:hyperlink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מושיק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זרקון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10.11.14</w:t>
      </w:r>
      <w:r>
        <w:rPr>
          <w:rFonts w:cs="Calibri" w:ascii="Calibri" w:hAnsi="Calibri"/>
          <w:rtl w:val="true"/>
        </w:rPr>
        <w:t xml:space="preserve">), </w:t>
      </w:r>
      <w:hyperlink r:id="rId4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שלום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ק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50497-04-17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אלכסנדר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קרבץ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7.3.18</w:t>
      </w:r>
      <w:r>
        <w:rPr>
          <w:rFonts w:cs="Calibri" w:ascii="Calibri" w:hAnsi="Calibri"/>
          <w:rtl w:val="true"/>
        </w:rPr>
        <w:t xml:space="preserve">), </w:t>
      </w:r>
      <w:hyperlink r:id="rId4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18285-08-16</w:t>
        </w:r>
      </w:hyperlink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שלוחת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תביעות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מרום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הגליל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והגולן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אברהם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אילוז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29.3.18</w:t>
      </w:r>
      <w:r>
        <w:rPr>
          <w:rFonts w:cs="Calibri" w:ascii="Calibri" w:hAnsi="Calibri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</w:rPr>
        <w:t>מידת הפגיעה של הנאשם בערכים המוגנים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בבואו של בית המשפט לבחון את מידת הפגיעה של הנאשם בערכים המוגנים ולחומרא יש בראש ובראשונה לתת הדעת לכמות הסם כמו גם לטיבו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מדובר בסם מסוג </w:t>
      </w:r>
      <w:r>
        <w:rPr>
          <w:rFonts w:cs="Arial" w:ascii="Arial" w:hAnsi="Arial"/>
          <w:sz w:val="20"/>
          <w:szCs w:val="20"/>
        </w:rPr>
        <w:t>MDMA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הנמנה על הסמים הקשים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המדובר בסם סינטטי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מיוצר כטבליות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באופן שמקל על סחירותו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על צריכתו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בין אם המדובר במרחב הציבורי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במסיבות רבות משתתפים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או בדל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ת אמות ביתו של הצרכן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הסם אותו החזיק הנאשם נמנה על הסמים הקשים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כך בין היתר מתוארות השפעות הסם </w:t>
      </w:r>
      <w:r>
        <w:rPr>
          <w:rFonts w:cs="Arial" w:ascii="Arial" w:hAnsi="Arial"/>
          <w:sz w:val="20"/>
          <w:szCs w:val="20"/>
        </w:rPr>
        <w:t>MDMA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אקסטזי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מתוך אתר הרשות למאבק בסמים ובאלכוהול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before="100" w:after="100"/>
        <w:ind w:start="567" w:end="567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האקסטזי יכול לגרום הפרעות נפשיות לא מאוזנות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הכוללות התקפי חרדה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פניקה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דיכאון וחשיבה פרנואידית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השפעת הסם גורמת חוסר שקט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הזיות שמיעה וראייה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תחושת רדיפה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התנתקות מהמציאות ופגיעה בכושר השיפוט</w:t>
      </w:r>
      <w:r>
        <w:rPr>
          <w:rFonts w:cs="Arial" w:ascii="Arial" w:hAnsi="Arial"/>
          <w:b/>
          <w:bCs/>
          <w:rtl w:val="true"/>
        </w:rPr>
        <w:t>...</w:t>
      </w:r>
      <w:r>
        <w:rPr>
          <w:rFonts w:ascii="Arial" w:hAnsi="Arial" w:cs="Arial"/>
          <w:b/>
          <w:b/>
          <w:bCs/>
          <w:rtl w:val="true"/>
        </w:rPr>
        <w:t>התכונות המעוררות של הסם גורמות ללחץ דם גבוה ודפק מהיר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הפרעות בקצב הלב והתכווצויות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בעת השימוש נמצא הלב לעתים במצבי לחץ היכולים לגרום התקף לב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כמו כן נצפו מקרים של שטפי דם במוח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שימוש באקסטזי תוך כדי פעילות גופנית מאומצת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כזו הנעשית במסיבות ריקודים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עלול לגרום עלייה מסוכנת בטמפרטורת הגוף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עד למעלה מ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cs="Arial" w:ascii="Arial" w:hAnsi="Arial"/>
          <w:b/>
          <w:bCs/>
        </w:rPr>
        <w:t>43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מעלות צלזיוס</w:t>
      </w:r>
      <w:r>
        <w:rPr>
          <w:rFonts w:cs="Arial" w:ascii="Arial" w:hAnsi="Arial"/>
          <w:b/>
          <w:bCs/>
          <w:rtl w:val="true"/>
        </w:rPr>
        <w:t xml:space="preserve">). </w:t>
      </w:r>
      <w:r>
        <w:rPr>
          <w:rFonts w:ascii="Arial" w:hAnsi="Arial" w:cs="Arial"/>
          <w:b/>
          <w:b/>
          <w:bCs/>
          <w:rtl w:val="true"/>
        </w:rPr>
        <w:t>זוהי אחת מהשפעותיו המזיקות של האקסטזי על הגוף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והיא קשורה בהרס מנגנון בקרת הטמפרטורה במוח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שהשימוש באקסטזי מוביל אליו</w:t>
      </w:r>
      <w:r>
        <w:rPr>
          <w:rFonts w:cs="Arial" w:ascii="Arial" w:hAnsi="Arial"/>
          <w:b/>
          <w:bCs/>
          <w:rtl w:val="true"/>
        </w:rPr>
        <w:t>...</w:t>
      </w:r>
      <w:r>
        <w:rPr>
          <w:rFonts w:ascii="Arial" w:hAnsi="Arial" w:cs="Arial"/>
          <w:b/>
          <w:b/>
          <w:bCs/>
          <w:rtl w:val="true"/>
        </w:rPr>
        <w:t>השימוש באקסטזי גורם למוח נזק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וזה יכול להיות בלתי הפיך</w:t>
      </w:r>
      <w:r>
        <w:rPr>
          <w:rFonts w:cs="Arial" w:ascii="Arial" w:hAnsi="Arial"/>
          <w:b/>
          <w:bCs/>
          <w:rtl w:val="true"/>
        </w:rPr>
        <w:t>...</w:t>
      </w:r>
      <w:r>
        <w:rPr>
          <w:rFonts w:ascii="Arial" w:hAnsi="Arial" w:cs="Arial"/>
          <w:b/>
          <w:b/>
          <w:bCs/>
          <w:rtl w:val="true"/>
        </w:rPr>
        <w:t xml:space="preserve">השימוש באקסטזי פוגע בנוירונים במוח שמשחררים חומר כימי חשוב לפעולת המוח 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ascii="Arial" w:hAnsi="Arial" w:cs="Arial"/>
          <w:b/>
          <w:b/>
          <w:bCs/>
          <w:rtl w:val="true"/>
        </w:rPr>
        <w:t>סרוטונין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לנוירונים אלו יש תפקיד חשוב וישיר בוויסות התנהגויות שונות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כמו תוקפנות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מצבי רוח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פעילות מינית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שינה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רגישות לכאב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שימוש באקסטזי יכול לגרום גם לפגיעה בכבד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במערכת הכליות ובשרירים</w:t>
      </w:r>
      <w:r>
        <w:rPr>
          <w:rFonts w:cs="Arial" w:ascii="Arial" w:hAnsi="Arial"/>
          <w:b/>
          <w:bCs/>
          <w:rtl w:val="true"/>
        </w:rPr>
        <w:t xml:space="preserve">". </w:t>
      </w:r>
    </w:p>
    <w:p>
      <w:pPr>
        <w:pStyle w:val="Normal"/>
        <w:tabs>
          <w:tab w:val="clear" w:pos="720"/>
          <w:tab w:val="left" w:pos="2553" w:leader="none"/>
        </w:tabs>
        <w:ind w:end="567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טבליות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  <w:b/>
          <w:bCs/>
        </w:rPr>
        <w:t>8,439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המסוכן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טבליה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למותר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טבליות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הוחזק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צרכנים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המבוצעת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וכוללת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מוקדמים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בכללם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הצטייד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בייפוי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המזויף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קילומטרים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שדרות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וחזרה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מחלוקת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גרידא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מהדואר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והעברתה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</w:rPr>
        <w:t>4,000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מסניף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דואר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בתיק דנן הסמים נתפסו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ומכאן שאין לדבר על נזק ישיר שנגרם לבריאות הציבור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ליתן הדעת לנזק הפוטנציאלי ולסכנה הטמונה בסם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בתיקי סמים אמנם אין נוכחות קורבן במובן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הקלאסי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של אדם אשר בא ומטיח בנאשם כי פגע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ודוק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מדי יום מגיעים לפתחו של בית משפט זה כתבי אישום רבים הנסובים סביב עבירות רכוש שבוצעו לצורך מימון הסם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אחת מדובר באנשים שאיבדו את כל ממונם במסגרת אותה התמכרות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לעיתים קרובות אלו פוגעים ביקרים להם תוך נקיטת אלימות לצורך מימון הסמים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בבואו של בית המשפט לבחון את הסיכון הנשקף ממעשיו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עליו לשוות לנגד עיניו את כל אותם צרכני סמים וכל אותן תופעות נלוות להתמכרות זו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בהוצאתה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מהדואר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וממילא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הפצתו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רגעית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הנלווה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עיניים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בהוראות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החיקוק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מנגד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המלחמה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הנוטלות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בשרשרת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גדולה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כקטנה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בלתו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ובהעדרה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בסופם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לדאבוננו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משרשרת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כדוגמת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נבחרים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מאפיינים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בבלדרים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כדוגמת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חלקם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עובדתית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פרמטר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בקידום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הסופי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לבלדרים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מהמעגל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הפנימי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כדוגמת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שבפנינו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כשבחלקם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ממושכת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4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4592/15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מסעוד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פדידה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8.2.16</w:t>
      </w:r>
      <w:r>
        <w:rPr>
          <w:rFonts w:cs="Calibri" w:ascii="Calibri" w:hAnsi="Calibri"/>
          <w:rtl w:val="true"/>
        </w:rPr>
        <w:t xml:space="preserve">)-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480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והתקבלה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הגלומה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להילחם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שלביו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מהפצתו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מכירתו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before="0" w:after="160"/>
        <w:ind w:end="0"/>
        <w:jc w:val="both"/>
        <w:rPr/>
      </w:pPr>
      <w:r>
        <w:rPr>
          <w:rFonts w:eastAsia="Calibri" w:cs="Calibri" w:ascii="Calibri" w:hAnsi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Times New Roman" w:hAnsi="Times New Roman" w:cs="Times New Roman"/>
          <w:b/>
          <w:b/>
          <w:bCs/>
          <w:rtl w:val="true"/>
        </w:rPr>
        <w:t>אכן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עברו הנקי של אשר אינו נעלם מעינינו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ולא נעלם מעיניו של בית המשפט המחוזי</w:t>
      </w:r>
      <w:r>
        <w:rPr>
          <w:rFonts w:cs="Times New Roman" w:ascii="Times New Roman" w:hAnsi="Times New Roman"/>
          <w:b/>
          <w:bCs/>
          <w:rtl w:val="true"/>
        </w:rPr>
        <w:t xml:space="preserve">; </w:t>
      </w:r>
      <w:r>
        <w:rPr>
          <w:rFonts w:ascii="Times New Roman" w:hAnsi="Times New Roman" w:cs="Times New Roman"/>
          <w:b/>
          <w:b/>
          <w:bCs/>
          <w:rtl w:val="true"/>
        </w:rPr>
        <w:t>כך גם החרטה שהביע והמלצת שירות המבחן לגזור עליו עונש מאסר שירוצה בדרך של עבודות שירות</w:t>
      </w:r>
      <w:r>
        <w:rPr>
          <w:rFonts w:cs="Times New Roman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cs="Times New Roman"/>
          <w:b/>
          <w:b/>
          <w:bCs/>
          <w:rtl w:val="true"/>
        </w:rPr>
        <w:t>זה המקום להעיר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כפי שהערנו באולם בית המשפט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כי עם שאנו מכבדים תדיר ומוקירים את מלאכת שירות המבחן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המלצה לעבודות שירות בפרשה של סחר בקוקאין בכמות מעין זו אינה לטעמנו במקומה</w:t>
      </w:r>
      <w:r>
        <w:rPr>
          <w:rFonts w:cs="Times New Roman" w:ascii="Times New Roman" w:hAnsi="Times New Roman"/>
          <w:b/>
          <w:bCs/>
          <w:rtl w:val="true"/>
        </w:rPr>
        <w:t xml:space="preserve">; </w:t>
      </w:r>
      <w:r>
        <w:rPr>
          <w:rFonts w:ascii="Times New Roman" w:hAnsi="Times New Roman" w:cs="Times New Roman"/>
          <w:b/>
          <w:b/>
          <w:bCs/>
          <w:rtl w:val="true"/>
        </w:rPr>
        <w:t>אף שחזקה כי התסקיר נכתב במגמה שיקומית חיובית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ברי כי אין בית משפט יכול לקבל המלצה מעין זו בנסיבות כאלה ככלל</w:t>
      </w:r>
      <w:r>
        <w:rPr>
          <w:rFonts w:cs="Times New Roman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cs="Times New Roman"/>
          <w:b/>
          <w:b/>
          <w:bCs/>
          <w:rtl w:val="true"/>
        </w:rPr>
        <w:t>מדובר בעבירת סמים קשה מאוד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ובמקרים מסוג זה שיקולי השיקום אינם נדחים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כמובן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אך משקלם פוחת בהכרח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שכן חובה היא על בית המשפט בימים אלו להילחם מלחמת חרמה בתופעות של החזקת סמים מסוכנים</w:t>
      </w:r>
      <w:r>
        <w:rPr>
          <w:rFonts w:cs="Times New Roman" w:ascii="Times New Roman" w:hAnsi="Times New Roman"/>
          <w:b/>
          <w:bCs/>
          <w:rtl w:val="true"/>
        </w:rPr>
        <w:t xml:space="preserve">.. </w:t>
      </w:r>
      <w:r>
        <w:rPr>
          <w:rFonts w:ascii="Times New Roman" w:hAnsi="Times New Roman" w:cs="Times New Roman"/>
          <w:b/>
          <w:b/>
          <w:bCs/>
          <w:rtl w:val="true"/>
        </w:rPr>
        <w:t>בהתאם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גם אין להלום את טענתו של אשר כי יש להקל בעונשו משלא קיבל תגמול בגין העברת הסם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שכן גם שיקול זה נסוג בנסיבות</w:t>
      </w:r>
      <w:r>
        <w:rPr>
          <w:rFonts w:cs="Times New Roman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cs="Times New Roman"/>
          <w:b/>
          <w:b/>
          <w:bCs/>
          <w:rtl w:val="true"/>
        </w:rPr>
        <w:t>אשר תיאם את העברת הסם המסוכן לידיו של פלוני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תיכנן עם המסייע לעבירה את מהלך העבירה – גם אם היה זה תכנון קצר מועד ונקודתי – והעביר את הסם המסוכן במוניתו</w:t>
      </w:r>
      <w:r>
        <w:rPr>
          <w:rFonts w:cs="Times New Roman" w:ascii="Times New Roman" w:hAnsi="Times New Roman"/>
          <w:b/>
          <w:bCs/>
          <w:rtl w:val="true"/>
        </w:rPr>
        <w:t xml:space="preserve">" </w:t>
      </w:r>
      <w:r>
        <w:rPr>
          <w:rFonts w:cs="Times New Roman" w:ascii="Times New Roman" w:hAnsi="Times New Roman"/>
          <w:rtl w:val="true"/>
        </w:rPr>
        <w:t>[</w:t>
      </w:r>
      <w:r>
        <w:rPr>
          <w:rFonts w:ascii="Times New Roman" w:hAnsi="Times New Roman" w:cs="Times New Roman"/>
          <w:rtl w:val="true"/>
        </w:rPr>
        <w:t>פסקה כו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לפסק דינו של כב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השופט רובינשטיין</w:t>
      </w:r>
      <w:r>
        <w:rPr>
          <w:rFonts w:cs="Times New Roman" w:ascii="Times New Roman" w:hAnsi="Times New Roman"/>
          <w:rtl w:val="true"/>
        </w:rPr>
        <w:t>].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תגמול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תגמול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נסיעתו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contextualSpacing/>
        <w:jc w:val="both"/>
        <w:rPr/>
      </w:pPr>
      <w:r>
        <w:rPr>
          <w:rFonts w:ascii="Calibri" w:hAnsi="Calibri" w:cs="Calibri"/>
          <w:u w:val="single"/>
          <w:rtl w:val="true"/>
        </w:rPr>
        <w:t>בע</w:t>
      </w:r>
      <w:r>
        <w:rPr>
          <w:rFonts w:cs="Calibri" w:ascii="Calibri" w:hAnsi="Calibri"/>
          <w:u w:val="single"/>
          <w:rtl w:val="true"/>
        </w:rPr>
        <w:t>"</w:t>
      </w:r>
      <w:r>
        <w:rPr>
          <w:rFonts w:ascii="Calibri" w:hAnsi="Calibri" w:cs="Calibri"/>
          <w:u w:val="single"/>
          <w:rtl w:val="true"/>
        </w:rPr>
        <w:t>פ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1282/07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אילן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אבו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</w:t>
      </w:r>
      <w:r>
        <w:rPr>
          <w:rFonts w:cs="Calibri" w:ascii="Calibri" w:hAnsi="Calibri"/>
          <w:b/>
          <w:bCs/>
          <w:u w:val="single"/>
          <w:rtl w:val="true"/>
        </w:rPr>
        <w:t xml:space="preserve">' </w:t>
      </w:r>
      <w:r>
        <w:rPr>
          <w:rFonts w:ascii="Calibri" w:hAnsi="Calibri" w:cs="Calibri"/>
          <w:b/>
          <w:b/>
          <w:bCs/>
          <w:u w:val="single"/>
          <w:rtl w:val="true"/>
        </w:rPr>
        <w:t>מדינת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ישראל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  <w:rtl w:val="true"/>
        </w:rPr>
        <w:t>(</w:t>
      </w:r>
      <w:r>
        <w:rPr>
          <w:rFonts w:ascii="Calibri" w:hAnsi="Calibri" w:cs="Calibri"/>
          <w:u w:val="single"/>
          <w:rtl w:val="true"/>
        </w:rPr>
        <w:t>פורסם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בנבו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cs="Calibri" w:ascii="Calibri" w:hAnsi="Calibri"/>
          <w:u w:val="single"/>
        </w:rPr>
        <w:t>25.7.07</w:t>
      </w:r>
      <w:r>
        <w:rPr>
          <w:rFonts w:cs="Calibri" w:ascii="Calibri" w:hAnsi="Calibri"/>
          <w:rtl w:val="true"/>
        </w:rPr>
        <w:t xml:space="preserve">)-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כשברשותו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הירואין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בגרביים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ומעמידו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קונקרטי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ודוחה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כנימוק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before="0" w:after="160"/>
        <w:ind w:start="567" w:end="567"/>
        <w:contextualSpacing/>
        <w:jc w:val="both"/>
        <w:rPr/>
      </w:pPr>
      <w:r>
        <w:rPr>
          <w:rFonts w:cs="Calibri" w:ascii="Calibri" w:hAnsi="Calibri"/>
          <w:b/>
          <w:bCs/>
          <w:rtl w:val="true"/>
        </w:rPr>
        <w:t>"...</w:t>
      </w:r>
      <w:r>
        <w:rPr>
          <w:rFonts w:ascii="Calibri" w:hAnsi="Calibri" w:cs="Calibri"/>
          <w:b/>
          <w:b/>
          <w:bCs/>
          <w:rtl w:val="true"/>
        </w:rPr>
        <w:t>כפי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שכתבה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השופטת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המלומדת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קמא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מצבו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הכלכלי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המערער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כנקבע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הרקע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לעבירה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יכול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להוות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נימוק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מקל</w:t>
      </w:r>
      <w:r>
        <w:rPr>
          <w:rFonts w:cs="Calibri" w:ascii="Calibri" w:hAnsi="Calibri"/>
          <w:b/>
          <w:bCs/>
          <w:u w:val="single"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וכדבריה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שימש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חוליה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בשרשרת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הפצת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מגיע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ליעדו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מופץ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לאחרים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סוחרי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סמים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מחפשים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כל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דרך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אפשרית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להעביר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הסם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ובין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היתר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משתמשים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גם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בנהגי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מוניות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למטרה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זו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 xml:space="preserve">...". </w:t>
      </w:r>
      <w:r>
        <w:rPr>
          <w:rFonts w:ascii="Calibri" w:hAnsi="Calibri" w:cs="Calibri"/>
          <w:b/>
          <w:b/>
          <w:bCs/>
          <w:rtl w:val="true"/>
        </w:rPr>
        <w:t>אנו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מצטרפים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לדברים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שכמותם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נאמרו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u w:val="single"/>
          <w:rtl w:val="true"/>
        </w:rPr>
        <w:t>לסמים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אין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רגליים</w:t>
      </w:r>
      <w:r>
        <w:rPr>
          <w:rFonts w:cs="Calibri" w:ascii="Calibri" w:hAnsi="Calibri"/>
          <w:b/>
          <w:bCs/>
          <w:u w:val="single"/>
          <w:rtl w:val="true"/>
        </w:rPr>
        <w:t xml:space="preserve">; </w:t>
      </w:r>
      <w:r>
        <w:rPr>
          <w:rFonts w:ascii="Calibri" w:hAnsi="Calibri" w:cs="Calibri"/>
          <w:b/>
          <w:b/>
          <w:bCs/>
          <w:u w:val="single"/>
          <w:rtl w:val="true"/>
        </w:rPr>
        <w:t>הם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זקוקים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למי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שיכין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אותם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ישווק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אותם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ויוביל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אותם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ליעדיהם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המפוקפקים</w:t>
      </w:r>
      <w:r>
        <w:rPr>
          <w:rFonts w:cs="Calibri" w:ascii="Calibri" w:hAnsi="Calibri"/>
          <w:b/>
          <w:bCs/>
          <w:u w:val="single"/>
          <w:rtl w:val="true"/>
        </w:rPr>
        <w:t xml:space="preserve">. </w:t>
      </w:r>
      <w:r>
        <w:rPr>
          <w:rFonts w:ascii="Calibri" w:hAnsi="Calibri" w:cs="Calibri"/>
          <w:b/>
          <w:b/>
          <w:bCs/>
          <w:u w:val="single"/>
          <w:rtl w:val="true"/>
        </w:rPr>
        <w:t>כל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חוליה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בשרשרת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פשע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זו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ראויה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לעניש</w:t>
      </w:r>
      <w:r>
        <w:rPr>
          <w:rFonts w:ascii="Calibri" w:hAnsi="Calibri" w:cs="Calibri"/>
          <w:b/>
          <w:b/>
          <w:bCs/>
          <w:rtl w:val="true"/>
        </w:rPr>
        <w:t>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ולענישה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מכאיבה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לפסק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רובינשטיין</w:t>
      </w:r>
      <w:r>
        <w:rPr>
          <w:rFonts w:cs="Calibri" w:ascii="Calibri" w:hAnsi="Calibri"/>
          <w:rtl w:val="true"/>
        </w:rPr>
        <w:t>].</w:t>
      </w:r>
      <w:r>
        <w:rPr>
          <w:rFonts w:cs="Calibri" w:ascii="Calibri" w:hAnsi="Calibri"/>
          <w:b/>
          <w:bCs/>
          <w:rtl w:val="true"/>
        </w:rPr>
        <w:t xml:space="preserve"> (</w:t>
      </w:r>
      <w:r>
        <w:rPr>
          <w:rFonts w:ascii="Calibri" w:hAnsi="Calibri" w:cs="Calibri"/>
          <w:b/>
          <w:b/>
          <w:bCs/>
          <w:rtl w:val="true"/>
        </w:rPr>
        <w:t>הדגשות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במקור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ascii="Calibri" w:hAnsi="Calibri" w:cs="Calibri"/>
          <w:b/>
          <w:b/>
          <w:bCs/>
          <w:rtl w:val="true"/>
        </w:rPr>
        <w:t>ט</w:t>
      </w:r>
      <w:r>
        <w:rPr>
          <w:rFonts w:cs="Calibri" w:ascii="Calibri" w:hAnsi="Calibri"/>
          <w:b/>
          <w:bCs/>
          <w:rtl w:val="true"/>
        </w:rPr>
        <w:t>)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ראה</w:t>
      </w:r>
      <w:r>
        <w:rPr>
          <w:rFonts w:ascii="Calibri" w:hAnsi="Calibri" w:cs="Calibri"/>
          <w:rtl w:val="true"/>
        </w:rPr>
        <w:t xml:space="preserve"> </w:t>
      </w:r>
      <w:hyperlink r:id="rId4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3820/09</w:t>
        </w:r>
      </w:hyperlink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מדינת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ישראל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</w:t>
      </w:r>
      <w:r>
        <w:rPr>
          <w:rFonts w:cs="Calibri" w:ascii="Calibri" w:hAnsi="Calibri"/>
          <w:b/>
          <w:bCs/>
          <w:u w:val="single"/>
          <w:rtl w:val="true"/>
        </w:rPr>
        <w:t xml:space="preserve">' </w:t>
      </w:r>
      <w:r>
        <w:rPr>
          <w:rFonts w:ascii="Calibri" w:hAnsi="Calibri" w:cs="Calibri"/>
          <w:b/>
          <w:b/>
          <w:bCs/>
          <w:u w:val="single"/>
          <w:rtl w:val="true"/>
        </w:rPr>
        <w:t>חיים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אוחיון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  <w:rtl w:val="true"/>
        </w:rPr>
        <w:t>[</w:t>
      </w:r>
      <w:r>
        <w:rPr>
          <w:rFonts w:ascii="Calibri" w:hAnsi="Calibri" w:cs="Calibri"/>
          <w:u w:val="single"/>
          <w:rtl w:val="true"/>
        </w:rPr>
        <w:t>פסקה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16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לפסק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דינו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כב</w:t>
      </w:r>
      <w:r>
        <w:rPr>
          <w:rFonts w:cs="Calibri" w:ascii="Calibri" w:hAnsi="Calibri"/>
          <w:u w:val="single"/>
          <w:rtl w:val="true"/>
        </w:rPr>
        <w:t xml:space="preserve">' </w:t>
      </w:r>
      <w:r>
        <w:rPr>
          <w:rFonts w:ascii="Calibri" w:hAnsi="Calibri" w:cs="Calibri"/>
          <w:u w:val="single"/>
          <w:rtl w:val="true"/>
        </w:rPr>
        <w:t>השופט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דנציגר</w:t>
      </w:r>
      <w:r>
        <w:rPr>
          <w:rFonts w:cs="Calibri" w:ascii="Calibri" w:hAnsi="Calibri"/>
          <w:u w:val="single"/>
          <w:rtl w:val="true"/>
        </w:rPr>
        <w:t>] (</w:t>
      </w:r>
      <w:r>
        <w:rPr>
          <w:rFonts w:ascii="Calibri" w:hAnsi="Calibri" w:cs="Calibri"/>
          <w:u w:val="single"/>
          <w:rtl w:val="true"/>
        </w:rPr>
        <w:t>פורסם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בנבו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cs="Calibri" w:ascii="Calibri" w:hAnsi="Calibri"/>
          <w:u w:val="single"/>
        </w:rPr>
        <w:t>6.9.09</w:t>
      </w:r>
      <w:r>
        <w:rPr>
          <w:rFonts w:cs="Calibri" w:ascii="Calibri" w:hAnsi="Calibri"/>
          <w:u w:val="single"/>
          <w:rtl w:val="true"/>
        </w:rPr>
        <w:t>):</w:t>
      </w:r>
    </w:p>
    <w:p>
      <w:pPr>
        <w:pStyle w:val="Normal"/>
        <w:spacing w:before="0" w:after="160"/>
        <w:ind w:start="567" w:end="567"/>
        <w:contextualSpacing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אמנם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המשיב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היווה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החוליה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המרכזית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בשרשרת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הפצת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תפקידו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במסגרתה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חיוני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השיא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תרומתו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ascii="Calibri" w:hAnsi="Calibri" w:cs="Calibri"/>
          <w:b/>
          <w:b/>
          <w:bCs/>
          <w:rtl w:val="true"/>
        </w:rPr>
        <w:t>בהסבת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לחברה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u w:val="single"/>
          <w:rtl w:val="true"/>
        </w:rPr>
        <w:t>מן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המפורסמות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הוא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שמערכת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הפצת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הסמים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נסמכת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ונשענת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שירותיהם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אנשים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רבים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הממלאים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לפעמים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תפקידים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שליח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בלדר</w:t>
      </w:r>
      <w:r>
        <w:rPr>
          <w:rFonts w:cs="Calibri" w:ascii="Calibri" w:hAnsi="Calibri"/>
          <w:b/>
          <w:bCs/>
          <w:u w:val="single"/>
          <w:rtl w:val="true"/>
        </w:rPr>
        <w:t xml:space="preserve">. </w:t>
      </w:r>
      <w:r>
        <w:rPr>
          <w:rFonts w:ascii="Calibri" w:hAnsi="Calibri" w:cs="Calibri"/>
          <w:b/>
          <w:b/>
          <w:bCs/>
          <w:u w:val="single"/>
          <w:rtl w:val="true"/>
        </w:rPr>
        <w:t>ברור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שללא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עזרתם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אלה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לא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הייתה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המערכת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הזאת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מסוגלת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לגרום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הנזק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שהיא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גורמ</w:t>
      </w:r>
      <w:r>
        <w:rPr>
          <w:rFonts w:ascii="Calibri" w:hAnsi="Calibri" w:cs="Calibri"/>
          <w:b/>
          <w:b/>
          <w:bCs/>
          <w:rtl w:val="true"/>
        </w:rPr>
        <w:t>ת</w:t>
      </w:r>
      <w:r>
        <w:rPr>
          <w:rFonts w:cs="Calibri" w:ascii="Calibri" w:hAnsi="Calibri"/>
          <w:b/>
          <w:bCs/>
          <w:rtl w:val="true"/>
        </w:rPr>
        <w:t xml:space="preserve">... </w:t>
      </w:r>
      <w:r>
        <w:rPr>
          <w:rFonts w:ascii="Calibri" w:hAnsi="Calibri" w:cs="Calibri"/>
          <w:b/>
          <w:b/>
          <w:bCs/>
          <w:u w:val="single"/>
          <w:rtl w:val="true"/>
        </w:rPr>
        <w:t>נקבע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כי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בסוג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זה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עבירות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להעניש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בצורה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ראויה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גם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שליחים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ובלדרים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שכן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מערכת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הפצת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הסמים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נסמכת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ונשענת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במידה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רבה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שירותיהם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בעלי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תפקידים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קטנים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כאלה</w:t>
      </w:r>
      <w:r>
        <w:rPr>
          <w:rFonts w:cs="Calibri" w:ascii="Calibri" w:hAnsi="Calibri"/>
          <w:b/>
          <w:bCs/>
          <w:rtl w:val="true"/>
        </w:rPr>
        <w:t>. (</w:t>
      </w:r>
      <w:r>
        <w:rPr>
          <w:rFonts w:ascii="Calibri" w:hAnsi="Calibri" w:cs="Calibri"/>
          <w:b/>
          <w:b/>
          <w:bCs/>
          <w:rtl w:val="true"/>
        </w:rPr>
        <w:t>הדגשות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במקור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ד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ascii="Calibri" w:hAnsi="Calibri" w:cs="Calibri"/>
          <w:b/>
          <w:b/>
          <w:bCs/>
          <w:rtl w:val="true"/>
        </w:rPr>
        <w:t>ט</w:t>
      </w:r>
      <w:r>
        <w:rPr>
          <w:rFonts w:cs="Calibri" w:ascii="Calibri" w:hAnsi="Calibri"/>
          <w:b/>
          <w:bCs/>
          <w:rtl w:val="true"/>
        </w:rPr>
        <w:t>).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ראה</w:t>
      </w:r>
      <w:r>
        <w:rPr>
          <w:rFonts w:ascii="Calibri" w:hAnsi="Calibri" w:cs="Calibri"/>
          <w:rtl w:val="true"/>
        </w:rPr>
        <w:t xml:space="preserve"> </w:t>
      </w:r>
      <w:hyperlink r:id="rId4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26357-10-15</w:t>
        </w:r>
      </w:hyperlink>
      <w:r>
        <w:rPr>
          <w:rFonts w:cs="Calibri" w:ascii="Calibri" w:hAnsi="Calibri"/>
          <w:u w:val="single"/>
          <w:rtl w:val="true"/>
        </w:rPr>
        <w:t xml:space="preserve"> (</w:t>
      </w:r>
      <w:r>
        <w:rPr>
          <w:rFonts w:ascii="Calibri" w:hAnsi="Calibri" w:cs="Calibri"/>
          <w:u w:val="single"/>
          <w:rtl w:val="true"/>
        </w:rPr>
        <w:t>מחוזי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</w:t>
      </w:r>
      <w:r>
        <w:rPr>
          <w:rFonts w:cs="Calibri" w:ascii="Calibri" w:hAnsi="Calibri"/>
          <w:u w:val="single"/>
          <w:rtl w:val="true"/>
        </w:rPr>
        <w:t>"</w:t>
      </w:r>
      <w:r>
        <w:rPr>
          <w:rFonts w:ascii="Calibri" w:hAnsi="Calibri" w:cs="Calibri"/>
          <w:u w:val="single"/>
          <w:rtl w:val="true"/>
        </w:rPr>
        <w:t>ש</w:t>
      </w:r>
      <w:r>
        <w:rPr>
          <w:rFonts w:cs="Calibri" w:ascii="Calibri" w:hAnsi="Calibri"/>
          <w:u w:val="single"/>
          <w:rtl w:val="true"/>
        </w:rPr>
        <w:t xml:space="preserve">) </w:t>
      </w:r>
      <w:r>
        <w:rPr>
          <w:rFonts w:ascii="Calibri" w:hAnsi="Calibri" w:cs="Calibri"/>
          <w:b/>
          <w:b/>
          <w:bCs/>
          <w:u w:val="single"/>
          <w:rtl w:val="true"/>
        </w:rPr>
        <w:t>מדינת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ישראל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</w:t>
      </w:r>
      <w:r>
        <w:rPr>
          <w:rFonts w:cs="Calibri" w:ascii="Calibri" w:hAnsi="Calibri"/>
          <w:b/>
          <w:bCs/>
          <w:u w:val="single"/>
          <w:rtl w:val="true"/>
        </w:rPr>
        <w:t xml:space="preserve">' </w:t>
      </w:r>
      <w:r>
        <w:rPr>
          <w:rFonts w:ascii="Calibri" w:hAnsi="Calibri" w:cs="Calibri"/>
          <w:b/>
          <w:b/>
          <w:bCs/>
          <w:u w:val="single"/>
          <w:rtl w:val="true"/>
        </w:rPr>
        <w:t>מרדכי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מזרחי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  <w:rtl w:val="true"/>
        </w:rPr>
        <w:t>(</w:t>
      </w:r>
      <w:r>
        <w:rPr>
          <w:rFonts w:ascii="Calibri" w:hAnsi="Calibri" w:cs="Calibri"/>
          <w:u w:val="single"/>
          <w:rtl w:val="true"/>
        </w:rPr>
        <w:t>פורסם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בנבו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cs="Calibri" w:ascii="Calibri" w:hAnsi="Calibri"/>
          <w:u w:val="single"/>
        </w:rPr>
        <w:t>1.11.16</w:t>
      </w:r>
      <w:r>
        <w:rPr>
          <w:rFonts w:cs="Calibri" w:ascii="Calibri" w:hAnsi="Calibri"/>
          <w:u w:val="single"/>
          <w:rtl w:val="true"/>
        </w:rPr>
        <w:t>)-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שתפקידו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הנחיית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קנאבוס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בבלדר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בהתייחסו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הנטען</w:t>
      </w:r>
      <w:r>
        <w:rPr>
          <w:rFonts w:cs="Calibri" w:ascii="Calibri" w:hAnsi="Calibri"/>
          <w:rtl w:val="true"/>
        </w:rPr>
        <w:t xml:space="preserve">:  </w:t>
      </w:r>
    </w:p>
    <w:p>
      <w:pPr>
        <w:pStyle w:val="Normal"/>
        <w:spacing w:before="0" w:after="160"/>
        <w:ind w:start="567" w:end="567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שמבחינת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וחומרת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המעשה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הבדל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שנמצא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בראש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פירמידת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בסמים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היוזמים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המממנים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המייבאים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וכיוב</w:t>
      </w:r>
      <w:r>
        <w:rPr>
          <w:rFonts w:cs="Calibri" w:ascii="Calibri" w:hAnsi="Calibri"/>
          <w:b/>
          <w:bCs/>
          <w:rtl w:val="true"/>
        </w:rPr>
        <w:t xml:space="preserve">' – </w:t>
      </w:r>
      <w:r>
        <w:rPr>
          <w:rFonts w:ascii="Calibri" w:hAnsi="Calibri" w:cs="Calibri"/>
          <w:b/>
          <w:b/>
          <w:bCs/>
          <w:rtl w:val="true"/>
        </w:rPr>
        <w:t>לבין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שתפקידם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זוטר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שאינם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נמצאים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העשיה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העבריינית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שמבחינה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מעשית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דווקא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פעולתם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האחרונים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המקרבת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הסכנות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הכרוכות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לכדי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מימוש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לולא</w:t>
      </w:r>
      <w:r>
        <w:rPr>
          <w:rFonts w:ascii="Calibri" w:hAnsi="Calibri" w:cs="Calibri"/>
          <w:b/>
          <w:b/>
          <w:bCs/>
          <w:rtl w:val="true"/>
        </w:rPr>
        <w:t xml:space="preserve">  </w:t>
      </w:r>
      <w:r>
        <w:rPr>
          <w:rFonts w:ascii="Calibri" w:hAnsi="Calibri" w:cs="Calibri"/>
          <w:b/>
          <w:b/>
          <w:bCs/>
          <w:rtl w:val="true"/>
        </w:rPr>
        <w:t>מעשיהם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יגיע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המשתמשים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והנזק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יגרם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הדבר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דומה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במידה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מסוימת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ליחס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שמכין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מטען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חבלה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שמניח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אותו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כמובן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שמבחינת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יצירת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הסיכון</w:t>
      </w:r>
      <w:r>
        <w:rPr>
          <w:rFonts w:cs="Calibri" w:ascii="Calibri" w:hAnsi="Calibri"/>
          <w:b/>
          <w:bCs/>
          <w:rtl w:val="true"/>
        </w:rPr>
        <w:t xml:space="preserve">,  </w:t>
      </w:r>
      <w:r>
        <w:rPr>
          <w:rFonts w:ascii="Calibri" w:hAnsi="Calibri" w:cs="Calibri"/>
          <w:b/>
          <w:b/>
          <w:bCs/>
          <w:rtl w:val="true"/>
        </w:rPr>
        <w:t>האחריות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המוסרית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והחוקית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ומידת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האשם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שמכין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מטען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החבלה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ממוקם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במקום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גבוה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יותר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שמניח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אותו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אולם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דווקא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פעולתו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האחרון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המממשת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הטמון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במעשה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הראשון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ובלעדיה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הנזק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יגרם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ביתן</w:t>
      </w:r>
      <w:r>
        <w:rPr>
          <w:rFonts w:cs="Calibri" w:ascii="Calibri" w:hAnsi="Calibri"/>
          <w:rtl w:val="true"/>
        </w:rPr>
        <w:t>].</w:t>
      </w:r>
    </w:p>
    <w:p>
      <w:pPr>
        <w:pStyle w:val="Normal"/>
        <w:spacing w:lineRule="auto" w:line="254" w:before="0" w:after="160"/>
        <w:ind w:end="0"/>
        <w:jc w:val="start"/>
        <w:rPr>
          <w:rFonts w:ascii="Calibri" w:hAnsi="Calibri" w:cs="Arial"/>
          <w:b/>
          <w:bCs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שצוטטו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הגלומה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בלדרים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הבחנה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שבפנינו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254" w:before="0" w:after="160"/>
        <w:ind w:end="0"/>
        <w:jc w:val="start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254" w:before="0" w:after="160"/>
        <w:ind w:end="0"/>
        <w:jc w:val="start"/>
        <w:rPr/>
      </w:pP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254" w:before="0" w:after="160"/>
        <w:ind w:end="0"/>
        <w:jc w:val="start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אשר לנסיבות שאינן קשורות לביצוע העבירה ולקולא יש לתת משקל להודאת הנאשם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הודאה המגלמת בתוכה הבעת חרטה ונטילת אחריות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כפי הנלמד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הנאשם סיפר על חלקו בהזדמנות הראשונה ולא זו בלבד סייע למשטרה לגלות בדבר חלקם של האחרים בביצוע העבירות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המדובר בנאשם צעיר יחסית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נעדר עבר פלילי שהפגין יציבות תעסוקתית ועבד תקופה ממושכת כנהג מונית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Times New Roman" w:hAnsi="Times New Roman" w:cs="Times New Roman"/>
          <w:rtl w:val="true"/>
        </w:rPr>
        <w:t>כפי שעולה מעדויות האופי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כמו גם מהמכתבים שהוצגו לעיונו של בית המשפט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הנאשם מסייע לזולת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מקובל ואהוד על סביבתו ופועל לשביעות רצון מעסיקיו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שירות המבחן מציין כי לנאשם מערכת ערכים נורמטיבית בבסיסה ללא דפוסי עבריינות מושרשים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ניכר כי ההליך המשפטי במסגרתו גם נעצר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נחווה עבורו כאירוע מזעזע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משברי ומטלטל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הנאשם מעוניין למנף את ההליך המשפטי לבחינת התנהגותו ואת דפוסיו המכשילים כשהמוטיבציה שמביע לכך נתפסת ככנה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הנאשם אב לשני ילדים קטנים ומשכך למאסרו השפעה גדולה יותר על סביבתו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הנאשם היה עצור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כחודשיים וחצי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ובהמשך שהה במעצר תחת איזוק אלקטרוני מספר חודשים עד למועד מתן גזר הדין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מנגד ולחומרא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יש לתת משקל מה להתרשמות שירות המבחן לפיה לנאשם קושי להציב לעצמו גבולות ברורים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לעמוד במצבים של פיתוי לרווחים אישיים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קושי להתנהל באסרטיביות מול אנשים הקרובים לו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דבר שעלול להעמידו בסיכון במצבי קונפליקט או מצבים רגשיים מורכבים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עוד כאמור יש לתת משקל לשיקולי הרתעת הרבים נוכח נפוצותן של העבירות בהן הורשע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Times New Roman" w:hAnsi="Times New Roman" w:cs="Times New Roman"/>
          <w:rtl w:val="true"/>
        </w:rPr>
        <w:t>אשר לפסילה בפועל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בשעה שהנאשם עושה שימוש במונית וברישיון הנהיגה שלו לצורך ביצוע עבירת סמים קשה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אך מתבקש שגם ביחס לרכיב ענישה זה תושת פסילה ממושכת שיהא בה משום מתן משקל לשיקולי הרתעה כמו גם לשיקולי מניעה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בדומה לרכיב הפיצוי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לפנים משורת הדין ומתוך התחשבות בנאשם ושיקומו לאחר שחרורו מהמאסר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רכיב הפסילה יהא מתון ביותר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Times New Roman" w:hAnsi="Times New Roman" w:cs="Times New Roman"/>
          <w:rtl w:val="true"/>
        </w:rPr>
        <w:t>לא נעלמה מעיני בית המשפט המלצת שירות המבחן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אמנם נקבע לא אחת כי המלצת שירות המבחן כשמה כן היא ובית המשפט הוא זה שבסופם של דברים לוקח בחשבון את מכלול השיקולים לרבות שיקולי גמול והרתעה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אכן מדובר בנאשם נורמטיבי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יחד עם זאת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המלצת שירות המבחן בכל הכבוד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אינה הולמת את חומרת העבירה בה הורשע הנאשם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ר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 xml:space="preserve">לעניין זה </w:t>
      </w:r>
      <w:hyperlink r:id="rId48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רע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5023/18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עוקבה בדיר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>מדינת 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[</w:t>
      </w:r>
      <w:r>
        <w:rPr>
          <w:rFonts w:ascii="Times New Roman" w:hAnsi="Times New Roman" w:cs="Times New Roman"/>
          <w:rtl w:val="true"/>
        </w:rPr>
        <w:t xml:space="preserve">פסקה </w:t>
      </w:r>
      <w:r>
        <w:rPr>
          <w:rFonts w:cs="Times New Roman" w:ascii="Times New Roman" w:hAnsi="Times New Roman"/>
        </w:rPr>
        <w:t>14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להחלטתו של כב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השופט אלרון</w:t>
      </w:r>
      <w:r>
        <w:rPr>
          <w:rFonts w:cs="Times New Roman" w:ascii="Times New Roman" w:hAnsi="Times New Roman"/>
          <w:rtl w:val="true"/>
        </w:rPr>
        <w:t>] (</w:t>
      </w:r>
      <w:r>
        <w:rPr>
          <w:rFonts w:ascii="Times New Roman" w:hAnsi="Times New Roman" w:cs="Times New Roman"/>
          <w:rtl w:val="true"/>
        </w:rPr>
        <w:t>פורסם באר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</w:rPr>
        <w:t>28.6.18</w:t>
      </w:r>
      <w:r>
        <w:rPr>
          <w:rFonts w:cs="Times New Roman" w:ascii="Times New Roman" w:hAnsi="Times New Roman"/>
          <w:rtl w:val="true"/>
        </w:rPr>
        <w:t>)</w:t>
      </w:r>
    </w:p>
    <w:p>
      <w:pPr>
        <w:pStyle w:val="Normal"/>
        <w:ind w:start="567" w:end="567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  <w:rtl w:val="true"/>
        </w:rPr>
        <w:t>"</w:t>
      </w:r>
      <w:r>
        <w:rPr>
          <w:rFonts w:ascii="Garamond" w:hAnsi="Garamond" w:cs="Garamond"/>
          <w:b/>
          <w:b/>
          <w:bCs/>
          <w:spacing w:val="10"/>
          <w:rtl w:val="true"/>
        </w:rPr>
        <w:t>באשר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להחלטתו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של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בית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המשפט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להטיל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על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המבקש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עונש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לריצוי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בפועל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ולא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כבקשת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המבקש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יאמר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כי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יש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אמנם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לייחס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חשיבות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רבה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לתסקיר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שירות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המבחן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אשר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מספק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תמונה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עשירה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ומקצועית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ביחס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להיבטים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שעליהם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הוא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מופקד</w:t>
      </w:r>
      <w:r>
        <w:rPr>
          <w:rFonts w:cs="Garamond" w:ascii="Garamond" w:hAnsi="Garamond"/>
          <w:b/>
          <w:bCs/>
          <w:spacing w:val="10"/>
          <w:rtl w:val="true"/>
        </w:rPr>
        <w:t xml:space="preserve">. </w:t>
      </w:r>
      <w:r>
        <w:rPr>
          <w:rFonts w:ascii="Garamond" w:hAnsi="Garamond" w:cs="Garamond"/>
          <w:b/>
          <w:b/>
          <w:bCs/>
          <w:spacing w:val="10"/>
          <w:rtl w:val="true"/>
        </w:rPr>
        <w:t>ואולם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אין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לראות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בהמלצתו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של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שירות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המבחן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הכרעה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שיפוטית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אלא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המלצה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בלבד</w:t>
      </w:r>
      <w:r>
        <w:rPr>
          <w:rFonts w:cs="Garamond" w:ascii="Garamond" w:hAnsi="Garamond"/>
          <w:b/>
          <w:bCs/>
          <w:spacing w:val="10"/>
          <w:rtl w:val="true"/>
        </w:rPr>
        <w:t xml:space="preserve">. </w:t>
      </w:r>
      <w:r>
        <w:rPr>
          <w:rFonts w:ascii="Garamond" w:hAnsi="Garamond" w:cs="Garamond"/>
          <w:b/>
          <w:b/>
          <w:bCs/>
          <w:spacing w:val="10"/>
          <w:rtl w:val="true"/>
        </w:rPr>
        <w:t>ההכרעה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בדבר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העונש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שיש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להטיל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על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נאשם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שהורשע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בדין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נתונה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לבית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המשפט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אשר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בסמכותו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לשקול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את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מכלול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השיקולים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הנוגעים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לעניין</w:t>
      </w:r>
      <w:r>
        <w:rPr>
          <w:rFonts w:cs="Garamond" w:ascii="Garamond" w:hAnsi="Garamond"/>
          <w:b/>
          <w:bCs/>
          <w:spacing w:val="10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Times New Roman" w:hAnsi="Times New Roman" w:cs="Times New Roman"/>
          <w:rtl w:val="true"/>
        </w:rPr>
        <w:t>למותר להוסיף כי נקבע לא אחת בפסיקה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מבלי להמעיט בחשיבותם של שיקולי שיקום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אלו אינם מקבלים את הבכורה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לא כל שכן בעבירות סמים וכי העיקרון המוביל על פי תיקון </w:t>
      </w:r>
      <w:r>
        <w:rPr>
          <w:rFonts w:cs="Times New Roman" w:ascii="Times New Roman" w:hAnsi="Times New Roman"/>
        </w:rPr>
        <w:t>113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הוא עיקרון הגמול וההלימה </w:t>
      </w:r>
      <w:r>
        <w:rPr>
          <w:rFonts w:cs="Times New Roman" w:ascii="Times New Roman" w:hAnsi="Times New Roman"/>
          <w:rtl w:val="true"/>
        </w:rPr>
        <w:t>(</w:t>
      </w:r>
      <w:hyperlink r:id="rId49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רע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3058/18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אביב רחמילוב</w:t>
      </w:r>
      <w:r>
        <w:rPr>
          <w:rFonts w:ascii="Times New Roman" w:hAnsi="Times New Roman" w:cs="Times New Roman"/>
          <w:rtl w:val="true"/>
        </w:rPr>
        <w:t xml:space="preserve"> נ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 xml:space="preserve">מדינת ישראל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פורסם בנבו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</w:rPr>
        <w:t>23.4.18</w:t>
      </w:r>
      <w:r>
        <w:rPr>
          <w:rFonts w:cs="Times New Roman" w:ascii="Times New Roman" w:hAnsi="Times New Roman"/>
          <w:rtl w:val="true"/>
        </w:rPr>
        <w:t xml:space="preserve">), </w:t>
      </w:r>
      <w:hyperlink r:id="rId50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רע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6041/18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יוסי כהן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>מדינת 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פורסם בנבו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</w:rPr>
        <w:t>22.10.18</w:t>
      </w:r>
      <w:r>
        <w:rPr>
          <w:rFonts w:cs="Times New Roman" w:ascii="Times New Roman" w:hAnsi="Times New Roman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Times New Roman" w:hAnsi="Times New Roman" w:cs="Times New Roman"/>
          <w:rtl w:val="true"/>
        </w:rPr>
        <w:t>לסיום נדמה שיש לקחת בחשבון גם את עונשו של אלי תורג</w:t>
      </w:r>
      <w:r>
        <w:rPr>
          <w:rFonts w:cs="Times New Roman" w:ascii="Times New Roman" w:hAnsi="Times New Roman"/>
          <w:rtl w:val="true"/>
        </w:rPr>
        <w:t>'</w:t>
      </w:r>
      <w:r>
        <w:rPr>
          <w:rFonts w:ascii="Times New Roman" w:hAnsi="Times New Roman" w:cs="Times New Roman"/>
          <w:rtl w:val="true"/>
        </w:rPr>
        <w:t>מן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תוך ביצוע ההבחנה המתבקשת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יצוין כי אמנם בעניינו של אלי יוחסה לו גם עבירה של סיוע לייבוא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יחד עם זאת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אותו סיוע לא קשור לפעולות שבוצעו מול מקור הסם בחו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אלא בא לידי ביטוי בסיוע לאחר להזמין את הסם תחת שם בדוי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וזיופו של ייפוי הכוח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כאמור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בעניינו של אלי המאשימה הגבילה את עצמה ל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42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חודשים מאסר בפועל ובסופם של דברים נגזרו עליו </w:t>
      </w:r>
      <w:r>
        <w:rPr>
          <w:rFonts w:cs="Times New Roman" w:ascii="Times New Roman" w:hAnsi="Times New Roman"/>
        </w:rPr>
        <w:t>36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חודשים מאסר בפועל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/>
          <w:bCs/>
          <w:rtl w:val="true"/>
        </w:rPr>
        <w:t>סוף דבר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מכל המקובץ לעיל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הנני לגזור על הנאשם את העונשים הבאים</w:t>
      </w:r>
      <w:r>
        <w:rPr>
          <w:rFonts w:cs="Times New Roman" w:ascii="Times New Roman" w:hAnsi="Times New Roman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א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cs="Times New Roman" w:ascii="Times New Roman" w:hAnsi="Times New Roman"/>
        </w:rPr>
        <w:t>15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חודשים מאסר בפועל בניכוי ימי מעצרו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ב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cs="Times New Roman" w:ascii="Times New Roman" w:hAnsi="Times New Roman"/>
        </w:rPr>
        <w:t>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חודשים מאסר על תנאי למשך 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שנים מיום שחרורו שלא יעבור עבירות סמים מסוג עוון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ג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cs="Times New Roman" w:ascii="Times New Roman" w:hAnsi="Times New Roman"/>
        </w:rPr>
        <w:t>10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חודשים מאסר על תנאי למשך 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שנים מיום שחרורו שלא יעבור עבירות סמים מסוג פשע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ד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cs="Times New Roman" w:ascii="Times New Roman" w:hAnsi="Times New Roman"/>
        </w:rPr>
        <w:t>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חודשים פסילה בפועל מלהחזיק רישיון נהיגה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פסילה זו תחול מיום שחרורו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ה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מורה על חילוט רכבו של הנאשם מסוג רנו פלואנס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</w:t>
      </w:r>
      <w:r>
        <w:rPr>
          <w:rFonts w:cs="Times New Roman" w:ascii="Times New Roman" w:hAnsi="Times New Roman"/>
          <w:rtl w:val="true"/>
        </w:rPr>
        <w:t>.</w:t>
      </w:r>
      <w:r>
        <w:rPr>
          <w:rFonts w:ascii="Times New Roman" w:hAnsi="Times New Roman" w:cs="Times New Roman"/>
          <w:rtl w:val="true"/>
        </w:rPr>
        <w:t>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cs="Times New Roman" w:ascii="Times New Roman" w:hAnsi="Times New Roman"/>
        </w:rPr>
        <w:t>9965026</w:t>
      </w:r>
      <w:r>
        <w:rPr>
          <w:rFonts w:cs="Times New Roman" w:ascii="Times New Roman" w:hAnsi="Times New Roman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/>
          <w:bCs/>
          <w:rtl w:val="true"/>
        </w:rPr>
        <w:t xml:space="preserve">זכות ערעור תוך </w:t>
      </w:r>
      <w:r>
        <w:rPr>
          <w:rFonts w:cs="Times New Roman" w:ascii="Times New Roman" w:hAnsi="Times New Roman"/>
          <w:b/>
          <w:bCs/>
        </w:rPr>
        <w:t>45</w:t>
      </w:r>
      <w:r>
        <w:rPr>
          <w:rFonts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ימים לבית המשפט העליון</w:t>
      </w:r>
      <w:r>
        <w:rPr>
          <w:rFonts w:cs="Times New Roman" w:ascii="Times New Roman" w:hAnsi="Times New Roman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  <w:t>&lt;</w:t>
      </w:r>
      <w:r>
        <w:rPr>
          <w:rFonts w:cs="Arial" w:ascii="Arial" w:hAnsi="Arial"/>
          <w:sz w:val="6"/>
          <w:szCs w:val="6"/>
        </w:rPr>
        <w:t>#6#</w:t>
      </w:r>
      <w:r>
        <w:rPr>
          <w:rFonts w:cs="Arial" w:ascii="Arial" w:hAnsi="Arial"/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 כסלו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26/11/2018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  <w:lang w:val="en-IL" w:eastAsia="en-IL"/>
              </w:rPr>
              <w:drawing>
                <wp:inline distT="0" distB="0" distL="0" distR="0">
                  <wp:extent cx="1028700" cy="428625"/>
                  <wp:effectExtent l="0" t="0" r="0" b="0"/>
                  <wp:docPr id="1" name="Picture 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 l="-35" t="-84" r="-35" b="-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דניאל בן טולילה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  <w:r>
        <w:br w:type="page"/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מבקש עיכוב ביצוע לצורך הגשת ערעור</w:t>
      </w:r>
      <w:r>
        <w:rPr>
          <w:rtl w:val="true"/>
        </w:rPr>
        <w:t xml:space="preserve">. </w:t>
      </w:r>
      <w:r>
        <w:rPr>
          <w:rtl w:val="true"/>
        </w:rPr>
        <w:t xml:space="preserve">בתיק מופקדים </w:t>
      </w:r>
      <w:r>
        <w:rPr/>
        <w:t>15,000</w:t>
      </w:r>
      <w:r>
        <w:rPr>
          <w:rtl w:val="true"/>
        </w:rPr>
        <w:t xml:space="preserve"> ₪, </w:t>
      </w:r>
      <w:r>
        <w:rPr>
          <w:rtl w:val="true"/>
        </w:rPr>
        <w:t>הנאשם התייצב לדיונים</w:t>
      </w:r>
      <w:r>
        <w:rPr>
          <w:rtl w:val="true"/>
        </w:rPr>
        <w:t xml:space="preserve">. </w:t>
      </w:r>
      <w:r>
        <w:rPr>
          <w:rtl w:val="true"/>
        </w:rPr>
        <w:t>קיים צו עיכוב י ציאה מהארץ</w:t>
      </w:r>
      <w:r>
        <w:rPr>
          <w:rtl w:val="true"/>
        </w:rPr>
        <w:t xml:space="preserve">, </w:t>
      </w:r>
      <w:r>
        <w:rPr>
          <w:rtl w:val="true"/>
        </w:rPr>
        <w:t>הנאשם הפקיד את דרכונו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המאשימה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הנאשם אמנם התייצב לדיונים</w:t>
      </w:r>
      <w:r>
        <w:rPr>
          <w:rtl w:val="true"/>
        </w:rPr>
        <w:t xml:space="preserve">, </w:t>
      </w:r>
      <w:r>
        <w:rPr>
          <w:rtl w:val="true"/>
        </w:rPr>
        <w:t>אך הוא היה עם איזוק אלקטרוני וכן במעצר בית מלא</w:t>
      </w:r>
      <w:r>
        <w:rPr>
          <w:rtl w:val="true"/>
        </w:rPr>
        <w:t xml:space="preserve">. </w:t>
      </w:r>
      <w:r>
        <w:rPr>
          <w:rtl w:val="true"/>
        </w:rPr>
        <w:t>כעת חברי מבקש להסיקר את האיזוק</w:t>
      </w:r>
      <w:r>
        <w:rPr>
          <w:rtl w:val="true"/>
        </w:rPr>
        <w:t xml:space="preserve">. </w:t>
      </w:r>
      <w:r>
        <w:rPr>
          <w:rtl w:val="true"/>
        </w:rPr>
        <w:t>אנו לא סבורים שדי בכך כדי להבטיח את התייצבותו</w:t>
      </w:r>
      <w:r>
        <w:rPr>
          <w:rtl w:val="true"/>
        </w:rPr>
        <w:t xml:space="preserve">. </w:t>
      </w:r>
      <w:r>
        <w:rPr>
          <w:rtl w:val="true"/>
        </w:rPr>
        <w:t xml:space="preserve">הלכת שוורץ מדברת על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אנו נוהגים להסכים על עד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כאשר יש תנאים להבטחת התייצבות</w:t>
      </w:r>
      <w:r>
        <w:rPr>
          <w:rtl w:val="true"/>
        </w:rPr>
        <w:t xml:space="preserve">. </w:t>
      </w:r>
      <w:r>
        <w:rPr>
          <w:rtl w:val="true"/>
        </w:rPr>
        <w:t>חברי לא מציע תנאים להבטחת התייצבות</w:t>
      </w:r>
      <w:r>
        <w:rPr>
          <w:rtl w:val="true"/>
        </w:rPr>
        <w:t xml:space="preserve">. </w:t>
      </w:r>
      <w:r>
        <w:rPr>
          <w:rtl w:val="true"/>
        </w:rPr>
        <w:t>אנו מבקשים שבית המשפט יורה על תנאים של הבטחת התייצבות</w:t>
      </w:r>
      <w:r>
        <w:rPr>
          <w:rtl w:val="true"/>
        </w:rPr>
        <w:t xml:space="preserve">, </w:t>
      </w:r>
      <w:r>
        <w:rPr>
          <w:rtl w:val="true"/>
        </w:rPr>
        <w:t>אם מעצר בית</w:t>
      </w:r>
      <w:r>
        <w:rPr>
          <w:rtl w:val="true"/>
        </w:rPr>
        <w:t xml:space="preserve">, </w:t>
      </w:r>
      <w:r>
        <w:rPr>
          <w:rtl w:val="true"/>
        </w:rPr>
        <w:t>הפקדה נוספת</w:t>
      </w:r>
      <w:r>
        <w:rPr>
          <w:rtl w:val="true"/>
        </w:rPr>
        <w:t xml:space="preserve">. </w:t>
      </w:r>
      <w:r>
        <w:rPr>
          <w:rtl w:val="true"/>
        </w:rPr>
        <w:t>כמובן שיוארך צו עיכוב יציאה מהארץ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נכון שהתביעה מסכימה עד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זה לא משנה אם הוא בא ממעצר או מבחוץ</w:t>
      </w:r>
      <w:r>
        <w:rPr>
          <w:rtl w:val="true"/>
        </w:rPr>
        <w:t xml:space="preserve">. </w:t>
      </w:r>
      <w:r>
        <w:rPr>
          <w:rtl w:val="true"/>
        </w:rPr>
        <w:t>אנו מבקשים מקדמה נוספת של ביצוע העונש</w:t>
      </w:r>
      <w:r>
        <w:rPr>
          <w:rtl w:val="true"/>
        </w:rPr>
        <w:t xml:space="preserve">. </w:t>
      </w:r>
      <w:r>
        <w:rPr>
          <w:rtl w:val="true"/>
        </w:rPr>
        <w:t>יש התחייבויות שהערבים חתומים עליו שהנאשם יתייצב</w:t>
      </w:r>
      <w:r>
        <w:rPr>
          <w:rtl w:val="true"/>
        </w:rPr>
        <w:t xml:space="preserve">. </w:t>
      </w:r>
      <w:r>
        <w:rPr>
          <w:rtl w:val="true"/>
        </w:rPr>
        <w:t>אני לא רואה שום סיבה ל השאירו במעצר בית כאשר יש ערבויות משמעותיות</w:t>
      </w:r>
      <w:r>
        <w:rPr>
          <w:rtl w:val="true"/>
        </w:rPr>
        <w:t xml:space="preserve">, </w:t>
      </w:r>
      <w:r>
        <w:rPr>
          <w:rtl w:val="true"/>
        </w:rPr>
        <w:t>עיכוב יציאה מהארץ וערבים חתומים</w:t>
      </w:r>
      <w:r>
        <w:rPr>
          <w:rtl w:val="true"/>
        </w:rPr>
        <w:t xml:space="preserve">. </w:t>
      </w:r>
      <w:r>
        <w:rPr>
          <w:rtl w:val="true"/>
        </w:rPr>
        <w:t>נבקש לעכב לצורך הגשת ערעור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#10#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מעכב את ביצוע עונש המאסר עד ליום </w:t>
      </w:r>
      <w:r>
        <w:rPr/>
        <w:t>26.12.18</w:t>
      </w:r>
      <w:r>
        <w:rPr>
          <w:rtl w:val="true"/>
        </w:rPr>
        <w:t xml:space="preserve">. </w:t>
      </w:r>
      <w:r>
        <w:rPr>
          <w:rtl w:val="true"/>
        </w:rPr>
        <w:t>במועד זה</w:t>
      </w:r>
      <w:r>
        <w:rPr>
          <w:rtl w:val="true"/>
        </w:rPr>
        <w:t xml:space="preserve">, </w:t>
      </w:r>
      <w:r>
        <w:rPr>
          <w:rtl w:val="true"/>
        </w:rPr>
        <w:t>כל עוד לא תתקבל החלטה אחרת</w:t>
      </w:r>
      <w:r>
        <w:rPr>
          <w:rtl w:val="true"/>
        </w:rPr>
        <w:t xml:space="preserve">, </w:t>
      </w:r>
      <w:r>
        <w:rPr>
          <w:rtl w:val="true"/>
        </w:rPr>
        <w:t xml:space="preserve">יהיה על הנאשם להתייצב במדור קליטה בכלא </w:t>
      </w:r>
      <w:r>
        <w:rPr>
          <w:rtl w:val="true"/>
        </w:rPr>
        <w:t>"</w:t>
      </w:r>
      <w:r>
        <w:rPr>
          <w:rtl w:val="true"/>
        </w:rPr>
        <w:t>אוהלי קידר</w:t>
      </w:r>
      <w:r>
        <w:rPr>
          <w:rtl w:val="true"/>
        </w:rPr>
        <w:t xml:space="preserve">" </w:t>
      </w:r>
      <w:r>
        <w:rPr>
          <w:rtl w:val="true"/>
        </w:rPr>
        <w:t xml:space="preserve">עד לשעה </w:t>
      </w:r>
      <w:r>
        <w:rPr/>
        <w:t>10:00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עד למועד זה</w:t>
      </w:r>
      <w:r>
        <w:rPr>
          <w:rtl w:val="true"/>
        </w:rPr>
        <w:t xml:space="preserve">, </w:t>
      </w:r>
      <w:r>
        <w:rPr>
          <w:rtl w:val="true"/>
        </w:rPr>
        <w:t>ישהה הנאשם באותם תנאים בהם מצוי כיום</w:t>
      </w:r>
      <w:r>
        <w:rPr>
          <w:rtl w:val="true"/>
        </w:rPr>
        <w:t xml:space="preserve">. </w:t>
      </w:r>
      <w:r>
        <w:rPr>
          <w:rtl w:val="true"/>
        </w:rPr>
        <w:t>בשינוי חד</w:t>
      </w:r>
      <w:r>
        <w:rPr>
          <w:rtl w:val="true"/>
        </w:rPr>
        <w:t xml:space="preserve">, </w:t>
      </w:r>
      <w:r>
        <w:rPr>
          <w:rtl w:val="true"/>
        </w:rPr>
        <w:t>במסגרתו יותר לנאשם לצאת את הכתובת בה הוא מצוי במעצר תחת איזוק</w:t>
      </w:r>
      <w:r>
        <w:rPr>
          <w:rtl w:val="true"/>
        </w:rPr>
        <w:t xml:space="preserve">, </w:t>
      </w:r>
      <w:r>
        <w:rPr>
          <w:rtl w:val="true"/>
        </w:rPr>
        <w:t>מידי יום בליווי מי מבין המפקחים</w:t>
      </w:r>
      <w:r>
        <w:rPr>
          <w:rtl w:val="true"/>
        </w:rPr>
        <w:t xml:space="preserve">, </w:t>
      </w:r>
      <w:r>
        <w:rPr>
          <w:rtl w:val="true"/>
        </w:rPr>
        <w:t xml:space="preserve">בין השעות </w:t>
      </w:r>
      <w:r>
        <w:rPr/>
        <w:t>10:00-12:00</w:t>
      </w:r>
      <w:r>
        <w:rPr>
          <w:rtl w:val="true"/>
        </w:rPr>
        <w:t xml:space="preserve">. </w:t>
      </w:r>
      <w:r>
        <w:rPr>
          <w:rtl w:val="true"/>
        </w:rPr>
        <w:t>מזכירות תעביר העתק החלטה זו למנהלת לאיזוק אלקטרוני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הערבויות הכספיות המצויות בתיק תשמשנה גם לצורך הבטחת התייצבותו לריצוי עונש המאסר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#11#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/>
      </w:pPr>
      <w:bookmarkStart w:id="14" w:name="Nitan"/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 כסלו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26/11/2018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  <w:bookmarkEnd w:id="14"/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color w:val="FFFFFF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דניאל בן טולילה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אלינור</w:t>
      </w:r>
      <w:r>
        <w:rPr>
          <w:rtl w:val="true"/>
        </w:rPr>
        <w:t xml:space="preserve"> </w:t>
      </w:r>
      <w:r>
        <w:rPr>
          <w:rtl w:val="true"/>
        </w:rPr>
        <w:t>בוטבול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דניאל בן טולילה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2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3"/>
      <w:footerReference w:type="default" r:id="rId5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2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5680-02-18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</w:t>
    </w:r>
    <w:r>
      <w:rPr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פמ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ד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לירן מועזיז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5680-02-18"/>
    <w:docVar w:name="caseId" w:val="75208134"/>
    <w:docVar w:name="deriveClass" w:val="NGCS.Protocol.BL.Client.ProtocolBLClientCriminal"/>
    <w:docVar w:name="firstPageNumber" w:val="14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2"/>
    <w:docVar w:name="NGCS.userUPN" w:val="ëåìí"/>
    <w:docVar w:name="privellegeId" w:val="1"/>
    <w:docVar w:name="protocolId" w:val="9115723"/>
    <w:docVar w:name="releaseSign" w:val="0"/>
    <w:docVar w:name="sittingDateTime" w:val="26/11/2018 15:30     "/>
    <w:docVar w:name="sittingId" w:val="85655047"/>
    <w:docVar w:name="sittingTypeId" w:val="2"/>
    <w:docVar w:name="WordClientAssemblyName" w:val="NGCS.Protocol.BL.Client"/>
    <w:docVar w:name="WordClientClassName" w:val="NGCS.Templates.UIP.TemplateWord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hanging="0" w:start="0" w:end="0"/>
      <w:jc w:val="start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hanging="0" w:start="0" w:end="0"/>
      <w:jc w:val="start"/>
      <w:outlineLvl w:val="2"/>
    </w:pPr>
    <w:rPr>
      <w:b/>
      <w:bCs/>
      <w:sz w:val="26"/>
      <w:szCs w:val="26"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9z0">
    <w:name w:val="WW8Num9z0"/>
    <w:qFormat/>
    <w:rPr>
      <w:rFonts w:cs="Times New Roman"/>
    </w:rPr>
  </w:style>
  <w:style w:type="character" w:styleId="WW8Num10z0">
    <w:name w:val="WW8Num10z0"/>
    <w:qFormat/>
    <w:rPr>
      <w:rFonts w:cs="Times New Roman"/>
    </w:rPr>
  </w:style>
  <w:style w:type="character" w:styleId="WW8Num11z0">
    <w:name w:val="WW8Num11z0"/>
    <w:qFormat/>
    <w:rPr>
      <w:rFonts w:cs="Times New Roman"/>
    </w:rPr>
  </w:style>
  <w:style w:type="character" w:styleId="WW8Num11z1">
    <w:name w:val="WW8Num11z1"/>
    <w:qFormat/>
    <w:rPr>
      <w:rFonts w:cs="Times New Roman"/>
    </w:rPr>
  </w:style>
  <w:style w:type="character" w:styleId="WW8Num12z0">
    <w:name w:val="WW8Num12z0"/>
    <w:qFormat/>
    <w:rPr>
      <w:rFonts w:cs="Times New Roman"/>
    </w:rPr>
  </w:style>
  <w:style w:type="character" w:styleId="WW8Num12z1">
    <w:name w:val="WW8Num12z1"/>
    <w:qFormat/>
    <w:rPr>
      <w:rFonts w:cs="Times New Roman"/>
    </w:rPr>
  </w:style>
  <w:style w:type="character" w:styleId="WW8Num13z0">
    <w:name w:val="WW8Num13z0"/>
    <w:qFormat/>
    <w:rPr>
      <w:rFonts w:cs="Times New Roman"/>
    </w:rPr>
  </w:style>
  <w:style w:type="character" w:styleId="WW8Num14z0">
    <w:name w:val="WW8Num14z0"/>
    <w:qFormat/>
    <w:rPr>
      <w:rFonts w:cs="Times New Roman"/>
    </w:rPr>
  </w:style>
  <w:style w:type="character" w:styleId="WW8Num15z0">
    <w:name w:val="WW8Num15z0"/>
    <w:qFormat/>
    <w:rPr>
      <w:rFonts w:cs="Times New Roman"/>
    </w:rPr>
  </w:style>
  <w:style w:type="character" w:styleId="WW8Num16z0">
    <w:name w:val="WW8Num16z0"/>
    <w:qFormat/>
    <w:rPr>
      <w:rFonts w:cs="Times New Roman"/>
    </w:rPr>
  </w:style>
  <w:style w:type="character" w:styleId="WW8Num17z0">
    <w:name w:val="WW8Num17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rPr>
      <w:rFonts w:cs="Times New Roman"/>
    </w:rPr>
  </w:style>
  <w:style w:type="character" w:styleId="LineNumber">
    <w:name w:val="line number"/>
    <w:rPr>
      <w:rFonts w:cs="Arial"/>
      <w:sz w:val="20"/>
      <w:szCs w:val="20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PlaceholderText">
    <w:name w:val="Placeholder Text"/>
    <w:qFormat/>
    <w:rPr>
      <w:rFonts w:cs="Times New Roman"/>
      <w:color w:val="80808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sz w:val="20"/>
      <w:szCs w:val="20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ind w:hanging="0" w:start="0" w:end="0"/>
      <w:jc w:val="both"/>
    </w:pPr>
    <w:rPr>
      <w:rFonts w:ascii="Arial" w:hAnsi="Arial" w:eastAsia="David" w:cs="Arial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spacing w:lineRule="auto" w:line="360"/>
      <w:ind w:hanging="0" w:start="0" w:end="0"/>
      <w:jc w:val="both"/>
    </w:pPr>
    <w:rPr>
      <w:rFonts w:ascii="Arial" w:hAnsi="Arial" w:eastAsia="David" w:cs="Arial"/>
      <w:b/>
      <w:bCs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spacing w:lineRule="auto" w:line="360"/>
      <w:ind w:hanging="0" w:start="0" w:end="0"/>
      <w:jc w:val="both"/>
    </w:pPr>
    <w:rPr>
      <w:rFonts w:ascii="Times New Roman" w:hAnsi="Times New Roman" w:eastAsia="David" w:cs="Times New Roman"/>
      <w:b/>
      <w:bCs/>
      <w:sz w:val="26"/>
      <w:szCs w:val="26"/>
    </w:rPr>
  </w:style>
  <w:style w:type="paragraph" w:styleId="12">
    <w:name w:val="רגיל + ‏12 נק'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ind w:hanging="0" w:start="0" w:end="0"/>
      <w:jc w:val="both"/>
    </w:pPr>
    <w:rPr>
      <w:rFonts w:ascii="Times New Roman" w:hAnsi="Times New Roman" w:eastAsia="David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4005" TargetMode="External"/><Relationship Id="rId3" Type="http://schemas.openxmlformats.org/officeDocument/2006/relationships/hyperlink" Target="http://www.nevo.co.il/safrut/bookgroup/4005" TargetMode="External"/><Relationship Id="rId4" Type="http://schemas.openxmlformats.org/officeDocument/2006/relationships/hyperlink" Target="http://www.nevo.co.il/law/4216" TargetMode="External"/><Relationship Id="rId5" Type="http://schemas.openxmlformats.org/officeDocument/2006/relationships/hyperlink" Target="http://www.nevo.co.il/law/4216/7.a." TargetMode="External"/><Relationship Id="rId6" Type="http://schemas.openxmlformats.org/officeDocument/2006/relationships/hyperlink" Target="http://www.nevo.co.il/law/4216/7.c" TargetMode="External"/><Relationship Id="rId7" Type="http://schemas.openxmlformats.org/officeDocument/2006/relationships/hyperlink" Target="http://www.nevo.co.il/law/74903" TargetMode="External"/><Relationship Id="rId8" Type="http://schemas.openxmlformats.org/officeDocument/2006/relationships/hyperlink" Target="http://www.nevo.co.il/law/74903/192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0c.a" TargetMode="External"/><Relationship Id="rId11" Type="http://schemas.openxmlformats.org/officeDocument/2006/relationships/hyperlink" Target="http://www.nevo.co.il/law/4216/7.a.;7.c" TargetMode="External"/><Relationship Id="rId12" Type="http://schemas.openxmlformats.org/officeDocument/2006/relationships/hyperlink" Target="http://www.nevo.co.il/law/4216" TargetMode="External"/><Relationship Id="rId13" Type="http://schemas.openxmlformats.org/officeDocument/2006/relationships/hyperlink" Target="http://www.nevo.co.il/case/23604293" TargetMode="External"/><Relationship Id="rId14" Type="http://schemas.openxmlformats.org/officeDocument/2006/relationships/hyperlink" Target="http://www.nevo.co.il/law/74903/192a" TargetMode="External"/><Relationship Id="rId15" Type="http://schemas.openxmlformats.org/officeDocument/2006/relationships/hyperlink" Target="http://www.nevo.co.il/law/74903" TargetMode="External"/><Relationship Id="rId16" Type="http://schemas.openxmlformats.org/officeDocument/2006/relationships/hyperlink" Target="http://www.nevo.co.il/case/6240015" TargetMode="External"/><Relationship Id="rId17" Type="http://schemas.openxmlformats.org/officeDocument/2006/relationships/hyperlink" Target="http://www.nevo.co.il/case/5849797" TargetMode="External"/><Relationship Id="rId18" Type="http://schemas.openxmlformats.org/officeDocument/2006/relationships/hyperlink" Target="http://www.nevo.co.il/case/5810781" TargetMode="External"/><Relationship Id="rId19" Type="http://schemas.openxmlformats.org/officeDocument/2006/relationships/hyperlink" Target="http://www.nevo.co.il/case/20500251" TargetMode="External"/><Relationship Id="rId20" Type="http://schemas.openxmlformats.org/officeDocument/2006/relationships/hyperlink" Target="http://www.nevo.co.il/case/24345651" TargetMode="External"/><Relationship Id="rId21" Type="http://schemas.openxmlformats.org/officeDocument/2006/relationships/hyperlink" Target="http://www.nevo.co.il/case/20683368" TargetMode="External"/><Relationship Id="rId22" Type="http://schemas.openxmlformats.org/officeDocument/2006/relationships/hyperlink" Target="http://www.nevo.co.il/case/20181627" TargetMode="External"/><Relationship Id="rId23" Type="http://schemas.openxmlformats.org/officeDocument/2006/relationships/hyperlink" Target="http://www.nevo.co.il/case/18090623" TargetMode="External"/><Relationship Id="rId24" Type="http://schemas.openxmlformats.org/officeDocument/2006/relationships/hyperlink" Target="http://www.nevo.co.il/case/7029339" TargetMode="External"/><Relationship Id="rId25" Type="http://schemas.openxmlformats.org/officeDocument/2006/relationships/hyperlink" Target="http://www.nevo.co.il/law/70301/40c.a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5698919" TargetMode="External"/><Relationship Id="rId28" Type="http://schemas.openxmlformats.org/officeDocument/2006/relationships/hyperlink" Target="http://www.nevo.co.il/case/6172713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safrut/bookgroup/4005" TargetMode="External"/><Relationship Id="rId31" Type="http://schemas.openxmlformats.org/officeDocument/2006/relationships/hyperlink" Target="http://www.nevo.co.il/case/21475572" TargetMode="External"/><Relationship Id="rId32" Type="http://schemas.openxmlformats.org/officeDocument/2006/relationships/hyperlink" Target="http://www.nevo.co.il/case/6162970" TargetMode="External"/><Relationship Id="rId33" Type="http://schemas.openxmlformats.org/officeDocument/2006/relationships/hyperlink" Target="http://www.nevo.co.il/case/6123727" TargetMode="External"/><Relationship Id="rId34" Type="http://schemas.openxmlformats.org/officeDocument/2006/relationships/hyperlink" Target="http://www.nevo.co.il/case/6170968" TargetMode="External"/><Relationship Id="rId35" Type="http://schemas.openxmlformats.org/officeDocument/2006/relationships/hyperlink" Target="http://www.nevo.co.il/case/6112741" TargetMode="External"/><Relationship Id="rId36" Type="http://schemas.openxmlformats.org/officeDocument/2006/relationships/hyperlink" Target="http://www.nevo.co.il/case/6144356" TargetMode="External"/><Relationship Id="rId37" Type="http://schemas.openxmlformats.org/officeDocument/2006/relationships/hyperlink" Target="http://www.nevo.co.il/case/21702945" TargetMode="External"/><Relationship Id="rId38" Type="http://schemas.openxmlformats.org/officeDocument/2006/relationships/hyperlink" Target="http://www.nevo.co.il/case/20727086" TargetMode="External"/><Relationship Id="rId39" Type="http://schemas.openxmlformats.org/officeDocument/2006/relationships/hyperlink" Target="http://www.nevo.co.il/case/4723244" TargetMode="External"/><Relationship Id="rId40" Type="http://schemas.openxmlformats.org/officeDocument/2006/relationships/hyperlink" Target="http://www.nevo.co.il/case/22212088" TargetMode="External"/><Relationship Id="rId41" Type="http://schemas.openxmlformats.org/officeDocument/2006/relationships/hyperlink" Target="http://www.nevo.co.il/case/10446022" TargetMode="External"/><Relationship Id="rId42" Type="http://schemas.openxmlformats.org/officeDocument/2006/relationships/hyperlink" Target="http://www.nevo.co.il/case/22558940" TargetMode="External"/><Relationship Id="rId43" Type="http://schemas.openxmlformats.org/officeDocument/2006/relationships/hyperlink" Target="http://www.nevo.co.il/case/21919674" TargetMode="External"/><Relationship Id="rId44" Type="http://schemas.openxmlformats.org/officeDocument/2006/relationships/hyperlink" Target="http://www.nevo.co.il/law/4216" TargetMode="External"/><Relationship Id="rId45" Type="http://schemas.openxmlformats.org/officeDocument/2006/relationships/hyperlink" Target="http://www.nevo.co.il/case/20412551" TargetMode="External"/><Relationship Id="rId46" Type="http://schemas.openxmlformats.org/officeDocument/2006/relationships/hyperlink" Target="http://www.nevo.co.il/case/5917767" TargetMode="External"/><Relationship Id="rId47" Type="http://schemas.openxmlformats.org/officeDocument/2006/relationships/hyperlink" Target="http://www.nevo.co.il/case/20630073" TargetMode="External"/><Relationship Id="rId48" Type="http://schemas.openxmlformats.org/officeDocument/2006/relationships/hyperlink" Target="http://www.nevo.co.il/case/24345650" TargetMode="External"/><Relationship Id="rId49" Type="http://schemas.openxmlformats.org/officeDocument/2006/relationships/hyperlink" Target="http://www.nevo.co.il/case/24140423" TargetMode="External"/><Relationship Id="rId50" Type="http://schemas.openxmlformats.org/officeDocument/2006/relationships/hyperlink" Target="http://www.nevo.co.il/case/24929127" TargetMode="External"/><Relationship Id="rId51" Type="http://schemas.openxmlformats.org/officeDocument/2006/relationships/image" Target="media/image1.png"/><Relationship Id="rId52" Type="http://schemas.openxmlformats.org/officeDocument/2006/relationships/hyperlink" Target="http://www.nevo.co.il/advertisements/nevo-100.doc" TargetMode="External"/><Relationship Id="rId53" Type="http://schemas.openxmlformats.org/officeDocument/2006/relationships/header" Target="header1.xml"/><Relationship Id="rId54" Type="http://schemas.openxmlformats.org/officeDocument/2006/relationships/footer" Target="footer1.xml"/><Relationship Id="rId55" Type="http://schemas.openxmlformats.org/officeDocument/2006/relationships/numbering" Target="numbering.xml"/><Relationship Id="rId56" Type="http://schemas.openxmlformats.org/officeDocument/2006/relationships/fontTable" Target="fontTable.xml"/><Relationship Id="rId57" Type="http://schemas.openxmlformats.org/officeDocument/2006/relationships/settings" Target="settings.xml"/><Relationship Id="rId5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  <Pages>22</Pages>
  <Words>6411</Words>
  <Characters>30008</Characters>
  <CharactersWithSpaces>36375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2022-09-04T13:33:00Z</dcterms:created>
  <dc:creator> </dc:creator>
  <dc:description/>
  <cp:keywords/>
  <dc:language>en-IL</dc:language>
  <cp:lastModifiedBy>h1</cp:lastModifiedBy>
  <cp:lastPrinted>2018-11-26T17:33:00Z</cp:lastPrinted>
  <dcterms:modified xsi:type="dcterms:W3CDTF">2022-09-04T13:33:00Z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ישראל- פמ#ד</vt:lpwstr>
  </property>
  <property fmtid="{D5CDD505-2E9C-101B-9397-08002B2CF9AE}" pid="3" name="APPELLEE">
    <vt:lpwstr>לירן מועזיז</vt:lpwstr>
  </property>
  <property fmtid="{D5CDD505-2E9C-101B-9397-08002B2CF9AE}" pid="4" name="BOOKGROUPTMP1">
    <vt:lpwstr>4005</vt:lpwstr>
  </property>
  <property fmtid="{D5CDD505-2E9C-101B-9397-08002B2CF9AE}" pid="5" name="CASESLISTTMP1">
    <vt:lpwstr>23604293;6240015;5849797;5810781;20500251;24345651;20683368;20181627;18090623;7029339;5698919;6172713;21475572;6162970;6123727;6170968;6112741;6144356;21702945;20727086;4723244;22212088;10446022;22558940;21919674;20412551;5917767;20630073;24345650</vt:lpwstr>
  </property>
  <property fmtid="{D5CDD505-2E9C-101B-9397-08002B2CF9AE}" pid="6" name="CASESLISTTMP2">
    <vt:lpwstr>24140423;24929127</vt:lpwstr>
  </property>
  <property fmtid="{D5CDD505-2E9C-101B-9397-08002B2CF9AE}" pid="7" name="CITY">
    <vt:lpwstr>ב"ש</vt:lpwstr>
  </property>
  <property fmtid="{D5CDD505-2E9C-101B-9397-08002B2CF9AE}" pid="8" name="DATE">
    <vt:lpwstr>20181126</vt:lpwstr>
  </property>
  <property fmtid="{D5CDD505-2E9C-101B-9397-08002B2CF9AE}" pid="9" name="ISABSTRACT">
    <vt:lpwstr>Y</vt:lpwstr>
  </property>
  <property fmtid="{D5CDD505-2E9C-101B-9397-08002B2CF9AE}" pid="10" name="JUDGE">
    <vt:lpwstr>דניאל בן טולילה</vt:lpwstr>
  </property>
  <property fmtid="{D5CDD505-2E9C-101B-9397-08002B2CF9AE}" pid="11" name="LAWLISTTMP1">
    <vt:lpwstr>4216/007.a;007.c</vt:lpwstr>
  </property>
  <property fmtid="{D5CDD505-2E9C-101B-9397-08002B2CF9AE}" pid="12" name="LAWLISTTMP2">
    <vt:lpwstr>74903/192a</vt:lpwstr>
  </property>
  <property fmtid="{D5CDD505-2E9C-101B-9397-08002B2CF9AE}" pid="13" name="LAWLISTTMP3">
    <vt:lpwstr>70301/040c.a</vt:lpwstr>
  </property>
  <property fmtid="{D5CDD505-2E9C-101B-9397-08002B2CF9AE}" pid="14" name="LAWYER">
    <vt:lpwstr>נוימן;שניידר</vt:lpwstr>
  </property>
  <property fmtid="{D5CDD505-2E9C-101B-9397-08002B2CF9AE}" pid="15" name="NEWPARTA">
    <vt:lpwstr>5680</vt:lpwstr>
  </property>
  <property fmtid="{D5CDD505-2E9C-101B-9397-08002B2CF9AE}" pid="16" name="NEWPARTB">
    <vt:lpwstr>02</vt:lpwstr>
  </property>
  <property fmtid="{D5CDD505-2E9C-101B-9397-08002B2CF9AE}" pid="17" name="NEWPARTC">
    <vt:lpwstr>18</vt:lpwstr>
  </property>
  <property fmtid="{D5CDD505-2E9C-101B-9397-08002B2CF9AE}" pid="18" name="NEWPROC">
    <vt:lpwstr>תפ</vt:lpwstr>
  </property>
  <property fmtid="{D5CDD505-2E9C-101B-9397-08002B2CF9AE}" pid="19" name="PSAKDIN">
    <vt:lpwstr>גזר-דין</vt:lpwstr>
  </property>
  <property fmtid="{D5CDD505-2E9C-101B-9397-08002B2CF9AE}" pid="20" name="TYPE">
    <vt:lpwstr>2</vt:lpwstr>
  </property>
  <property fmtid="{D5CDD505-2E9C-101B-9397-08002B2CF9AE}" pid="21" name="TYPE_ABS_DATE">
    <vt:lpwstr>390020181126</vt:lpwstr>
  </property>
  <property fmtid="{D5CDD505-2E9C-101B-9397-08002B2CF9AE}" pid="22" name="TYPE_N_DATE">
    <vt:lpwstr>39020181126</vt:lpwstr>
  </property>
  <property fmtid="{D5CDD505-2E9C-101B-9397-08002B2CF9AE}" pid="23" name="WORDNUMPAGES">
    <vt:lpwstr>17</vt:lpwstr>
  </property>
</Properties>
</file>