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59971-01-17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פרץ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</w:rPr>
              <w:t>12.9.17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6054"/>
        <w:gridCol w:w="1843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כמאל סעב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6054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03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6054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6054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גד פרץ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יליד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10.1.1967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6054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עופר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כרמל</w:t>
      </w:r>
      <w:bookmarkStart w:id="2" w:name="LawTable"/>
      <w:bookmarkEnd w:id="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פתח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ab/>
      </w:r>
      <w:bookmarkStart w:id="6" w:name="ABSTRACT_START"/>
      <w:bookmarkEnd w:id="6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ייצור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והפקה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1973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פקודת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cs="Calibri" w:ascii="Calibri" w:hAnsi="Calibri"/>
          <w:rtl w:val="true"/>
        </w:rPr>
        <w:t xml:space="preserve">");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לצריכה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+ (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</w:hyperlink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לצריכה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+ (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</w:hyperlink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חופשי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עובדות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המתוקן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01.10.16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ביכורי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העמק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מחסן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ממוקמים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נחלת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חסידים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כחלקה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</w:rPr>
        <w:t>1113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המחסן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cs="Calibri" w:ascii="Calibri" w:hAnsi="Calibri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במדויק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ניהם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מנורות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מזגנים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שרוולי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אוורור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האוויר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מאווררים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מפלסטיק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ארגזים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ששימשו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כמנבטות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דיגיטלי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המעבדה</w:t>
      </w:r>
      <w:r>
        <w:rPr>
          <w:rFonts w:cs="Calibri" w:ascii="Calibri" w:hAnsi="Calibri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</w:t>
      </w:r>
      <w:r>
        <w:rPr>
          <w:rFonts w:ascii="Calibri" w:hAnsi="Calibri" w:cs="Calibri"/>
          <w:rtl w:val="true"/>
        </w:rPr>
        <w:t xml:space="preserve">ר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12.01.17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המנהל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12.01.17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170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המנהל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עציצים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ארגזים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ששימשו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כמנבטות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18.01.17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נחלת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השולחן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במטבח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 xml:space="preserve">. 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</w:t>
      </w:r>
      <w:r>
        <w:rPr>
          <w:rFonts w:ascii="Calibri" w:hAnsi="Calibri" w:cs="Calibri"/>
          <w:b/>
          <w:b/>
          <w:bCs/>
          <w:u w:val="single"/>
          <w:rtl w:val="true"/>
        </w:rPr>
        <w:t>מה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שסומנו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ולחומרתה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להפצתו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המשתמשים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הנגישות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חייהם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להילחם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יגבר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התועלת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ובפעילות הרשויות למנוע </w:t>
      </w:r>
      <w:r>
        <w:rPr>
          <w:rFonts w:ascii="Calibri" w:hAnsi="Calibri" w:cs="Calibri"/>
          <w:rtl w:val="true"/>
        </w:rPr>
        <w:t>השפעתם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וההתמכרות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שבסם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אורכם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והבלעדי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הנלוות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כגון ההתפרצויות וכו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שמבוצעות למימון רכישת הסמים על ידי המכורים לסם</w:t>
      </w:r>
      <w:r>
        <w:rPr>
          <w:rFonts w:cs="Calibri" w:ascii="Calibri" w:hAnsi="Calibri"/>
          <w:rtl w:val="true"/>
        </w:rPr>
        <w:t>),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בשילוב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המובהק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ליצור סם בכמויות גדולות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כב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ארוך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תהיה 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שהתייחסה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 לטענתה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24-48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לוד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46662-04-15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סגל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03.02.16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78.8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24-48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33001-11-14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אוחנה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19.03.15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99.3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בעניינו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3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נקבע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ענישה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30-48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21059-03-16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איליספוב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11.05.17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ביקשה המאשימה להטיל על הנאשם עונש מאסר בפועל בתוך המתחם שהציעה ובחלקו הקרוב לרף העליון 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כ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שסומנו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שנחשבת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גיש</w:t>
      </w:r>
      <w:r>
        <w:rPr>
          <w:rFonts w:ascii="Calibri" w:hAnsi="Calibri" w:cs="Calibri"/>
          <w:rtl w:val="true"/>
        </w:rPr>
        <w:t>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192.14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צומצמה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בשקלול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המבוגר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מחלת הקרוהן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קיונו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המצויה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ענישה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הגיש תיעוד רפואי 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>יא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ממחלת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שטיפל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כן ביקש להתחשב </w:t>
      </w:r>
      <w:r>
        <w:rPr>
          <w:rFonts w:ascii="Calibri" w:hAnsi="Calibri" w:cs="Calibri"/>
          <w:rtl w:val="true"/>
        </w:rPr>
        <w:t>במצבה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 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במלואו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לציבור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ייתר 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בנוסף ציין הסנגור כי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15.1.17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לאסופת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לוד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8843-02-15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בוז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רנו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06.04.17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שמשקלם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 המשפט 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הייחודי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16958-01-14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חייק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30.04.14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בית 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המחוזי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עד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43463-07-16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טלקר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04.12.16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 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בית המשפט 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דברי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כי הוא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מעשיו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וגזירת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הדין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tl w:val="true"/>
        </w:rPr>
        <w:t xml:space="preserve">,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מסוג קנבוס ללא רישיון מאת המנהל</w:t>
      </w:r>
      <w:r>
        <w:rPr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 קנבוס במשקל של 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170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ג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וללא רישיון מאת 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ascii="Calibri" w:hAnsi="Calibri" w:cs="Calibri"/>
          <w:rtl w:val="true"/>
        </w:rPr>
        <w:t>כן 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מסוג קנבוס במשקל </w:t>
      </w:r>
      <w:r>
        <w:rPr>
          <w:rFonts w:cs="Calibri" w:ascii="Calibri" w:hAnsi="Calibri"/>
        </w:rPr>
        <w:t>10.12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גרם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למיניהן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נשפך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שיעודן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וייראו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בפסיקת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 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</w:t>
      </w:r>
      <w:r>
        <w:rPr>
          <w:rFonts w:ascii="Calibri" w:hAnsi="Calibri" w:cs="Calibri"/>
          <w:rtl w:val="true"/>
        </w:rPr>
        <w:t>פרט ל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פועלים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לזמינים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צרכני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משחיתות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הישוב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344/81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סגל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לה</w:t>
        </w:r>
      </w:hyperlink>
      <w:r>
        <w:rPr>
          <w:rFonts w:cs="Calibri" w:ascii="Calibri" w:hAnsi="Calibri"/>
          <w:rtl w:val="true"/>
        </w:rPr>
        <w:t>' (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), </w:t>
      </w:r>
      <w:r>
        <w:rPr>
          <w:rFonts w:cs="Calibri" w:ascii="Calibri" w:hAnsi="Calibri"/>
        </w:rPr>
        <w:t>313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1981</w:t>
      </w:r>
      <w:r>
        <w:rPr>
          <w:rFonts w:cs="Calibri" w:ascii="Calibri" w:hAnsi="Calibri"/>
          <w:rtl w:val="true"/>
        </w:rPr>
        <w:t xml:space="preserve">). 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לעניין נפיצות </w:t>
      </w:r>
      <w:r>
        <w:rPr>
          <w:rFonts w:ascii="Calibri" w:hAnsi="Calibri" w:cs="Calibri"/>
          <w:rtl w:val="true"/>
        </w:rPr>
        <w:t>תופעת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מגדלי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מתרחבת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ascii="Calibri" w:hAnsi="Calibri" w:cs="Calibri"/>
          <w:rtl w:val="true"/>
        </w:rPr>
        <w:t xml:space="preserve"> 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cs="Calibri" w:ascii="Calibri" w:hAnsi="Calibri"/>
            <w:color w:val="0000FF"/>
            <w:u w:val="single"/>
          </w:rPr>
          <w:t>211/09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אזולאי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22.06.2010</w:t>
      </w:r>
      <w:r>
        <w:rPr>
          <w:rFonts w:cs="Calibri" w:ascii="Calibri" w:hAnsi="Calibri"/>
          <w:rtl w:val="true"/>
        </w:rPr>
        <w:t>);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 נכתב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המופלגת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לצריכה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להכביר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מילים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גדולה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נועדה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קודם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לשרת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מטרת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הגמול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לעבריין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עיסוק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העלול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ולפגוע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בבריאות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המשתמשים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שנית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להעביר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חד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משמעי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הרתעה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לעבריינים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פוטנציאליים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ולשמש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אזהרה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אפקטיבי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שמתכוון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במערכת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ההעברות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בסמים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תהא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תהא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הפונקציה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בשרשרת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רב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מדגישים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בפסיקתם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החשובים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לביעורו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ההחמרה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משרתת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מטרות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הגמול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וההרתעה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היעדים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העיקריים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בתחום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cs="Calibri" w:ascii="Calibri" w:hAnsi="Calibri"/>
          <w:b/>
          <w:bCs/>
          <w:rtl w:val="true"/>
        </w:rPr>
        <w:t>."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ראו גם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6029/03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נגד גולן שמאי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נח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734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שם השווה השופט חשן את </w:t>
      </w:r>
      <w:r>
        <w:rPr>
          <w:rFonts w:ascii="Calibri" w:hAnsi="Calibri" w:cs="Calibri"/>
          <w:rtl w:val="true"/>
        </w:rPr>
        <w:t>המלחמה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למלחמה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בעמלק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מלחמת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ובהמשך כתב כי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 xml:space="preserve">" ....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למחזיקי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קרי</w:t>
      </w:r>
      <w:r>
        <w:rPr>
          <w:rFonts w:cs="Calibri" w:ascii="Calibri" w:hAnsi="Calibri"/>
          <w:b/>
          <w:bCs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למשולבים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ההפצה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מכוון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לקבוע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בהכרת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היתרה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מייחסים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להפצת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ולהרתיע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מלשלוח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ההפצה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שתי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תכליות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מרכזיות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להשיג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חמורים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739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והדגישו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והעצום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תרומתם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האינדיווידואלית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ונסיבותיו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>.</w:t>
      </w:r>
      <w:r>
        <w:rPr>
          <w:rtl w:val="true"/>
        </w:rPr>
        <w:tab/>
      </w:r>
      <w:r>
        <w:rPr>
          <w:spacing w:val="6"/>
          <w:rtl w:val="true"/>
        </w:rPr>
        <w:t>במקרה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שלפנינו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ראוי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לציין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לצד כל אחת מהעבירות האלו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ולצד 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של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נקבע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בנידון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דידן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בריאותו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וביטחונו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ויצירת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האופייניות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אומנם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שגידל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מסוכן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ולבריאותו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שרשרת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בגידולו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בלעדיי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מגדלי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למחזיקים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למפיצים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לסוחרים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ולמשתמשים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העיסוק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רגולציה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להפיצם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במקרים דומים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 לפסקי הדין שאליהם הפנו 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גם </w:t>
      </w:r>
      <w:r>
        <w:rPr>
          <w:rFonts w:ascii="Calibri" w:hAnsi="Calibri" w:cs="Calibri"/>
          <w:rtl w:val="true"/>
        </w:rPr>
        <w:t>למספר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כמפורט להלן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13739-03-09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ואן אוסט</w:t>
      </w:r>
      <w:r>
        <w:rPr>
          <w:rFonts w:cs="Arial" w:ascii="Arial" w:hAnsi="Arial"/>
          <w:rtl w:val="true"/>
        </w:rPr>
        <w:t>, (</w:t>
      </w:r>
      <w:r>
        <w:rPr>
          <w:rFonts w:ascii="Arial" w:hAnsi="Arial" w:cs="Arial"/>
          <w:rtl w:val="true"/>
        </w:rPr>
        <w:t xml:space="preserve">ניתן ביום  </w:t>
      </w:r>
      <w:r>
        <w:rPr>
          <w:rFonts w:cs="Arial" w:ascii="Arial" w:hAnsi="Arial"/>
        </w:rPr>
        <w:t>11.1.10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דובר בנאשם שגידל קנביס במשקל של כ  </w:t>
      </w:r>
      <w:r>
        <w:rPr>
          <w:rFonts w:cs="Arial" w:ascii="Arial" w:hAnsi="Arial"/>
        </w:rPr>
        <w:t>87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ונידון ל –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32746-11-09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ביטון </w:t>
      </w:r>
      <w:r>
        <w:rPr>
          <w:rFonts w:ascii="Arial" w:hAnsi="Arial" w:cs="Arial"/>
          <w:rtl w:val="true"/>
        </w:rPr>
        <w:t>ואח</w:t>
      </w:r>
      <w:r>
        <w:rPr>
          <w:rFonts w:cs="Arial" w:ascii="Arial" w:hAnsi="Arial"/>
          <w:rtl w:val="true"/>
        </w:rPr>
        <w:t xml:space="preserve">',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12.7.10</w:t>
      </w:r>
      <w:r>
        <w:rPr>
          <w:rFonts w:cs="Arial" w:ascii="Arial" w:hAnsi="Arial"/>
          <w:rtl w:val="true"/>
        </w:rPr>
        <w:t>),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הנאשמים גידלו קנביס במשקל של כ </w:t>
      </w:r>
      <w:r>
        <w:rPr>
          <w:rFonts w:cs="Arial" w:ascii="Arial" w:hAnsi="Arial"/>
        </w:rPr>
        <w:t>90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ונידונו ל 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5111/12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ברכה ואח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rtl w:val="true"/>
        </w:rPr>
        <w:t>, (</w:t>
      </w:r>
      <w:r>
        <w:rPr>
          <w:rFonts w:ascii="Arial" w:hAnsi="Arial" w:cs="Arial"/>
          <w:rtl w:val="true"/>
        </w:rPr>
        <w:t xml:space="preserve">נחתן ביום </w:t>
      </w:r>
      <w:r>
        <w:rPr>
          <w:rFonts w:cs="Arial" w:ascii="Arial" w:hAnsi="Arial"/>
        </w:rPr>
        <w:t>18.11.12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באותו מקרה נתפסו אצל הנאשמים כ –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סם מסוכן מסוג חשיש והנאשמים הורשעו בעבירות חמורות אחרות של סחר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רף הענישה העליון באותה פרשה היה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entury" w:hAnsi="Century" w:cs="Century"/>
          <w:rtl w:val="true"/>
        </w:rPr>
        <w:t>ב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6747/11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מדינת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ישראל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נ</w:t>
      </w:r>
      <w:r>
        <w:rPr>
          <w:rFonts w:cs="Century" w:ascii="Century" w:hAnsi="Century"/>
          <w:bCs/>
          <w:rtl w:val="true"/>
        </w:rPr>
        <w:t xml:space="preserve">' </w:t>
      </w:r>
      <w:r>
        <w:rPr>
          <w:rFonts w:ascii="Century" w:hAnsi="Century" w:cs="Century"/>
          <w:bCs/>
          <w:rtl w:val="true"/>
        </w:rPr>
        <w:t>אבו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רקיק</w:t>
      </w:r>
      <w:r>
        <w:rPr>
          <w:rFonts w:cs="Times New Roman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3.1.13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דחה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העליון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ערעור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חומרת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ארבע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וחצי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החזקה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תיווך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והספקה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קוקאין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גרם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MDMA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entury" w:hAnsi="Century" w:cs="Century"/>
        </w:rPr>
      </w:pPr>
      <w:r>
        <w:rPr>
          <w:rFonts w:ascii="Calibri" w:hAnsi="Calibri" w:cs="Calibri"/>
          <w:rtl w:val="true"/>
        </w:rPr>
        <w:t>ב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3931/13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באום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נ</w:t>
      </w:r>
      <w:r>
        <w:rPr>
          <w:rFonts w:cs="Century" w:ascii="Century" w:hAnsi="Century"/>
          <w:bCs/>
          <w:rtl w:val="true"/>
        </w:rPr>
        <w:t xml:space="preserve">' </w:t>
      </w:r>
      <w:r>
        <w:rPr>
          <w:rFonts w:ascii="Century" w:hAnsi="Century" w:cs="Century"/>
          <w:bCs/>
          <w:rtl w:val="true"/>
        </w:rPr>
        <w:t>מדינת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ישאל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10.6.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דחה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העליון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ערעור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חומרת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ייבוא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556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קוקאין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2194/14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בן שמעון נגד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10.9.14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שם גידל המערער שיחי קנביס במשקל של </w:t>
      </w:r>
      <w:r>
        <w:rPr>
          <w:rFonts w:cs="Arial" w:ascii="Arial" w:hAnsi="Arial"/>
        </w:rPr>
        <w:t>33.5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בדירה אותה שכר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מאסר על תנאי תלוי ועומד כנגדו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מתחם ענישה שנע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והטיל על המערער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אשר כללו הפעלת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קיבל את הערעור בחלקו והפחית את העונש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וזאת בהתחשב בהתמדת המערער בהליך השיקומי והטיפולי לגמילה מהתמכרותו לסמים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1313/14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בהתימי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09.06.15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שהופעלו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</w:t>
      </w:r>
      <w:r>
        <w:rPr>
          <w:rFonts w:cs="Calibri" w:ascii="Calibri" w:hAnsi="Calibri"/>
          <w:rtl w:val="true"/>
        </w:rPr>
        <w:t xml:space="preserve">') </w:t>
      </w:r>
      <w:hyperlink r:id="rId29">
        <w:r>
          <w:rPr>
            <w:rStyle w:val="Hyperlink"/>
            <w:rFonts w:cs="Calibri" w:ascii="Calibri" w:hAnsi="Calibri"/>
            <w:color w:val="0000FF"/>
            <w:u w:val="single"/>
          </w:rPr>
          <w:t>37551-01-16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פרקש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04.12.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),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להכנתם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304.94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5.23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ומסייעים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הנסיבה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גרידא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לגליזציה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בנושא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שנתפסה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קנבוס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 של 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170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במחסן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שהשכיר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קל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פקודת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מוגדרים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>ם שנ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0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170/07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מטיס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נ</w:t>
      </w:r>
      <w:r>
        <w:rPr>
          <w:rFonts w:cs="Arimo;Times New Roman" w:ascii="Arimo;Times New Roman" w:hAnsi="Arimo;Times New Roman"/>
          <w:b/>
          <w:bCs/>
          <w:rtl w:val="true"/>
        </w:rPr>
        <w:t xml:space="preserve">'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מדינת</w:t>
      </w:r>
      <w:r>
        <w:rPr>
          <w:rFonts w:ascii="Arimo;Times New Roman" w:hAnsi="Arimo;Times New Roman" w:cs="Arimo;Times New Roman"/>
          <w:b/>
          <w:b/>
          <w:bCs/>
          <w:rtl w:val="true"/>
        </w:rPr>
        <w:t xml:space="preserve">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19.11.07</w:t>
      </w:r>
      <w:r>
        <w:rPr>
          <w:rFonts w:cs="Calibri" w:ascii="Calibri" w:hAnsi="Calibri"/>
          <w:rtl w:val="true"/>
        </w:rPr>
        <w:t>);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 נאמר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שמדובר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הנוכחי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קנבוס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שמוגדר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קל</w:t>
      </w:r>
      <w:r>
        <w:rPr>
          <w:rFonts w:cs="Calibri" w:ascii="Calibri" w:hAnsi="Calibri"/>
          <w:b/>
          <w:bCs/>
          <w:rtl w:val="true"/>
        </w:rPr>
        <w:t xml:space="preserve">". </w:t>
      </w:r>
      <w:r>
        <w:rPr>
          <w:rFonts w:ascii="Calibri" w:hAnsi="Calibri" w:cs="Calibri"/>
          <w:b/>
          <w:b/>
          <w:bCs/>
          <w:rtl w:val="true"/>
        </w:rPr>
        <w:t>לרוע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המזל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מהווים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לעיתים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קרובות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יריית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הפתיחה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להתמכרות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טמונה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סכנה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ascii="Calibri" w:hAnsi="Calibri" w:cs="Calibri"/>
          <w:b/>
          <w:b/>
          <w:bCs/>
          <w:color w:val="000000"/>
          <w:rtl w:val="true"/>
        </w:rPr>
        <w:t>בש</w:t>
      </w:r>
      <w:r>
        <w:rPr>
          <w:rFonts w:cs="Calibri" w:ascii="Calibri" w:hAnsi="Calibri"/>
          <w:b/>
          <w:bCs/>
          <w:color w:val="000000"/>
          <w:rtl w:val="true"/>
        </w:rPr>
        <w:t>"</w:t>
      </w:r>
      <w:r>
        <w:rPr>
          <w:rFonts w:ascii="Calibri" w:hAnsi="Calibri" w:cs="Calibri"/>
          <w:b/>
          <w:b/>
          <w:bCs/>
          <w:color w:val="000000"/>
          <w:rtl w:val="true"/>
        </w:rPr>
        <w:t>פ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cs="Calibri" w:ascii="Calibri" w:hAnsi="Calibri"/>
          <w:b/>
          <w:bCs/>
          <w:color w:val="000000"/>
        </w:rPr>
        <w:t>442/96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יריב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טולדנו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פורסם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אמר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חשין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cs="Calibri" w:ascii="Calibri" w:hAnsi="Calibri"/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קשים</w:t>
      </w:r>
      <w:r>
        <w:rPr>
          <w:rFonts w:cs="Calibri" w:ascii="Calibri" w:hAnsi="Calibri"/>
          <w:b/>
          <w:bCs/>
          <w:rtl w:val="true"/>
        </w:rPr>
        <w:t xml:space="preserve">". </w:t>
      </w:r>
      <w:r>
        <w:rPr>
          <w:rFonts w:ascii="Calibri" w:hAnsi="Calibri" w:cs="Calibri"/>
          <w:b/>
          <w:b/>
          <w:bCs/>
          <w:rtl w:val="true"/>
        </w:rPr>
        <w:t>נזכיר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לעצמנו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שמא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יישכח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מאיתנו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דהיינו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בעבור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בצע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כסף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בריאותם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אחרים</w:t>
      </w:r>
      <w:r>
        <w:rPr>
          <w:rFonts w:cs="Calibri" w:ascii="Calibri" w:hAnsi="Calibri"/>
          <w:b/>
          <w:bCs/>
          <w:rtl w:val="true"/>
        </w:rPr>
        <w:t>...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b/>
          <w:bCs/>
          <w:rtl w:val="true"/>
        </w:rPr>
        <w:t xml:space="preserve">".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פיסקה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8-9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hyperlink r:id="rId31">
        <w:r>
          <w:rPr>
            <w:rStyle w:val="Hyperlink"/>
            <w:rFonts w:cs="Calibri" w:ascii="Calibri" w:hAnsi="Calibri"/>
            <w:color w:val="0000FF"/>
            <w:u w:val="single"/>
          </w:rPr>
          <w:t>2000/06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ויצמן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</w:t>
      </w:r>
      <w:r>
        <w:rPr>
          <w:rFonts w:ascii="Calibri" w:hAnsi="Calibri" w:cs="Calibri"/>
          <w:rtl w:val="true"/>
        </w:rPr>
        <w:t xml:space="preserve">ם </w:t>
      </w:r>
      <w:r>
        <w:rPr>
          <w:rFonts w:cs="Calibri" w:ascii="Calibri" w:hAnsi="Calibri"/>
        </w:rPr>
        <w:t>20.07.</w:t>
      </w:r>
      <w:r>
        <w:rPr>
          <w:rFonts w:cs="Calibri" w:ascii="Calibri" w:hAnsi="Calibri"/>
        </w:rPr>
        <w:t>06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 נקבע כי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לגביו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נעברו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הורשעו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המשיבים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נחשב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קל</w:t>
      </w:r>
      <w:r>
        <w:rPr>
          <w:rFonts w:cs="Calibri" w:ascii="Calibri" w:hAnsi="Calibri"/>
          <w:b/>
          <w:bCs/>
          <w:rtl w:val="true"/>
        </w:rPr>
        <w:t xml:space="preserve">". </w:t>
      </w:r>
      <w:r>
        <w:rPr>
          <w:rFonts w:ascii="Calibri" w:hAnsi="Calibri" w:cs="Calibri"/>
          <w:b/>
          <w:b/>
          <w:bCs/>
          <w:rtl w:val="true"/>
        </w:rPr>
        <w:t>יחד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והמחוקק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לאסור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בפקודה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מקובלת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המדינה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הנוגעות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המוגדרים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קלים</w:t>
      </w:r>
      <w:r>
        <w:rPr>
          <w:rFonts w:cs="Calibri" w:ascii="Calibri" w:hAnsi="Calibri"/>
          <w:b/>
          <w:bCs/>
          <w:rtl w:val="true"/>
        </w:rPr>
        <w:t xml:space="preserve">". </w:t>
      </w:r>
      <w:r>
        <w:rPr>
          <w:rFonts w:ascii="Calibri" w:hAnsi="Calibri" w:cs="Calibri"/>
          <w:b/>
          <w:b/>
          <w:bCs/>
          <w:rtl w:val="true"/>
        </w:rPr>
        <w:t>המאבק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צריך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מכוון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ובפגיעתם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ביחידים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ובחוסנה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להמעיט</w:t>
      </w:r>
      <w:r>
        <w:rPr>
          <w:rFonts w:cs="Calibri" w:ascii="Calibri" w:hAnsi="Calibri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קל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כמות כה גדולה של 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מיטשטשת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את ההבדל המהותי מבחינת סוג הסם שאין לו משמעות במצב כזה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ראו לעניין הזה והשוו ב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3899/95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מאל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מט</w:t>
        </w:r>
      </w:hyperlink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), </w:t>
      </w:r>
      <w:r>
        <w:rPr>
          <w:rFonts w:cs="Calibri" w:ascii="Calibri" w:hAnsi="Calibri"/>
        </w:rPr>
        <w:t>164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 נתקבלה הגישה דלעיל וכך נאמר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הבדל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מהותי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מבחינת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הרואין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חשיש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הבדל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עשוי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המעצר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הבדל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מטשטש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שמדובר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בכמויות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גדולות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גדולה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קטנה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הרואין</w:t>
      </w:r>
      <w:r>
        <w:rPr>
          <w:rFonts w:cs="Calibri" w:ascii="Calibri" w:hAnsi="Calibri"/>
          <w:b/>
          <w:bCs/>
          <w:rtl w:val="true"/>
        </w:rPr>
        <w:t>."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167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ודי אם אפנה ל</w:t>
      </w:r>
      <w:r>
        <w:rPr>
          <w:rFonts w:ascii="Calibri" w:hAnsi="Calibri" w:cs="Calibri"/>
          <w:rtl w:val="true"/>
        </w:rPr>
        <w:t>עדותה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בפניי</w:t>
      </w:r>
      <w:r>
        <w:rPr>
          <w:rFonts w:ascii="Calibri" w:hAnsi="Calibri" w:cs="Calibri"/>
          <w:rtl w:val="true"/>
        </w:rPr>
        <w:t xml:space="preserve"> בשלב הטיעונים 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כשמסרה כי 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ילידת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צרפת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צריכה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כסף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לטיפולים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רפואיים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פרוטוקול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18.07.17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הנאשם </w:t>
      </w:r>
      <w:r>
        <w:rPr>
          <w:rFonts w:ascii="Calibri" w:hAnsi="Calibri" w:cs="Calibri"/>
          <w:rtl w:val="true"/>
        </w:rPr>
        <w:t>לכסף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מנוגדת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הסם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לרגולציה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יתרה מזו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אם 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 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ותהליך </w:t>
      </w:r>
      <w:r>
        <w:rPr>
          <w:rFonts w:ascii="Calibri" w:hAnsi="Calibri" w:cs="Calibri"/>
          <w:rtl w:val="true"/>
        </w:rPr>
        <w:t>הרגולציה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בסוגיה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הרי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ומפיץ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אילולא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פושטת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ותופסת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המתבקשות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ההולם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30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48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 שאינן קשורות בביצוע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 לציין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נלקחה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המהירה</w:t>
      </w:r>
      <w:r>
        <w:rPr>
          <w:rFonts w:ascii="Calibri" w:hAnsi="Calibri" w:cs="Calibri"/>
          <w:rtl w:val="true"/>
        </w:rPr>
        <w:t xml:space="preserve"> של הנאשם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 המבוגר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הבעת חרטה ולקיחת אחריות על 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מצב</w:t>
      </w:r>
      <w:r>
        <w:rPr>
          <w:rFonts w:ascii="Calibri" w:hAnsi="Calibri" w:cs="Calibri"/>
          <w:rtl w:val="true"/>
        </w:rPr>
        <w:t>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המשתמשים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David"/>
        <w:ind w:start="720" w:end="0"/>
        <w:jc w:val="both"/>
        <w:rPr/>
      </w:pP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מתגמדים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ונסוגים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מיגור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ascii="Calibri" w:hAnsi="Calibri" w:cs="Calibri"/>
          <w:rtl w:val="true"/>
        </w:rPr>
        <w:t xml:space="preserve">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3820/09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חיים אוחיון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1.9.09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hyperlink r:id="rId34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6029/03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נ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שמאי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ד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נח</w:t>
        </w:r>
      </w:hyperlink>
      <w:r>
        <w:rPr>
          <w:rFonts w:cs="Arimo;Times New Roman" w:ascii="Arimo;Times New Roman" w:hAnsi="Arimo;Times New Roman"/>
          <w:color w:val="333333"/>
          <w:rtl w:val="true"/>
        </w:rPr>
        <w:t>(</w:t>
      </w:r>
      <w:r>
        <w:rPr>
          <w:rFonts w:cs="Arimo;Times New Roman" w:ascii="Arimo;Times New Roman" w:hAnsi="Arimo;Times New Roman"/>
          <w:color w:val="333333"/>
        </w:rPr>
        <w:t>2</w:t>
      </w:r>
      <w:r>
        <w:rPr>
          <w:rFonts w:cs="Arimo;Times New Roman" w:ascii="Arimo;Times New Roman" w:hAnsi="Arimo;Times New Roman"/>
          <w:color w:val="333333"/>
          <w:rtl w:val="true"/>
        </w:rPr>
        <w:t xml:space="preserve">) </w:t>
      </w:r>
      <w:r>
        <w:rPr>
          <w:rFonts w:cs="Arimo;Times New Roman" w:ascii="Arimo;Times New Roman" w:hAnsi="Arimo;Times New Roman"/>
          <w:color w:val="333333"/>
        </w:rPr>
        <w:t>734</w:t>
      </w:r>
      <w:r>
        <w:rPr>
          <w:rFonts w:cs="Arimo;Times New Roman" w:ascii="Arimo;Times New Roman" w:hAnsi="Arimo;Times New Roman"/>
          <w:color w:val="333333"/>
          <w:rtl w:val="true"/>
        </w:rPr>
        <w:t xml:space="preserve">, </w:t>
      </w:r>
      <w:r>
        <w:rPr>
          <w:rFonts w:cs="Arimo;Times New Roman" w:ascii="Arimo;Times New Roman" w:hAnsi="Arimo;Times New Roman"/>
          <w:color w:val="333333"/>
        </w:rPr>
        <w:t>739</w:t>
      </w:r>
      <w:r>
        <w:rPr>
          <w:rFonts w:cs="Arimo;Times New Roman" w:ascii="Arimo;Times New Roman" w:hAnsi="Arimo;Times New Roman"/>
          <w:color w:val="333333"/>
          <w:rtl w:val="true"/>
        </w:rPr>
        <w:t xml:space="preserve"> (</w:t>
      </w:r>
      <w:r>
        <w:rPr>
          <w:rFonts w:cs="Arimo;Times New Roman" w:ascii="Arimo;Times New Roman" w:hAnsi="Arimo;Times New Roman"/>
          <w:color w:val="333333"/>
        </w:rPr>
        <w:t>2004</w:t>
      </w:r>
      <w:r>
        <w:rPr>
          <w:rFonts w:cs="Arimo;Times New Roman" w:ascii="Arimo;Times New Roman" w:hAnsi="Arimo;Times New Roman"/>
          <w:color w:val="333333"/>
          <w:rtl w:val="true"/>
        </w:rPr>
        <w:t>)</w:t>
      </w:r>
      <w:r>
        <w:rPr>
          <w:rFonts w:cs="Arimo;Times New Roman" w:ascii="Arimo;Times New Roman" w:hAnsi="Arimo;Times New Roman"/>
          <w:color w:val="333333"/>
          <w:rtl w:val="true"/>
        </w:rPr>
        <w:t xml:space="preserve">, </w:t>
      </w:r>
      <w:r>
        <w:rPr>
          <w:rFonts w:ascii="Arimo;Times New Roman" w:hAnsi="Arimo;Times New Roman" w:cs="Arimo;Times New Roman"/>
          <w:color w:val="333333"/>
          <w:rtl w:val="true"/>
        </w:rPr>
        <w:t>שם נכתב</w:t>
      </w:r>
      <w:r>
        <w:rPr>
          <w:spacing w:val="6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pacing w:val="6"/>
        </w:rPr>
      </w:pPr>
      <w:r>
        <w:rPr>
          <w:spacing w:val="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pacing w:val="6"/>
        </w:rPr>
      </w:pPr>
      <w:r>
        <w:rPr>
          <w:b/>
          <w:bCs/>
          <w:spacing w:val="6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קבעה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ההלכה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נסוגים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השיקולים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העבריין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שיקולי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המשתמשים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...</w:t>
      </w:r>
      <w:r>
        <w:rPr>
          <w:b/>
          <w:bCs/>
          <w:spacing w:val="6"/>
          <w:rtl w:val="true"/>
        </w:rPr>
        <w:t>."</w:t>
      </w:r>
    </w:p>
    <w:p>
      <w:pPr>
        <w:pStyle w:val="Normal"/>
        <w:shd w:fill="FFFFFF" w:val="clear"/>
        <w:spacing w:lineRule="auto" w:line="360"/>
        <w:ind w:end="0"/>
        <w:jc w:val="both"/>
        <w:rPr>
          <w:spacing w:val="6"/>
        </w:rPr>
      </w:pPr>
      <w:r>
        <w:rPr>
          <w:spacing w:val="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ההרתעתי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נסיבות </w:t>
      </w:r>
      <w:r>
        <w:rPr>
          <w:rFonts w:ascii="Calibri" w:hAnsi="Calibri" w:cs="Calibri"/>
          <w:rtl w:val="true"/>
        </w:rPr>
        <w:t>האישי</w:t>
      </w:r>
      <w:r>
        <w:rPr>
          <w:rFonts w:ascii="Calibri" w:hAnsi="Calibri" w:cs="Calibri"/>
          <w:rtl w:val="true"/>
        </w:rPr>
        <w:t>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>ן פוחת 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hd w:fill="FFFFFF" w:val="clear"/>
        <w:spacing w:lineRule="auto" w:line="360"/>
        <w:ind w:end="0"/>
        <w:jc w:val="start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hd w:fill="FFFFFF" w:val="clear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לאחר </w:t>
      </w:r>
      <w:r>
        <w:rPr>
          <w:rFonts w:ascii="Calibri" w:hAnsi="Calibri" w:cs="Calibri"/>
          <w:rtl w:val="true"/>
        </w:rPr>
        <w:t>ששקלתי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מכלול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Arial" w:hAnsi="Arial" w:cs="Arial"/>
          <w:rtl w:val="true"/>
        </w:rPr>
        <w:t xml:space="preserve"> </w:t>
      </w:r>
      <w:r>
        <w:rPr>
          <w:rFonts w:ascii="Calibri" w:hAnsi="Calibri" w:cs="Calibri"/>
          <w:rtl w:val="true"/>
        </w:rPr>
        <w:t>ובחנתי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Arial" w:hAnsi="Arial" w:cs="Arial"/>
          <w:rtl w:val="true"/>
        </w:rPr>
        <w:t>מבלי להתעלם משיקולי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מתן הבכורה לאינטרס הציבורי והשמירה על בטחונו של כלל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בהתחשב ב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חרטתו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15.1.17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1.1.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בטרם אסיים ראוי לציין כי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המקורי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והמתוקן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להכריז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36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 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המאשימה זנחה בקשתה זו ולא חזרה עליה הן לפני מתן הכרעת הדין והן </w:t>
      </w:r>
      <w:r>
        <w:rPr>
          <w:rFonts w:ascii="Calibri" w:hAnsi="Calibri" w:cs="Calibri"/>
          <w:rtl w:val="true"/>
        </w:rPr>
        <w:t>בטיעוניה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הכתובים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</w:t>
      </w:r>
      <w:r>
        <w:rPr>
          <w:rFonts w:ascii="Calibri" w:hAnsi="Calibri" w:cs="Calibri"/>
          <w:rtl w:val="true"/>
        </w:rPr>
        <w:t>טיעוניה ב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פה</w:t>
      </w:r>
      <w:r>
        <w:rPr>
          <w:rFonts w:ascii="Calibri" w:hAnsi="Calibri" w:cs="Calibri"/>
          <w:rtl w:val="true"/>
        </w:rPr>
        <w:t xml:space="preserve"> בפניי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רואים במאשימה כמי שוויתרה על בקשה זו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 xml:space="preserve">זכות ערעור לבית המשפט העליון תוך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 הודעה לנאשם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הנאשם שהובא באמצעות הליווי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ascii="Arial" w:hAnsi="Arial" w:cs="Arial"/>
          <w:rtl w:val="true"/>
        </w:rPr>
        <w:t>הנאשם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מיכאל כרמל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נועה בוק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Arimo">
    <w:altName w:val="arial"/>
    <w:charset w:val="00" w:characterSet="windows-1252"/>
    <w:family w:val="roma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59971-01-17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גד פרץ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Arial" w:hAnsi="Arial" w:cs="Arial"/>
      <w:sz w:val="24"/>
      <w:szCs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3">
    <w:name w:val="ללא מרווח"/>
    <w:qFormat/>
    <w:pPr>
      <w:widowControl/>
      <w:bidi w:val="1"/>
      <w:ind w:hanging="0" w:start="0" w:end="0"/>
      <w:jc w:val="start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4216/7.a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4216/36a.b" TargetMode="External"/><Relationship Id="rId7" Type="http://schemas.openxmlformats.org/officeDocument/2006/relationships/hyperlink" Target="http://www.nevo.co.il/law/4216/6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4216/7.a" TargetMode="External"/><Relationship Id="rId12" Type="http://schemas.openxmlformats.org/officeDocument/2006/relationships/hyperlink" Target="http://www.nevo.co.il/law/4216/7.c" TargetMode="External"/><Relationship Id="rId13" Type="http://schemas.openxmlformats.org/officeDocument/2006/relationships/hyperlink" Target="http://www.nevo.co.il/case/20235191" TargetMode="External"/><Relationship Id="rId14" Type="http://schemas.openxmlformats.org/officeDocument/2006/relationships/hyperlink" Target="http://www.nevo.co.il/case/18159953" TargetMode="External"/><Relationship Id="rId15" Type="http://schemas.openxmlformats.org/officeDocument/2006/relationships/hyperlink" Target="http://www.nevo.co.il/case/21020095" TargetMode="External"/><Relationship Id="rId16" Type="http://schemas.openxmlformats.org/officeDocument/2006/relationships/hyperlink" Target="http://www.nevo.co.il/case/20008867" TargetMode="External"/><Relationship Id="rId17" Type="http://schemas.openxmlformats.org/officeDocument/2006/relationships/hyperlink" Target="http://www.nevo.co.il/case/11237056" TargetMode="External"/><Relationship Id="rId18" Type="http://schemas.openxmlformats.org/officeDocument/2006/relationships/hyperlink" Target="http://www.nevo.co.il/case/21480959" TargetMode="External"/><Relationship Id="rId19" Type="http://schemas.openxmlformats.org/officeDocument/2006/relationships/hyperlink" Target="http://www.nevo.co.il/case/17939098" TargetMode="External"/><Relationship Id="rId20" Type="http://schemas.openxmlformats.org/officeDocument/2006/relationships/hyperlink" Target="http://www.nevo.co.il/case/5698919" TargetMode="External"/><Relationship Id="rId21" Type="http://schemas.openxmlformats.org/officeDocument/2006/relationships/hyperlink" Target="http://www.nevo.co.il/case/5786821" TargetMode="External"/><Relationship Id="rId22" Type="http://schemas.openxmlformats.org/officeDocument/2006/relationships/hyperlink" Target="http://www.nevo.co.il/case/4727560" TargetMode="External"/><Relationship Id="rId23" Type="http://schemas.openxmlformats.org/officeDocument/2006/relationships/hyperlink" Target="http://www.nevo.co.il/case/4914678" TargetMode="External"/><Relationship Id="rId24" Type="http://schemas.openxmlformats.org/officeDocument/2006/relationships/hyperlink" Target="http://www.nevo.co.il/case/5589674" TargetMode="External"/><Relationship Id="rId25" Type="http://schemas.openxmlformats.org/officeDocument/2006/relationships/hyperlink" Target="http://www.nevo.co.il/case/5585052" TargetMode="External"/><Relationship Id="rId26" Type="http://schemas.openxmlformats.org/officeDocument/2006/relationships/hyperlink" Target="http://www.nevo.co.il/case/7653052" TargetMode="External"/><Relationship Id="rId27" Type="http://schemas.openxmlformats.org/officeDocument/2006/relationships/hyperlink" Target="http://www.nevo.co.il/case/13070717" TargetMode="External"/><Relationship Id="rId28" Type="http://schemas.openxmlformats.org/officeDocument/2006/relationships/hyperlink" Target="http://www.nevo.co.il/case/12063973" TargetMode="External"/><Relationship Id="rId29" Type="http://schemas.openxmlformats.org/officeDocument/2006/relationships/hyperlink" Target="http://www.nevo.co.il/case/20893615" TargetMode="External"/><Relationship Id="rId30" Type="http://schemas.openxmlformats.org/officeDocument/2006/relationships/hyperlink" Target="http://www.nevo.co.il/case/5681787" TargetMode="External"/><Relationship Id="rId31" Type="http://schemas.openxmlformats.org/officeDocument/2006/relationships/hyperlink" Target="http://www.nevo.co.il/case/5805976" TargetMode="External"/><Relationship Id="rId32" Type="http://schemas.openxmlformats.org/officeDocument/2006/relationships/hyperlink" Target="http://www.nevo.co.il/case/17921380" TargetMode="External"/><Relationship Id="rId33" Type="http://schemas.openxmlformats.org/officeDocument/2006/relationships/hyperlink" Target="http://www.nevo.co.il/case/5917767" TargetMode="External"/><Relationship Id="rId34" Type="http://schemas.openxmlformats.org/officeDocument/2006/relationships/hyperlink" Target="http://www.nevo.co.il/case/5786821" TargetMode="External"/><Relationship Id="rId35" Type="http://schemas.openxmlformats.org/officeDocument/2006/relationships/hyperlink" Target="http://www.nevo.co.il/law/4216/36a.b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  <Pages>15</Pages>
  <Words>3101</Words>
  <Characters>14113</Characters>
  <CharactersWithSpaces>17190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2018-05-08T13:13:00Z</dcterms:created>
  <dc:creator> </dc:creator>
  <dc:description/>
  <cp:keywords/>
  <dc:language>en-IL</dc:language>
  <cp:lastModifiedBy>run</cp:lastModifiedBy>
  <dcterms:modified xsi:type="dcterms:W3CDTF">2018-05-08T13:13:00Z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גד פרץ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20235191;18159953;21020095;20008867;11237056;21480959;17939098;5698919;5786821:2;4727560;4914678;5589674;5585052;7653052;13070717;12063973;20893615;5681787;5805976;17921380;5917767</vt:lpwstr>
  </property>
  <property fmtid="{D5CDD505-2E9C-101B-9397-08002B2CF9AE}" pid="9" name="CITY">
    <vt:lpwstr>חי'</vt:lpwstr>
  </property>
  <property fmtid="{D5CDD505-2E9C-101B-9397-08002B2CF9AE}" pid="10" name="DATE">
    <vt:lpwstr>20170912</vt:lpwstr>
  </property>
  <property fmtid="{D5CDD505-2E9C-101B-9397-08002B2CF9AE}" pid="11" name="DELEMATA">
    <vt:lpwstr/>
  </property>
  <property fmtid="{D5CDD505-2E9C-101B-9397-08002B2CF9AE}" pid="12" name="GUSHSUB1">
    <vt:lpwstr>1113</vt:lpwstr>
  </property>
  <property fmtid="{D5CDD505-2E9C-101B-9397-08002B2CF9AE}" pid="13" name="HELKASUB1">
    <vt:lpwstr>11</vt:lpwstr>
  </property>
  <property fmtid="{D5CDD505-2E9C-101B-9397-08002B2CF9AE}" pid="14" name="ISABSTRACT">
    <vt:lpwstr>Y</vt:lpwstr>
  </property>
  <property fmtid="{D5CDD505-2E9C-101B-9397-08002B2CF9AE}" pid="15" name="JUDGE">
    <vt:lpwstr>כמאל סעב</vt:lpwstr>
  </property>
  <property fmtid="{D5CDD505-2E9C-101B-9397-08002B2CF9AE}" pid="16" name="LAWLISTTMP1">
    <vt:lpwstr>4216/006;007.a:2;007.c:2;036a.b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59971</vt:lpwstr>
  </property>
  <property fmtid="{D5CDD505-2E9C-101B-9397-08002B2CF9AE}" pid="24" name="NEWPARTB">
    <vt:lpwstr>01</vt:lpwstr>
  </property>
  <property fmtid="{D5CDD505-2E9C-101B-9397-08002B2CF9AE}" pid="25" name="NEWPARTC">
    <vt:lpwstr>17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390020170912</vt:lpwstr>
  </property>
  <property fmtid="{D5CDD505-2E9C-101B-9397-08002B2CF9AE}" pid="36" name="TYPE_N_DATE">
    <vt:lpwstr>39020170912</vt:lpwstr>
  </property>
  <property fmtid="{D5CDD505-2E9C-101B-9397-08002B2CF9AE}" pid="37" name="VOLUME">
    <vt:lpwstr/>
  </property>
  <property fmtid="{D5CDD505-2E9C-101B-9397-08002B2CF9AE}" pid="38" name="WORDNUMPAGES">
    <vt:lpwstr>11</vt:lpwstr>
  </property>
</Properties>
</file>