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061"/>
        <w:gridCol w:w="3660"/>
        <w:tblGridChange w:id="0">
          <w:tblGrid>
            <w:gridCol w:w="5061"/>
            <w:gridCol w:w="366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2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השלום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בירושלים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6749-09-22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חיון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נוסף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3219"/>
        <w:gridCol w:w="4678"/>
        <w:tblGridChange w:id="0">
          <w:tblGrid>
            <w:gridCol w:w="923"/>
            <w:gridCol w:w="3219"/>
            <w:gridCol w:w="467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לפני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bidi w:val="1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כבוד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השופט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ארנון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איתן</w:t>
            </w:r>
          </w:p>
          <w:p w:rsidR="00000000" w:rsidDel="00000000" w:rsidP="00000000" w:rsidRDefault="00000000" w:rsidRPr="00000000" w14:paraId="0000000B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0E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בעניין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המאשימה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ישראל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ענף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תביעות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ירושלים</w:t>
            </w:r>
          </w:p>
          <w:p w:rsidR="00000000" w:rsidDel="00000000" w:rsidP="00000000" w:rsidRDefault="00000000" w:rsidRPr="00000000" w14:paraId="00000012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bidi w:val="1"/>
              <w:jc w:val="center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bidi w:val="1"/>
              <w:jc w:val="center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6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הנאשם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בר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חיון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יוחאי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ועו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לירון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אודסר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F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21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color w:val="0000ff"/>
        </w:rPr>
      </w:pPr>
      <w:hyperlink r:id="rId9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פקודת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הסמים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המסוכנים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[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נוסח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</w:t>
        </w:r>
      </w:hyperlink>
      <w:hyperlink r:id="rId17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חדש</w:t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], 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תשל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"</w:t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ג</w:t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-1973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'  </w:t>
      </w:r>
      <w:hyperlink r:id="rId23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(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א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), </w:t>
      </w:r>
      <w:hyperlink r:id="rId24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(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ג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), </w:t>
      </w:r>
      <w:hyperlink r:id="rId25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0"/>
          </w:rPr>
          <w:t xml:space="preserve">13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rtl w:val="0"/>
        </w:rPr>
        <w:t xml:space="preserve">, </w:t>
      </w:r>
      <w:hyperlink r:id="rId26">
        <w:r w:rsidDel="00000000" w:rsidR="00000000" w:rsidRPr="00000000">
          <w:rPr>
            <w:rtl w:val="0"/>
          </w:rPr>
        </w:r>
      </w:hyperlink>
      <w:hyperlink r:id="rId27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19</w:t>
        </w:r>
      </w:hyperlink>
      <w:hyperlink r:id="rId28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א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rtl w:val="0"/>
        </w:rPr>
        <w:t xml:space="preserve">, </w:t>
      </w:r>
      <w:hyperlink r:id="rId29">
        <w:r w:rsidDel="00000000" w:rsidR="00000000" w:rsidRPr="00000000">
          <w:rPr>
            <w:rtl w:val="0"/>
          </w:rPr>
        </w:r>
      </w:hyperlink>
      <w:hyperlink r:id="rId30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36</w:t>
        </w:r>
      </w:hyperlink>
      <w:hyperlink r:id="rId31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(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א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), </w:t>
      </w:r>
      <w:hyperlink r:id="rId32">
        <w:r w:rsidDel="00000000" w:rsidR="00000000" w:rsidRPr="00000000">
          <w:rPr>
            <w:rtl w:val="0"/>
          </w:rPr>
        </w:r>
      </w:hyperlink>
      <w:hyperlink r:id="rId33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36</w:t>
        </w:r>
      </w:hyperlink>
      <w:hyperlink r:id="rId34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(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ה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)</w:t>
      </w:r>
    </w:p>
    <w:p w:rsidR="00000000" w:rsidDel="00000000" w:rsidP="00000000" w:rsidRDefault="00000000" w:rsidRPr="00000000" w14:paraId="00000022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color w:val="0000ff"/>
        </w:rPr>
      </w:pPr>
      <w:hyperlink r:id="rId35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פקודת</w:t>
        </w:r>
      </w:hyperlink>
      <w:hyperlink r:id="rId36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</w:t>
        </w:r>
      </w:hyperlink>
      <w:hyperlink r:id="rId37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סדר</w:t>
        </w:r>
      </w:hyperlink>
      <w:hyperlink r:id="rId38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</w:t>
        </w:r>
      </w:hyperlink>
      <w:hyperlink r:id="rId39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הדין</w:t>
        </w:r>
      </w:hyperlink>
      <w:hyperlink r:id="rId40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</w:t>
        </w:r>
      </w:hyperlink>
      <w:hyperlink r:id="rId41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הפלילי</w:t>
        </w:r>
      </w:hyperlink>
      <w:hyperlink r:id="rId42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(</w:t>
        </w:r>
      </w:hyperlink>
      <w:hyperlink r:id="rId43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מעצר</w:t>
        </w:r>
      </w:hyperlink>
      <w:hyperlink r:id="rId44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</w:t>
        </w:r>
      </w:hyperlink>
      <w:hyperlink r:id="rId45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וחיפוש</w:t>
        </w:r>
      </w:hyperlink>
      <w:hyperlink r:id="rId46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) [</w:t>
        </w:r>
      </w:hyperlink>
      <w:hyperlink r:id="rId47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נוסח</w:t>
        </w:r>
      </w:hyperlink>
      <w:hyperlink r:id="rId48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</w:t>
        </w:r>
      </w:hyperlink>
      <w:hyperlink r:id="rId49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חדש</w:t>
        </w:r>
      </w:hyperlink>
      <w:hyperlink r:id="rId50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], </w:t>
        </w:r>
      </w:hyperlink>
      <w:hyperlink r:id="rId51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תשכ</w:t>
        </w:r>
      </w:hyperlink>
      <w:hyperlink r:id="rId52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"</w:t>
        </w:r>
      </w:hyperlink>
      <w:hyperlink r:id="rId53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ט</w:t>
        </w:r>
      </w:hyperlink>
      <w:hyperlink r:id="rId54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-1969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'  </w:t>
      </w:r>
      <w:hyperlink r:id="rId55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0"/>
          </w:rPr>
          <w:t xml:space="preserve">39</w:t>
        </w:r>
      </w:hyperlink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027">
            <w:pPr>
              <w:bidi w:val="1"/>
              <w:jc w:val="center"/>
              <w:rPr>
                <w:rFonts w:ascii="David" w:cs="David" w:eastAsia="David" w:hAnsi="David"/>
                <w:b w:val="1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28">
            <w:pPr>
              <w:bidi w:val="1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bidi w:val="1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ind w:left="360" w:firstLine="360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: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המייחס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5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5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7(</w:t>
        </w:r>
      </w:hyperlink>
      <w:hyperlink r:id="rId5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5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60">
        <w:r w:rsidDel="00000000" w:rsidR="00000000" w:rsidRPr="00000000">
          <w:rPr>
            <w:rtl w:val="0"/>
          </w:rPr>
        </w:r>
      </w:hyperlink>
      <w:hyperlink r:id="rId6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7(</w:t>
        </w:r>
      </w:hyperlink>
      <w:hyperlink r:id="rId6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ג</w:t>
        </w:r>
      </w:hyperlink>
      <w:hyperlink r:id="rId6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hyperlink r:id="rId6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פקודת</w:t>
        </w:r>
      </w:hyperlink>
      <w:hyperlink r:id="rId6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6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הסמים</w:t>
        </w:r>
      </w:hyperlink>
      <w:hyperlink r:id="rId6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6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1973,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פקודת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hyperlink r:id="rId6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1"/>
          </w:rPr>
          <w:t xml:space="preserve">סעיף</w:t>
        </w:r>
      </w:hyperlink>
      <w:hyperlink r:id="rId7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בצירוף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hyperlink r:id="rId71">
        <w:r w:rsidDel="00000000" w:rsidR="00000000" w:rsidRPr="00000000">
          <w:rPr>
            <w:rtl w:val="0"/>
          </w:rPr>
        </w:r>
      </w:hyperlink>
      <w:hyperlink r:id="rId7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1"/>
          </w:rPr>
          <w:t xml:space="preserve">19</w:t>
        </w:r>
      </w:hyperlink>
      <w:hyperlink r:id="rId7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לפקודת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המסוכנים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(8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הנטען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23.8.2022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23:40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ממושב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יונדאי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825-04-101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לתחנת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ובוצע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294.63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המחולק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-31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38.82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9.63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המחולק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4,150 ₪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23.8.2022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12:15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דודו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מחמוד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זאלף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מחמוד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CAPONE,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לרכוש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300 ₪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23:15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למחמוד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20:54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זיסמנוביץ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WEED OWNER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לרכוש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350 ₪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23:00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לרחוב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טשרניחובסקי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23.8.2023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20:00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יעקב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CAPONE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לרכוש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450 ₪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93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הרביעי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22:18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WEADOS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לרכוש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700 ₪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רוטשילד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22.8.2022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00:12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-00:24 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21.8.2022,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במדויק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הפרופסור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לרכוש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650 ₪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189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01:08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-01:30 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לאביתר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00:00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שזהותו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לרכוש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650 ₪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במורד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נחל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בענתות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00:49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-01:00 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00:00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שזהותו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לרכוש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650 ₪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במורד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נחל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בענתות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00:49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-01:00 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במדויק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בניהו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אברהם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בניהו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CAPONE,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לרכוש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300 ₪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בצלאל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21.8.2022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22:26, 22:58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-23:09 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בניהו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לבניהו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19.8.2022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במדויק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אלדד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אלדד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שזהותו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לרכוש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600 ₪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המעפילים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19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19.8.2022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02:42,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-03:17 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אלדד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לאלדד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line="360" w:lineRule="auto"/>
        <w:ind w:firstLine="72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ראיות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משטרת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ומסגרות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חינוכיות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360" w:lineRule="auto"/>
        <w:ind w:left="360" w:firstLine="36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תמצית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טיעוני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הפנתה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וטלפון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לקוחותיו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הפנתה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המוגנים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בציינה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הפגיעה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טלגראס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והפיתוי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בהרתעת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הפנתה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נפרדים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לדבריה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מתסקירי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ישתקם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בהרתעת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לחפוף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התחייבות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המזומן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שהעבירות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קנאביס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במדרג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₪.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ושוחרר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תסקיר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הסניגור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מהתסקירים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שהוגשו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אפריל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להתמכרויות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גורמי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20.5.2023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התסקיר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14.9.2023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הסניגור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במלואן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ומתחרט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ומכירות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בהנדסה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להבחין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ומקצועית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line="360" w:lineRule="auto"/>
        <w:ind w:left="360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דיון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קנביס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אפליקציית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פגש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רוכשי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לידיו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₪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שבמהלך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תקופה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בכללותם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מצביעים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נתפסו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ברכבו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ובכמויות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מחלוקות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לשקיות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כטענת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מבססים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מסקנה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שרשרת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ברכב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והפצתם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מורא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ופעילות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עבריינית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מתמשכת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פוגעות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בערכים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המוגנים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וביטחונו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הנזקים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החמורים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הנגרמים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והפצה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7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7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7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7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6029/03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] (9.2.04)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5">
      <w:pPr>
        <w:shd w:fill="ffffff" w:val="clear"/>
        <w:bidi w:val="1"/>
        <w:ind w:left="720" w:firstLine="0"/>
        <w:jc w:val="both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ind w:left="720" w:firstLine="0"/>
        <w:jc w:val="both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נגע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אוכל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באוכלוסייה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והחברה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הכריזה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מלחמת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חורמה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ומצפה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שהעונשים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שיגזרו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ישתלבו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במאבק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הכולל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להדברת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הנגע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למחזיקי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קרי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למשולבים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במערך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ההפצה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-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מכוון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בהכרת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הכול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החומרה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היתירה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מייחסים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להפצת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ולהרתיע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עבריינים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בכוח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מלשלוח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בפעילות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ההפצה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תכליות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מרכזיות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הטלת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עונשים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חמורים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".</w:t>
      </w:r>
    </w:p>
    <w:p w:rsidR="00000000" w:rsidDel="00000000" w:rsidP="00000000" w:rsidRDefault="00000000" w:rsidRPr="00000000" w14:paraId="00000057">
      <w:pPr>
        <w:shd w:fill="ffffff" w:val="clear"/>
        <w:bidi w:val="1"/>
        <w:ind w:left="720" w:firstLine="0"/>
        <w:jc w:val="both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לגזור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שבמאבק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לשיקולי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הרתעה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hyperlink r:id="rId7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7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8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8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9482/09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] (24.7.11).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8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8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8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8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2596/18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זנזורי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(12.8.2018)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אמצעים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טכנולוגיים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אפליקציית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טלגראס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מהווים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פלטפורמה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ומזמינה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להחמיר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להגביר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ההרתעה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hyperlink r:id="rId8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ת</w:t>
        </w:r>
      </w:hyperlink>
      <w:hyperlink r:id="rId8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8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8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42189-08-19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(6.4.2020).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סבורני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נלווית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ind w:firstLine="72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סטייה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שיקולי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משיקולי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אעמוד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ובמרכזם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35" w:right="0" w:hanging="735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צעיר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27,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והביע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חרטה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מעורבותו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תקופה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ניכרת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שנפתחו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כנגדו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35" w:right="0" w:hanging="735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מחודשיים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23.8.2022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27.10.2022),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בתנאים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בפיקוח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אלקטרוני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35" w:right="0" w:hanging="735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23.5.2023,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גורמי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מעצרו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ולצד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גורמי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הסיכוי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תפקודו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בגרותו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הצעיר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השתלבותו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ההתמכרות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אעיר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הושגה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הרתעה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משמעותית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מעצם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העמדתו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בפסול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שבהתנהגותו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מאופיין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בדפוסים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עבריינים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הומלץ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למצות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ולהטיל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בהיקף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נרחב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350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ולבסס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תעסוקתית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סברתי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בתחילתו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ולעקוב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התקדמותו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35" w:right="0" w:hanging="735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מחודש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אפריל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ההתמכרויות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במפגשים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פרטניים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ומסירת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מגורמי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והתחלתי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מתמיד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בהגעה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סדירה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הפרטניות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ומוטיבציה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ומוסר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המעידות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הימנעות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להתרשמותם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מעורבות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ההתמכרות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הומלץ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35" w:right="0" w:hanging="735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14.9.2023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הדיווח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מגורמי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להתמכרויות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מתמיד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בהגעה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רציפה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וקבועה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הפרטניות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ומוסר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המצביעות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הימנעות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התקיימה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וועדת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אבחון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מבחינה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והתקבל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כשהומלץ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היחידה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גורמי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ומשיתוף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מצדו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לנכון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להמליץ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שביעות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רצון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וציין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בכוונתו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להמשיכו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המלצתו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להטלת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לחצי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בהיקף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350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35" w:right="0" w:hanging="735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1.5.2024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לשתף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גורמי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בשבוע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סוציאלית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לשבוע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שנמשכה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כשלושה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בעקביות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למפגשים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משרידי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מאתגר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בעקביות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מאידך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ביצירת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וחשיפה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המטפלת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משתתף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להתרשמות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לקשיים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תחושות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חיוביות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השתלבותו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ותיאר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לבסס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המטפלת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לחשוף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מעולמו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הפנימי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עוסק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בשאיפותיו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לעתיד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ההיבט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התעסוקתי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קידום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תחושת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המסוגלות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והמשמעות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המלצותיו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יפקח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עלולה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לרגרסיה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ולגדוע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המלצתו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להטלת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נרחב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בהיקף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בתפקיד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נרתם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תקופה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ארוכה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הדיווחים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חיוביים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שמעתי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התרשמותי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המצדיק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בהישגיו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ויאפשר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למסלול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נורמטיבי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ותקין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ממושכת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ובעיקר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מוצלחת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תוביל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לרגרסיה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ותגדע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טעמיו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מקובלים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נסיבותיו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משולב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תעסוקה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כטבח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להתמכרויות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סברתי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לגזור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סוטה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בסיכויי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55" w:right="0" w:hanging="735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8000 ₪ ₪,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- 10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4.9.2024.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למרכז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לגביית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קנסות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אגרות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והוצאות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ברשות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האכיפה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והגבייה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למועדים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והתשלומים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הקנס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ההוצאות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ההחלטה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גזר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לחשבון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לגביית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קנסות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אגרות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והוצאות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ברשות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האכיפה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והגבייה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מהדרכים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80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המקוון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האכיפה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והגבייה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hyperlink r:id="rId9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www.eca.gov.il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800" w:right="0" w:hanging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מוקד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בשרות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גבייה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–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35592*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073-2055000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80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במזומן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הדואר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בהצגת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בשוברי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55" w:right="0" w:hanging="735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8000 ₪,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hyperlink r:id="rId9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פקודת</w:t>
        </w:r>
      </w:hyperlink>
      <w:hyperlink r:id="rId9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9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הסמים</w:t>
        </w:r>
      </w:hyperlink>
      <w:hyperlink r:id="rId9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9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רשמתי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55" w:right="0" w:hanging="735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בהיקף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350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בתפקיד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הפיקוח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ייעשה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55" w:right="0" w:hanging="73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55" w:right="0" w:hanging="735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hyperlink r:id="rId9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פקודת</w:t>
        </w:r>
      </w:hyperlink>
      <w:hyperlink r:id="rId9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9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הסמים</w:t>
        </w:r>
      </w:hyperlink>
      <w:hyperlink r:id="rId9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0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מפקודת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המסוכנים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55" w:right="0" w:hanging="735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hyperlink r:id="rId10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פקודת</w:t>
        </w:r>
      </w:hyperlink>
      <w:hyperlink r:id="rId10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0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הסמים</w:t>
        </w:r>
      </w:hyperlink>
      <w:hyperlink r:id="rId10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0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068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ind w:firstLine="708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שאלת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החילוט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לחלט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המזומן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החילוט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נשענת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0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0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39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hyperlink r:id="rId10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פקודת</w:t>
        </w:r>
      </w:hyperlink>
      <w:hyperlink r:id="rId10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1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סדר</w:t>
        </w:r>
      </w:hyperlink>
      <w:hyperlink r:id="rId11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1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הדין</w:t>
        </w:r>
      </w:hyperlink>
      <w:hyperlink r:id="rId11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1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הפלילי</w:t>
        </w:r>
      </w:hyperlink>
      <w:hyperlink r:id="rId11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(</w:t>
        </w:r>
      </w:hyperlink>
      <w:hyperlink r:id="rId11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מעצר</w:t>
        </w:r>
      </w:hyperlink>
      <w:hyperlink r:id="rId11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1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וחיפוש</w:t>
        </w:r>
      </w:hyperlink>
      <w:hyperlink r:id="rId11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התשכ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1969,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2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2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36</w:t>
        </w:r>
      </w:hyperlink>
      <w:hyperlink r:id="rId12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12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(</w:t>
        </w:r>
      </w:hyperlink>
      <w:hyperlink r:id="rId12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12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hyperlink r:id="rId12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פקודת</w:t>
        </w:r>
      </w:hyperlink>
      <w:hyperlink r:id="rId12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2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הסמים</w:t>
        </w:r>
      </w:hyperlink>
      <w:hyperlink r:id="rId12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3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- 1973.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3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3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36</w:t>
        </w:r>
      </w:hyperlink>
      <w:hyperlink r:id="rId13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13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(</w:t>
        </w:r>
      </w:hyperlink>
      <w:hyperlink r:id="rId13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</w:t>
        </w:r>
      </w:hyperlink>
      <w:hyperlink r:id="rId13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hyperlink r:id="rId13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פקודת</w:t>
        </w:r>
      </w:hyperlink>
      <w:hyperlink r:id="rId13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3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הסמים</w:t>
        </w:r>
      </w:hyperlink>
      <w:hyperlink r:id="rId14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4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חילוט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חקיקה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ציונה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נכללה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הטיעון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חולק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המזומן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חילוט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החקיקה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4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4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36</w:t>
        </w:r>
      </w:hyperlink>
      <w:hyperlink r:id="rId14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14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(</w:t>
        </w:r>
      </w:hyperlink>
      <w:hyperlink r:id="rId14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14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hyperlink r:id="rId14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פקודת</w:t>
        </w:r>
      </w:hyperlink>
      <w:hyperlink r:id="rId14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5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הסמים</w:t>
        </w:r>
      </w:hyperlink>
      <w:hyperlink r:id="rId15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5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נימוקים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מיוחדים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חילוטו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חילוט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הרכוש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שבפנינו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בנמצא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נימוקים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מיוחדים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המצדיקים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חילוט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הרכוש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מכריז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חילוט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סלולרי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אייפון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1,450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שנתפסו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שנתפסו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יושמדו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300" w:lineRule="auto"/>
        <w:ind w:left="360" w:firstLine="360"/>
        <w:jc w:val="both"/>
        <w:rPr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המזכירות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העתק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ההחלטה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לשרות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b w:val="1"/>
          <w:color w:val="ffffff"/>
          <w:sz w:val="2"/>
          <w:szCs w:val="2"/>
          <w:rtl w:val="0"/>
        </w:rPr>
        <w:t xml:space="preserve">5129371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 45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מהיום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both"/>
        <w:rPr>
          <w:rFonts w:ascii="Arial" w:cs="Arial" w:eastAsia="Arial" w:hAnsi="Arial"/>
          <w:b w:val="1"/>
          <w:color w:val="ffffff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"/>
          <w:szCs w:val="2"/>
          <w:rtl w:val="0"/>
        </w:rPr>
        <w:t xml:space="preserve">54678313</w:t>
      </w:r>
    </w:p>
    <w:p w:rsidR="00000000" w:rsidDel="00000000" w:rsidP="00000000" w:rsidRDefault="00000000" w:rsidRPr="00000000" w14:paraId="0000007D">
      <w:pPr>
        <w:bidi w:val="1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7E">
      <w:pPr>
        <w:bidi w:val="1"/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סיוון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תשפ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, 02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יולי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2024,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במעמד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הנוכחים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. </w:t>
        <w:tab/>
        <w:tab/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7F">
      <w:pPr>
        <w:bidi w:val="1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ארנון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איתן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נוסח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כפוף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ניסוח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center"/>
        <w:rPr>
          <w:color w:val="0000ff"/>
          <w:u w:val="single"/>
        </w:rPr>
      </w:pPr>
      <w:hyperlink r:id="rId153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15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5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15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7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15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9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16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1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162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163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16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5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16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7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16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9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170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171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17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73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jc w:val="cente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headerReference r:id="rId174" w:type="default"/>
      <w:headerReference r:id="rId175" w:type="even"/>
      <w:footerReference r:id="rId176" w:type="default"/>
      <w:footerReference r:id="rId177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David"/>
  <w:font w:name="FrankRuehl"/>
  <w:font w:name="Courier New"/>
  <w:font w:name="Tahoma">
    <w:embedRegular w:fontKey="{00000000-0000-0000-0000-000000000000}" r:id="rId3" w:subsetted="0"/>
    <w:embedBold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8pt;height:17.85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8pt;height:17.85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6749-09-22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בר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חיון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6749-09-22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בר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חיון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David" w:cs="David" w:eastAsia="David" w:hAnsi="David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35" w:hanging="735"/>
      </w:pPr>
      <w:rPr/>
    </w:lvl>
    <w:lvl w:ilvl="1">
      <w:start w:val="1"/>
      <w:numFmt w:val="decimal"/>
      <w:lvlText w:val="%2."/>
      <w:lvlJc w:val="left"/>
      <w:pPr>
        <w:ind w:left="1455" w:hanging="735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6EF7"/>
    <w:pPr>
      <w:bidi w:val="1"/>
    </w:pPr>
    <w:rPr>
      <w:rFonts w:ascii="Times New Roman" w:cs="David" w:eastAsia="Times New Roman" w:hAnsi="Times New Roman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DC6EF7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rsid w:val="00DC6EF7"/>
    <w:rPr>
      <w:rFonts w:ascii="Times New Roman" w:cs="David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DC6EF7"/>
    <w:pPr>
      <w:tabs>
        <w:tab w:val="center" w:pos="4153"/>
        <w:tab w:val="right" w:pos="8306"/>
      </w:tabs>
    </w:pPr>
  </w:style>
  <w:style w:type="character" w:styleId="FooterChar" w:customStyle="1">
    <w:name w:val="Footer Char"/>
    <w:link w:val="Footer"/>
    <w:rsid w:val="00DC6EF7"/>
    <w:rPr>
      <w:rFonts w:ascii="Times New Roman" w:cs="David" w:eastAsia="Times New Roman" w:hAnsi="Times New Roman"/>
      <w:sz w:val="24"/>
      <w:szCs w:val="24"/>
    </w:rPr>
  </w:style>
  <w:style w:type="table" w:styleId="TableGrid">
    <w:name w:val="Table Grid"/>
    <w:basedOn w:val="TableNormal"/>
    <w:rsid w:val="00DC6EF7"/>
    <w:pPr>
      <w:bidi w:val="1"/>
    </w:pPr>
    <w:rPr>
      <w:rFonts w:ascii="Times New Roman" w:cs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rsid w:val="00DC6EF7"/>
  </w:style>
  <w:style w:type="character" w:styleId="Hyperlink">
    <w:name w:val="Hyperlink"/>
    <w:rsid w:val="00DC6EF7"/>
    <w:rPr>
      <w:color w:val="0000ff"/>
      <w:u w:val="single"/>
    </w:rPr>
  </w:style>
  <w:style w:type="paragraph" w:styleId="ListParagraph">
    <w:name w:val="List Paragraph"/>
    <w:basedOn w:val="Normal"/>
    <w:qFormat w:val="1"/>
    <w:rsid w:val="00DC6E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evo.co.il/law/74918" TargetMode="External"/><Relationship Id="rId42" Type="http://schemas.openxmlformats.org/officeDocument/2006/relationships/hyperlink" Target="http://www.nevo.co.il/law/74918" TargetMode="External"/><Relationship Id="rId41" Type="http://schemas.openxmlformats.org/officeDocument/2006/relationships/hyperlink" Target="http://www.nevo.co.il/law/74918" TargetMode="External"/><Relationship Id="rId44" Type="http://schemas.openxmlformats.org/officeDocument/2006/relationships/hyperlink" Target="http://www.nevo.co.il/law/74918" TargetMode="External"/><Relationship Id="rId43" Type="http://schemas.openxmlformats.org/officeDocument/2006/relationships/hyperlink" Target="http://www.nevo.co.il/law/74918" TargetMode="External"/><Relationship Id="rId46" Type="http://schemas.openxmlformats.org/officeDocument/2006/relationships/hyperlink" Target="http://www.nevo.co.il/law/74918" TargetMode="External"/><Relationship Id="rId45" Type="http://schemas.openxmlformats.org/officeDocument/2006/relationships/hyperlink" Target="http://www.nevo.co.il/law/74918" TargetMode="External"/><Relationship Id="rId107" Type="http://schemas.openxmlformats.org/officeDocument/2006/relationships/hyperlink" Target="http://www.nevo.co.il/law/74918/39" TargetMode="External"/><Relationship Id="rId106" Type="http://schemas.openxmlformats.org/officeDocument/2006/relationships/hyperlink" Target="http://www.nevo.co.il/law/74918/39" TargetMode="External"/><Relationship Id="rId105" Type="http://schemas.openxmlformats.org/officeDocument/2006/relationships/hyperlink" Target="http://www.nevo.co.il/law/4216" TargetMode="External"/><Relationship Id="rId104" Type="http://schemas.openxmlformats.org/officeDocument/2006/relationships/hyperlink" Target="http://www.nevo.co.il/law/4216" TargetMode="External"/><Relationship Id="rId109" Type="http://schemas.openxmlformats.org/officeDocument/2006/relationships/hyperlink" Target="http://www.nevo.co.il/law/74918" TargetMode="External"/><Relationship Id="rId108" Type="http://schemas.openxmlformats.org/officeDocument/2006/relationships/hyperlink" Target="http://www.nevo.co.il/law/74918" TargetMode="External"/><Relationship Id="rId48" Type="http://schemas.openxmlformats.org/officeDocument/2006/relationships/hyperlink" Target="http://www.nevo.co.il/law/74918" TargetMode="External"/><Relationship Id="rId47" Type="http://schemas.openxmlformats.org/officeDocument/2006/relationships/hyperlink" Target="http://www.nevo.co.il/law/74918" TargetMode="External"/><Relationship Id="rId49" Type="http://schemas.openxmlformats.org/officeDocument/2006/relationships/hyperlink" Target="http://www.nevo.co.il/law/74918" TargetMode="External"/><Relationship Id="rId103" Type="http://schemas.openxmlformats.org/officeDocument/2006/relationships/hyperlink" Target="http://www.nevo.co.il/law/4216" TargetMode="External"/><Relationship Id="rId102" Type="http://schemas.openxmlformats.org/officeDocument/2006/relationships/hyperlink" Target="http://www.nevo.co.il/law/4216" TargetMode="External"/><Relationship Id="rId101" Type="http://schemas.openxmlformats.org/officeDocument/2006/relationships/hyperlink" Target="http://www.nevo.co.il/law/4216" TargetMode="External"/><Relationship Id="rId100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law/4216/36a.a" TargetMode="External"/><Relationship Id="rId30" Type="http://schemas.openxmlformats.org/officeDocument/2006/relationships/hyperlink" Target="http://www.nevo.co.il/law/4216/36a.a" TargetMode="External"/><Relationship Id="rId33" Type="http://schemas.openxmlformats.org/officeDocument/2006/relationships/hyperlink" Target="http://www.nevo.co.il/law/4216/36a.e" TargetMode="External"/><Relationship Id="rId32" Type="http://schemas.openxmlformats.org/officeDocument/2006/relationships/hyperlink" Target="http://www.nevo.co.il/law/4216/36a.e" TargetMode="External"/><Relationship Id="rId35" Type="http://schemas.openxmlformats.org/officeDocument/2006/relationships/hyperlink" Target="http://www.nevo.co.il/law/74918" TargetMode="External"/><Relationship Id="rId34" Type="http://schemas.openxmlformats.org/officeDocument/2006/relationships/hyperlink" Target="http://www.nevo.co.il/law/4216/36a.e" TargetMode="External"/><Relationship Id="rId37" Type="http://schemas.openxmlformats.org/officeDocument/2006/relationships/hyperlink" Target="http://www.nevo.co.il/law/74918" TargetMode="External"/><Relationship Id="rId176" Type="http://schemas.openxmlformats.org/officeDocument/2006/relationships/footer" Target="footer2.xml"/><Relationship Id="rId36" Type="http://schemas.openxmlformats.org/officeDocument/2006/relationships/hyperlink" Target="http://www.nevo.co.il/law/74918" TargetMode="External"/><Relationship Id="rId175" Type="http://schemas.openxmlformats.org/officeDocument/2006/relationships/header" Target="header1.xml"/><Relationship Id="rId39" Type="http://schemas.openxmlformats.org/officeDocument/2006/relationships/hyperlink" Target="http://www.nevo.co.il/law/74918" TargetMode="External"/><Relationship Id="rId174" Type="http://schemas.openxmlformats.org/officeDocument/2006/relationships/header" Target="header2.xml"/><Relationship Id="rId38" Type="http://schemas.openxmlformats.org/officeDocument/2006/relationships/hyperlink" Target="http://www.nevo.co.il/law/74918" TargetMode="External"/><Relationship Id="rId173" Type="http://schemas.openxmlformats.org/officeDocument/2006/relationships/hyperlink" Target="http://www.nevo.co.il/advertisements/nevo-100.doc" TargetMode="External"/><Relationship Id="rId177" Type="http://schemas.openxmlformats.org/officeDocument/2006/relationships/footer" Target="footer1.xml"/><Relationship Id="rId20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/7.a" TargetMode="External"/><Relationship Id="rId129" Type="http://schemas.openxmlformats.org/officeDocument/2006/relationships/hyperlink" Target="http://www.nevo.co.il/law/4216" TargetMode="External"/><Relationship Id="rId128" Type="http://schemas.openxmlformats.org/officeDocument/2006/relationships/hyperlink" Target="http://www.nevo.co.il/law/4216" TargetMode="External"/><Relationship Id="rId127" Type="http://schemas.openxmlformats.org/officeDocument/2006/relationships/hyperlink" Target="http://www.nevo.co.il/law/4216" TargetMode="External"/><Relationship Id="rId126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4216/19a" TargetMode="External"/><Relationship Id="rId121" Type="http://schemas.openxmlformats.org/officeDocument/2006/relationships/hyperlink" Target="http://www.nevo.co.il/law/4216/36a.a" TargetMode="External"/><Relationship Id="rId25" Type="http://schemas.openxmlformats.org/officeDocument/2006/relationships/hyperlink" Target="http://www.nevo.co.il/law/4216/13" TargetMode="External"/><Relationship Id="rId120" Type="http://schemas.openxmlformats.org/officeDocument/2006/relationships/hyperlink" Target="http://www.nevo.co.il/law/4216/36a.a" TargetMode="External"/><Relationship Id="rId28" Type="http://schemas.openxmlformats.org/officeDocument/2006/relationships/hyperlink" Target="http://www.nevo.co.il/law/4216/19a" TargetMode="External"/><Relationship Id="rId27" Type="http://schemas.openxmlformats.org/officeDocument/2006/relationships/hyperlink" Target="http://www.nevo.co.il/law/4216/19a" TargetMode="External"/><Relationship Id="rId125" Type="http://schemas.openxmlformats.org/officeDocument/2006/relationships/hyperlink" Target="http://www.nevo.co.il/law/4216/36a.a" TargetMode="External"/><Relationship Id="rId29" Type="http://schemas.openxmlformats.org/officeDocument/2006/relationships/hyperlink" Target="http://www.nevo.co.il/law/4216/36a.a" TargetMode="External"/><Relationship Id="rId124" Type="http://schemas.openxmlformats.org/officeDocument/2006/relationships/hyperlink" Target="http://www.nevo.co.il/law/4216/36a.a" TargetMode="External"/><Relationship Id="rId123" Type="http://schemas.openxmlformats.org/officeDocument/2006/relationships/hyperlink" Target="http://www.nevo.co.il/law/4216/36a.a" TargetMode="External"/><Relationship Id="rId122" Type="http://schemas.openxmlformats.org/officeDocument/2006/relationships/hyperlink" Target="http://www.nevo.co.il/law/4216/36a.a" TargetMode="External"/><Relationship Id="rId95" Type="http://schemas.openxmlformats.org/officeDocument/2006/relationships/hyperlink" Target="http://www.nevo.co.il/law/4216" TargetMode="External"/><Relationship Id="rId94" Type="http://schemas.openxmlformats.org/officeDocument/2006/relationships/hyperlink" Target="http://www.nevo.co.il/law/4216" TargetMode="External"/><Relationship Id="rId97" Type="http://schemas.openxmlformats.org/officeDocument/2006/relationships/hyperlink" Target="http://www.nevo.co.il/law/4216" TargetMode="External"/><Relationship Id="rId9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9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" TargetMode="External"/><Relationship Id="rId98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91" Type="http://schemas.openxmlformats.org/officeDocument/2006/relationships/hyperlink" Target="http://www.nevo.co.il/law/4216" TargetMode="External"/><Relationship Id="rId90" Type="http://schemas.openxmlformats.org/officeDocument/2006/relationships/hyperlink" Target="http://www.eca.gov.il/" TargetMode="External"/><Relationship Id="rId93" Type="http://schemas.openxmlformats.org/officeDocument/2006/relationships/hyperlink" Target="http://www.nevo.co.il/law/4216" TargetMode="External"/><Relationship Id="rId92" Type="http://schemas.openxmlformats.org/officeDocument/2006/relationships/hyperlink" Target="http://www.nevo.co.il/law/4216" TargetMode="External"/><Relationship Id="rId118" Type="http://schemas.openxmlformats.org/officeDocument/2006/relationships/hyperlink" Target="http://www.nevo.co.il/law/74918" TargetMode="External"/><Relationship Id="rId117" Type="http://schemas.openxmlformats.org/officeDocument/2006/relationships/hyperlink" Target="http://www.nevo.co.il/law/74918" TargetMode="External"/><Relationship Id="rId116" Type="http://schemas.openxmlformats.org/officeDocument/2006/relationships/hyperlink" Target="http://www.nevo.co.il/law/74918" TargetMode="External"/><Relationship Id="rId115" Type="http://schemas.openxmlformats.org/officeDocument/2006/relationships/hyperlink" Target="http://www.nevo.co.il/law/74918" TargetMode="External"/><Relationship Id="rId119" Type="http://schemas.openxmlformats.org/officeDocument/2006/relationships/hyperlink" Target="http://www.nevo.co.il/law/74918" TargetMode="External"/><Relationship Id="rId15" Type="http://schemas.openxmlformats.org/officeDocument/2006/relationships/hyperlink" Target="http://www.nevo.co.il/law/4216" TargetMode="External"/><Relationship Id="rId110" Type="http://schemas.openxmlformats.org/officeDocument/2006/relationships/hyperlink" Target="http://www.nevo.co.il/law/74918" TargetMode="External"/><Relationship Id="rId14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114" Type="http://schemas.openxmlformats.org/officeDocument/2006/relationships/hyperlink" Target="http://www.nevo.co.il/law/74918" TargetMode="External"/><Relationship Id="rId18" Type="http://schemas.openxmlformats.org/officeDocument/2006/relationships/hyperlink" Target="http://www.nevo.co.il/law/4216" TargetMode="External"/><Relationship Id="rId113" Type="http://schemas.openxmlformats.org/officeDocument/2006/relationships/hyperlink" Target="http://www.nevo.co.il/law/74918" TargetMode="External"/><Relationship Id="rId112" Type="http://schemas.openxmlformats.org/officeDocument/2006/relationships/hyperlink" Target="http://www.nevo.co.il/law/74918" TargetMode="External"/><Relationship Id="rId111" Type="http://schemas.openxmlformats.org/officeDocument/2006/relationships/hyperlink" Target="http://www.nevo.co.il/law/74918" TargetMode="External"/><Relationship Id="rId84" Type="http://schemas.openxmlformats.org/officeDocument/2006/relationships/hyperlink" Target="http://www.nevo.co.il/case/23827604" TargetMode="External"/><Relationship Id="rId83" Type="http://schemas.openxmlformats.org/officeDocument/2006/relationships/hyperlink" Target="http://www.nevo.co.il/case/23827604" TargetMode="External"/><Relationship Id="rId86" Type="http://schemas.openxmlformats.org/officeDocument/2006/relationships/hyperlink" Target="http://www.nevo.co.il/case/25973238" TargetMode="External"/><Relationship Id="rId85" Type="http://schemas.openxmlformats.org/officeDocument/2006/relationships/hyperlink" Target="http://www.nevo.co.il/case/23827604" TargetMode="External"/><Relationship Id="rId88" Type="http://schemas.openxmlformats.org/officeDocument/2006/relationships/hyperlink" Target="http://www.nevo.co.il/case/25973238" TargetMode="External"/><Relationship Id="rId150" Type="http://schemas.openxmlformats.org/officeDocument/2006/relationships/hyperlink" Target="http://www.nevo.co.il/law/4216" TargetMode="External"/><Relationship Id="rId87" Type="http://schemas.openxmlformats.org/officeDocument/2006/relationships/hyperlink" Target="http://www.nevo.co.il/case/25973238" TargetMode="External"/><Relationship Id="rId89" Type="http://schemas.openxmlformats.org/officeDocument/2006/relationships/hyperlink" Target="http://www.nevo.co.il/case/25973238" TargetMode="External"/><Relationship Id="rId80" Type="http://schemas.openxmlformats.org/officeDocument/2006/relationships/hyperlink" Target="http://www.nevo.co.il/case/5726579" TargetMode="External"/><Relationship Id="rId82" Type="http://schemas.openxmlformats.org/officeDocument/2006/relationships/hyperlink" Target="http://www.nevo.co.il/case/23827604" TargetMode="External"/><Relationship Id="rId81" Type="http://schemas.openxmlformats.org/officeDocument/2006/relationships/hyperlink" Target="http://www.nevo.co.il/case/5726579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law/4216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" TargetMode="External"/><Relationship Id="rId143" Type="http://schemas.openxmlformats.org/officeDocument/2006/relationships/hyperlink" Target="http://www.nevo.co.il/law/4216/36a.a" TargetMode="External"/><Relationship Id="rId142" Type="http://schemas.openxmlformats.org/officeDocument/2006/relationships/hyperlink" Target="http://www.nevo.co.il/law/4216/36a.a" TargetMode="External"/><Relationship Id="rId141" Type="http://schemas.openxmlformats.org/officeDocument/2006/relationships/hyperlink" Target="http://www.nevo.co.il/law/4216" TargetMode="External"/><Relationship Id="rId140" Type="http://schemas.openxmlformats.org/officeDocument/2006/relationships/hyperlink" Target="http://www.nevo.co.il/law/4216" TargetMode="External"/><Relationship Id="rId5" Type="http://schemas.openxmlformats.org/officeDocument/2006/relationships/fontTable" Target="fontTable.xml"/><Relationship Id="rId147" Type="http://schemas.openxmlformats.org/officeDocument/2006/relationships/hyperlink" Target="http://www.nevo.co.il/law/4216/36a.a" TargetMode="External"/><Relationship Id="rId6" Type="http://schemas.openxmlformats.org/officeDocument/2006/relationships/numbering" Target="numbering.xml"/><Relationship Id="rId146" Type="http://schemas.openxmlformats.org/officeDocument/2006/relationships/hyperlink" Target="http://www.nevo.co.il/law/4216/36a.a" TargetMode="External"/><Relationship Id="rId7" Type="http://schemas.openxmlformats.org/officeDocument/2006/relationships/styles" Target="styles.xml"/><Relationship Id="rId145" Type="http://schemas.openxmlformats.org/officeDocument/2006/relationships/hyperlink" Target="http://www.nevo.co.il/law/4216/36a.a" TargetMode="External"/><Relationship Id="rId8" Type="http://schemas.openxmlformats.org/officeDocument/2006/relationships/customXml" Target="../customXML/item1.xml"/><Relationship Id="rId144" Type="http://schemas.openxmlformats.org/officeDocument/2006/relationships/hyperlink" Target="http://www.nevo.co.il/law/4216/36a.a" TargetMode="External"/><Relationship Id="rId73" Type="http://schemas.openxmlformats.org/officeDocument/2006/relationships/hyperlink" Target="http://www.nevo.co.il/law/4216/19a" TargetMode="External"/><Relationship Id="rId72" Type="http://schemas.openxmlformats.org/officeDocument/2006/relationships/hyperlink" Target="http://www.nevo.co.il/law/4216/19a" TargetMode="External"/><Relationship Id="rId75" Type="http://schemas.openxmlformats.org/officeDocument/2006/relationships/hyperlink" Target="http://www.nevo.co.il/case/5786821" TargetMode="External"/><Relationship Id="rId74" Type="http://schemas.openxmlformats.org/officeDocument/2006/relationships/hyperlink" Target="http://www.nevo.co.il/case/5786821" TargetMode="External"/><Relationship Id="rId77" Type="http://schemas.openxmlformats.org/officeDocument/2006/relationships/hyperlink" Target="http://www.nevo.co.il/case/5786821" TargetMode="External"/><Relationship Id="rId76" Type="http://schemas.openxmlformats.org/officeDocument/2006/relationships/hyperlink" Target="http://www.nevo.co.il/case/5786821" TargetMode="External"/><Relationship Id="rId79" Type="http://schemas.openxmlformats.org/officeDocument/2006/relationships/hyperlink" Target="http://www.nevo.co.il/case/5726579" TargetMode="External"/><Relationship Id="rId78" Type="http://schemas.openxmlformats.org/officeDocument/2006/relationships/hyperlink" Target="http://www.nevo.co.il/case/5726579" TargetMode="External"/><Relationship Id="rId71" Type="http://schemas.openxmlformats.org/officeDocument/2006/relationships/hyperlink" Target="http://www.nevo.co.il/law/4216/19a" TargetMode="External"/><Relationship Id="rId70" Type="http://schemas.openxmlformats.org/officeDocument/2006/relationships/hyperlink" Target="http://www.nevo.co.il/law/4216/13" TargetMode="External"/><Relationship Id="rId139" Type="http://schemas.openxmlformats.org/officeDocument/2006/relationships/hyperlink" Target="http://www.nevo.co.il/law/4216" TargetMode="External"/><Relationship Id="rId138" Type="http://schemas.openxmlformats.org/officeDocument/2006/relationships/hyperlink" Target="http://www.nevo.co.il/law/4216" TargetMode="External"/><Relationship Id="rId137" Type="http://schemas.openxmlformats.org/officeDocument/2006/relationships/hyperlink" Target="http://www.nevo.co.il/law/4216" TargetMode="External"/><Relationship Id="rId132" Type="http://schemas.openxmlformats.org/officeDocument/2006/relationships/hyperlink" Target="http://www.nevo.co.il/law/4216/36a.e" TargetMode="External"/><Relationship Id="rId131" Type="http://schemas.openxmlformats.org/officeDocument/2006/relationships/hyperlink" Target="http://www.nevo.co.il/law/4216/36a.e" TargetMode="External"/><Relationship Id="rId130" Type="http://schemas.openxmlformats.org/officeDocument/2006/relationships/hyperlink" Target="http://www.nevo.co.il/law/4216" TargetMode="External"/><Relationship Id="rId136" Type="http://schemas.openxmlformats.org/officeDocument/2006/relationships/hyperlink" Target="http://www.nevo.co.il/law/4216/36a.e" TargetMode="External"/><Relationship Id="rId135" Type="http://schemas.openxmlformats.org/officeDocument/2006/relationships/hyperlink" Target="http://www.nevo.co.il/law/4216/36a.e" TargetMode="External"/><Relationship Id="rId134" Type="http://schemas.openxmlformats.org/officeDocument/2006/relationships/hyperlink" Target="http://www.nevo.co.il/law/4216/36a.e" TargetMode="External"/><Relationship Id="rId133" Type="http://schemas.openxmlformats.org/officeDocument/2006/relationships/hyperlink" Target="http://www.nevo.co.il/law/4216/36a.e" TargetMode="External"/><Relationship Id="rId62" Type="http://schemas.openxmlformats.org/officeDocument/2006/relationships/hyperlink" Target="http://www.nevo.co.il/law/4216/7.c" TargetMode="External"/><Relationship Id="rId61" Type="http://schemas.openxmlformats.org/officeDocument/2006/relationships/hyperlink" Target="http://www.nevo.co.il/law/4216/7.c" TargetMode="External"/><Relationship Id="rId64" Type="http://schemas.openxmlformats.org/officeDocument/2006/relationships/hyperlink" Target="http://www.nevo.co.il/law/4216" TargetMode="External"/><Relationship Id="rId63" Type="http://schemas.openxmlformats.org/officeDocument/2006/relationships/hyperlink" Target="http://www.nevo.co.il/law/4216/7.c" TargetMode="External"/><Relationship Id="rId66" Type="http://schemas.openxmlformats.org/officeDocument/2006/relationships/hyperlink" Target="http://www.nevo.co.il/law/4216" TargetMode="External"/><Relationship Id="rId172" Type="http://schemas.openxmlformats.org/officeDocument/2006/relationships/hyperlink" Target="http://www.nevo.co.il/advertisements/nevo-100.doc" TargetMode="External"/><Relationship Id="rId65" Type="http://schemas.openxmlformats.org/officeDocument/2006/relationships/hyperlink" Target="http://www.nevo.co.il/law/4216" TargetMode="External"/><Relationship Id="rId171" Type="http://schemas.openxmlformats.org/officeDocument/2006/relationships/hyperlink" Target="http://www.nevo.co.il/advertisements/nevo-100.doc" TargetMode="External"/><Relationship Id="rId68" Type="http://schemas.openxmlformats.org/officeDocument/2006/relationships/hyperlink" Target="http://www.nevo.co.il/law/4216" TargetMode="External"/><Relationship Id="rId170" Type="http://schemas.openxmlformats.org/officeDocument/2006/relationships/hyperlink" Target="http://www.nevo.co.il/advertisements/nevo-100.doc" TargetMode="External"/><Relationship Id="rId67" Type="http://schemas.openxmlformats.org/officeDocument/2006/relationships/hyperlink" Target="http://www.nevo.co.il/law/4216" TargetMode="External"/><Relationship Id="rId60" Type="http://schemas.openxmlformats.org/officeDocument/2006/relationships/hyperlink" Target="http://www.nevo.co.il/law/4216/7.c" TargetMode="External"/><Relationship Id="rId165" Type="http://schemas.openxmlformats.org/officeDocument/2006/relationships/hyperlink" Target="http://www.nevo.co.il/advertisements/nevo-100.doc" TargetMode="External"/><Relationship Id="rId69" Type="http://schemas.openxmlformats.org/officeDocument/2006/relationships/hyperlink" Target="http://www.nevo.co.il/law/4216/13" TargetMode="External"/><Relationship Id="rId164" Type="http://schemas.openxmlformats.org/officeDocument/2006/relationships/hyperlink" Target="http://www.nevo.co.il/advertisements/nevo-100.doc" TargetMode="External"/><Relationship Id="rId163" Type="http://schemas.openxmlformats.org/officeDocument/2006/relationships/hyperlink" Target="http://www.nevo.co.il/advertisements/nevo-100.doc" TargetMode="External"/><Relationship Id="rId162" Type="http://schemas.openxmlformats.org/officeDocument/2006/relationships/hyperlink" Target="http://www.nevo.co.il/advertisements/nevo-100.doc" TargetMode="External"/><Relationship Id="rId169" Type="http://schemas.openxmlformats.org/officeDocument/2006/relationships/hyperlink" Target="http://www.nevo.co.il/advertisements/nevo-100.doc" TargetMode="External"/><Relationship Id="rId168" Type="http://schemas.openxmlformats.org/officeDocument/2006/relationships/hyperlink" Target="http://www.nevo.co.il/advertisements/nevo-100.doc" TargetMode="External"/><Relationship Id="rId167" Type="http://schemas.openxmlformats.org/officeDocument/2006/relationships/hyperlink" Target="http://www.nevo.co.il/advertisements/nevo-100.doc" TargetMode="External"/><Relationship Id="rId166" Type="http://schemas.openxmlformats.org/officeDocument/2006/relationships/hyperlink" Target="http://www.nevo.co.il/advertisements/nevo-100.doc" TargetMode="External"/><Relationship Id="rId51" Type="http://schemas.openxmlformats.org/officeDocument/2006/relationships/hyperlink" Target="http://www.nevo.co.il/law/74918" TargetMode="External"/><Relationship Id="rId50" Type="http://schemas.openxmlformats.org/officeDocument/2006/relationships/hyperlink" Target="http://www.nevo.co.il/law/74918" TargetMode="External"/><Relationship Id="rId53" Type="http://schemas.openxmlformats.org/officeDocument/2006/relationships/hyperlink" Target="http://www.nevo.co.il/law/74918" TargetMode="External"/><Relationship Id="rId52" Type="http://schemas.openxmlformats.org/officeDocument/2006/relationships/hyperlink" Target="http://www.nevo.co.il/law/74918" TargetMode="External"/><Relationship Id="rId55" Type="http://schemas.openxmlformats.org/officeDocument/2006/relationships/hyperlink" Target="http://www.nevo.co.il/law/74918/39" TargetMode="External"/><Relationship Id="rId161" Type="http://schemas.openxmlformats.org/officeDocument/2006/relationships/hyperlink" Target="http://www.nevo.co.il/advertisements/nevo-100.doc" TargetMode="External"/><Relationship Id="rId54" Type="http://schemas.openxmlformats.org/officeDocument/2006/relationships/hyperlink" Target="http://www.nevo.co.il/law/74918" TargetMode="External"/><Relationship Id="rId160" Type="http://schemas.openxmlformats.org/officeDocument/2006/relationships/hyperlink" Target="http://www.nevo.co.il/advertisements/nevo-100.doc" TargetMode="External"/><Relationship Id="rId57" Type="http://schemas.openxmlformats.org/officeDocument/2006/relationships/hyperlink" Target="http://www.nevo.co.il/law/4216/7.a" TargetMode="External"/><Relationship Id="rId56" Type="http://schemas.openxmlformats.org/officeDocument/2006/relationships/hyperlink" Target="http://www.nevo.co.il/law/4216/7.a" TargetMode="External"/><Relationship Id="rId159" Type="http://schemas.openxmlformats.org/officeDocument/2006/relationships/hyperlink" Target="http://www.nevo.co.il/advertisements/nevo-100.doc" TargetMode="External"/><Relationship Id="rId59" Type="http://schemas.openxmlformats.org/officeDocument/2006/relationships/hyperlink" Target="http://www.nevo.co.il/law/4216/7.a" TargetMode="External"/><Relationship Id="rId154" Type="http://schemas.openxmlformats.org/officeDocument/2006/relationships/hyperlink" Target="http://www.nevo.co.il/advertisements/nevo-100.doc" TargetMode="External"/><Relationship Id="rId58" Type="http://schemas.openxmlformats.org/officeDocument/2006/relationships/hyperlink" Target="http://www.nevo.co.il/law/4216/7.a" TargetMode="External"/><Relationship Id="rId153" Type="http://schemas.openxmlformats.org/officeDocument/2006/relationships/hyperlink" Target="http://www.nevo.co.il/advertisements/nevo-100.doc" TargetMode="External"/><Relationship Id="rId152" Type="http://schemas.openxmlformats.org/officeDocument/2006/relationships/hyperlink" Target="http://www.nevo.co.il/law/4216" TargetMode="External"/><Relationship Id="rId151" Type="http://schemas.openxmlformats.org/officeDocument/2006/relationships/hyperlink" Target="http://www.nevo.co.il/law/4216" TargetMode="External"/><Relationship Id="rId158" Type="http://schemas.openxmlformats.org/officeDocument/2006/relationships/hyperlink" Target="http://www.nevo.co.il/advertisements/nevo-100.doc" TargetMode="External"/><Relationship Id="rId157" Type="http://schemas.openxmlformats.org/officeDocument/2006/relationships/hyperlink" Target="http://www.nevo.co.il/advertisements/nevo-100.doc" TargetMode="External"/><Relationship Id="rId156" Type="http://schemas.openxmlformats.org/officeDocument/2006/relationships/hyperlink" Target="http://www.nevo.co.il/advertisements/nevo-100.doc" TargetMode="External"/><Relationship Id="rId155" Type="http://schemas.openxmlformats.org/officeDocument/2006/relationships/hyperlink" Target="http://www.nevo.co.il/advertisements/nevo-100.doc" TargetMode="Externa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1aH9Z1gNYkULiP+u8vAhj4KHuQ==">CgMxLjAyCmlkLjMwajB6bGwyCWlkLmdqZGd4czIKaWQuMWZvYjl0ZTIKaWQuM3pueXNoNzIKaWQuMmV0OTJwMDIJaWQudHlqY3d0MgppZC4zZHk2dmttMgppZC4xdDNoNXNmMgppZC40ZDM0b2c4OAByITFPT0NFS1V5Q2JMSFNzUUtxZTJ2clduVHhfeU0xQXBpUA==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2024-12-03T08:36:00Z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6749</vt:lpwstr>
  </property>
  <property fmtid="{D5CDD505-2E9C-101B-9397-08002B2CF9AE}" pid="6" name="NEWPARTB">
    <vt:lpwstr>09</vt:lpwstr>
  </property>
  <property fmtid="{D5CDD505-2E9C-101B-9397-08002B2CF9AE}" pid="7" name="NEWPARTC">
    <vt:lpwstr>22</vt:lpwstr>
  </property>
  <property fmtid="{D5CDD505-2E9C-101B-9397-08002B2CF9AE}" pid="8" name="APPELLANT">
    <vt:lpwstr>מדינת ישראל</vt:lpwstr>
  </property>
  <property fmtid="{D5CDD505-2E9C-101B-9397-08002B2CF9AE}" pid="9" name="APPELLEE">
    <vt:lpwstr>בר אל חיון</vt:lpwstr>
  </property>
  <property fmtid="{D5CDD505-2E9C-101B-9397-08002B2CF9AE}" pid="10" name="LAWYER">
    <vt:lpwstr>משה יוחאי;לירון אודסר</vt:lpwstr>
  </property>
  <property fmtid="{D5CDD505-2E9C-101B-9397-08002B2CF9AE}" pid="11" name="JUDGE">
    <vt:lpwstr>ארנון איתן</vt:lpwstr>
  </property>
  <property fmtid="{D5CDD505-2E9C-101B-9397-08002B2CF9AE}" pid="12" name="CITY">
    <vt:lpwstr>י-ם</vt:lpwstr>
  </property>
  <property fmtid="{D5CDD505-2E9C-101B-9397-08002B2CF9AE}" pid="13" name="DATE">
    <vt:lpwstr>20240702</vt:lpwstr>
  </property>
  <property fmtid="{D5CDD505-2E9C-101B-9397-08002B2CF9AE}" pid="14" name="TYPE_N_DATE">
    <vt:lpwstr>38020240702</vt:lpwstr>
  </property>
  <property fmtid="{D5CDD505-2E9C-101B-9397-08002B2CF9AE}" pid="15" name="CASESLISTTMP1">
    <vt:lpwstr>5786821;5726579;23827604;25973238</vt:lpwstr>
  </property>
  <property fmtid="{D5CDD505-2E9C-101B-9397-08002B2CF9AE}" pid="16" name="WORDNUMPAGES">
    <vt:lpwstr>9</vt:lpwstr>
  </property>
  <property fmtid="{D5CDD505-2E9C-101B-9397-08002B2CF9AE}" pid="17" name="TYPE_ABS_DATE">
    <vt:lpwstr>380020240702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4216/007.a;007.c;013;019a;036a.a:2;036a.e</vt:lpwstr>
  </property>
  <property fmtid="{D5CDD505-2E9C-101B-9397-08002B2CF9AE}" pid="37" name="LAWLISTTMP2">
    <vt:lpwstr>74918/039</vt:lpwstr>
  </property>
</Properties>
</file>