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70401-02-19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מורוזוב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אנטון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מורוזוב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6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384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 הורשע בהתאם להודאתו בעובדות כתב האישום המתוקן בעבירות כדלקמן</w:t>
      </w:r>
      <w:r>
        <w:rPr>
          <w:rtl w:val="true"/>
        </w:rPr>
        <w:t>: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ייצור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הכנה והפקת סם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.    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rFonts w:eastAsia="David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9" w:name="ABSTRACT_END"/>
      <w:bookmarkEnd w:id="9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30.11.18</w:t>
      </w:r>
      <w:r>
        <w:rPr>
          <w:rtl w:val="true"/>
        </w:rPr>
        <w:t xml:space="preserve"> </w:t>
      </w:r>
      <w:r>
        <w:rPr>
          <w:rtl w:val="true"/>
        </w:rPr>
        <w:t>הנאשם שכר דירה בנתניה</w:t>
      </w:r>
      <w:r>
        <w:rPr>
          <w:rtl w:val="true"/>
        </w:rPr>
        <w:t xml:space="preserve">. </w:t>
      </w:r>
      <w:r>
        <w:rPr>
          <w:rtl w:val="true"/>
        </w:rPr>
        <w:t>הנאשם הקים בדירה מעבדה לגידול סמים מסוג קנאביס</w:t>
      </w:r>
      <w:r>
        <w:rPr>
          <w:rtl w:val="true"/>
        </w:rPr>
        <w:t xml:space="preserve">. </w:t>
      </w:r>
      <w:r>
        <w:rPr>
          <w:rtl w:val="true"/>
        </w:rPr>
        <w:t>לשם כך צייד את הדירה בשנאים</w:t>
      </w:r>
      <w:r>
        <w:rPr>
          <w:rtl w:val="true"/>
        </w:rPr>
        <w:t xml:space="preserve">, </w:t>
      </w:r>
      <w:r>
        <w:rPr>
          <w:rtl w:val="true"/>
        </w:rPr>
        <w:t>מנורות</w:t>
      </w:r>
      <w:r>
        <w:rPr>
          <w:rtl w:val="true"/>
        </w:rPr>
        <w:t xml:space="preserve">, </w:t>
      </w:r>
      <w:r>
        <w:rPr>
          <w:rtl w:val="true"/>
        </w:rPr>
        <w:t>מאווררים</w:t>
      </w:r>
      <w:r>
        <w:rPr>
          <w:rtl w:val="true"/>
        </w:rPr>
        <w:t xml:space="preserve">, </w:t>
      </w:r>
      <w:r>
        <w:rPr>
          <w:rtl w:val="true"/>
        </w:rPr>
        <w:t>שעונים</w:t>
      </w:r>
      <w:r>
        <w:rPr>
          <w:rtl w:val="true"/>
        </w:rPr>
        <w:t xml:space="preserve">, </w:t>
      </w:r>
      <w:r>
        <w:rPr>
          <w:rtl w:val="true"/>
        </w:rPr>
        <w:t>מדי טמפרטורה</w:t>
      </w:r>
      <w:r>
        <w:rPr>
          <w:rtl w:val="true"/>
        </w:rPr>
        <w:t xml:space="preserve">, </w:t>
      </w:r>
      <w:r>
        <w:rPr>
          <w:rtl w:val="true"/>
        </w:rPr>
        <w:t>מפוחים</w:t>
      </w:r>
      <w:r>
        <w:rPr>
          <w:rtl w:val="true"/>
        </w:rPr>
        <w:t xml:space="preserve">, </w:t>
      </w:r>
      <w:r>
        <w:rPr>
          <w:rtl w:val="true"/>
        </w:rPr>
        <w:t>פילטרים</w:t>
      </w:r>
      <w:r>
        <w:rPr>
          <w:rtl w:val="true"/>
        </w:rPr>
        <w:t xml:space="preserve">, </w:t>
      </w:r>
      <w:r>
        <w:rPr>
          <w:rtl w:val="true"/>
        </w:rPr>
        <w:t>מכונה חשמלית לייבוש סם וחומרי דישון</w:t>
      </w:r>
      <w:r>
        <w:rPr>
          <w:rtl w:val="true"/>
        </w:rPr>
        <w:t xml:space="preserve">. </w:t>
      </w:r>
      <w:r>
        <w:rPr>
          <w:rtl w:val="true"/>
        </w:rPr>
        <w:t>לשם הפעלת המעבדה הנאשם ביצע שינויים במערכת החשמל</w:t>
      </w:r>
      <w:r>
        <w:rPr>
          <w:rtl w:val="true"/>
        </w:rPr>
        <w:t xml:space="preserve">, </w:t>
      </w:r>
      <w:r>
        <w:rPr>
          <w:rtl w:val="true"/>
        </w:rPr>
        <w:t>ובמסגרת זו ביצע מעקף בחשמל בדירה כך שלא יחויב כנדרש</w:t>
      </w:r>
      <w:r>
        <w:rPr>
          <w:rtl w:val="true"/>
        </w:rPr>
        <w:t xml:space="preserve">. </w:t>
      </w:r>
      <w:r>
        <w:rPr>
          <w:rtl w:val="true"/>
        </w:rPr>
        <w:t xml:space="preserve">החל מאותו מועד ועד ליום </w:t>
      </w:r>
      <w:r>
        <w:rPr/>
        <w:t>19.2.19</w:t>
      </w:r>
      <w:r>
        <w:rPr>
          <w:rtl w:val="true"/>
        </w:rPr>
        <w:t xml:space="preserve"> </w:t>
      </w:r>
      <w:r>
        <w:rPr>
          <w:rtl w:val="true"/>
        </w:rPr>
        <w:t>הנאשם גידל במעבדה סמים מסוג קנאביס ובדירה נתפסו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94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שתילים של הסם וכמות גדולה של תפזורת הסם במשקל כולל של </w:t>
      </w:r>
      <w:r>
        <w:rPr>
          <w:b/>
          <w:bCs/>
        </w:rPr>
        <w:t>80.1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נטו</w:t>
      </w:r>
      <w:r>
        <w:rPr>
          <w:rtl w:val="true"/>
        </w:rPr>
        <w:t xml:space="preserve">. </w:t>
      </w:r>
      <w:r>
        <w:rPr>
          <w:rtl w:val="true"/>
        </w:rPr>
        <w:t xml:space="preserve">במהלך התקופה הנאשם נטל חשמל ללא רשות בשווי של </w:t>
      </w:r>
      <w:r>
        <w:rPr/>
        <w:t>3,783.70</w:t>
      </w:r>
      <w:r>
        <w:rPr>
          <w:rtl w:val="true"/>
        </w:rPr>
        <w:t xml:space="preserve"> ₪.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הצדדים הגיעו להסדר טיעון</w:t>
      </w:r>
      <w:r>
        <w:rPr>
          <w:rtl w:val="true"/>
        </w:rPr>
        <w:t xml:space="preserve">, </w:t>
      </w:r>
      <w:r>
        <w:rPr>
          <w:rtl w:val="true"/>
        </w:rPr>
        <w:t>לפיו הנאשם הודה והורשע בכתב האישום המתוקן והופנה לקבלת תסקיר שירות המבחן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הגבילה את עתירתה לעונש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וכי אם התסקיר יהיה חיובי יעתרו לעונש אחר</w:t>
      </w:r>
      <w:r>
        <w:rPr>
          <w:rtl w:val="true"/>
        </w:rPr>
        <w:t xml:space="preserve">. </w:t>
      </w:r>
      <w:r>
        <w:rPr>
          <w:rtl w:val="true"/>
        </w:rPr>
        <w:t>ההגנה חופשיה בטיעוניה</w:t>
      </w:r>
      <w:r>
        <w:rPr>
          <w:rtl w:val="true"/>
        </w:rPr>
        <w:t xml:space="preserve">. </w:t>
      </w:r>
      <w:r>
        <w:rPr>
          <w:rtl w:val="true"/>
        </w:rPr>
        <w:t xml:space="preserve">הצדדים הסכימו על קנס בסך של </w:t>
      </w:r>
      <w:r>
        <w:rPr/>
        <w:t>15,000</w:t>
      </w:r>
      <w:r>
        <w:rPr>
          <w:rtl w:val="true"/>
        </w:rPr>
        <w:t xml:space="preserve"> ₪.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תסקירי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בן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עובד כמנהל פרויקט בחברת פינוי</w:t>
      </w:r>
      <w:r>
        <w:rPr>
          <w:rtl w:val="true"/>
        </w:rPr>
        <w:t>-</w:t>
      </w:r>
      <w:r>
        <w:rPr>
          <w:rtl w:val="true"/>
        </w:rPr>
        <w:t>בינוי</w:t>
      </w:r>
      <w:r>
        <w:rPr>
          <w:rtl w:val="true"/>
        </w:rPr>
        <w:t xml:space="preserve">. </w:t>
      </w:r>
      <w:r>
        <w:rPr>
          <w:rtl w:val="true"/>
        </w:rPr>
        <w:t xml:space="preserve">אביו נפטר כשהנאשם היה כבן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ומותו נחווה כאירוע מכונן עבורו ועבור בני המשפחה</w:t>
      </w:r>
      <w:r>
        <w:rPr>
          <w:rtl w:val="true"/>
        </w:rPr>
        <w:t xml:space="preserve">. </w:t>
      </w:r>
      <w:r>
        <w:rPr>
          <w:rtl w:val="true"/>
        </w:rPr>
        <w:t>אמו החלה לעבוד שעות רבות והוא שהה עם סבתו בתנאי דוחק</w:t>
      </w:r>
      <w:r>
        <w:rPr>
          <w:rtl w:val="true"/>
        </w:rPr>
        <w:t xml:space="preserve">. </w:t>
      </w:r>
      <w:r>
        <w:rPr>
          <w:rtl w:val="true"/>
        </w:rPr>
        <w:t>בכיתה ט</w:t>
      </w:r>
      <w:r>
        <w:rPr>
          <w:rtl w:val="true"/>
        </w:rPr>
        <w:t xml:space="preserve">' </w:t>
      </w:r>
      <w:r>
        <w:rPr>
          <w:rtl w:val="true"/>
        </w:rPr>
        <w:t>עבר לפנימייה</w:t>
      </w:r>
      <w:r>
        <w:rPr>
          <w:rtl w:val="true"/>
        </w:rPr>
        <w:t xml:space="preserve">, </w:t>
      </w:r>
      <w:r>
        <w:rPr>
          <w:rtl w:val="true"/>
        </w:rPr>
        <w:t>עשה מאמצים לשפר את הישגיו הלימודיים</w:t>
      </w:r>
      <w:r>
        <w:rPr>
          <w:rtl w:val="true"/>
        </w:rPr>
        <w:t xml:space="preserve">, </w:t>
      </w:r>
      <w:r>
        <w:rPr>
          <w:rtl w:val="true"/>
        </w:rPr>
        <w:t>אך הוחלט להשאירו כיתה</w:t>
      </w:r>
      <w:r>
        <w:rPr>
          <w:rtl w:val="true"/>
        </w:rPr>
        <w:t xml:space="preserve">. </w:t>
      </w:r>
      <w:r>
        <w:rPr>
          <w:rtl w:val="true"/>
        </w:rPr>
        <w:t>אובחן כסובל מלקויות למידה ובמקביל ללימודיו עבד כדי לסייע בפרנסת המשפחה</w:t>
      </w:r>
      <w:r>
        <w:rPr>
          <w:rtl w:val="true"/>
        </w:rPr>
        <w:t xml:space="preserve">. </w:t>
      </w:r>
      <w:r>
        <w:rPr>
          <w:rtl w:val="true"/>
        </w:rPr>
        <w:t xml:space="preserve">למרות קשייו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עם תעודת בגרות חלקית</w:t>
      </w:r>
      <w:r>
        <w:rPr>
          <w:rtl w:val="true"/>
        </w:rPr>
        <w:t xml:space="preserve">. </w:t>
      </w:r>
      <w:r>
        <w:rPr>
          <w:rtl w:val="true"/>
        </w:rPr>
        <w:t>שירת שירות צבאי מלא</w:t>
      </w:r>
      <w:r>
        <w:rPr>
          <w:rtl w:val="true"/>
        </w:rPr>
        <w:t xml:space="preserve">. </w:t>
      </w:r>
      <w:r>
        <w:rPr>
          <w:rtl w:val="true"/>
        </w:rPr>
        <w:t xml:space="preserve">החל מחודש נובמבר </w:t>
      </w:r>
      <w:r>
        <w:rPr/>
        <w:t>18</w:t>
      </w:r>
      <w:r>
        <w:rPr>
          <w:rtl w:val="true"/>
        </w:rPr>
        <w:t xml:space="preserve">' </w:t>
      </w:r>
      <w:r>
        <w:rPr>
          <w:rtl w:val="true"/>
        </w:rPr>
        <w:t>עובד בעבודה קבועה עד היום</w:t>
      </w:r>
      <w:r>
        <w:rPr>
          <w:rtl w:val="true"/>
        </w:rPr>
        <w:t xml:space="preserve">. </w:t>
      </w:r>
      <w:r>
        <w:rPr>
          <w:rtl w:val="true"/>
        </w:rPr>
        <w:t>ממכתב שהתקבל ממעסיקו עלה תפקודו החיובי בעבודה</w:t>
      </w:r>
      <w:r>
        <w:rPr>
          <w:rtl w:val="true"/>
        </w:rPr>
        <w:t xml:space="preserve">, </w:t>
      </w:r>
      <w:r>
        <w:rPr>
          <w:rtl w:val="true"/>
        </w:rPr>
        <w:t>תוך שמגלה מצוינות ומשמעת</w:t>
      </w:r>
      <w:r>
        <w:rPr>
          <w:rtl w:val="true"/>
        </w:rPr>
        <w:t xml:space="preserve">. </w:t>
      </w:r>
      <w:r>
        <w:rPr>
          <w:rtl w:val="true"/>
        </w:rPr>
        <w:t>בחברה מודעים להליך הפלילי ואולם החברה החליטה לתת לנאשם הזדמנות לשיקום חייו ולאחרונה אף נשקל קידומו בעבודה</w:t>
      </w:r>
      <w:r>
        <w:rPr>
          <w:rtl w:val="true"/>
        </w:rPr>
        <w:t xml:space="preserve">. </w:t>
      </w:r>
      <w:r>
        <w:rPr>
          <w:rtl w:val="true"/>
        </w:rPr>
        <w:t>לאחר שירותו הצבאי החל לצרוך סמים מסוג קנאביס ולדבריו מאז מעצרו אינו צורך סמים ובבדיקת שתן שנערכה לו</w:t>
      </w:r>
      <w:r>
        <w:rPr>
          <w:rtl w:val="true"/>
        </w:rPr>
        <w:t xml:space="preserve">, </w:t>
      </w:r>
      <w:r>
        <w:rPr>
          <w:rtl w:val="true"/>
        </w:rPr>
        <w:t>לא נמצאו שרידי סם</w:t>
      </w:r>
      <w:r>
        <w:rPr>
          <w:rtl w:val="true"/>
        </w:rPr>
        <w:t xml:space="preserve">. </w:t>
      </w:r>
      <w:r>
        <w:rPr>
          <w:rtl w:val="true"/>
        </w:rPr>
        <w:t>הנאשם נעדר עבר פלילי</w:t>
      </w:r>
      <w:r>
        <w:rPr>
          <w:rtl w:val="true"/>
        </w:rPr>
        <w:t xml:space="preserve">, </w:t>
      </w:r>
      <w:r>
        <w:rPr>
          <w:rtl w:val="true"/>
        </w:rPr>
        <w:t>וביחסו לעבירה – מקבל אחריות חלקית על מעשיו בעבירה ולדבריו לא גנב חשמל</w:t>
      </w:r>
      <w:r>
        <w:rPr>
          <w:rtl w:val="true"/>
        </w:rPr>
        <w:t xml:space="preserve">. </w:t>
      </w:r>
      <w:r>
        <w:rPr>
          <w:rtl w:val="true"/>
        </w:rPr>
        <w:t>מסר כי בשל הפסקות חשמל הזמין חשמלאי אשר עשה את השינויים בחשמל</w:t>
      </w:r>
      <w:r>
        <w:rPr>
          <w:rtl w:val="true"/>
        </w:rPr>
        <w:t xml:space="preserve">. </w:t>
      </w:r>
      <w:r>
        <w:rPr>
          <w:rtl w:val="true"/>
        </w:rPr>
        <w:t>הנאשם לא ידע למסור פרטים על החשמלאי וטען שאינו מכיר אותו</w:t>
      </w:r>
      <w:r>
        <w:rPr>
          <w:rtl w:val="true"/>
        </w:rPr>
        <w:t xml:space="preserve">. </w:t>
      </w:r>
      <w:r>
        <w:rPr>
          <w:rtl w:val="true"/>
        </w:rPr>
        <w:t>ביחס לעבירת גידול הסם</w:t>
      </w:r>
      <w:r>
        <w:rPr>
          <w:rtl w:val="true"/>
        </w:rPr>
        <w:t xml:space="preserve">, </w:t>
      </w:r>
      <w:r>
        <w:rPr>
          <w:rtl w:val="true"/>
        </w:rPr>
        <w:t>מסר שהחליט לגדל סמים לשם צריכתו העצמית</w:t>
      </w:r>
      <w:r>
        <w:rPr>
          <w:rtl w:val="true"/>
        </w:rPr>
        <w:t xml:space="preserve">. </w:t>
      </w:r>
      <w:r>
        <w:rPr>
          <w:rtl w:val="true"/>
        </w:rPr>
        <w:t>שלל כוונה למכור את הסמים שגידל ולדבריו לא ציפה שגידול הסם יניב כמות כה גדולה של סם</w:t>
      </w:r>
      <w:r>
        <w:rPr>
          <w:rtl w:val="true"/>
        </w:rPr>
        <w:t xml:space="preserve">. </w:t>
      </w:r>
      <w:r>
        <w:rPr>
          <w:rtl w:val="true"/>
        </w:rPr>
        <w:t>ציין שחווה טלטלה בשל מעצרו וההליך המשפטי</w:t>
      </w:r>
      <w:r>
        <w:rPr>
          <w:rtl w:val="true"/>
        </w:rPr>
        <w:t xml:space="preserve">, </w:t>
      </w:r>
      <w:r>
        <w:rPr>
          <w:rtl w:val="true"/>
        </w:rPr>
        <w:t>תיאר תחושת בושה ממשפחתו וכאב על הצער שגרם להם וחרטה על מעורבותו בעבירה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שירות המבחן התרשם שהבעת החרטה נובעת מהמחירים שמשלם והשלכותיהם על עתידו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 תובנה אמיתית לחומרת התנהגותו 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כן התרשם שירות המבחן שהנאשם אינו כן בדבריו אודות נסיבות גידול הסמים לקשריו שסייעו לו בהקמת המעבדה</w:t>
      </w:r>
      <w:r>
        <w:rPr>
          <w:rtl w:val="true"/>
        </w:rPr>
        <w:t xml:space="preserve">. </w:t>
      </w:r>
      <w:r>
        <w:rPr>
          <w:rtl w:val="true"/>
        </w:rPr>
        <w:t xml:space="preserve">הנאשם שולב בקבוצת עצורי בית במסגרת צו פיקוח מעצר בחודש מרץ </w:t>
      </w:r>
      <w:r>
        <w:rPr/>
        <w:t>19</w:t>
      </w:r>
      <w:r>
        <w:rPr>
          <w:rtl w:val="true"/>
        </w:rPr>
        <w:t xml:space="preserve">'. </w:t>
      </w:r>
      <w:r>
        <w:rPr>
          <w:rtl w:val="true"/>
        </w:rPr>
        <w:t>הוא החל בקבוצה בשירות המבחן בצפת</w:t>
      </w:r>
      <w:r>
        <w:rPr>
          <w:rtl w:val="true"/>
        </w:rPr>
        <w:t xml:space="preserve">, </w:t>
      </w:r>
      <w:r>
        <w:rPr>
          <w:rtl w:val="true"/>
        </w:rPr>
        <w:t>שם היה מופנם ושיתף בצורה מצומצמת</w:t>
      </w:r>
      <w:r>
        <w:rPr>
          <w:rtl w:val="true"/>
        </w:rPr>
        <w:t xml:space="preserve">. </w:t>
      </w:r>
      <w:r>
        <w:rPr>
          <w:rtl w:val="true"/>
        </w:rPr>
        <w:t>בהמשך עבר לקבוצה בשירות המבחן בעיר טבריה</w:t>
      </w:r>
      <w:r>
        <w:rPr>
          <w:rtl w:val="true"/>
        </w:rPr>
        <w:t xml:space="preserve">, </w:t>
      </w:r>
      <w:r>
        <w:rPr>
          <w:rtl w:val="true"/>
        </w:rPr>
        <w:t>ובה הרגיש יותר בנוח וקיים תקשורת עם המשתתפים</w:t>
      </w:r>
      <w:r>
        <w:rPr>
          <w:rtl w:val="true"/>
        </w:rPr>
        <w:t xml:space="preserve">. </w:t>
      </w:r>
      <w:r>
        <w:rPr>
          <w:rtl w:val="true"/>
        </w:rPr>
        <w:t>ההתרשמות הייתה שהנאשם נמצא בראשיתו של תהליך וכי אינו מורגל בשיח רגשי הנדרש לשם שינוי דפוסי חשיבה והתנהגות</w:t>
      </w:r>
      <w:r>
        <w:rPr>
          <w:rtl w:val="true"/>
        </w:rPr>
        <w:t xml:space="preserve">. </w:t>
      </w:r>
      <w:r>
        <w:rPr>
          <w:rtl w:val="true"/>
        </w:rPr>
        <w:t>הנאשם הגיע למפגשים באופן סדיר והוא פעל לשם קבלת מענה טיפולי נוסף והופנה למסגרת היחידה לטיפול בהתמכרויות – חוסן בעיר טבריה</w:t>
      </w:r>
      <w:r>
        <w:rPr>
          <w:rtl w:val="true"/>
        </w:rPr>
        <w:t xml:space="preserve">, </w:t>
      </w:r>
      <w:r>
        <w:rPr>
          <w:rtl w:val="true"/>
        </w:rPr>
        <w:t>זאת על אף הכחשתו קיומה של בעיית תלות בסמים ובדיקות השתן הנקיות שביצע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הנאשם החל בטיפול במסגרת מרכז חוסן בחודש יולי </w:t>
      </w:r>
      <w:r>
        <w:rPr>
          <w:b/>
          <w:bCs/>
        </w:rPr>
        <w:t>19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ומהעו</w:t>
      </w:r>
      <w:r>
        <w:rPr>
          <w:rtl w:val="true"/>
        </w:rPr>
        <w:t>"</w:t>
      </w:r>
      <w:r>
        <w:rPr>
          <w:rtl w:val="true"/>
        </w:rPr>
        <w:t>ס המטפל במסגרת נמסר שהנאשם מגיע לפגישות הפרטניות שנערכות עמו באופן סדיר</w:t>
      </w:r>
      <w:r>
        <w:rPr>
          <w:rtl w:val="true"/>
        </w:rPr>
        <w:t xml:space="preserve">. </w:t>
      </w:r>
      <w:r>
        <w:rPr>
          <w:rtl w:val="true"/>
        </w:rPr>
        <w:t xml:space="preserve">ועדת החלטה שהתכנסה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לאחר שהחל את הטיפול הפרטני</w:t>
      </w:r>
      <w:r>
        <w:rPr>
          <w:rtl w:val="true"/>
        </w:rPr>
        <w:t xml:space="preserve">, </w:t>
      </w:r>
      <w:r>
        <w:rPr>
          <w:rtl w:val="true"/>
        </w:rPr>
        <w:t>התרשמה שלא התרחש תהליך רגשי משמעותי וכי הנאשם עדיין מקובע בדפוסי חשיבתו</w:t>
      </w:r>
      <w:r>
        <w:rPr>
          <w:rtl w:val="true"/>
        </w:rPr>
        <w:t xml:space="preserve">, </w:t>
      </w:r>
      <w:r>
        <w:rPr>
          <w:rtl w:val="true"/>
        </w:rPr>
        <w:t>בעל צורך חזק בשליטה ומתקשה להפגין חולשה</w:t>
      </w:r>
      <w:r>
        <w:rPr>
          <w:rtl w:val="true"/>
        </w:rPr>
        <w:t xml:space="preserve">, </w:t>
      </w:r>
      <w:r>
        <w:rPr>
          <w:rtl w:val="true"/>
        </w:rPr>
        <w:t>אלמנטים שהם חיוניים לקיום טיפול משמעותי ועריכת שינוי</w:t>
      </w:r>
      <w:r>
        <w:rPr>
          <w:rtl w:val="true"/>
        </w:rPr>
        <w:t xml:space="preserve">. </w:t>
      </w:r>
      <w:r>
        <w:rPr>
          <w:rtl w:val="true"/>
        </w:rPr>
        <w:t>למרות התרשמותה זו</w:t>
      </w:r>
      <w:r>
        <w:rPr>
          <w:rtl w:val="true"/>
        </w:rPr>
        <w:t xml:space="preserve">, </w:t>
      </w:r>
      <w:r>
        <w:rPr>
          <w:rtl w:val="true"/>
        </w:rPr>
        <w:t>החליטה הוועדה להמשיך את הליווי והטיפול במרכז חוסן</w:t>
      </w:r>
      <w:r>
        <w:rPr>
          <w:rtl w:val="true"/>
        </w:rPr>
        <w:t xml:space="preserve">.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 המטפלת מסרה שהוא מגיע בעקביות לפגישות עמו</w:t>
      </w:r>
      <w:r>
        <w:rPr>
          <w:rtl w:val="true"/>
        </w:rPr>
        <w:t xml:space="preserve">, </w:t>
      </w:r>
      <w:r>
        <w:rPr>
          <w:rtl w:val="true"/>
        </w:rPr>
        <w:t>משתף פעולה כנדרש</w:t>
      </w:r>
      <w:r>
        <w:rPr>
          <w:rtl w:val="true"/>
        </w:rPr>
        <w:t xml:space="preserve">, </w:t>
      </w:r>
      <w:r>
        <w:rPr>
          <w:rtl w:val="true"/>
        </w:rPr>
        <w:t>מבצע בדיקות שתן נקיות משרידי סם ומשתף בקורותיו</w:t>
      </w:r>
      <w:r>
        <w:rPr>
          <w:rtl w:val="true"/>
        </w:rPr>
        <w:t xml:space="preserve">. </w:t>
      </w:r>
      <w:r>
        <w:rPr>
          <w:rtl w:val="true"/>
        </w:rPr>
        <w:t>כן דווח שהנאשם עדיין מתקשה לקיים שיח רגשי</w:t>
      </w:r>
      <w:r>
        <w:rPr>
          <w:rtl w:val="true"/>
        </w:rPr>
        <w:t xml:space="preserve">, </w:t>
      </w:r>
      <w:r>
        <w:rPr>
          <w:rtl w:val="true"/>
        </w:rPr>
        <w:t>בהתבוננות פנימית ובחינת מצוקותיו ודפוסיו המכשילים</w:t>
      </w:r>
      <w:r>
        <w:rPr>
          <w:rtl w:val="true"/>
        </w:rPr>
        <w:t xml:space="preserve">. </w:t>
      </w:r>
      <w:r>
        <w:rPr>
          <w:rtl w:val="true"/>
        </w:rPr>
        <w:t>על אף קשייו אלה הומלץ על המשך הטיפול</w:t>
      </w:r>
      <w:r>
        <w:rPr>
          <w:rtl w:val="true"/>
        </w:rPr>
        <w:t xml:space="preserve">. </w:t>
      </w:r>
      <w:r>
        <w:rPr>
          <w:rtl w:val="true"/>
        </w:rPr>
        <w:t>שירות המבחן התרשם מאדם בעל יכולות וכישורים רבים</w:t>
      </w:r>
      <w:r>
        <w:rPr>
          <w:rtl w:val="true"/>
        </w:rPr>
        <w:t xml:space="preserve">, </w:t>
      </w:r>
      <w:r>
        <w:rPr>
          <w:rtl w:val="true"/>
        </w:rPr>
        <w:t>שמגלה יציבות תעסוקתית</w:t>
      </w:r>
      <w:r>
        <w:rPr>
          <w:rtl w:val="true"/>
        </w:rPr>
        <w:t xml:space="preserve">, </w:t>
      </w:r>
      <w:r>
        <w:rPr>
          <w:rtl w:val="true"/>
        </w:rPr>
        <w:t>שעל אף קשייו הצליח לסיים לימודי תיכון ולשרת בצבא וכי קיימת מערכת תמיכה משפחתית משמעותית</w:t>
      </w:r>
      <w:r>
        <w:rPr>
          <w:rtl w:val="true"/>
        </w:rPr>
        <w:t xml:space="preserve">. </w:t>
      </w:r>
      <w:r>
        <w:rPr>
          <w:rtl w:val="true"/>
        </w:rPr>
        <w:t>כן התרשם שירות המבחן שמותו הפתאומי של אביו וגדילתו לאורך השנים ללא דמות אב</w:t>
      </w:r>
      <w:r>
        <w:rPr>
          <w:rtl w:val="true"/>
        </w:rPr>
        <w:t xml:space="preserve">, </w:t>
      </w:r>
      <w:r>
        <w:rPr>
          <w:rtl w:val="true"/>
        </w:rPr>
        <w:t>הותירה אותו בתחושות אבדן וחוסר מענה רגשי לצרכיו וייתכן שבצל האירוע הזה פיתח צורך בתפקוד עצמאי וויתר על תמיכה וליווי משפחתו</w:t>
      </w:r>
      <w:r>
        <w:rPr>
          <w:rtl w:val="true"/>
        </w:rPr>
        <w:t xml:space="preserve">. </w:t>
      </w:r>
      <w:r>
        <w:rPr>
          <w:rtl w:val="true"/>
        </w:rPr>
        <w:t>הנאשם מתקשה להתחבר לעולמו הרגשי</w:t>
      </w:r>
      <w:r>
        <w:rPr>
          <w:rtl w:val="true"/>
        </w:rPr>
        <w:t xml:space="preserve">, </w:t>
      </w:r>
      <w:r>
        <w:rPr>
          <w:rtl w:val="true"/>
        </w:rPr>
        <w:t>מתקשה בשליטה על דחפיו ונוטה לפעול ללא שיקול דעת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כן התרשם שירות המבחן שהנאשם בעל מוקד שליטה חיצוני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מכיר באופן חלקי במיוחס לו בכתב האישום ונוטה להשליך חלק ממעשיו על גורם חיצוני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 אינו משתף בכנות בפרטי העבירה ובוחר שלא לחשוף פרטים בכל הקשור בקשריו השוליים ומערבות של גורמים אחרים 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 לאחר תהליך טיפולי ממושך של למעלה משנה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בקבוצה הטיפולית בשירות המבחן ובטיפול הפרטני במרכז חוסן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חל שינוי מהותי בעמדותיו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 מתקשה בקיום שיח רגשי וממשיך לטשטש את חומרת מצבו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בעל מודעות נמוכה לבעייתיות בדפוסי חשיבה והתנהגות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 ששירות המבחן לא יכול לשלול סיכון להתנהגות דומה בעתיד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 הביע רצון ומחויבות להמשך טיפול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ואולם שירות המבחן לא התרשם מתובנה אמיתית להתנהלותו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 מתקשה בנטילת אחריות מלאה למיוחס לו ונמנע ממסירת פרטים על קשריו השוליים וחלקם 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חוסר השינוי בעמדותיו לאחר טיפול ממושך וחוסר התייחסות ביקורתית כלפי התנהגותו ואחריותו לעבירה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מעידים על חוסר בשלות והתאמה לטיפול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 שירות המבחן נמנע מהמלצה טיפולית בעניינו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בתסקיר משלים נמסר</w:t>
      </w:r>
      <w:r>
        <w:rPr>
          <w:b/>
          <w:b/>
          <w:bCs/>
          <w:rtl w:val="true"/>
        </w:rPr>
        <w:t xml:space="preserve"> שמדוח סוציאלי שהתקבל ממרכז חוסן עלה שהנאשם מגיע בקביעות במשך שנה לפגישות עמו</w:t>
      </w:r>
      <w:r>
        <w:rPr>
          <w:rtl w:val="true"/>
        </w:rPr>
        <w:t xml:space="preserve">. </w:t>
      </w:r>
      <w:r>
        <w:rPr>
          <w:rtl w:val="true"/>
        </w:rPr>
        <w:t>לאורך השנה שיתף באופן קונקרטי ללא יכולת להתבוננות פנימית ורגשית</w:t>
      </w:r>
      <w:r>
        <w:rPr>
          <w:rtl w:val="true"/>
        </w:rPr>
        <w:t xml:space="preserve">, </w:t>
      </w:r>
      <w:r>
        <w:rPr>
          <w:rtl w:val="true"/>
        </w:rPr>
        <w:t>וכי כל הניסיונות לפתח את השיח הרגשי עמו נתקלו בהתנגדות</w:t>
      </w:r>
      <w:r>
        <w:rPr>
          <w:rtl w:val="true"/>
        </w:rPr>
        <w:t xml:space="preserve">. </w:t>
      </w:r>
      <w:r>
        <w:rPr>
          <w:rtl w:val="true"/>
        </w:rPr>
        <w:t xml:space="preserve">בוועדת אבחון שהתקיימה בסוף חודש ינואר </w:t>
      </w:r>
      <w:r>
        <w:rPr/>
        <w:t>20</w:t>
      </w:r>
      <w:r>
        <w:rPr>
          <w:rtl w:val="true"/>
        </w:rPr>
        <w:t xml:space="preserve">' </w:t>
      </w:r>
      <w:r>
        <w:rPr>
          <w:rtl w:val="true"/>
        </w:rPr>
        <w:t>הנאשם לא הראה נזקקות טיפולית והטיפול בו כמעט והופסק</w:t>
      </w:r>
      <w:r>
        <w:rPr>
          <w:rtl w:val="true"/>
        </w:rPr>
        <w:t xml:space="preserve">. </w:t>
      </w:r>
      <w:r>
        <w:rPr>
          <w:rtl w:val="true"/>
        </w:rPr>
        <w:t xml:space="preserve">במעמד הוועדה הנאשם ביקש הזדמנות נוספת וזו ניתנה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מאז הוא המשיך להגיע לפגישות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לשתף באופן קונקרטי ולא חל שינוי בהתייחסותו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 לא אפשר העלאת תכנים רגשיים והתבוננות פנימית על התנהלותו וחייו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מאז הדיון האחרון התקיימו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פגישות נוספות עמו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ובפגישות אלה החל תהליך של שינוי ביכולתו לשתף באופן כן ופתוח 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בפגישה נוספת שהתקיימה עמו בשירות 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חזר בו מהדברים שאמר במפגש הקודם עמו ותאר באופן שונה את השתלשלות האירוע בעבירה</w:t>
      </w:r>
      <w:r>
        <w:rPr>
          <w:rtl w:val="true"/>
        </w:rPr>
        <w:t xml:space="preserve">. </w:t>
      </w:r>
      <w:r>
        <w:rPr>
          <w:rtl w:val="true"/>
        </w:rPr>
        <w:t>לדברי בתקופה בה היה צורך סמים מסוג קנאביס באופן יומיומי</w:t>
      </w:r>
      <w:r>
        <w:rPr>
          <w:rtl w:val="true"/>
        </w:rPr>
        <w:t xml:space="preserve">, </w:t>
      </w:r>
      <w:r>
        <w:rPr>
          <w:rtl w:val="true"/>
        </w:rPr>
        <w:t>פנו אליו אנשים מהם נהג לרכוש את הסמים והציעו לו לגדל סמים</w:t>
      </w:r>
      <w:r>
        <w:rPr>
          <w:rtl w:val="true"/>
        </w:rPr>
        <w:t xml:space="preserve">. </w:t>
      </w:r>
      <w:r>
        <w:rPr>
          <w:rtl w:val="true"/>
        </w:rPr>
        <w:t>מסר שהתלבט אך התפתה לתמורה הכספית שהוצעה לו והסכים לבצע את העבירות</w:t>
      </w:r>
      <w:r>
        <w:rPr>
          <w:rtl w:val="true"/>
        </w:rPr>
        <w:t xml:space="preserve">. </w:t>
      </w:r>
      <w:r>
        <w:rPr>
          <w:rtl w:val="true"/>
        </w:rPr>
        <w:t>בנוסף הנאשם נטל אחריות על גניבת החשמל והסביר שכחלק מהכנת המעבדה בדירה נשלח חשמלאי מטעמם של מפעיליו</w:t>
      </w:r>
      <w:r>
        <w:rPr>
          <w:rtl w:val="true"/>
        </w:rPr>
        <w:t xml:space="preserve">. </w:t>
      </w:r>
      <w:r>
        <w:rPr>
          <w:rtl w:val="true"/>
        </w:rPr>
        <w:t>הנאשם מסר שאינו יודע פרטים אודות מפעיליו וכי ניתק עמם את הקשר</w:t>
      </w:r>
      <w:r>
        <w:rPr>
          <w:rtl w:val="true"/>
        </w:rPr>
        <w:t xml:space="preserve">. </w:t>
      </w:r>
      <w:r>
        <w:rPr>
          <w:rtl w:val="true"/>
        </w:rPr>
        <w:t>הנאשם הסביר שהבין כי עליו לשתף בכנות ובתוך כך לשתף בנסיבות מותו של אביו אשר שם קץ לחייו ולא נפטר מאירוע בליבו כפי שמסר תחילה</w:t>
      </w:r>
      <w:r>
        <w:rPr>
          <w:rtl w:val="true"/>
        </w:rPr>
        <w:t xml:space="preserve">. </w:t>
      </w:r>
      <w:r>
        <w:rPr>
          <w:rtl w:val="true"/>
        </w:rPr>
        <w:t>הנאשם תאר תחושתו שהוא עובר שינוי מסוים מאדם סגור ומופנם שאינו מראה חולשה וכי הוא מתחיל להתבונן על חולשותיו</w:t>
      </w:r>
      <w:r>
        <w:rPr>
          <w:rtl w:val="true"/>
        </w:rPr>
        <w:t xml:space="preserve">. </w:t>
      </w:r>
      <w:r>
        <w:rPr>
          <w:rtl w:val="true"/>
        </w:rPr>
        <w:t>הנאשם הביע מוטיבציה חיצונית להמשך הטיפול ולדבריו כיום מבין את חומרת העבירות</w:t>
      </w:r>
      <w:r>
        <w:rPr>
          <w:rtl w:val="true"/>
        </w:rPr>
        <w:t xml:space="preserve">. </w:t>
      </w:r>
      <w:r>
        <w:rPr>
          <w:rtl w:val="true"/>
        </w:rPr>
        <w:t>הנאשם ביטא חשש מפני הטלת עונש של מאסר בפועל</w:t>
      </w:r>
      <w:r>
        <w:rPr>
          <w:rtl w:val="true"/>
        </w:rPr>
        <w:t xml:space="preserve">. </w:t>
      </w:r>
      <w:r>
        <w:rPr>
          <w:rtl w:val="true"/>
        </w:rPr>
        <w:t>שירות המבחן התרשם גם בשלב זה מקשייו של הנאשם להתחבר ברמה רגשית לקווים העברייניים באישיותו</w:t>
      </w:r>
      <w:r>
        <w:rPr>
          <w:rtl w:val="true"/>
        </w:rPr>
        <w:t xml:space="preserve">, </w:t>
      </w:r>
      <w:r>
        <w:rPr>
          <w:rtl w:val="true"/>
        </w:rPr>
        <w:t>עדיין העריך שרב הנסתר על הגלוי בכל הקשור לנסיבות שהובילו אותו לביצוע העבירה ולאופי קשריו עם גורמים עברייניים</w:t>
      </w:r>
      <w:r>
        <w:rPr>
          <w:rtl w:val="true"/>
        </w:rPr>
        <w:t xml:space="preserve">, </w:t>
      </w:r>
      <w:r>
        <w:rPr>
          <w:rtl w:val="true"/>
        </w:rPr>
        <w:t>וכי החרטה שמבטא כיום מקורה במחירים שמשלם</w:t>
      </w:r>
      <w:r>
        <w:rPr>
          <w:rtl w:val="true"/>
        </w:rPr>
        <w:t xml:space="preserve">, </w:t>
      </w:r>
      <w:r>
        <w:rPr>
          <w:rtl w:val="true"/>
        </w:rPr>
        <w:t>אך לא מתוך תובנה אמיתית לחומרת מעשיו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על אף הנכונות אותה מבטא הנאשם להמשך הטיפול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שירות המבחן שקל את משך הזמן הארוך בו הוא מטופל במסגרות טיפול שונות ללא תמורות מהותיות בעמדותיו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 שהנאשם מתקשה בשיתוף כן בקורותיו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שירות המבחן הביע ספקנות באשר ליכולותיו של הנאשם להתמיד בטיפול הדורש כנות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פתיחות ואמון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 יכולת להתבוננות פנימית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שירות המבחן התרשם מקיומה של מוטיבציה חיצונית בלבד בשל אימת 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ולאור זאת שב על עמדתו ונמנע מהמלצה טיפולית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-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עו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 לילי קנטי מהיחידה לטיפול בהתמכרויות בטבריה – העידה שהיא מכירה את הנאשם מזה כשנה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מגיע בעקביות למפגשים עמו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עושה בדיקות שתן נקיות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קשה לו להיפתח רגשית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אדם סגור אך יכול לעשות תהליך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צריך 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בסמוך לפני מועד הטיעונים לעונש משהו זז אצלו במבחינה רגשית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בתקופה שהוא גידל סמים הוא היה בשלב של שימוש יומיומי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אינה יכולה לומר שהוא סיים הליך שיקומי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יכול לעבור תהליך טיפולי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 הוא עדיין לא עבר 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נמצא בתחילת הדרך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חוות דעת שנערכה על ידי עו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ס שרון ימיני מטעם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המכון לטיפול בהפרעות התנהגות והתמכרויות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הנאשם החל לצרוך סמים מסוג קנאביס לאחר שחרורו מהצבא ודווח שהשימוש לא פגע בתפקודו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נענה להצעה לגדל סמים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ולשם כך גייס את כל חסכונותיו ונטל הלוואה וכיום מכיר בכך שציפה להשיג רווח כספי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ביטא צער על 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מכיר בהשלכות על עתידו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בחודש אוגוסט </w:t>
      </w:r>
      <w:r>
        <w:rPr>
          <w:lang w:eastAsia="he-IL"/>
        </w:rPr>
        <w:t>19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השתלב במרכז חוסן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תאר שהטיפול מעמת אותו עם הצורך להיחשף ולהציג צדדים פחות מוצלחים באישיותו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 שלאורך חייו התרגל לטשטש חלקים חלשים ולהימנע מחשיפת חולשה ואף להימנע מהתבוננות על מצוקות וכישלונות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דפוס נוקשה זה נסך בנאשם כוח ואפשר לו לעמוד באתגרים בחייו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בשנה האחרונה חלו שיבושים אובייקטיביים בטיפול בשל סיבות שקשורות במטפלת וכן בשל מגבלות הקורונה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בשיחה עם המטפלת במרכז חוסן מסרה שמה שנראה כהסתרה או הגנה על שותפים לעבירה מהווה אתגר בטיפול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 משתף פעולה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 מגלה חרדה באשר לחובותיו הכספיים ובפרט חושש שלא יוכל לעבוד ולהחזיר את חובותיו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בסיכום צוינה ההתרשמות מהנאשם כאדם אחראי וחרוץ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בעל יכולת גבוהה לתקשורת ולתפקוד במסגרות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פורע כיום את חובותיו באופן מסודר מתוך רצון לקיים חיים יציבים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מתמודד בתקופה זו עם תחושת אשם כלפי משפחתו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שלילת חירותו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חוסר וודאות וחרדה מפני תוצאות ההליך וחובות כספים לגורמים שונים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מבין את טעותו במעשיו בעבירה ומצטער עליהם והתנהגותו מובנת על רקע שיבוש חמור בשיקול הדעת של אדם צעיר שלראשונה בחייו התנסה בניהול אורח חיים עצמאי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השתלב בטיפול גמילה מסמים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מבטא רצון להמשך הטיפול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 אופיין בחוסר יציבות במהלך השנה האחרונה מטעמים אובייקטיביים ולהערכת המאבחן קיימת חשיבות רבה בהמשך הקשר הטיפולי באופן רציף במרכז חוסן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להתרשמותו הטלת עונש מאסר ממושך תחדד את אחריותו של הנאשם לעבירות אך היא עלולה לחבל ביכולתו לשקם את עצמו כלכלית ותעסוקתית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ותפגע בעקרון השיקום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הומלץ על המשך הטיפול במרכז חוסן ומאסר לריצוי בעבודות שירות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בעדותו של עו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 שרון ימיני בבית המשפט העיד שדפוסי הסתרה וחוסר יכולת להיפתח הביאו את הנאשם למקום בו הוא נמצא וזהו דפוס שיש לעבוד עליו בטיפול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לא טיפל בנאשם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 פגש את הנאשם לפגישה יחידה ותסקיר שירות המבחן לא היה בידו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אינה מוזורוב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אמו של הנאשם – העידה שהמשפחה הגיעה לישראל בשנת </w:t>
      </w:r>
      <w:r>
        <w:rPr>
          <w:lang w:eastAsia="he-IL"/>
        </w:rPr>
        <w:t>1996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 הייתה לבד עם שלושה 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בעלה היה בישראל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פתח עסק והסתבך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הנאשם היה בן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 ידע מה בדיוק קרה כי לא רצתה לספר 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נאמר לו שאביו נפטר ממחלה ורק כשהיה נער סיפרה לו מה בדיוק קרה עם אביו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בכל התקופה הזו עבדה בשלוש עבודות כדי לספק את צרכי ילדיה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לנאשם הייתה חסרה דמות אב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המשפחה מאוד קרובה ועוזרת זה לזה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האחים שלו עוזרים לו מאז ילדותו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הייתה שום סיבה לבצע את העבירה וזה שבר את המשפחה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עזב את העיר כי לא מצא את עצמו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תמיד סיפר שהכל בסדר ולא רצה להראות למשפחה שהוא לא מצליח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עשה טעות חמורה ומודע לכך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חזר מהמעצר שבור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 סגור בתוך עצמו ולא ישן בלילות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קיבל שיעור לכל החיים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עשה טעות אך יש לתת לו הזדמנות לעבור טיפול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מנסה לחזור לחיים נורמטיביים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הוא יחזור לכלא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ישבור אותו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דימטרי מורוזוב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אחיו של הנאשם – העיד שמאז שהנאשם נולד הוא ליווה 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הם עברו תקופה קשה כשהנאשם היה בן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ואביהם נפטר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מגיל צעיר הוא והנאשם החלו לעבוד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ולעזור לאמם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מעולם לא עשה בעיות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המשפחה מגובשת וקרובה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המשפחה מגנה את הטעות שעשה וכיום מבקשים לתת לו הזדמנות להשתקם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יכנס לכלא הוא ישבר ואמם תתמוטט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ילנה נולדמן אחות הנאשם</w:t>
      </w:r>
      <w:r>
        <w:rPr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– העידה על הקרבה בין האחים במשפחה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עברו ילדות לא קלה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 שאביהם התאבד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בתקופה זו נקלעו לקשיים כלכליים ואמם ניסתה לפרנס את הבית והאחים גידלו את 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היום מצבם הכלכלי יציב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מעולם לא היו בעיות עם 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הזדעזעו ששמעו על 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התבייש במעשיו ומאז ששוחרר לא הפסיק להתנצל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עזב את העיר וסטה מהדרך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חזר הביתה במצב נפשי 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עזרו לו וניסו לשקם אותו והוא החל לחזור לדרך הישר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מצא עבודה ובת זוג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הוא יחזור לבית הסוהר הוא ישבר רגשית וכלכלית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למשפחה שום רקע 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בחור 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עשה טעות חמורה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הבין את חומרת מעשיו ולעולם לא יחזור על 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 לתת לו הזדמנות לשקם את חייו</w:t>
      </w:r>
      <w:r>
        <w:rPr>
          <w:rtl w:val="true"/>
          <w:lang w:eastAsia="he-IL"/>
        </w:rPr>
        <w:t xml:space="preserve">.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הסכם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הסדר חוב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 xml:space="preserve">בין הנאשם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ואדם נוסף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 xml:space="preserve">לבין זוכה בהוצאה לפועל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בעלת הדירה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 xml:space="preserve">להחזר חוב של הנאשם לאחר שניתנו פסקי דין בהיעדר הגנה והזוכה הגישה את פסקי הדין לביצוע בלשכת ההוצאה לפועל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1</w:t>
      </w:r>
      <w:r>
        <w:rPr>
          <w:rtl w:val="true"/>
          <w:lang w:eastAsia="he-IL"/>
        </w:rPr>
        <w:t>).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מכתב מהחברה שבה עובד הנאשם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מציין שהם מכירים את הנאשם מהתקופה האחרונה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 מבצע את תפקידו היטב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משמש כמנהל פרויקט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 גילוי מצוינות ומשמעת בתפקידו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בחברה מודעים לכתב 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ולמרות זאת החליטו לתת לו הזדמנות לשקם את חייו כיוון שהוא רכש את אמונם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בעל אופי טוב ומקיים קשר אנושי טוב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לאחרונה נשקל קידומו בעבודה ומבקשים להתחשב בניסיונו לשקם את חייו ובכוונתו להינשא ולהקים בית בקרוב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start"/>
        <w:rPr>
          <w:lang w:eastAsia="he-IL"/>
        </w:rPr>
      </w:pPr>
      <w:r>
        <w:rPr>
          <w:rtl w:val="true"/>
          <w:lang w:eastAsia="he-IL"/>
        </w:rPr>
        <w:t xml:space="preserve">מכתב ממפקדו של הנאשם בשירותו הצבאי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 xml:space="preserve">צוין שהנאשם שירת תחת פיקודו בשנת 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 שהיה נהג מבצעי בסיירת עוקץ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ביצע משימות לוגיסטיות באימוני מילואים מורכבים ושימש כיד ימינו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חייל וחבר נאמן ומסור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בעל יכולות חברתיות גבוהות ואנשי המילואים אהבו וכיבדו  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שיתף אותו בעבירה בה הורשע וביטא צער וחרטה על 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בטוח בשיקומו וכי לא יחזור לבצע עבירות</w:t>
      </w:r>
      <w:r>
        <w:rPr>
          <w:rtl w:val="true"/>
          <w:lang w:eastAsia="he-IL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איריס פיקר</w:t>
      </w:r>
      <w:r>
        <w:rPr>
          <w:rtl w:val="true"/>
        </w:rPr>
        <w:t xml:space="preserve">, </w:t>
      </w:r>
      <w:r>
        <w:rPr>
          <w:rtl w:val="true"/>
        </w:rPr>
        <w:t>הערך החברתי שנפגע הוא הגנה על הציבור מפני הנזקים הנלווים לשימוש בסמים</w:t>
      </w:r>
      <w:r>
        <w:rPr>
          <w:rtl w:val="true"/>
        </w:rPr>
        <w:t xml:space="preserve">. </w:t>
      </w:r>
      <w:r>
        <w:rPr>
          <w:rtl w:val="true"/>
        </w:rPr>
        <w:t>נזקי הסמים כוללים נזקים ישירים למכורים לסמים ונזקים עקיפים ובכללם עבירות אלימות ורכוש המבוצעות לשם השגת הסם</w:t>
      </w:r>
      <w:r>
        <w:rPr>
          <w:rtl w:val="true"/>
        </w:rPr>
        <w:t xml:space="preserve">. </w:t>
      </w:r>
      <w:r>
        <w:rPr>
          <w:rtl w:val="true"/>
        </w:rPr>
        <w:t>עבירות של מעבדות לגידול סם אינן עבירות שמבוצעות על ידי מכורים לסמים אלא מבוצעות לשם צורך כלכלי</w:t>
      </w:r>
      <w:r>
        <w:rPr>
          <w:rtl w:val="true"/>
        </w:rPr>
        <w:t xml:space="preserve">. </w:t>
      </w:r>
      <w:r>
        <w:rPr>
          <w:rtl w:val="true"/>
        </w:rPr>
        <w:t>הערך המוגן בעבירת הגניבה הוא הגנה על אינטרסים קנייניים</w:t>
      </w:r>
      <w:r>
        <w:rPr>
          <w:rtl w:val="true"/>
        </w:rPr>
        <w:t xml:space="preserve">, </w:t>
      </w:r>
      <w:r>
        <w:rPr>
          <w:rtl w:val="true"/>
        </w:rPr>
        <w:t>ובמקרה זה החשמל שייך לציבור כולו</w:t>
      </w:r>
      <w:r>
        <w:rPr>
          <w:rtl w:val="true"/>
        </w:rPr>
        <w:t xml:space="preserve">. </w:t>
      </w:r>
      <w:r>
        <w:rPr>
          <w:rtl w:val="true"/>
        </w:rPr>
        <w:t>הנסיבות הקשורות בביצוע העבירה – ביצוע עבירות מעבדה דורש השקעה כספית גדולה</w:t>
      </w:r>
      <w:r>
        <w:rPr>
          <w:rtl w:val="true"/>
        </w:rPr>
        <w:t xml:space="preserve">, </w:t>
      </w:r>
      <w:r>
        <w:rPr>
          <w:rtl w:val="true"/>
        </w:rPr>
        <w:t>צריך לשכור דירה ולצייד אותה בציוד מתאים ופעולות נוספות לשם הקמת המעבדה</w:t>
      </w:r>
      <w:r>
        <w:rPr>
          <w:rtl w:val="true"/>
        </w:rPr>
        <w:t xml:space="preserve">. </w:t>
      </w:r>
      <w:r>
        <w:rPr>
          <w:rtl w:val="true"/>
        </w:rPr>
        <w:t>בנוסף נדרש ידע רב ומכאן שלא מדובר בעבירה ספונטנית</w:t>
      </w:r>
      <w:r>
        <w:rPr>
          <w:rtl w:val="true"/>
        </w:rPr>
        <w:t xml:space="preserve">. </w:t>
      </w:r>
      <w:r>
        <w:rPr>
          <w:rtl w:val="true"/>
        </w:rPr>
        <w:t>הנזק הפוטנציאלי קשור בכמות הסם ובמקרה זה כ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הסיבה לביצוע העבירה היא רווח כספי ולא התמכרות לסמים</w:t>
      </w:r>
      <w:r>
        <w:rPr>
          <w:rtl w:val="true"/>
        </w:rPr>
        <w:t xml:space="preserve">. </w:t>
      </w:r>
      <w:r>
        <w:rPr>
          <w:rtl w:val="true"/>
        </w:rPr>
        <w:t>בעבירות אלה מתחם העונש נקבע בהתאם לכמות הסם שנמצאה במעבדה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עתרה למתחם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ועד 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שירות המבחן התרשם שרב הנסתר על הגלוי</w:t>
      </w:r>
      <w:r>
        <w:rPr>
          <w:rtl w:val="true"/>
        </w:rPr>
        <w:t xml:space="preserve">. </w:t>
      </w:r>
      <w:r>
        <w:rPr>
          <w:rtl w:val="true"/>
        </w:rPr>
        <w:t>מובן מדוע הנאשם חושש לחשוף האם היו לו שותפים להקמת המעבדה</w:t>
      </w:r>
      <w:r>
        <w:rPr>
          <w:rtl w:val="true"/>
        </w:rPr>
        <w:t xml:space="preserve">. </w:t>
      </w:r>
      <w:r>
        <w:rPr>
          <w:rtl w:val="true"/>
        </w:rPr>
        <w:t>שירות המבחן לא בא בהמלצה טיפולית</w:t>
      </w:r>
      <w:r>
        <w:rPr>
          <w:rtl w:val="true"/>
        </w:rPr>
        <w:t xml:space="preserve">. </w:t>
      </w:r>
      <w:r>
        <w:rPr>
          <w:rtl w:val="true"/>
        </w:rPr>
        <w:t>המטפלת שבאה להעיד לטובתו</w:t>
      </w:r>
      <w:r>
        <w:rPr>
          <w:rtl w:val="true"/>
        </w:rPr>
        <w:t xml:space="preserve">, </w:t>
      </w:r>
      <w:r>
        <w:rPr>
          <w:rtl w:val="true"/>
        </w:rPr>
        <w:t>אמרה בעצמה שהנאשם לא השתקם</w:t>
      </w:r>
      <w:r>
        <w:rPr>
          <w:rtl w:val="true"/>
        </w:rPr>
        <w:t xml:space="preserve">, </w:t>
      </w:r>
      <w:r>
        <w:rPr>
          <w:rtl w:val="true"/>
        </w:rPr>
        <w:t>גם אם יש לו פוטנציאל לשיקום</w:t>
      </w:r>
      <w:r>
        <w:rPr>
          <w:rtl w:val="true"/>
        </w:rPr>
        <w:t xml:space="preserve">. </w:t>
      </w:r>
      <w:r>
        <w:rPr>
          <w:rtl w:val="true"/>
        </w:rPr>
        <w:t>לכן לא ניתן לחרוג משיקולי שיקום במקרה זה</w:t>
      </w:r>
      <w:r>
        <w:rPr>
          <w:rtl w:val="true"/>
        </w:rPr>
        <w:t xml:space="preserve">. </w:t>
      </w:r>
      <w:r>
        <w:rPr>
          <w:rtl w:val="true"/>
        </w:rPr>
        <w:t>המאבחן הפרטי שהעיד אינו מכיר את הנאשם</w:t>
      </w:r>
      <w:r>
        <w:rPr>
          <w:rtl w:val="true"/>
        </w:rPr>
        <w:t xml:space="preserve">, </w:t>
      </w:r>
      <w:r>
        <w:rPr>
          <w:rtl w:val="true"/>
        </w:rPr>
        <w:t>אלא פגש אותו לזמן קצר מבלי להבין מה מניע אותו</w:t>
      </w:r>
      <w:r>
        <w:rPr>
          <w:rtl w:val="true"/>
        </w:rPr>
        <w:t xml:space="preserve">. </w:t>
      </w:r>
      <w:r>
        <w:rPr>
          <w:rtl w:val="true"/>
        </w:rPr>
        <w:t>חוות דעתו אינה עדיפה על שירות המבחן אשר ליווה את הנאשם במשך שנה 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וזו אינה חוות דעת רצינית</w:t>
      </w:r>
      <w:r>
        <w:rPr>
          <w:rtl w:val="true"/>
        </w:rPr>
        <w:t xml:space="preserve">. </w:t>
      </w:r>
      <w:r>
        <w:rPr>
          <w:rtl w:val="true"/>
        </w:rPr>
        <w:t>הנאשם טופל במשך יותר משנה</w:t>
      </w:r>
      <w:r>
        <w:rPr>
          <w:rtl w:val="true"/>
        </w:rPr>
        <w:t xml:space="preserve">, </w:t>
      </w:r>
      <w:r>
        <w:rPr>
          <w:rtl w:val="true"/>
        </w:rPr>
        <w:t>הגיע לפגישות</w:t>
      </w:r>
      <w:r>
        <w:rPr>
          <w:rtl w:val="true"/>
        </w:rPr>
        <w:t xml:space="preserve">, </w:t>
      </w:r>
      <w:r>
        <w:rPr>
          <w:rtl w:val="true"/>
        </w:rPr>
        <w:t>לא נפתחו לחובתו תיקים נוספים ונסיבות חייו אינן פשוטות</w:t>
      </w:r>
      <w:r>
        <w:rPr>
          <w:rtl w:val="true"/>
        </w:rPr>
        <w:t xml:space="preserve">. </w:t>
      </w:r>
      <w:r>
        <w:rPr>
          <w:rtl w:val="true"/>
        </w:rPr>
        <w:t>יש לו משפחה חמה</w:t>
      </w:r>
      <w:r>
        <w:rPr>
          <w:rtl w:val="true"/>
        </w:rPr>
        <w:t xml:space="preserve">. </w:t>
      </w:r>
      <w:r>
        <w:rPr>
          <w:rtl w:val="true"/>
        </w:rPr>
        <w:t xml:space="preserve">למרות שעל פי הסדר הטיעון הוסכם שהמאשימה תגביל את עצמה לעונש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ועל אף שהתסקיר לא בא בהמלצה שיקומית ולא קיימים טעמי שיקום</w:t>
      </w:r>
      <w:r>
        <w:rPr>
          <w:rtl w:val="true"/>
        </w:rPr>
        <w:t xml:space="preserve">, </w:t>
      </w:r>
      <w:r>
        <w:rPr>
          <w:rtl w:val="true"/>
        </w:rPr>
        <w:t xml:space="preserve">המאשימה עותרת לעונש של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גיא מימון</w:t>
      </w:r>
      <w:r>
        <w:rPr>
          <w:rtl w:val="true"/>
        </w:rPr>
        <w:t xml:space="preserve">, </w:t>
      </w:r>
      <w:r>
        <w:rPr>
          <w:rtl w:val="true"/>
        </w:rPr>
        <w:t>במקרה זה יש לבכר את שיקומו של הנאשם ולחרוג ממתחם העונש משיקולי שיקום</w:t>
      </w:r>
      <w:r>
        <w:rPr>
          <w:rtl w:val="true"/>
        </w:rPr>
        <w:t xml:space="preserve">, </w:t>
      </w:r>
      <w:r>
        <w:rPr>
          <w:rtl w:val="true"/>
        </w:rPr>
        <w:t>חרף המלצת שירות המבחן</w:t>
      </w:r>
      <w:r>
        <w:rPr>
          <w:rtl w:val="true"/>
        </w:rPr>
        <w:t xml:space="preserve">. </w:t>
      </w:r>
      <w:r>
        <w:rPr>
          <w:rtl w:val="true"/>
        </w:rPr>
        <w:t>הנאשם טופל בבית חוסן במשך שנה</w:t>
      </w:r>
      <w:r>
        <w:rPr>
          <w:rtl w:val="true"/>
        </w:rPr>
        <w:t xml:space="preserve">. </w:t>
      </w:r>
      <w:r>
        <w:rPr>
          <w:rtl w:val="true"/>
        </w:rPr>
        <w:t>מדובר באדם המושקע כולו בטיפול</w:t>
      </w:r>
      <w:r>
        <w:rPr>
          <w:rtl w:val="true"/>
        </w:rPr>
        <w:t xml:space="preserve">, </w:t>
      </w:r>
      <w:r>
        <w:rPr>
          <w:rtl w:val="true"/>
        </w:rPr>
        <w:t>גם אם הוא נמצא בראשיתו של תהליך</w:t>
      </w:r>
      <w:r>
        <w:rPr>
          <w:rtl w:val="true"/>
        </w:rPr>
        <w:t xml:space="preserve">, </w:t>
      </w:r>
      <w:r>
        <w:rPr>
          <w:rtl w:val="true"/>
        </w:rPr>
        <w:t>כפי שהעידה העובדת הסוציאלית מהיחידה לטיפול בהתמכרויות</w:t>
      </w:r>
      <w:r>
        <w:rPr>
          <w:rtl w:val="true"/>
        </w:rPr>
        <w:t xml:space="preserve">. </w:t>
      </w:r>
      <w:r>
        <w:rPr>
          <w:rtl w:val="true"/>
        </w:rPr>
        <w:t>קיימת סתירה בין עמדת שירות המבחן לבין עמדת המטפלת מבית חוסן – שירות המבחן סבור שאין להמשיך את השיקום ואלו בית חוסן סבורים שיש להמשיך את הטיפול בו</w:t>
      </w:r>
      <w:r>
        <w:rPr>
          <w:rtl w:val="true"/>
        </w:rPr>
        <w:t xml:space="preserve">. </w:t>
      </w:r>
      <w:r>
        <w:rPr>
          <w:rtl w:val="true"/>
        </w:rPr>
        <w:t>בשל מגבלות הקורונה פגישות בוטלו ויתכן שאלמלא כך הדברים היו נראים אחרת</w:t>
      </w:r>
      <w:r>
        <w:rPr>
          <w:rtl w:val="true"/>
        </w:rPr>
        <w:t xml:space="preserve">. </w:t>
      </w:r>
      <w:r>
        <w:rPr>
          <w:rtl w:val="true"/>
        </w:rPr>
        <w:t>סיכויי שיקומו טובים</w:t>
      </w:r>
      <w:r>
        <w:rPr>
          <w:rtl w:val="true"/>
        </w:rPr>
        <w:t xml:space="preserve">, </w:t>
      </w:r>
      <w:r>
        <w:rPr>
          <w:rtl w:val="true"/>
        </w:rPr>
        <w:t>הוא ימשיך בעבודתו וכפי שעלה גם מתסקיר שירות המבחן הוא צפוי לקידום בעבודה</w:t>
      </w:r>
      <w:r>
        <w:rPr>
          <w:rtl w:val="true"/>
        </w:rPr>
        <w:t xml:space="preserve">. </w:t>
      </w:r>
      <w:r>
        <w:rPr>
          <w:rtl w:val="true"/>
        </w:rPr>
        <w:t>בעוד כשנה הוא יהיה בתפקיד ניהולי וככל הנראה נשוי לחברתו</w:t>
      </w:r>
      <w:r>
        <w:rPr>
          <w:rtl w:val="true"/>
        </w:rPr>
        <w:t xml:space="preserve">. </w:t>
      </w:r>
      <w:r>
        <w:rPr>
          <w:rtl w:val="true"/>
        </w:rPr>
        <w:t>הוא עזב את נתניה</w:t>
      </w:r>
      <w:r>
        <w:rPr>
          <w:rtl w:val="true"/>
        </w:rPr>
        <w:t xml:space="preserve">, </w:t>
      </w:r>
      <w:r>
        <w:rPr>
          <w:rtl w:val="true"/>
        </w:rPr>
        <w:t>מקום ביצוע העבירה</w:t>
      </w:r>
      <w:r>
        <w:rPr>
          <w:rtl w:val="true"/>
        </w:rPr>
        <w:t xml:space="preserve">, </w:t>
      </w:r>
      <w:r>
        <w:rPr>
          <w:rtl w:val="true"/>
        </w:rPr>
        <w:t>שם היה בריחוק מבני משפחתו ומהמעגל הקרוב אליו ומצב זה גרם לו לנסיגה</w:t>
      </w:r>
      <w:r>
        <w:rPr>
          <w:rtl w:val="true"/>
        </w:rPr>
        <w:t xml:space="preserve">. </w:t>
      </w:r>
      <w:r>
        <w:rPr>
          <w:rtl w:val="true"/>
        </w:rPr>
        <w:t>חזרתו למשפחתו ולעיר מגוריו מביאה לידי ביטוי את הפוטנציאל שלו</w:t>
      </w:r>
      <w:r>
        <w:rPr>
          <w:rtl w:val="true"/>
        </w:rPr>
        <w:t xml:space="preserve">. </w:t>
      </w:r>
      <w:r>
        <w:rPr>
          <w:rtl w:val="true"/>
        </w:rPr>
        <w:t>התסקיר אינו שלילי במהותו</w:t>
      </w:r>
      <w:r>
        <w:rPr>
          <w:rtl w:val="true"/>
        </w:rPr>
        <w:t xml:space="preserve">,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 המטפלת בו העידה שיש תקווה וסיכוי לשיקום</w:t>
      </w:r>
      <w:r>
        <w:rPr>
          <w:rtl w:val="true"/>
        </w:rPr>
        <w:t xml:space="preserve">. </w:t>
      </w:r>
      <w:r>
        <w:rPr>
          <w:rtl w:val="true"/>
        </w:rPr>
        <w:t>מסקנתו של שירות המבחן לפיה אינו יכול לשלול חזרה להתנהגות דומה בעתיד</w:t>
      </w:r>
      <w:r>
        <w:rPr>
          <w:rtl w:val="true"/>
        </w:rPr>
        <w:t xml:space="preserve">, </w:t>
      </w:r>
      <w:r>
        <w:rPr>
          <w:rtl w:val="true"/>
        </w:rPr>
        <w:t>היא מסקנה מרחיקת לכת שאינה מתיישבת עם הנתונים אודות הנאשם</w:t>
      </w:r>
      <w:r>
        <w:rPr>
          <w:rtl w:val="true"/>
        </w:rPr>
        <w:t xml:space="preserve">. </w:t>
      </w:r>
      <w:r>
        <w:rPr>
          <w:rtl w:val="true"/>
        </w:rPr>
        <w:t>לנאשם אין קשרים שוליים</w:t>
      </w:r>
      <w:r>
        <w:rPr>
          <w:rtl w:val="true"/>
        </w:rPr>
        <w:t xml:space="preserve">, </w:t>
      </w:r>
      <w:r>
        <w:rPr>
          <w:rtl w:val="true"/>
        </w:rPr>
        <w:t>הוא ניתק את עצמו מסביבת העבירה וחזר לתפקוד נורמטיבי</w:t>
      </w:r>
      <w:r>
        <w:rPr>
          <w:rtl w:val="true"/>
        </w:rPr>
        <w:t xml:space="preserve">, </w:t>
      </w:r>
      <w:r>
        <w:rPr>
          <w:rtl w:val="true"/>
        </w:rPr>
        <w:t>כפי שעשה כל חיו</w:t>
      </w:r>
      <w:r>
        <w:rPr>
          <w:rtl w:val="true"/>
        </w:rPr>
        <w:t xml:space="preserve">. </w:t>
      </w:r>
      <w:r>
        <w:rPr>
          <w:rtl w:val="true"/>
        </w:rPr>
        <w:t>הנאשם שיתף פעולה והגיע לכל המפגשים בשירות המבחן וההתרשמות לאחר השתתפותו בקבוצת עצורי הבית היא שהוא נמצא בראשיתו של תהליך</w:t>
      </w:r>
      <w:r>
        <w:rPr>
          <w:rtl w:val="true"/>
        </w:rPr>
        <w:t xml:space="preserve">, </w:t>
      </w:r>
      <w:r>
        <w:rPr>
          <w:rtl w:val="true"/>
        </w:rPr>
        <w:t>אך התקשה להתחבר למקומות רגשיים כאובים אצלו</w:t>
      </w:r>
      <w:r>
        <w:rPr>
          <w:rtl w:val="true"/>
        </w:rPr>
        <w:t xml:space="preserve">. </w:t>
      </w:r>
      <w:r>
        <w:rPr>
          <w:rtl w:val="true"/>
        </w:rPr>
        <w:t>הקושי בחיבור לעולמו הפנימי המורכב הנובע מילדותו הקשה</w:t>
      </w:r>
      <w:r>
        <w:rPr>
          <w:rtl w:val="true"/>
        </w:rPr>
        <w:t xml:space="preserve">. </w:t>
      </w:r>
      <w:r>
        <w:rPr>
          <w:rtl w:val="true"/>
        </w:rPr>
        <w:t>הנאשם שהה בית המעצר כמעט חודש וחצי אשר גרמו לו לתמורה אמיתית בחייו</w:t>
      </w:r>
      <w:r>
        <w:rPr>
          <w:rtl w:val="true"/>
        </w:rPr>
        <w:t xml:space="preserve">. </w:t>
      </w:r>
      <w:r>
        <w:rPr>
          <w:rtl w:val="true"/>
        </w:rPr>
        <w:t xml:space="preserve">בהמשך לכך היה במעצר בפיקוח אלקטרוני במשך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וכיום הוא מטופל בבית חוסן ומוסר בדיקות שתן נקיות</w:t>
      </w:r>
      <w:r>
        <w:rPr>
          <w:rtl w:val="true"/>
        </w:rPr>
        <w:t xml:space="preserve">. </w:t>
      </w:r>
      <w:r>
        <w:rPr>
          <w:rtl w:val="true"/>
        </w:rPr>
        <w:t xml:space="preserve">הנאשם חווה טרגדיה בגיל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בעת ששמע את זעקות השבר ואת האב תלוי מהתקרה</w:t>
      </w:r>
      <w:r>
        <w:rPr>
          <w:rtl w:val="true"/>
        </w:rPr>
        <w:t xml:space="preserve">. </w:t>
      </w:r>
      <w:r>
        <w:rPr>
          <w:rtl w:val="true"/>
        </w:rPr>
        <w:t>זו סיטואציה איומה שמלווה אותו למשך כל חייו וכבר כילד פיתח מנגנוני הגנה</w:t>
      </w:r>
      <w:r>
        <w:rPr>
          <w:rtl w:val="true"/>
        </w:rPr>
        <w:t xml:space="preserve">. </w:t>
      </w:r>
      <w:r>
        <w:rPr>
          <w:rtl w:val="true"/>
        </w:rPr>
        <w:t>אמו הייתה נוכחת נפקדת בגלל המצב והוא נלחם להתקדם בחייו</w:t>
      </w:r>
      <w:r>
        <w:rPr>
          <w:rtl w:val="true"/>
        </w:rPr>
        <w:t xml:space="preserve">. </w:t>
      </w:r>
      <w:r>
        <w:rPr>
          <w:rtl w:val="true"/>
        </w:rPr>
        <w:t>למרות דברי שירות המבחן</w:t>
      </w:r>
      <w:r>
        <w:rPr>
          <w:rtl w:val="true"/>
        </w:rPr>
        <w:t xml:space="preserve">, </w:t>
      </w:r>
      <w:r>
        <w:rPr>
          <w:rtl w:val="true"/>
        </w:rPr>
        <w:t>הנאשם נטל אחריות מלאה על מעשיו</w:t>
      </w:r>
      <w:r>
        <w:rPr>
          <w:rtl w:val="true"/>
        </w:rPr>
        <w:t xml:space="preserve">, </w:t>
      </w:r>
      <w:r>
        <w:rPr>
          <w:rtl w:val="true"/>
        </w:rPr>
        <w:t>ללא קשר למעשיהם של אחרים</w:t>
      </w:r>
      <w:r>
        <w:rPr>
          <w:rtl w:val="true"/>
        </w:rPr>
        <w:t xml:space="preserve">, </w:t>
      </w:r>
      <w:r>
        <w:rPr>
          <w:rtl w:val="true"/>
        </w:rPr>
        <w:t>שהנאשם לא שיתף בחלקם</w:t>
      </w:r>
      <w:r>
        <w:rPr>
          <w:rtl w:val="true"/>
        </w:rPr>
        <w:t xml:space="preserve">. </w:t>
      </w:r>
      <w:r>
        <w:rPr>
          <w:rtl w:val="true"/>
        </w:rPr>
        <w:t>הוא עשה זאת כבר בחקירתו במשטרה</w:t>
      </w:r>
      <w:r>
        <w:rPr>
          <w:rtl w:val="true"/>
        </w:rPr>
        <w:t xml:space="preserve">. </w:t>
      </w:r>
      <w:r>
        <w:rPr>
          <w:rtl w:val="true"/>
        </w:rPr>
        <w:t>הוא הודה בחלקו ולא בחר להשליך את האחריות על אחרים</w:t>
      </w:r>
      <w:r>
        <w:rPr>
          <w:rtl w:val="true"/>
        </w:rPr>
        <w:t xml:space="preserve">. </w:t>
      </w:r>
      <w:r>
        <w:rPr>
          <w:rtl w:val="true"/>
        </w:rPr>
        <w:t>מדובר בנאשם בעל פוטנציאל שיקומי יוצא דופן וממשי והשמתו כיום במאסר תאיין את כל ההישגים שלו במשך השנה וחצי האחרונות</w:t>
      </w:r>
      <w:r>
        <w:rPr>
          <w:rtl w:val="true"/>
        </w:rPr>
        <w:t xml:space="preserve">. </w:t>
      </w:r>
      <w:r>
        <w:rPr>
          <w:rtl w:val="true"/>
        </w:rPr>
        <w:t>הדברים חודדו בחוות הדעת שהוגשה על ידי עו</w:t>
      </w:r>
      <w:r>
        <w:rPr>
          <w:rtl w:val="true"/>
        </w:rPr>
        <w:t>"</w:t>
      </w:r>
      <w:r>
        <w:rPr>
          <w:rtl w:val="true"/>
        </w:rPr>
        <w:t>ס שרון ימיני</w:t>
      </w:r>
      <w:r>
        <w:rPr>
          <w:rtl w:val="true"/>
        </w:rPr>
        <w:t xml:space="preserve">, </w:t>
      </w:r>
      <w:r>
        <w:rPr>
          <w:rtl w:val="true"/>
        </w:rPr>
        <w:t>הרואה את הנאשם כמי שעושה מאמצים אדירים להשתקם והצליח</w:t>
      </w:r>
      <w:r>
        <w:rPr>
          <w:rtl w:val="true"/>
        </w:rPr>
        <w:t xml:space="preserve">, </w:t>
      </w:r>
      <w:r>
        <w:rPr>
          <w:rtl w:val="true"/>
        </w:rPr>
        <w:t>והוא מציג תכנית טיפולית פרטית לאחר שעמד בקשר עם הנאשם ועם העו</w:t>
      </w:r>
      <w:r>
        <w:rPr>
          <w:rtl w:val="true"/>
        </w:rPr>
        <w:t>"</w:t>
      </w:r>
      <w:r>
        <w:rPr>
          <w:rtl w:val="true"/>
        </w:rPr>
        <w:t>ס במרכז חוסן</w:t>
      </w:r>
      <w:r>
        <w:rPr>
          <w:rtl w:val="true"/>
        </w:rPr>
        <w:t xml:space="preserve">, </w:t>
      </w:r>
      <w:r>
        <w:rPr>
          <w:rtl w:val="true"/>
        </w:rPr>
        <w:t>תוך בקרה ומעקב שיעשה על ידו על המשך הטיפול של הנאשם בבית חוסן</w:t>
      </w:r>
      <w:r>
        <w:rPr>
          <w:rtl w:val="true"/>
        </w:rPr>
        <w:t xml:space="preserve">. </w:t>
      </w:r>
      <w:r>
        <w:rPr>
          <w:rtl w:val="true"/>
        </w:rPr>
        <w:t>מכל האמור יש מקום לחרוג ממתחם העונש משיקולי שיקום</w:t>
      </w:r>
      <w:r>
        <w:rPr>
          <w:rtl w:val="true"/>
        </w:rPr>
        <w:t xml:space="preserve">, </w:t>
      </w:r>
      <w:r>
        <w:rPr>
          <w:rtl w:val="true"/>
        </w:rPr>
        <w:t>ולהטיל על הנאשם עונש של עבודות שירות</w:t>
      </w:r>
      <w:r>
        <w:rPr>
          <w:rtl w:val="true"/>
        </w:rPr>
        <w:t xml:space="preserve">, </w:t>
      </w:r>
      <w:r>
        <w:rPr>
          <w:rtl w:val="true"/>
        </w:rPr>
        <w:t>ולחילופין של מאסר קצר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הביע צער על מעשיו</w:t>
      </w:r>
      <w:r>
        <w:rPr>
          <w:rtl w:val="true"/>
        </w:rPr>
        <w:t xml:space="preserve">. </w:t>
      </w:r>
      <w:r>
        <w:rPr>
          <w:rtl w:val="true"/>
        </w:rPr>
        <w:t>מסר שמות אביו היווה עבורו אירוע טראומתי</w:t>
      </w:r>
      <w:r>
        <w:rPr>
          <w:rtl w:val="true"/>
        </w:rPr>
        <w:t xml:space="preserve">. </w:t>
      </w:r>
      <w:r>
        <w:rPr>
          <w:rtl w:val="true"/>
        </w:rPr>
        <w:t>הוא ניסה להראות למשפחה שהכל בסדר והוא אחראי</w:t>
      </w:r>
      <w:r>
        <w:rPr>
          <w:rtl w:val="true"/>
        </w:rPr>
        <w:t xml:space="preserve">, </w:t>
      </w:r>
      <w:r>
        <w:rPr>
          <w:rtl w:val="true"/>
        </w:rPr>
        <w:t>עצמאי וחזק</w:t>
      </w:r>
      <w:r>
        <w:rPr>
          <w:rtl w:val="true"/>
        </w:rPr>
        <w:t xml:space="preserve">. </w:t>
      </w:r>
      <w:r>
        <w:rPr>
          <w:rtl w:val="true"/>
        </w:rPr>
        <w:t>מגיל צעיר החל לעבוד בתחום התיירות והמסעדנות בעיר טבריה</w:t>
      </w:r>
      <w:r>
        <w:rPr>
          <w:rtl w:val="true"/>
        </w:rPr>
        <w:t xml:space="preserve">, </w:t>
      </w:r>
      <w:r>
        <w:rPr>
          <w:rtl w:val="true"/>
        </w:rPr>
        <w:t>סיים עם תעודת בגרות כמעט מלאה</w:t>
      </w:r>
      <w:r>
        <w:rPr>
          <w:rtl w:val="true"/>
        </w:rPr>
        <w:t xml:space="preserve">, </w:t>
      </w:r>
      <w:r>
        <w:rPr>
          <w:rtl w:val="true"/>
        </w:rPr>
        <w:t>למרות קשייו בבית הספר</w:t>
      </w:r>
      <w:r>
        <w:rPr>
          <w:rtl w:val="true"/>
        </w:rPr>
        <w:t xml:space="preserve">, </w:t>
      </w:r>
      <w:r>
        <w:rPr>
          <w:rtl w:val="true"/>
        </w:rPr>
        <w:t>התגבר על הכל</w:t>
      </w:r>
      <w:r>
        <w:rPr>
          <w:rtl w:val="true"/>
        </w:rPr>
        <w:t xml:space="preserve">. </w:t>
      </w:r>
      <w:r>
        <w:rPr>
          <w:rtl w:val="true"/>
        </w:rPr>
        <w:t>תיאר את שירותו הצבאי ואת עבודתו</w:t>
      </w:r>
      <w:r>
        <w:rPr>
          <w:rtl w:val="true"/>
        </w:rPr>
        <w:t xml:space="preserve">. </w:t>
      </w:r>
      <w:r>
        <w:rPr>
          <w:rtl w:val="true"/>
        </w:rPr>
        <w:t>היום עובד כמנהל פרויקט בחברה</w:t>
      </w:r>
      <w:r>
        <w:rPr>
          <w:rtl w:val="true"/>
        </w:rPr>
        <w:t xml:space="preserve">. </w:t>
      </w:r>
      <w:r>
        <w:rPr>
          <w:rtl w:val="true"/>
        </w:rPr>
        <w:t>מבין מאוד את חומרת העבירה</w:t>
      </w:r>
      <w:r>
        <w:rPr>
          <w:rtl w:val="true"/>
        </w:rPr>
        <w:t xml:space="preserve">, </w:t>
      </w:r>
      <w:r>
        <w:rPr>
          <w:rtl w:val="true"/>
        </w:rPr>
        <w:t>מצטער עליה</w:t>
      </w:r>
      <w:r>
        <w:rPr>
          <w:rtl w:val="true"/>
        </w:rPr>
        <w:t xml:space="preserve">, </w:t>
      </w:r>
      <w:r>
        <w:rPr>
          <w:rtl w:val="true"/>
        </w:rPr>
        <w:t>קיבל שיעור ולמד את הלקח</w:t>
      </w:r>
      <w:r>
        <w:rPr>
          <w:rtl w:val="true"/>
        </w:rPr>
        <w:t xml:space="preserve">. </w:t>
      </w:r>
      <w:r>
        <w:rPr>
          <w:rtl w:val="true"/>
        </w:rPr>
        <w:t>היום נמצא במקום אחר</w:t>
      </w:r>
      <w:r>
        <w:rPr>
          <w:rtl w:val="true"/>
        </w:rPr>
        <w:t xml:space="preserve">, </w:t>
      </w:r>
      <w:r>
        <w:rPr>
          <w:rtl w:val="true"/>
        </w:rPr>
        <w:t>נרתם לכל טיפול שנותנים לו</w:t>
      </w:r>
      <w:r>
        <w:rPr>
          <w:rtl w:val="true"/>
        </w:rPr>
        <w:t xml:space="preserve">. </w:t>
      </w:r>
      <w:r>
        <w:rPr>
          <w:rtl w:val="true"/>
        </w:rPr>
        <w:t>הטיפול עזר לו להבין את הקשיים שלו</w:t>
      </w:r>
      <w:r>
        <w:rPr>
          <w:rtl w:val="true"/>
        </w:rPr>
        <w:t xml:space="preserve">. </w:t>
      </w:r>
      <w:r>
        <w:rPr>
          <w:rtl w:val="true"/>
        </w:rPr>
        <w:t>הוא מנסה לראות עולם יותר טוב</w:t>
      </w:r>
      <w:r>
        <w:rPr>
          <w:rtl w:val="true"/>
        </w:rPr>
        <w:t xml:space="preserve">, </w:t>
      </w:r>
      <w:r>
        <w:rPr>
          <w:rtl w:val="true"/>
        </w:rPr>
        <w:t>ועכשיו לומד להתמודד</w:t>
      </w:r>
      <w:r>
        <w:rPr>
          <w:rtl w:val="true"/>
        </w:rPr>
        <w:t xml:space="preserve">. </w:t>
      </w:r>
      <w:r>
        <w:rPr>
          <w:rtl w:val="true"/>
        </w:rPr>
        <w:t>לפני שנעצר סבר שהסמים עוזרים לו להירגע ולהתמודד עם הדברים בצורה יותר פשוטה</w:t>
      </w:r>
      <w:r>
        <w:rPr>
          <w:rtl w:val="true"/>
        </w:rPr>
        <w:t xml:space="preserve">. </w:t>
      </w:r>
      <w:r>
        <w:rPr>
          <w:rtl w:val="true"/>
        </w:rPr>
        <w:t>מאז שנעצר הוא נקי</w:t>
      </w:r>
      <w:r>
        <w:rPr>
          <w:rtl w:val="true"/>
        </w:rPr>
        <w:t xml:space="preserve">, </w:t>
      </w:r>
      <w:r>
        <w:rPr>
          <w:rtl w:val="true"/>
        </w:rPr>
        <w:t>מצטער על מעשיו ומנסה לשקם את עצמו בשתי ידיים</w:t>
      </w:r>
      <w:r>
        <w:rPr>
          <w:rtl w:val="true"/>
        </w:rPr>
        <w:t xml:space="preserve">, </w:t>
      </w:r>
      <w:r>
        <w:rPr>
          <w:rtl w:val="true"/>
        </w:rPr>
        <w:t>רוצה להקים בית עם חברתו</w:t>
      </w:r>
      <w:r>
        <w:rPr>
          <w:rtl w:val="true"/>
        </w:rPr>
        <w:t xml:space="preserve">. </w:t>
      </w:r>
      <w:r>
        <w:rPr>
          <w:rtl w:val="true"/>
        </w:rPr>
        <w:t>מבקש הזדמנות והתחשבות</w:t>
      </w:r>
      <w:r>
        <w:rPr>
          <w:rtl w:val="true"/>
        </w:rPr>
        <w:t xml:space="preserve">. </w:t>
      </w:r>
      <w:r>
        <w:rPr>
          <w:rtl w:val="true"/>
        </w:rPr>
        <w:t>ראה אנשים שעברו טיפול ולאיזה מקום חיובי זה הביא אותם מבחינה פיזית ונפשית</w:t>
      </w:r>
      <w:r>
        <w:rPr>
          <w:rtl w:val="true"/>
        </w:rPr>
        <w:t xml:space="preserve">. </w:t>
      </w:r>
      <w:r>
        <w:rPr>
          <w:rtl w:val="true"/>
        </w:rPr>
        <w:t>לא יתקרב לדבר הזה לעולם</w:t>
      </w:r>
      <w:r>
        <w:rPr>
          <w:rtl w:val="true"/>
        </w:rPr>
        <w:t xml:space="preserve">, </w:t>
      </w:r>
      <w:r>
        <w:rPr>
          <w:rtl w:val="true"/>
        </w:rPr>
        <w:t>לא לסמים ולא לדרך כזו</w:t>
      </w:r>
      <w:r>
        <w:rPr>
          <w:rtl w:val="true"/>
        </w:rPr>
        <w:t xml:space="preserve">. </w:t>
      </w:r>
      <w:r>
        <w:rPr>
          <w:rtl w:val="true"/>
        </w:rPr>
        <w:t>הגיע להסדר לתשלום חובותיו והוא משלם</w:t>
      </w:r>
      <w:r>
        <w:rPr>
          <w:rtl w:val="true"/>
        </w:rPr>
        <w:t xml:space="preserve">. </w:t>
      </w:r>
      <w:r>
        <w:rPr>
          <w:rtl w:val="true"/>
        </w:rPr>
        <w:t>רוצה לקבל כל טיפול אפשרי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rtl w:val="true"/>
        </w:rPr>
        <w:t>הערכים החברתיים</w:t>
      </w:r>
      <w:r>
        <w:rPr>
          <w:rtl w:val="true"/>
        </w:rPr>
        <w:t xml:space="preserve"> שנפגעו מביצוע העבירה הם הגנה על הציבור מפני הנזקים הישירים והעקיפים הנגרמים עקב השימוש בסמים</w:t>
      </w:r>
      <w:r>
        <w:rPr>
          <w:rtl w:val="true"/>
        </w:rPr>
        <w:t xml:space="preserve">. </w:t>
      </w:r>
      <w:r>
        <w:rPr>
          <w:rtl w:val="true"/>
        </w:rPr>
        <w:t>לעבירות הסמים פוטנציאל נזק רב</w:t>
      </w:r>
      <w:r>
        <w:rPr>
          <w:rtl w:val="true"/>
        </w:rPr>
        <w:t xml:space="preserve">, </w:t>
      </w:r>
      <w:r>
        <w:rPr>
          <w:rtl w:val="true"/>
        </w:rPr>
        <w:t>שכן השימוש בסמים גורר במקרים רבים אף ביצוע עבירות נלוות</w:t>
      </w:r>
      <w:r>
        <w:rPr>
          <w:rtl w:val="true"/>
        </w:rPr>
        <w:t xml:space="preserve">, </w:t>
      </w:r>
      <w:r>
        <w:rPr>
          <w:rtl w:val="true"/>
        </w:rPr>
        <w:t>אם כי במקרה דנן מדובר בסם מסוג קנבוס</w:t>
      </w:r>
      <w:r>
        <w:rPr>
          <w:rtl w:val="true"/>
        </w:rPr>
        <w:t xml:space="preserve">, </w:t>
      </w:r>
      <w:r>
        <w:rPr>
          <w:rtl w:val="true"/>
        </w:rPr>
        <w:t>אשר חומרתו פחותה בהשוואה לסמים אחרים</w:t>
      </w:r>
      <w:r>
        <w:rPr>
          <w:rtl w:val="true"/>
        </w:rPr>
        <w:t xml:space="preserve">. </w:t>
      </w:r>
      <w:r>
        <w:rPr>
          <w:rtl w:val="true"/>
        </w:rPr>
        <w:t>לא בכדי קבע המחוקק לצד העבירה של גידול</w:t>
      </w:r>
      <w:r>
        <w:rPr>
          <w:rtl w:val="true"/>
        </w:rPr>
        <w:t xml:space="preserve">, </w:t>
      </w:r>
      <w:r>
        <w:rPr>
          <w:rtl w:val="true"/>
        </w:rPr>
        <w:t>הפקת והכנת סמים</w:t>
      </w:r>
      <w:r>
        <w:rPr>
          <w:rtl w:val="true"/>
        </w:rPr>
        <w:t xml:space="preserve">, </w:t>
      </w:r>
      <w:r>
        <w:rPr>
          <w:rtl w:val="true"/>
        </w:rPr>
        <w:t>עונש מרבי של עד עשרים שנות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0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תופעת המעבדות או המשתלות לגידול סמים הפכה בשנים האחרונות לתופעה נפוצה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טמון בחובה פוטנציאל נזק 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 החשש שהסם אשר מגודל במקום יתגלגל לשוק 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לגורמים עבריינים ומשם לציבור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 שוני משמעותי בין תיקים שונים של מעבדות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בהתאם למספרן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לגודלן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לכמות הסמים שנתפסה בהם ולפרמטרים נוספים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07" w:end="0"/>
        <w:jc w:val="both"/>
        <w:rPr/>
      </w:pPr>
      <w:r>
        <w:rPr>
          <w:rFonts w:ascii="David" w:hAnsi="David"/>
          <w:color w:val="000000"/>
          <w:rtl w:val="true"/>
        </w:rPr>
        <w:t>במישור העקרוני ראוי להדגיש כי מדיניות האכיפה והענישה המקלה אשר ננקטת בשנים אחרונות כלפי המשתמשים בסמים מסוג קנבוס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כפי שהיא באה לידי ביטוי בסעיף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לפקודת הסמים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תיקון מס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[</w:t>
      </w:r>
      <w:r>
        <w:rPr>
          <w:rFonts w:ascii="David" w:hAnsi="David"/>
          <w:color w:val="000000"/>
          <w:rtl w:val="true"/>
        </w:rPr>
        <w:t>הוראת שעה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תשע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2018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אינה חלה בהתאמה על מי שמגדל לשם הפצה או סוחר בסמים מסוג 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דרגת חומרתו של הסם מסוג קנבוס היא פחותה בהשוואה לסמים 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מדיניות הענישה הנוהגת לגבי מגדלי המעבדות והסוחרים בסם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נועדה להקל מי שנמצא בשלבי הייצור או ההספקה של 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אלא נותרה משמעותית ומרתיעה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דברי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עמית 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2596/18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זנזורי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12.8.18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ודברי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הנדל 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5807/17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דרחי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18.6.18</w:t>
      </w:r>
      <w:r>
        <w:rPr>
          <w:rFonts w:cs="David" w:ascii="David" w:hAnsi="David"/>
          <w:color w:val="000000"/>
          <w:rtl w:val="true"/>
        </w:rPr>
        <w:t>]).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Fonts w:eastAsia="David"/>
          <w:rtl w:val="true"/>
        </w:rPr>
        <w:t xml:space="preserve"> </w:t>
      </w: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 xml:space="preserve">מובילה למסקנה כי הפגיעה בערך המוגן הינה </w:t>
      </w:r>
      <w:r>
        <w:rPr>
          <w:b/>
          <w:b/>
          <w:bCs/>
          <w:rtl w:val="true"/>
        </w:rPr>
        <w:t>ברף בינוני</w:t>
      </w:r>
      <w:r>
        <w:rPr>
          <w:rtl w:val="true"/>
        </w:rPr>
        <w:t xml:space="preserve">, </w:t>
      </w:r>
      <w:r>
        <w:rPr>
          <w:rtl w:val="true"/>
        </w:rPr>
        <w:t xml:space="preserve">זאת בשים לב לכך שמדובר בגידול שתילי קנאביס בהיקף של </w:t>
      </w:r>
      <w:r>
        <w:rPr>
          <w:b/>
          <w:bCs/>
        </w:rPr>
        <w:t>80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לצד ציוד רב וגניבת חשמל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>לכך שלעבירה קדם תכנון הכולל שכירת הדירה בה הוקמה המעבדה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ציודה בציוד מתאים להקמת מעבדה ועריכת שינוי במערכת החשמל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הנאשם גידל במעבדה שהקים סם מסוג קנאביס במשקל של </w:t>
      </w:r>
      <w:r>
        <w:rPr>
          <w:rStyle w:val="default"/>
        </w:rPr>
        <w:t>80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ק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 xml:space="preserve">ג ובהיקף של </w:t>
      </w:r>
      <w:r>
        <w:rPr>
          <w:rStyle w:val="default"/>
        </w:rPr>
        <w:t>94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שתילים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יצוין כי מספר השתילים אינו רב ביחס לתיקים דומים באותו משקל סם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גניבת החשמל הייתה בסכום שאינו גבוה ביחס לתיקים דומים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בסך של כ</w:t>
      </w:r>
      <w:r>
        <w:rPr>
          <w:rStyle w:val="default"/>
          <w:rtl w:val="true"/>
        </w:rPr>
        <w:t>-</w:t>
      </w:r>
      <w:r>
        <w:rPr>
          <w:rStyle w:val="default"/>
        </w:rPr>
        <w:t>3,780</w:t>
      </w:r>
      <w:r>
        <w:rPr>
          <w:rStyle w:val="default"/>
          <w:rtl w:val="true"/>
        </w:rPr>
        <w:t xml:space="preserve"> ₪. </w:t>
      </w:r>
      <w:r>
        <w:rPr>
          <w:rStyle w:val="default"/>
          <w:rtl w:val="true"/>
        </w:rPr>
        <w:t>הנאשם הוא המבצע העיקרי של העבירה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ואף אם היו מעורבים אחרים אשר זהותם לא נחשפה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אין בכך כדי להפחית מחלקו בעבירה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הנזקים שצפויים היו להיגרם מביצוע העבירה נוגעים לחשש שהסמים יופצו בציבור 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ידי גורמים עבריינים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עבירות הסמים מסוג זה הן בגדר מחולל פשיעה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הסיבות שהביאו את הנאשם לבצע את העבירה הן כלכליות וקשורות גם בצריכתו האינטנסיבית של סמים מסוג קנאביס וקשריו השוליים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Style w:val="default"/>
          <w:rFonts w:eastAsia="David"/>
          <w:rtl w:val="true"/>
        </w:rPr>
        <w:t xml:space="preserve"> </w:t>
      </w: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8988/16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בן סימון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8.3.17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נדחה ערעורו של נאשם אשר הורשע לפי הודאתו בעבירות של ייצור הכנה והפקה של 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 והספקת סם ונטילת חשמל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הקים מעבדה לגידול סם מסוג קנבוס בביתו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גידל בה </w:t>
      </w:r>
      <w:r>
        <w:rPr>
          <w:rFonts w:cs="David" w:ascii="David" w:hAnsi="David"/>
        </w:rPr>
        <w:t>282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וגנב חשמל בשווי של עשרות אלפי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גידל כמות של </w:t>
      </w:r>
      <w:r>
        <w:rPr>
          <w:rFonts w:cs="David" w:ascii="David" w:hAnsi="David"/>
          <w:b/>
          <w:bCs/>
        </w:rPr>
        <w:t>87.25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b/>
          <w:b/>
          <w:bCs/>
          <w:rtl w:val="true"/>
        </w:rPr>
        <w:t xml:space="preserve">מתחם שבין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מאסר ראשון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וקנס בסך </w:t>
      </w:r>
      <w:r>
        <w:rPr>
          <w:rFonts w:cs="David" w:ascii="David" w:hAnsi="David"/>
        </w:rPr>
        <w:t>40,000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6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863/18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לירן סבן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15.11.18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וב</w:t>
      </w:r>
      <w:hyperlink r:id="rId1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861/18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משה סבן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2.4.19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הקל בית המשפט העליון בעונשם של שני נאשמים אשר הורשעו ב</w:t>
      </w:r>
      <w:hyperlink r:id="rId18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מרכז לוד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8867-02-15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סבן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11.1.18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על פי הודאתם בעבירות של הכנה והפקת סמים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החזקת סמים שלא לצריכה עצמית וקשירת קשר לפשע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הנאשמים הקימו מעבדה לגידול סמים בדירה ששכרו לשם כך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ובה גידלו </w:t>
      </w:r>
      <w:r>
        <w:rPr>
          <w:rStyle w:val="default"/>
          <w:rFonts w:cs="David" w:ascii="David" w:hAnsi="David"/>
          <w:b/>
          <w:bCs/>
        </w:rPr>
        <w:t>92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ascii="David" w:hAnsi="David"/>
          <w:rtl w:val="true"/>
        </w:rPr>
        <w:t xml:space="preserve"> סם מסוג קנאביס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283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שתילים</w:t>
      </w:r>
      <w:r>
        <w:rPr>
          <w:rStyle w:val="default"/>
          <w:rFonts w:cs="David" w:ascii="David" w:hAnsi="David"/>
          <w:rtl w:val="true"/>
        </w:rPr>
        <w:t xml:space="preserve">). </w:t>
      </w:r>
      <w:r>
        <w:rPr>
          <w:rStyle w:val="default"/>
          <w:rFonts w:ascii="David" w:hAnsi="David"/>
          <w:rtl w:val="true"/>
        </w:rPr>
        <w:t xml:space="preserve">הוסכם כי חלקו של הנאשם </w:t>
      </w:r>
      <w:r>
        <w:rPr>
          <w:rStyle w:val="default"/>
          <w:rFonts w:cs="David" w:ascii="David" w:hAnsi="David"/>
        </w:rPr>
        <w:t>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היה פחות מחלקו של הנאשם </w:t>
      </w:r>
      <w:r>
        <w:rPr>
          <w:rStyle w:val="default"/>
          <w:rFonts w:cs="David" w:ascii="David" w:hAnsi="David"/>
        </w:rPr>
        <w:t>1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לנאשם </w:t>
      </w:r>
      <w:r>
        <w:rPr>
          <w:rStyle w:val="default"/>
          <w:rFonts w:cs="David" w:ascii="David" w:hAnsi="David"/>
          <w:b/>
          <w:bCs/>
        </w:rPr>
        <w:t>1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 xml:space="preserve">הנע בין </w:t>
      </w:r>
      <w:r>
        <w:rPr>
          <w:rStyle w:val="default"/>
          <w:rFonts w:cs="David" w:ascii="David" w:hAnsi="David"/>
          <w:b/>
          <w:bCs/>
        </w:rPr>
        <w:t>28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52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ולנאשם </w:t>
      </w:r>
      <w:r>
        <w:rPr>
          <w:rStyle w:val="default"/>
          <w:rFonts w:cs="David" w:ascii="David" w:hAnsi="David"/>
        </w:rPr>
        <w:t>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מתחם הנע בין </w:t>
      </w:r>
      <w:r>
        <w:rPr>
          <w:rStyle w:val="default"/>
          <w:rFonts w:cs="David" w:ascii="David" w:hAnsi="David"/>
        </w:rPr>
        <w:t>20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42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העליון הקל בעונשו של הנאשם </w:t>
      </w:r>
      <w:r>
        <w:rPr>
          <w:rStyle w:val="default"/>
          <w:rFonts w:cs="David" w:ascii="David" w:hAnsi="David"/>
        </w:rPr>
        <w:t>1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לעונש של 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 xml:space="preserve">כולל הפעלת מאסר על תנאי של </w:t>
      </w:r>
      <w:r>
        <w:rPr>
          <w:rStyle w:val="default"/>
          <w:rFonts w:cs="David" w:ascii="David" w:hAnsi="David"/>
        </w:rPr>
        <w:t>12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 xml:space="preserve">ולגבי נאשם </w:t>
      </w:r>
      <w:r>
        <w:rPr>
          <w:rStyle w:val="default"/>
          <w:rFonts w:cs="David" w:ascii="David" w:hAnsi="David"/>
        </w:rPr>
        <w:t>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הקל בית המשפט העליון בעונשו משיקולי שיקום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לעונש של </w:t>
      </w:r>
      <w:r>
        <w:rPr>
          <w:rStyle w:val="default"/>
          <w:rFonts w:cs="David" w:ascii="David" w:hAnsi="David"/>
          <w:b/>
          <w:bCs/>
        </w:rPr>
        <w:t>9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עבודות שירות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 xml:space="preserve">חלף </w:t>
      </w:r>
      <w:r>
        <w:rPr>
          <w:rStyle w:val="default"/>
          <w:rFonts w:cs="David" w:ascii="David" w:hAnsi="David"/>
        </w:rPr>
        <w:t>24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).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9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1743/20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סויסה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6.8.20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דחה בית המשפט העליון ערעורו של נאשם אשר הורשע על פי הודאתו בעבירות של ייצור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הכנה והפקת סם והחזקת סם שלא לצריכה עצמית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שכר דירה והקים עבור אחרים מעבדה לגידול סם מסוג קנאביס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טיפל בצמחי הסם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ייבש אותם וארז אותם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בדירה נמצאו סמים מסוג קנאביס במשקל של </w:t>
      </w:r>
      <w:r>
        <w:rPr>
          <w:rStyle w:val="default"/>
          <w:rFonts w:cs="David" w:ascii="David" w:hAnsi="David"/>
          <w:b/>
          <w:bCs/>
        </w:rPr>
        <w:t>79.9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ק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ועד 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b/>
          <w:bCs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הנאשם בעל נסיבות חיים קשות ומצב נפשי מורכב ולחובתו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0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5807/17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דרחי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18.6.18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בעבירות של גידול סם מסוכן והחזקת סם שלא לצריכה עצמית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הקים מעבדה לגידול סם מסוג קנאביס במספר חדרים בדירה בחזקתו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בדירה נמצאו סמים מסוג קנאביס במשקל של </w:t>
      </w:r>
      <w:r>
        <w:rPr>
          <w:rStyle w:val="default"/>
          <w:rFonts w:cs="David" w:ascii="David" w:hAnsi="David"/>
          <w:b/>
          <w:bCs/>
        </w:rPr>
        <w:t>76.85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ק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והשית על הנאשם עונש של 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תוך שנתן משקל לנסיבותיו האישיות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1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871/20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אברג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יל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30.3.20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דחה בית המשפט העליון את ערעורו של נאשם אשר הורשע על פי הודאתו בעבירה של ייצור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הכנה והפקת סם והחזקת סם שלא לצריכה עצמית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הקים בדירה מעבדה לגידול סם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צייד אותה בציוד מתאים וגידל בה שתילי סם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בדירה נמצאו סמים מסוג קנאביס במשקל של </w:t>
      </w:r>
      <w:r>
        <w:rPr>
          <w:rStyle w:val="default"/>
          <w:rFonts w:cs="David" w:ascii="David" w:hAnsi="David"/>
          <w:b/>
          <w:bCs/>
        </w:rPr>
        <w:t>80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מאות שתילים</w:t>
      </w:r>
      <w:r>
        <w:rPr>
          <w:rStyle w:val="default"/>
          <w:rFonts w:cs="David" w:ascii="David" w:hAnsi="David"/>
          <w:rtl w:val="true"/>
        </w:rPr>
        <w:t xml:space="preserve">).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46</w:t>
      </w:r>
      <w:r>
        <w:rPr>
          <w:rStyle w:val="default"/>
          <w:rFonts w:cs="David" w:ascii="David" w:hAnsi="David"/>
          <w:b/>
          <w:bCs/>
          <w:rtl w:val="true"/>
        </w:rPr>
        <w:t xml:space="preserve"> 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אדם מבוגר בעל נסיבות חיים קשות ומצב רפואי מורכב ולו עבר פלילי ישן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העליון קבע שהעונש אינו חורג מרף הענישה הנוהג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46662-04-15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סגל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3.2.16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של ייצור סם מסוכן והחזקת סם מסוכן שלא לצריכה עצמית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שכר דירה והקים בה מעבדה לגידול סם מסוג קנאביס ולשם כך צייד את הדירה בציוד רלוונטי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בדירה נמצאו צמחי קנאביס רבים במשקל של </w:t>
      </w:r>
      <w:r>
        <w:rPr>
          <w:rStyle w:val="default"/>
          <w:rFonts w:cs="David" w:ascii="David" w:hAnsi="David"/>
          <w:b/>
          <w:bCs/>
        </w:rPr>
        <w:t>78.8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ק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והשית על 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עונש של 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3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45012-03-20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חן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2.8.20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נאשם הורשע על פי הודאתו בעבירות של ייצור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הכנה והפקת סם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החזקת חצרים וגניבת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הקים מעבדה לגידול סם בדירה שכורה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צייד אותה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נטל חשמל שלא כדין וגידל סם מסוג קנאביס במשקל של </w:t>
      </w:r>
      <w:r>
        <w:rPr>
          <w:rStyle w:val="default"/>
          <w:rFonts w:cs="David" w:ascii="David" w:hAnsi="David"/>
          <w:b/>
          <w:bCs/>
        </w:rPr>
        <w:t>90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660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שתילים</w:t>
      </w:r>
      <w:r>
        <w:rPr>
          <w:rStyle w:val="default"/>
          <w:rFonts w:cs="David" w:ascii="David" w:hAnsi="David"/>
          <w:rtl w:val="true"/>
        </w:rPr>
        <w:t xml:space="preserve">).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29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54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ללא עבר פלילי אשר עד לביצוע העבירה התנהל באופן נורמטיבי במסגרות חייו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29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4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17677-04-17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דוכן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2.11.17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של ייצור סם מסוכן וגניבת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שכר בית והקים בו מעבדה לגידול סם מסוג קנאביס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לצורך כך רכש ציוד רב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החזיק בשתילי סם במשקל של </w:t>
      </w:r>
      <w:r>
        <w:rPr>
          <w:rStyle w:val="default"/>
          <w:rFonts w:cs="David" w:ascii="David" w:hAnsi="David"/>
          <w:b/>
          <w:bCs/>
        </w:rPr>
        <w:t>72.8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235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עציצים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וגנב חשמל בשווי של כ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18,000</w:t>
      </w:r>
      <w:r>
        <w:rPr>
          <w:rStyle w:val="default"/>
          <w:rFonts w:cs="David" w:ascii="David" w:hAnsi="David"/>
          <w:rtl w:val="true"/>
        </w:rPr>
        <w:t xml:space="preserve"> ₪. </w:t>
      </w:r>
      <w:r>
        <w:rPr>
          <w:rStyle w:val="default"/>
          <w:rFonts w:ascii="David" w:hAnsi="David"/>
          <w:rtl w:val="true"/>
        </w:rPr>
        <w:t>לחובתו עבר פלילי קודם רלוונטי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והשית על הנאשם עונש של </w:t>
      </w:r>
      <w:r>
        <w:rPr>
          <w:rStyle w:val="default"/>
          <w:rFonts w:cs="David" w:ascii="David" w:hAnsi="David"/>
          <w:b/>
          <w:bCs/>
        </w:rPr>
        <w:t>27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5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69569-11-17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זרחי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29.11.18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של ייצור סם וגניבת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שכר דירה והקים בה מעבדה לגידול סם מסוג קנאביס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לשם כך רכש ציוד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שתילים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וחיבר את הבית לרשת החשמל באופן לא מוסדר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בבית נמצא סם מסוג קנאביס במשקל של </w:t>
      </w:r>
      <w:r>
        <w:rPr>
          <w:rStyle w:val="default"/>
          <w:rFonts w:cs="David" w:ascii="David" w:hAnsi="David"/>
          <w:b/>
          <w:bCs/>
        </w:rPr>
        <w:t>86.9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ק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ג ושווי גניבת החשמל עמד על עשרות אלפי 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והשית על הנאשם</w:t>
      </w:r>
      <w:r>
        <w:rPr>
          <w:rStyle w:val="default"/>
          <w:rFonts w:cs="David" w:ascii="David" w:hAnsi="David"/>
          <w:rtl w:val="true"/>
        </w:rPr>
        <w:t>,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צעיר 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עונש של </w:t>
      </w:r>
      <w:r>
        <w:rPr>
          <w:rStyle w:val="default"/>
          <w:rFonts w:cs="David" w:ascii="David" w:hAnsi="David"/>
          <w:b/>
          <w:bCs/>
        </w:rPr>
        <w:t>25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6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לוד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25458-11-18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אליאב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19.9.19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הורשע נאשם על פי הודאתו בעבירות של ייצור הכנה והפקת סם מסוכן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החזקת חצרים לשם הכנת סם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החזקת כלים ונטילת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שכר בית והקים בו מעבדה לגידול מס מסוג קנביס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לצורך כך רכש ציוד רב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גידל </w:t>
      </w:r>
      <w:r>
        <w:rPr>
          <w:rStyle w:val="default"/>
          <w:rFonts w:cs="David" w:ascii="David" w:hAnsi="David"/>
        </w:rPr>
        <w:t>768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שתילים במשקל כולל של </w:t>
      </w:r>
      <w:r>
        <w:rPr>
          <w:rStyle w:val="default"/>
          <w:rFonts w:cs="David" w:ascii="David" w:hAnsi="David"/>
          <w:b/>
          <w:bCs/>
        </w:rPr>
        <w:t>80.3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לחובת הנאשם הרשעה אחת בעבירת מרמה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b/>
          <w:b/>
          <w:bCs/>
          <w:rtl w:val="true"/>
        </w:rPr>
        <w:t xml:space="preserve">נקבע מתחם שבין </w:t>
      </w:r>
      <w:r>
        <w:rPr>
          <w:rStyle w:val="default"/>
          <w:rFonts w:cs="David" w:ascii="David" w:hAnsi="David"/>
          <w:b/>
          <w:bCs/>
        </w:rPr>
        <w:t>22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 xml:space="preserve">והושתו על הנאשם </w:t>
      </w:r>
      <w:r>
        <w:rPr>
          <w:rStyle w:val="default"/>
          <w:rFonts w:cs="David" w:ascii="David" w:hAnsi="David"/>
          <w:b/>
          <w:bCs/>
        </w:rPr>
        <w:t>25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4460-04-18</w:t>
        </w:r>
      </w:hyperlink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ברבי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28.5.19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 xml:space="preserve">הורשע הנאשם </w:t>
      </w:r>
      <w:r>
        <w:rPr>
          <w:rStyle w:val="default"/>
          <w:rFonts w:cs="David" w:ascii="David" w:hAnsi="David"/>
        </w:rPr>
        <w:t>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על פי הודאתו בעבירה של ייצור סמים וגניבת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שכר בית והקים מעבדה לגידול סמים ובה נתפסו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334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 xml:space="preserve">שתילי קנביס במשקל נטו של </w:t>
      </w:r>
      <w:r>
        <w:rPr>
          <w:rStyle w:val="default"/>
          <w:rFonts w:cs="David" w:ascii="David" w:hAnsi="David"/>
          <w:b/>
          <w:bCs/>
        </w:rPr>
        <w:t>73.6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b/>
          <w:bCs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נאשם ללא עבר פלילי עם המלצה חיובית של שירות המבחן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והשית על הנאשם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29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>מתחם העונש ההולם</w:t>
      </w:r>
      <w:r>
        <w:rPr>
          <w:rtl w:val="true"/>
        </w:rPr>
        <w:t xml:space="preserve"> הוא </w:t>
      </w:r>
      <w:r>
        <w:rPr>
          <w:b/>
          <w:b/>
          <w:bCs/>
          <w:rtl w:val="true"/>
        </w:rPr>
        <w:t>החל מ</w:t>
      </w:r>
      <w:r>
        <w:rPr>
          <w:b/>
          <w:bCs/>
          <w:rtl w:val="true"/>
        </w:rPr>
        <w:t>-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חריגה מהמתחם משיקולי שיקום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בית המשפט רשאי לחרוג לקולה ממתחם העונש ההולם משיקולי שיקום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הפרמטרים המרכזיים אשר ממצביעים על סיכוי שיקום הם המוטיבציה שהפגין הנאשם להשתקם</w:t>
      </w:r>
      <w:r>
        <w:rPr>
          <w:rtl w:val="true"/>
        </w:rPr>
        <w:t xml:space="preserve">; </w:t>
      </w:r>
      <w:r>
        <w:rPr>
          <w:rtl w:val="true"/>
        </w:rPr>
        <w:t>הליך של גמילה מהתמכרות שהוא עובר</w:t>
      </w:r>
      <w:r>
        <w:rPr>
          <w:rtl w:val="true"/>
        </w:rPr>
        <w:t xml:space="preserve">; </w:t>
      </w:r>
      <w:r>
        <w:rPr>
          <w:rtl w:val="true"/>
        </w:rPr>
        <w:t>השתלבות מוצלחת בהליכים טיפוליים שונים</w:t>
      </w:r>
      <w:r>
        <w:rPr>
          <w:rtl w:val="true"/>
        </w:rPr>
        <w:t xml:space="preserve">; </w:t>
      </w:r>
      <w:r>
        <w:rPr>
          <w:rtl w:val="true"/>
        </w:rPr>
        <w:t>אינדיקציות לשינוי עמוק בהתנהגות ובדרך החשיבה</w:t>
      </w:r>
      <w:r>
        <w:rPr>
          <w:rtl w:val="true"/>
        </w:rPr>
        <w:t xml:space="preserve">; </w:t>
      </w:r>
      <w:r>
        <w:rPr>
          <w:rtl w:val="true"/>
        </w:rPr>
        <w:t>הבעת חרטה כנה על המעשים והפגנת אמפתיה כלפי נפגעי העבירה</w:t>
      </w:r>
      <w:r>
        <w:rPr>
          <w:rtl w:val="true"/>
        </w:rPr>
        <w:t xml:space="preserve">. </w:t>
      </w:r>
      <w:r>
        <w:rPr>
          <w:rtl w:val="true"/>
        </w:rPr>
        <w:t>בהקשר זה נקבע בפסיקה כי שילוב בין שינוי מהותי בהתייחסות הרגשית לאירוע העבירה המתבטא בנטילת אחריות</w:t>
      </w:r>
      <w:r>
        <w:rPr>
          <w:rtl w:val="true"/>
        </w:rPr>
        <w:t xml:space="preserve">, </w:t>
      </w:r>
      <w:r>
        <w:rPr>
          <w:rtl w:val="true"/>
        </w:rPr>
        <w:t>כפרה והבעת אמפתיה לנפגעי העבירה לבין אינדיקציות אובייקטיביות לקיומו של תהליך שיקומי</w:t>
      </w:r>
      <w:r>
        <w:rPr>
          <w:rtl w:val="true"/>
        </w:rPr>
        <w:t>-</w:t>
      </w:r>
      <w:r>
        <w:rPr>
          <w:rtl w:val="true"/>
        </w:rPr>
        <w:t>טיפולי מוצלח וחזרה לדרך הישר</w:t>
      </w:r>
      <w:r>
        <w:rPr>
          <w:rtl w:val="true"/>
        </w:rPr>
        <w:t xml:space="preserve">, </w:t>
      </w:r>
      <w:r>
        <w:rPr>
          <w:rtl w:val="true"/>
        </w:rPr>
        <w:t xml:space="preserve">עשויים להצביע על </w:t>
      </w:r>
      <w:r>
        <w:rPr>
          <w:rtl w:val="true"/>
        </w:rPr>
        <w:t>"</w:t>
      </w:r>
      <w:r>
        <w:rPr>
          <w:rtl w:val="true"/>
        </w:rPr>
        <w:t>סיכוי של ממש לשיקום</w:t>
      </w:r>
      <w:r>
        <w:rPr>
          <w:rtl w:val="true"/>
        </w:rPr>
        <w:t xml:space="preserve">" </w:t>
      </w:r>
      <w:r>
        <w:rPr>
          <w:rtl w:val="true"/>
        </w:rPr>
        <w:t xml:space="preserve">כלשונו של </w:t>
      </w:r>
      <w:hyperlink r:id="rId30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דברים אלה זוכים למשנה תוקף מקום בו מדובר באדם צעיר ונעדר עבר פלילי </w:t>
      </w:r>
      <w:r>
        <w:rPr>
          <w:rtl w:val="true"/>
        </w:rPr>
        <w:t>(</w:t>
      </w:r>
      <w:r>
        <w:rPr>
          <w:rtl w:val="true"/>
        </w:rPr>
        <w:t>ראו דברי כב</w:t>
      </w:r>
      <w:r>
        <w:rPr>
          <w:rtl w:val="true"/>
        </w:rPr>
        <w:t xml:space="preserve">' </w:t>
      </w:r>
      <w:r>
        <w:rPr>
          <w:rtl w:val="true"/>
        </w:rPr>
        <w:t>השופטת ד</w:t>
      </w:r>
      <w:r>
        <w:rPr>
          <w:rtl w:val="true"/>
        </w:rPr>
        <w:t xml:space="preserve">' </w:t>
      </w:r>
      <w:r>
        <w:rPr>
          <w:rtl w:val="true"/>
        </w:rPr>
        <w:t>ברק ארז 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קרנדל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[</w:t>
      </w:r>
      <w:r>
        <w:rPr/>
        <w:t>18.4.18</w:t>
      </w:r>
      <w:r>
        <w:rPr>
          <w:rtl w:val="true"/>
        </w:rPr>
        <w:t>]).</w:t>
      </w:r>
      <w:r>
        <w:rPr>
          <w:rtl w:val="true"/>
        </w:rPr>
        <w:t xml:space="preserve">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שולב בקבוצת עצורי בית בשירות המבחן במסגרת צו פיקוח מעצר</w:t>
      </w:r>
      <w:r>
        <w:rPr>
          <w:rtl w:val="true"/>
        </w:rPr>
        <w:t xml:space="preserve">, </w:t>
      </w:r>
      <w:r>
        <w:rPr>
          <w:rtl w:val="true"/>
        </w:rPr>
        <w:t>החל את השתתפותו בקבוצה שהתקיימה בעיר צפת ובהמשך עבר לקבוצה שהתקיימה בעיר טבריה</w:t>
      </w:r>
      <w:r>
        <w:rPr>
          <w:rtl w:val="true"/>
        </w:rPr>
        <w:t xml:space="preserve">, </w:t>
      </w:r>
      <w:r>
        <w:rPr>
          <w:rtl w:val="true"/>
        </w:rPr>
        <w:t>שם חש יותר ביטחון להביא את עצמו בשיח הקבוצתי</w:t>
      </w:r>
      <w:r>
        <w:rPr>
          <w:rtl w:val="true"/>
        </w:rPr>
        <w:t xml:space="preserve">. </w:t>
      </w:r>
      <w:r>
        <w:rPr>
          <w:rtl w:val="true"/>
        </w:rPr>
        <w:t>אז עלתה התרשמות מנחי הקבוצה שהנאשם נמצא בראשיתו של תהליך ושכדי לערוך שינוי של דפוסי חשיבה והתנהגות עליו לקיים שיח רגשי שאינו מורגל בו</w:t>
      </w:r>
      <w:r>
        <w:rPr>
          <w:rtl w:val="true"/>
        </w:rPr>
        <w:t xml:space="preserve">. </w:t>
      </w:r>
      <w:r>
        <w:rPr>
          <w:rtl w:val="true"/>
        </w:rPr>
        <w:t xml:space="preserve">בחודש יולי </w:t>
      </w:r>
      <w:r>
        <w:rPr/>
        <w:t>19</w:t>
      </w:r>
      <w:r>
        <w:rPr>
          <w:rtl w:val="true"/>
        </w:rPr>
        <w:t xml:space="preserve">' </w:t>
      </w:r>
      <w:r>
        <w:rPr>
          <w:rtl w:val="true"/>
        </w:rPr>
        <w:t>הנאשם שולב לבקשתו בטיפול במסגרת מרכז חוסן לטיפול בהתמכרויות בעיר טבריה וזאת חרף שלילתו של הנאשם קיומה של תלות בסמים</w:t>
      </w:r>
      <w:r>
        <w:rPr>
          <w:rtl w:val="true"/>
        </w:rPr>
        <w:t xml:space="preserve">. </w:t>
      </w:r>
      <w:r>
        <w:rPr>
          <w:rtl w:val="true"/>
        </w:rPr>
        <w:t>לאחר כחצי שנה בטיפול פרטני התקיימה ועדת החלטה של גורמי הטיפול במרכז ובה עלתה התרשמות שלא התרחש תהליך רגשי משמעותי וכי הנאשם עדין מקובע בדפוסי חשיבתו</w:t>
      </w:r>
      <w:r>
        <w:rPr>
          <w:rtl w:val="true"/>
        </w:rPr>
        <w:t xml:space="preserve">, </w:t>
      </w:r>
      <w:r>
        <w:rPr>
          <w:rtl w:val="true"/>
        </w:rPr>
        <w:t>בצרכיו בשליטה ולקשייו להפגין חולשה – אלמנטים חיוניים לשם הצלחת הטיפול</w:t>
      </w:r>
      <w:r>
        <w:rPr>
          <w:rtl w:val="true"/>
        </w:rPr>
        <w:t xml:space="preserve">. </w:t>
      </w:r>
      <w:r>
        <w:rPr>
          <w:rtl w:val="true"/>
        </w:rPr>
        <w:t>למרות התרשמותם זו</w:t>
      </w:r>
      <w:r>
        <w:rPr>
          <w:rtl w:val="true"/>
        </w:rPr>
        <w:t xml:space="preserve">, </w:t>
      </w:r>
      <w:r>
        <w:rPr>
          <w:rtl w:val="true"/>
        </w:rPr>
        <w:t>החליטו גורמי הטיפול על המשך הטיפול בנאשם</w:t>
      </w:r>
      <w:r>
        <w:rPr>
          <w:rtl w:val="true"/>
        </w:rPr>
        <w:t xml:space="preserve">. </w:t>
      </w:r>
      <w:r>
        <w:rPr>
          <w:rtl w:val="true"/>
        </w:rPr>
        <w:t>בהמשך לכך העו</w:t>
      </w:r>
      <w:r>
        <w:rPr>
          <w:rtl w:val="true"/>
        </w:rPr>
        <w:t>"</w:t>
      </w:r>
      <w:r>
        <w:rPr>
          <w:rtl w:val="true"/>
        </w:rPr>
        <w:t>ס המטפלת בו במרכז מסרה שהנאשם משתף פעולה עם הנדרש ממנו</w:t>
      </w:r>
      <w:r>
        <w:rPr>
          <w:rtl w:val="true"/>
        </w:rPr>
        <w:t xml:space="preserve">, </w:t>
      </w:r>
      <w:r>
        <w:rPr>
          <w:rtl w:val="true"/>
        </w:rPr>
        <w:t>באופן שהוא מגיע למפגשים עמו ומוסר בדיקות שתן נקיות ואולם ממשיך להתקשות בשיח רגשי ובבחינת דפוסיו המכשילים והמליצה על המשך הטיפול למרות הקשיים</w:t>
      </w:r>
      <w:r>
        <w:rPr>
          <w:rtl w:val="true"/>
        </w:rPr>
        <w:t xml:space="preserve">. </w:t>
      </w:r>
      <w:r>
        <w:rPr>
          <w:rtl w:val="true"/>
        </w:rPr>
        <w:t>שירות המבחן התרשם שלמרות המחויבות הפורמלית שהנאשם מבטא להמשך הטיפול</w:t>
      </w:r>
      <w:r>
        <w:rPr>
          <w:rtl w:val="true"/>
        </w:rPr>
        <w:t xml:space="preserve">, </w:t>
      </w:r>
      <w:r>
        <w:rPr>
          <w:rtl w:val="true"/>
        </w:rPr>
        <w:t>מקורה של הבעת החרטה מצדו היא במחירים ובהשלכות עליו ועל משפחתו ואינה נובעת מתובנה אמיתית לבעייתיות בהתנהלותו ולחומרת מעשיו</w:t>
      </w:r>
      <w:r>
        <w:rPr>
          <w:rtl w:val="true"/>
        </w:rPr>
        <w:t xml:space="preserve">. </w:t>
      </w:r>
      <w:r>
        <w:rPr>
          <w:rtl w:val="true"/>
        </w:rPr>
        <w:t>הנאשם נוטל אחריות חלקית לביצוע העבירות ונמנע ממסירת פרטים על קשריו השוליים ומעורבותם בעבירה</w:t>
      </w:r>
      <w:r>
        <w:rPr>
          <w:rtl w:val="true"/>
        </w:rPr>
        <w:t xml:space="preserve">. </w:t>
      </w:r>
      <w:r>
        <w:rPr>
          <w:rtl w:val="true"/>
        </w:rPr>
        <w:t>נוכח האמור כשעל אף שהנאשם מטופל יותר משנה ולא חל שינוי בעמדותיו</w:t>
      </w:r>
      <w:r>
        <w:rPr>
          <w:rtl w:val="true"/>
        </w:rPr>
        <w:t xml:space="preserve">, </w:t>
      </w:r>
      <w:r>
        <w:rPr>
          <w:rtl w:val="true"/>
        </w:rPr>
        <w:t>ניתן ללמוד על חוסר בשלותו והתאמתו לטיפול ולפיכך שירות המבחן נמנע מהמלצה שיקומית בעניינו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בדיון הטיעונים לעונש הנאשם ובני משפחתו תארו את הקשיים עמם התמודד הנאשם לאורך השנים מאז אביו שם קץ לחייו ודפוסי התמודדותו הכוללים הימנעות מחשיפת קשיים וסגירות</w:t>
      </w:r>
      <w:r>
        <w:rPr>
          <w:rtl w:val="true"/>
        </w:rPr>
        <w:t xml:space="preserve">.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 המטפלת בו במרכז חוסן העידה שהנאשם מגיע בעקביות למפגשים עמו</w:t>
      </w:r>
      <w:r>
        <w:rPr>
          <w:rtl w:val="true"/>
        </w:rPr>
        <w:t xml:space="preserve">, </w:t>
      </w:r>
      <w:r>
        <w:rPr>
          <w:rtl w:val="true"/>
        </w:rPr>
        <w:t>מתקשה להיפתח רגשית</w:t>
      </w:r>
      <w:r>
        <w:rPr>
          <w:rtl w:val="true"/>
        </w:rPr>
        <w:t xml:space="preserve">, </w:t>
      </w:r>
      <w:r>
        <w:rPr>
          <w:rtl w:val="true"/>
        </w:rPr>
        <w:t>אך יכול לעשות תהליך לאורך זמן</w:t>
      </w:r>
      <w:r>
        <w:rPr>
          <w:rtl w:val="true"/>
        </w:rPr>
        <w:t xml:space="preserve">. </w:t>
      </w:r>
      <w:r>
        <w:rPr>
          <w:rtl w:val="true"/>
        </w:rPr>
        <w:t>בסמוך לדיון נראה שמשהו זז אצלו רגשית</w:t>
      </w:r>
      <w:r>
        <w:rPr>
          <w:rtl w:val="true"/>
        </w:rPr>
        <w:t xml:space="preserve">. </w:t>
      </w:r>
      <w:r>
        <w:rPr>
          <w:rtl w:val="true"/>
        </w:rPr>
        <w:t>המטפלת מסרה שהנאשם יכול לעבור תהליך טיפול</w:t>
      </w:r>
      <w:r>
        <w:rPr>
          <w:rtl w:val="true"/>
        </w:rPr>
        <w:t xml:space="preserve">, </w:t>
      </w:r>
      <w:r>
        <w:rPr>
          <w:rtl w:val="true"/>
        </w:rPr>
        <w:t>והוא נמצא בראשית הדרך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בנוסף הוגשה חוות דעת ונשמעה עדותו של עו</w:t>
      </w:r>
      <w:r>
        <w:rPr>
          <w:rtl w:val="true"/>
        </w:rPr>
        <w:t>"</w:t>
      </w:r>
      <w:r>
        <w:rPr>
          <w:rtl w:val="true"/>
        </w:rPr>
        <w:t>ס שרון ימיני אשר לשיטתו הנאשם אדם בוגר ואחראי</w:t>
      </w:r>
      <w:r>
        <w:rPr>
          <w:rtl w:val="true"/>
        </w:rPr>
        <w:t xml:space="preserve">, </w:t>
      </w:r>
      <w:r>
        <w:rPr>
          <w:rtl w:val="true"/>
        </w:rPr>
        <w:t>הפורע את חובותיו לשם בניית חיים יציבים</w:t>
      </w:r>
      <w:r>
        <w:rPr>
          <w:rtl w:val="true"/>
        </w:rPr>
        <w:t xml:space="preserve">, </w:t>
      </w:r>
      <w:r>
        <w:rPr>
          <w:rtl w:val="true"/>
        </w:rPr>
        <w:t>מתמודד כיום עם תחושת אשם כלפי משפחתו</w:t>
      </w:r>
      <w:r>
        <w:rPr>
          <w:rtl w:val="true"/>
        </w:rPr>
        <w:t xml:space="preserve">, </w:t>
      </w:r>
      <w:r>
        <w:rPr>
          <w:rtl w:val="true"/>
        </w:rPr>
        <w:t>חשש משלילת חירותו</w:t>
      </w:r>
      <w:r>
        <w:rPr>
          <w:rtl w:val="true"/>
        </w:rPr>
        <w:t xml:space="preserve">, </w:t>
      </w:r>
      <w:r>
        <w:rPr>
          <w:rtl w:val="true"/>
        </w:rPr>
        <w:t>חוסר וודאות וחרדה מתוצאות ההליך המשפטי</w:t>
      </w:r>
      <w:r>
        <w:rPr>
          <w:rtl w:val="true"/>
        </w:rPr>
        <w:t xml:space="preserve">. </w:t>
      </w:r>
      <w:r>
        <w:rPr>
          <w:rtl w:val="true"/>
        </w:rPr>
        <w:t>הנאשם מבין את הטעות שעשה ומצטער עליה ומדובר בשיבוש חמור של שיקול הדעת אצל אדם צעיר אשר החל לראשונה בחייו לנהל אורח חיים עצמאי</w:t>
      </w:r>
      <w:r>
        <w:rPr>
          <w:rtl w:val="true"/>
        </w:rPr>
        <w:t xml:space="preserve">. </w:t>
      </w:r>
      <w:r>
        <w:rPr>
          <w:rtl w:val="true"/>
        </w:rPr>
        <w:t>הנאשם מעוניין בהמשך הטיפול אשר היה לאורך השנה בלתי רציף מסיבות שאינן קשורות לנאשם וקיימת חשיבות בהמשך הטיפול באופן יציב וכי עונש מאסר כיום עלול לחבל ביכולתו לשיקום כלכלי ותעסוקתי</w:t>
      </w:r>
      <w:r>
        <w:rPr>
          <w:rtl w:val="true"/>
        </w:rPr>
        <w:t xml:space="preserve">.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 המליץ על המשך הטיפול לצד עונש של עבודות שירות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בתסקיר משלים שהתקבל שירות המבחן עדכן כי התקיימו עם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מפגשים נוספים בהם ניכר שהחל תהליך שינוי ביכולת שלו לשתף באופן כן ופתוח יותר</w:t>
      </w:r>
      <w:r>
        <w:rPr>
          <w:rtl w:val="true"/>
        </w:rPr>
        <w:t xml:space="preserve">. </w:t>
      </w:r>
      <w:r>
        <w:rPr>
          <w:rtl w:val="true"/>
        </w:rPr>
        <w:t>בשיחה נוספת שקיים שירות המבחן עם הנאשם תיאר באופן אמיתי יותר את נסיבות העבירה ונטל אחריות על התנהגותו</w:t>
      </w:r>
      <w:r>
        <w:rPr>
          <w:rtl w:val="true"/>
        </w:rPr>
        <w:t xml:space="preserve">. </w:t>
      </w:r>
      <w:r>
        <w:rPr>
          <w:rtl w:val="true"/>
        </w:rPr>
        <w:t>הנאשם הסביר שהבין לאחר שיחה עם משפחתו שעליו לשתף בכנות אודות התנהגותו ועברו</w:t>
      </w:r>
      <w:r>
        <w:rPr>
          <w:rtl w:val="true"/>
        </w:rPr>
        <w:t xml:space="preserve">. </w:t>
      </w:r>
      <w:r>
        <w:rPr>
          <w:rtl w:val="true"/>
        </w:rPr>
        <w:t>ביטא מוטיבציה מילולית להמשך הטיפול במרכז</w:t>
      </w:r>
      <w:r>
        <w:rPr>
          <w:rtl w:val="true"/>
        </w:rPr>
        <w:t xml:space="preserve">, </w:t>
      </w:r>
      <w:r>
        <w:rPr>
          <w:rtl w:val="true"/>
        </w:rPr>
        <w:t>ולדבריו הוא מבין את חומרת העבירות ואת השלכותיהן החברתיות</w:t>
      </w:r>
      <w:r>
        <w:rPr>
          <w:rtl w:val="true"/>
        </w:rPr>
        <w:t xml:space="preserve">. </w:t>
      </w:r>
      <w:r>
        <w:rPr>
          <w:rtl w:val="true"/>
        </w:rPr>
        <w:t>שירות המבחן שב והתרשם שהנאשם מתקשה להתחבר רגשית לקיומם של קוים עברייניים באישיותו שבאו לידי ביטוי בעבירה</w:t>
      </w:r>
      <w:r>
        <w:rPr>
          <w:rtl w:val="true"/>
        </w:rPr>
        <w:t xml:space="preserve">, </w:t>
      </w:r>
      <w:r>
        <w:rPr>
          <w:rtl w:val="true"/>
        </w:rPr>
        <w:t>להערכתם עדיין רב הנסתר על הגלוי בנוגע לנסיבות שהובילו לעבירה וכי החרטה שמבטא אין מקורה מתובנה ממשית לחומרת מעשיו</w:t>
      </w:r>
      <w:r>
        <w:rPr>
          <w:rtl w:val="true"/>
        </w:rPr>
        <w:t xml:space="preserve">. </w:t>
      </w:r>
      <w:r>
        <w:rPr>
          <w:rtl w:val="true"/>
        </w:rPr>
        <w:t>שירות המבחן נתן דעתו לתקופת הטיפול הממושכת בה נמצא הנאשם</w:t>
      </w:r>
      <w:r>
        <w:rPr>
          <w:rtl w:val="true"/>
        </w:rPr>
        <w:t xml:space="preserve">, </w:t>
      </w:r>
      <w:r>
        <w:rPr>
          <w:rtl w:val="true"/>
        </w:rPr>
        <w:t>שלא הבילה לתמורה מהותית בעמדותיו וכי בטיפול הוא מתקשה לשתף בכנות בקורותיו</w:t>
      </w:r>
      <w:r>
        <w:rPr>
          <w:rtl w:val="true"/>
        </w:rPr>
        <w:t xml:space="preserve">. </w:t>
      </w:r>
      <w:r>
        <w:rPr>
          <w:rtl w:val="true"/>
        </w:rPr>
        <w:t>לפיכך עולה ספקנות באשר ליכולותיו של הנאשם להתמיד בטיפול הדורש כנות</w:t>
      </w:r>
      <w:r>
        <w:rPr>
          <w:rtl w:val="true"/>
        </w:rPr>
        <w:t xml:space="preserve">, </w:t>
      </w:r>
      <w:r>
        <w:rPr>
          <w:rtl w:val="true"/>
        </w:rPr>
        <w:t>פתיחות ואמון וכן התבוננות פנימית על התנהלותו</w:t>
      </w:r>
      <w:r>
        <w:rPr>
          <w:rtl w:val="true"/>
        </w:rPr>
        <w:t xml:space="preserve">, </w:t>
      </w:r>
      <w:r>
        <w:rPr>
          <w:rtl w:val="true"/>
        </w:rPr>
        <w:t>וסבור שהנאשם מונע ממוטיבציה חיצונית הקשורה לאימת הדין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מכל האמור עולה שהנאשם חווה בילדותו המוקדמת טראומה הקשורה במותו הטרגי של אביו</w:t>
      </w:r>
      <w:r>
        <w:rPr>
          <w:rtl w:val="true"/>
        </w:rPr>
        <w:t xml:space="preserve">, </w:t>
      </w:r>
      <w:r>
        <w:rPr>
          <w:rtl w:val="true"/>
        </w:rPr>
        <w:t>אשר הוביל למשבר משפחתי שבא לידי ביטוי בחיים בדוחק כלכלי והיעדרות של האם מהבית לנוכח חובות כספיים שנותרו</w:t>
      </w:r>
      <w:r>
        <w:rPr>
          <w:rtl w:val="true"/>
        </w:rPr>
        <w:t xml:space="preserve">. </w:t>
      </w:r>
      <w:r>
        <w:rPr>
          <w:rtl w:val="true"/>
        </w:rPr>
        <w:t>הנאשם נתמך על ידי אחיו וסבתו ואולם הוא נעדר דמויות הוריות יציבות בחייו</w:t>
      </w:r>
      <w:r>
        <w:rPr>
          <w:rtl w:val="true"/>
        </w:rPr>
        <w:t xml:space="preserve">. </w:t>
      </w:r>
      <w:r>
        <w:rPr>
          <w:rtl w:val="true"/>
        </w:rPr>
        <w:t>למרות קשייו אלה</w:t>
      </w:r>
      <w:r>
        <w:rPr>
          <w:rtl w:val="true"/>
        </w:rPr>
        <w:t xml:space="preserve">, </w:t>
      </w:r>
      <w:r>
        <w:rPr>
          <w:rtl w:val="true"/>
        </w:rPr>
        <w:t xml:space="preserve">הנאשם הצליח לגייס כוחות ולסיים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במקביל לעבודה ותמיכה כלכלית במשפחתו</w:t>
      </w:r>
      <w:r>
        <w:rPr>
          <w:rtl w:val="true"/>
        </w:rPr>
        <w:t xml:space="preserve">, </w:t>
      </w:r>
      <w:r>
        <w:rPr>
          <w:rtl w:val="true"/>
        </w:rPr>
        <w:t>שירת שירות צבאי מלא ונמנע ממעורבות בפלילים</w:t>
      </w:r>
      <w:r>
        <w:rPr>
          <w:rtl w:val="true"/>
        </w:rPr>
        <w:t xml:space="preserve">. </w:t>
      </w:r>
      <w:r>
        <w:rPr>
          <w:rtl w:val="true"/>
        </w:rPr>
        <w:t>מאז שחרורו מהצבא החל לצרוך סמים מסוג קנאביס</w:t>
      </w:r>
      <w:r>
        <w:rPr>
          <w:rtl w:val="true"/>
        </w:rPr>
        <w:t xml:space="preserve">, </w:t>
      </w:r>
      <w:r>
        <w:rPr>
          <w:rtl w:val="true"/>
        </w:rPr>
        <w:t>קיים קשרים שוליים ומצבו הדרדר עד לביצוע העבירה</w:t>
      </w:r>
      <w:r>
        <w:rPr>
          <w:rtl w:val="true"/>
        </w:rPr>
        <w:t xml:space="preserve">. </w:t>
      </w:r>
      <w:r>
        <w:rPr>
          <w:rtl w:val="true"/>
        </w:rPr>
        <w:t>הנאשם טופל בקבוצה לעצורי בית בשירות המבחן</w:t>
      </w:r>
      <w:r>
        <w:rPr>
          <w:rtl w:val="true"/>
        </w:rPr>
        <w:t xml:space="preserve">, </w:t>
      </w:r>
      <w:r>
        <w:rPr>
          <w:rtl w:val="true"/>
        </w:rPr>
        <w:t>ובהמשך במרכז חוסן</w:t>
      </w:r>
      <w:r>
        <w:rPr>
          <w:rtl w:val="true"/>
        </w:rPr>
        <w:t xml:space="preserve">, </w:t>
      </w:r>
      <w:r>
        <w:rPr>
          <w:rtl w:val="true"/>
        </w:rPr>
        <w:t>ואולם אף לאחר שנה של טיפול</w:t>
      </w:r>
      <w:r>
        <w:rPr>
          <w:rtl w:val="true"/>
        </w:rPr>
        <w:t xml:space="preserve">, </w:t>
      </w:r>
      <w:r>
        <w:rPr>
          <w:rtl w:val="true"/>
        </w:rPr>
        <w:t>גורמי הטיפול סבורים שהוא מתקשה בקיום שיח רגשי</w:t>
      </w:r>
      <w:r>
        <w:rPr>
          <w:rtl w:val="true"/>
        </w:rPr>
        <w:t xml:space="preserve">, </w:t>
      </w:r>
      <w:r>
        <w:rPr>
          <w:rtl w:val="true"/>
        </w:rPr>
        <w:t>חשיפה משמעותית ובחינה ביקורתית של בחירותיו והתנהלותו באופן שיקדם תהליך של שיקום משמעותי</w:t>
      </w:r>
      <w:r>
        <w:rPr>
          <w:rtl w:val="true"/>
        </w:rPr>
        <w:t xml:space="preserve">. </w:t>
      </w:r>
      <w:r>
        <w:rPr>
          <w:rtl w:val="true"/>
        </w:rPr>
        <w:t>הנאשם משקיע כיום כוחותיו בשיקום חייו</w:t>
      </w:r>
      <w:r>
        <w:rPr>
          <w:rtl w:val="true"/>
        </w:rPr>
        <w:t xml:space="preserve">, </w:t>
      </w:r>
      <w:r>
        <w:rPr>
          <w:rtl w:val="true"/>
        </w:rPr>
        <w:t>עובד ואף מתקדם במקום עבודתו</w:t>
      </w:r>
      <w:r>
        <w:rPr>
          <w:rtl w:val="true"/>
        </w:rPr>
        <w:t xml:space="preserve">, </w:t>
      </w:r>
      <w:r>
        <w:rPr>
          <w:rtl w:val="true"/>
        </w:rPr>
        <w:t>מסדיר את חובותיו הכספיים</w:t>
      </w:r>
      <w:r>
        <w:rPr>
          <w:rtl w:val="true"/>
        </w:rPr>
        <w:t xml:space="preserve">, </w:t>
      </w:r>
      <w:r>
        <w:rPr>
          <w:rtl w:val="true"/>
        </w:rPr>
        <w:t>שב להתגורר בקרבת בני משפחתו המהווים לו מקור לתמיכה</w:t>
      </w:r>
      <w:r>
        <w:rPr>
          <w:rtl w:val="true"/>
        </w:rPr>
        <w:t xml:space="preserve">, </w:t>
      </w:r>
      <w:r>
        <w:rPr>
          <w:rtl w:val="true"/>
        </w:rPr>
        <w:t>אינו צורך סמים ומגיע באופן עקבי לטיפול במרכז חוסן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יישום המבחנים שנקבעו בפסיקה כמפורט לעיל</w:t>
      </w:r>
      <w:r>
        <w:rPr>
          <w:rtl w:val="true"/>
        </w:rPr>
        <w:t xml:space="preserve">, </w:t>
      </w:r>
      <w:r>
        <w:rPr>
          <w:rtl w:val="true"/>
        </w:rPr>
        <w:t>לנסיבות המקרה דנן</w:t>
      </w:r>
      <w:r>
        <w:rPr>
          <w:rtl w:val="true"/>
        </w:rPr>
        <w:t xml:space="preserve">, </w:t>
      </w:r>
      <w:r>
        <w:rPr>
          <w:rtl w:val="true"/>
        </w:rPr>
        <w:t>מוביל למסקנה שלא ניתן לקבוע שהנאשם השתקם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לאור העובדה שהנאשם טופל במשך תקופה ארוכה בבית חוסן</w:t>
      </w:r>
      <w:r>
        <w:rPr>
          <w:rtl w:val="true"/>
        </w:rPr>
        <w:t xml:space="preserve">, </w:t>
      </w:r>
      <w:r>
        <w:rPr>
          <w:rtl w:val="true"/>
        </w:rPr>
        <w:t>ולאור השינוי ביכולתו של הנאשם לשתף ברגשותיו ובחולשותיו אשר החל להסתמן באופן ראשוני בתסקיר המשלים</w:t>
      </w:r>
      <w:r>
        <w:rPr>
          <w:rtl w:val="true"/>
        </w:rPr>
        <w:t xml:space="preserve">, </w:t>
      </w:r>
      <w:r>
        <w:rPr>
          <w:rtl w:val="true"/>
        </w:rPr>
        <w:t>השינוי לחיוב באופן נטילת האחריות</w:t>
      </w:r>
      <w:r>
        <w:rPr>
          <w:rtl w:val="true"/>
        </w:rPr>
        <w:t xml:space="preserve">, </w:t>
      </w:r>
      <w:r>
        <w:rPr>
          <w:rtl w:val="true"/>
        </w:rPr>
        <w:t>כמו גם לאור עדותה של המטפלת בבית חוסן</w:t>
      </w:r>
      <w:r>
        <w:rPr>
          <w:rtl w:val="true"/>
        </w:rPr>
        <w:t xml:space="preserve">, </w:t>
      </w:r>
      <w:r>
        <w:rPr>
          <w:rtl w:val="true"/>
        </w:rPr>
        <w:t>חוות דעת הפרטית</w:t>
      </w:r>
      <w:r>
        <w:rPr>
          <w:rtl w:val="true"/>
        </w:rPr>
        <w:t xml:space="preserve">, </w:t>
      </w:r>
      <w:r>
        <w:rPr>
          <w:rtl w:val="true"/>
        </w:rPr>
        <w:t>הסדר החוב עם בעלי הדירה השכורה</w:t>
      </w:r>
      <w:r>
        <w:rPr>
          <w:rtl w:val="true"/>
        </w:rPr>
        <w:t xml:space="preserve">, </w:t>
      </w:r>
      <w:r>
        <w:rPr>
          <w:rtl w:val="true"/>
        </w:rPr>
        <w:t>התנתקותו מהסביבה הגאוגרפית שבה בוצעה העבירה</w:t>
      </w:r>
      <w:r>
        <w:rPr>
          <w:rtl w:val="true"/>
        </w:rPr>
        <w:t xml:space="preserve">, </w:t>
      </w:r>
      <w:r>
        <w:rPr>
          <w:rtl w:val="true"/>
        </w:rPr>
        <w:t>חזרתו לחיק משפחתו התומכת וקיום מערכת יחסים זוגית – סבורני כי כל אלה מצביעים על ניסיונו של הנאשם לשוב לדרך הישר</w:t>
      </w:r>
      <w:r>
        <w:rPr>
          <w:rtl w:val="true"/>
        </w:rPr>
        <w:t xml:space="preserve">, </w:t>
      </w:r>
      <w:r>
        <w:rPr>
          <w:rtl w:val="true"/>
        </w:rPr>
        <w:t xml:space="preserve">ולפיכך ניתן לקבוע כי יש סיכוי של ממש שישתקם כדרישת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בחוק באופן המצדיק חריגה קלה ממתחם העונש ההולם</w:t>
      </w:r>
      <w:r>
        <w:rPr>
          <w:rtl w:val="true"/>
        </w:rPr>
        <w:t xml:space="preserve">. </w:t>
      </w:r>
      <w:r>
        <w:rPr>
          <w:rtl w:val="true"/>
        </w:rPr>
        <w:t>בהקשר זה יש לתת משקל לשיתוף הפעולה של הנאשם עם גורמי הטיפול במשך תקופה ממושכת</w:t>
      </w:r>
      <w:r>
        <w:rPr>
          <w:rtl w:val="true"/>
        </w:rPr>
        <w:t xml:space="preserve">, </w:t>
      </w:r>
      <w:r>
        <w:rPr>
          <w:rtl w:val="true"/>
        </w:rPr>
        <w:t>ולצעדים שנקט לשם קידום מצבו</w:t>
      </w:r>
      <w:r>
        <w:rPr>
          <w:rtl w:val="true"/>
        </w:rPr>
        <w:t xml:space="preserve">. </w:t>
      </w:r>
      <w:r>
        <w:rPr>
          <w:rtl w:val="true"/>
        </w:rPr>
        <w:t>זאת על אף שאין המדובר בשיקום משמעותי ומלא</w:t>
      </w:r>
      <w:r>
        <w:rPr>
          <w:rtl w:val="true"/>
        </w:rPr>
        <w:t xml:space="preserve">, </w:t>
      </w:r>
      <w:r>
        <w:rPr>
          <w:rtl w:val="true"/>
        </w:rPr>
        <w:t>אשר יצדיק חריגה משמעותית מן המתחם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שהנאשם בן </w:t>
      </w:r>
      <w:r>
        <w:rPr>
          <w:rStyle w:val="default"/>
        </w:rPr>
        <w:t>25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גדל בנסיבות חיים מורכבות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בגיל צעיר איבד את אביו בנסיבות טרגיות והתמודד עם מצוקה כלכלית קשה והיעדר דמות הורית יציבה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פיתח עצמאות בגיל צעיר ונמנע מבקשת עזרה או חשיפת קשייו מול אחרים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החל לצרוך סמים באופן אינטנסיבי ויש להניח שהדפוסים שאימץ לצד צריכתו סמים וריחוק ממקורות תמיכה היוו השפעה על בחירתו לביצוע העבירה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שעונש מאסר ממושך יקשה על הנאשם בהיותו מאסר ראשון ולנוכח מצבו הכלכלי המורכב ומהלכיו להחזר חובותיו וכן יקשה על בני משפחתו בשל הריחוק ממנו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עונש מאסר לתקופה ממושכת עלולים לפגוע בעתידו האישי והתעסקותי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הודה ונטל אחריות לביצוע העבירה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אף שבפני שירות המבחן התקשה לחשוף את הרקע המלא לביצוע העבירה ועד לאחרונה התקשה ליטול אחריות מלאה למעשים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שולב לבקשתו בטיפול בתחום ההתמכרויות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הגיע למפגשים באופן עקבי ושיתף פעולה בהתאם ליכולותיו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הגם שהתקשה בגילוי רגשותיו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לנאשם אין עבר פלילי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כמו כן נתתי דעתי לתקופה בת למעלה מחודש ימים שבה שהה הנאשם במעצר ולתקופה הממושכת בה שהה במעצר בפיקוח אלקטרוני</w:t>
      </w:r>
      <w:r>
        <w:rPr>
          <w:rtl w:val="true"/>
        </w:rPr>
        <w:t xml:space="preserve">, </w:t>
      </w:r>
      <w:r>
        <w:rPr>
          <w:rtl w:val="true"/>
        </w:rPr>
        <w:t>ולאחר מכן בתנאים מגבילים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לקשייו של הנאשם להפיק תועלת ממשית מהטיפול בכל בקשור בהגמשת עמדותיו והכרה בדפוסים שהביאו אותו למעורבות בעבירה באופן שיפחית את הסיכון להישנות ביצוע עבירות נוספות בעתיד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נמוך במעט מהרף התחתון של מתחם העונש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לצד מאסר על תנאי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כמו כן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יש לגזור על הנאשם קנס כספי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בהתאם לעתירתם המשותפת של הצדדים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בניכוי ימי מעצרו מיום </w:t>
      </w:r>
      <w:r>
        <w:rPr>
          <w:rStyle w:val="default"/>
          <w:rFonts w:cs="David" w:ascii="David" w:hAnsi="David"/>
        </w:rPr>
        <w:t>19.2.19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עד </w:t>
      </w:r>
      <w:r>
        <w:rPr>
          <w:rStyle w:val="default"/>
          <w:rFonts w:cs="David" w:ascii="David" w:hAnsi="David"/>
        </w:rPr>
        <w:t>28.3.19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12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כל עבירת סמים מסוג פשע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  <w:lang w:eastAsia="he-IL"/>
        </w:rPr>
      </w:pPr>
      <w:r>
        <w:rPr>
          <w:rStyle w:val="default"/>
          <w:rFonts w:ascii="David" w:hAnsi="David"/>
          <w:rtl w:val="true"/>
        </w:rPr>
        <w:t xml:space="preserve">קנס כספי בסך של </w:t>
      </w:r>
      <w:r>
        <w:rPr>
          <w:rStyle w:val="default"/>
          <w:rFonts w:cs="David" w:ascii="David" w:hAnsi="David"/>
        </w:rPr>
        <w:t>15,000</w:t>
      </w:r>
      <w:r>
        <w:rPr>
          <w:rStyle w:val="default"/>
          <w:rFonts w:cs="David" w:ascii="David" w:hAnsi="David"/>
          <w:rtl w:val="true"/>
        </w:rPr>
        <w:t xml:space="preserve"> ₪ </w:t>
      </w:r>
      <w:r>
        <w:rPr>
          <w:rStyle w:val="default"/>
          <w:rFonts w:ascii="David" w:hAnsi="David"/>
          <w:rtl w:val="true"/>
        </w:rPr>
        <w:t xml:space="preserve">או </w:t>
      </w:r>
      <w:r>
        <w:rPr>
          <w:rStyle w:val="default"/>
          <w:rFonts w:cs="David" w:ascii="David" w:hAnsi="David"/>
        </w:rPr>
        <w:t>150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ימי מאסר תמורתו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47" w:end="0"/>
        <w:jc w:val="both"/>
        <w:rPr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הקנס ישולם ב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תשלומים חודשיים שווים</w:t>
      </w:r>
      <w:r>
        <w:rPr>
          <w:rFonts w:ascii="David" w:hAnsi="David"/>
          <w:rtl w:val="true"/>
          <w:lang w:eastAsia="he-IL"/>
        </w:rPr>
        <w:t xml:space="preserve"> ורצופים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שהראשון שבהם ביום </w:t>
      </w:r>
      <w:r>
        <w:rPr>
          <w:rFonts w:cs="David" w:ascii="David" w:hAnsi="David"/>
          <w:lang w:eastAsia="he-IL"/>
        </w:rPr>
        <w:t>1.1.21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אם לא ישולם תשלום כלשהו במועדו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תעמוד היתרה לפירעון מיידי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ככל שקיימת הפקדה בהליך המ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ישולם הקנס מתוך ההפקדה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ככל שתיוותר יתרת הפקדה לאחר פירעון הקנס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ולאחר קבלת הודעה על התייצבות הנאשם למאסר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תושב היתרה למפקיד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בכפוף לכל הוראה חוקית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tl w:val="true"/>
          <w:lang w:eastAsia="he-IL"/>
        </w:rPr>
        <w:t xml:space="preserve">הנאשם יתייצב לריצוי מאסרו בבית הסוהר הדרים ביום 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3.1.21</w:t>
      </w:r>
      <w:r>
        <w:rPr>
          <w:rtl w:val="true"/>
          <w:lang w:eastAsia="he-IL"/>
        </w:rPr>
        <w:t xml:space="preserve">  </w:t>
      </w:r>
      <w:r>
        <w:rPr>
          <w:rtl w:val="true"/>
          <w:lang w:eastAsia="he-IL"/>
        </w:rPr>
        <w:t xml:space="preserve">עד השעה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 תעודת זהות או דרכון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הנאשם לתאם את הכניסה 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האפשרות למיון מוקד</w:t>
      </w:r>
      <w:r>
        <w:rPr>
          <w:rtl w:val="true"/>
          <w:lang w:eastAsia="he-IL"/>
        </w:rPr>
        <w:t>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ענף אבחון ומיון של 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טלפון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08-9787377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08-9787336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Style w:val="default"/>
          <w:rtl w:val="true"/>
        </w:rPr>
        <w:t>התנאים המגבילים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לרבות צו עיכוב יציאה מהארץ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יוותרו על כנם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מזכירות בית המשפט תמציא העתק גזר דין לשירות המבחן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70401-02-19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אנטון מורוזוב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d.a" TargetMode="External"/><Relationship Id="rId7" Type="http://schemas.openxmlformats.org/officeDocument/2006/relationships/hyperlink" Target="http://www.nevo.co.il/law/70301/384a.a.1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4216/6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384a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3827604" TargetMode="External"/><Relationship Id="rId14" Type="http://schemas.openxmlformats.org/officeDocument/2006/relationships/hyperlink" Target="http://www.nevo.co.il/case/22841413" TargetMode="External"/><Relationship Id="rId15" Type="http://schemas.openxmlformats.org/officeDocument/2006/relationships/hyperlink" Target="http://www.nevo.co.il/case/21644133" TargetMode="External"/><Relationship Id="rId16" Type="http://schemas.openxmlformats.org/officeDocument/2006/relationships/hyperlink" Target="http://www.nevo.co.il/case/23602844" TargetMode="External"/><Relationship Id="rId17" Type="http://schemas.openxmlformats.org/officeDocument/2006/relationships/hyperlink" Target="http://www.nevo.co.il/case/23602843" TargetMode="External"/><Relationship Id="rId18" Type="http://schemas.openxmlformats.org/officeDocument/2006/relationships/hyperlink" Target="http://www.nevo.co.il/case/20008894" TargetMode="External"/><Relationship Id="rId19" Type="http://schemas.openxmlformats.org/officeDocument/2006/relationships/hyperlink" Target="http://www.nevo.co.il/case/26518604" TargetMode="External"/><Relationship Id="rId20" Type="http://schemas.openxmlformats.org/officeDocument/2006/relationships/hyperlink" Target="http://www.nevo.co.il/case/22841413" TargetMode="External"/><Relationship Id="rId21" Type="http://schemas.openxmlformats.org/officeDocument/2006/relationships/hyperlink" Target="http://www.nevo.co.il/case/26418332" TargetMode="External"/><Relationship Id="rId22" Type="http://schemas.openxmlformats.org/officeDocument/2006/relationships/hyperlink" Target="http://www.nevo.co.il/case/20235191" TargetMode="External"/><Relationship Id="rId23" Type="http://schemas.openxmlformats.org/officeDocument/2006/relationships/hyperlink" Target="http://www.nevo.co.il/case/26559538" TargetMode="External"/><Relationship Id="rId24" Type="http://schemas.openxmlformats.org/officeDocument/2006/relationships/hyperlink" Target="http://www.nevo.co.il/case/22527622" TargetMode="External"/><Relationship Id="rId25" Type="http://schemas.openxmlformats.org/officeDocument/2006/relationships/hyperlink" Target="http://www.nevo.co.il/case/23299816" TargetMode="External"/><Relationship Id="rId26" Type="http://schemas.openxmlformats.org/officeDocument/2006/relationships/hyperlink" Target="http://www.nevo.co.il/case/25135813" TargetMode="External"/><Relationship Id="rId27" Type="http://schemas.openxmlformats.org/officeDocument/2006/relationships/hyperlink" Target="http://www.nevo.co.il/case/23840868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law/70301/40d.a" TargetMode="External"/><Relationship Id="rId31" Type="http://schemas.openxmlformats.org/officeDocument/2006/relationships/hyperlink" Target="http://www.nevo.co.il/case/22938500" TargetMode="External"/><Relationship Id="rId32" Type="http://schemas.openxmlformats.org/officeDocument/2006/relationships/hyperlink" Target="http://www.nevo.co.il/law/70301/40d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2021-10-03T12:16:00Z</dcterms:created>
  <dc:creator> </dc:creator>
  <dc:description/>
  <cp:keywords/>
  <dc:language>en-IL</dc:language>
  <cp:lastModifiedBy>h1</cp:lastModifiedBy>
  <dcterms:modified xsi:type="dcterms:W3CDTF">2021-10-03T12:16:00Z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אנטון מורוזוב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23827604;22841413:2;21644133;23602844;23602843;20008894;26518604;26418332;20235191;26559538;22527622;23299816;25135813;23840868;22938500</vt:lpwstr>
  </property>
  <property fmtid="{D5CDD505-2E9C-101B-9397-08002B2CF9AE}" pid="9" name="CITY">
    <vt:lpwstr>מרכז</vt:lpwstr>
  </property>
  <property fmtid="{D5CDD505-2E9C-101B-9397-08002B2CF9AE}" pid="10" name="DATE">
    <vt:lpwstr>20201027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4216/006</vt:lpwstr>
  </property>
  <property fmtid="{D5CDD505-2E9C-101B-9397-08002B2CF9AE}" pid="15" name="LAWLISTTMP2">
    <vt:lpwstr>70301/384a.a.1;40jc;040d.a;040d</vt:lpwstr>
  </property>
  <property fmtid="{D5CDD505-2E9C-101B-9397-08002B2CF9AE}" pid="16" name="LAWYER">
    <vt:lpwstr>איריס פיקר;גיא מימון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70401</vt:lpwstr>
  </property>
  <property fmtid="{D5CDD505-2E9C-101B-9397-08002B2CF9AE}" pid="23" name="NEWPARTB">
    <vt:lpwstr>02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390020201027</vt:lpwstr>
  </property>
  <property fmtid="{D5CDD505-2E9C-101B-9397-08002B2CF9AE}" pid="35" name="TYPE_N_DATE">
    <vt:lpwstr>39020201027</vt:lpwstr>
  </property>
  <property fmtid="{D5CDD505-2E9C-101B-9397-08002B2CF9AE}" pid="36" name="VOLUME">
    <vt:lpwstr/>
  </property>
  <property fmtid="{D5CDD505-2E9C-101B-9397-08002B2CF9AE}" pid="37" name="WORDNUMPAGES">
    <vt:lpwstr>17</vt:lpwstr>
  </property>
</Properties>
</file>