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6"/>
        <w:gridCol w:w="3665"/>
      </w:tblGrid>
      <w:tr w:rsidR="00A90CA1" w:rsidRPr="00876478" w14:paraId="2C881585" w14:textId="77777777" w:rsidTr="003B4281">
        <w:trPr>
          <w:trHeight w:hRule="exact" w:val="418"/>
          <w:jc w:val="center"/>
        </w:trPr>
        <w:tc>
          <w:tcPr>
            <w:tcW w:w="8721" w:type="dxa"/>
            <w:gridSpan w:val="2"/>
          </w:tcPr>
          <w:p w14:paraId="00FE0811" w14:textId="77777777" w:rsidR="00A90CA1" w:rsidRPr="00876478" w:rsidRDefault="00A90CA1" w:rsidP="004C5B31">
            <w:pPr>
              <w:pStyle w:val="Header"/>
              <w:jc w:val="center"/>
              <w:rPr>
                <w:rFonts w:ascii="Tahoma" w:hAnsi="Tahoma" w:cs="Tahoma"/>
                <w:color w:val="000080"/>
                <w:rtl/>
              </w:rPr>
            </w:pPr>
            <w:bookmarkStart w:id="0" w:name="FirstLawyer"/>
            <w:bookmarkStart w:id="1" w:name="LastJudge"/>
            <w:r w:rsidRPr="00876478">
              <w:rPr>
                <w:rFonts w:ascii="Tahoma" w:hAnsi="Tahoma" w:cs="Tahoma"/>
                <w:b/>
                <w:bCs/>
                <w:color w:val="000080"/>
                <w:rtl/>
              </w:rPr>
              <w:t>בית משפט השלום בבאר שבע</w:t>
            </w:r>
          </w:p>
        </w:tc>
      </w:tr>
      <w:tr w:rsidR="00A90CA1" w:rsidRPr="00876478" w14:paraId="0F0215D7" w14:textId="77777777" w:rsidTr="003B4281">
        <w:trPr>
          <w:trHeight w:val="337"/>
          <w:jc w:val="center"/>
        </w:trPr>
        <w:tc>
          <w:tcPr>
            <w:tcW w:w="5056" w:type="dxa"/>
          </w:tcPr>
          <w:p w14:paraId="7BAE62A2" w14:textId="77777777" w:rsidR="00A90CA1" w:rsidRPr="00876478" w:rsidRDefault="00A90CA1" w:rsidP="004C5B31">
            <w:pPr>
              <w:rPr>
                <w:sz w:val="28"/>
                <w:szCs w:val="28"/>
                <w:rtl/>
              </w:rPr>
            </w:pPr>
            <w:r w:rsidRPr="00876478">
              <w:rPr>
                <w:sz w:val="28"/>
                <w:szCs w:val="28"/>
                <w:rtl/>
              </w:rPr>
              <w:t>תפ"ק</w:t>
            </w:r>
            <w:r w:rsidRPr="00876478">
              <w:rPr>
                <w:rFonts w:hint="cs"/>
                <w:sz w:val="28"/>
                <w:szCs w:val="28"/>
                <w:rtl/>
              </w:rPr>
              <w:t xml:space="preserve"> </w:t>
            </w:r>
            <w:r w:rsidRPr="00876478">
              <w:rPr>
                <w:sz w:val="28"/>
                <w:szCs w:val="28"/>
                <w:rtl/>
              </w:rPr>
              <w:t>29591-10-20</w:t>
            </w:r>
            <w:r w:rsidRPr="00876478">
              <w:rPr>
                <w:rFonts w:hint="cs"/>
                <w:sz w:val="28"/>
                <w:szCs w:val="28"/>
                <w:rtl/>
              </w:rPr>
              <w:t xml:space="preserve"> </w:t>
            </w:r>
            <w:r w:rsidRPr="00876478">
              <w:rPr>
                <w:sz w:val="28"/>
                <w:szCs w:val="28"/>
                <w:rtl/>
              </w:rPr>
              <w:t>מדינת ישראל נ' אפריאת</w:t>
            </w:r>
          </w:p>
          <w:p w14:paraId="6C0AEBF4" w14:textId="77777777" w:rsidR="00A90CA1" w:rsidRPr="00876478" w:rsidRDefault="00A90CA1" w:rsidP="004C5B31">
            <w:pPr>
              <w:pStyle w:val="Header"/>
              <w:rPr>
                <w:sz w:val="28"/>
                <w:szCs w:val="28"/>
                <w:rtl/>
              </w:rPr>
            </w:pPr>
          </w:p>
        </w:tc>
        <w:tc>
          <w:tcPr>
            <w:tcW w:w="3665" w:type="dxa"/>
          </w:tcPr>
          <w:p w14:paraId="7A0AE50D" w14:textId="77777777" w:rsidR="00A90CA1" w:rsidRPr="00876478" w:rsidRDefault="00A90CA1" w:rsidP="004C5B31">
            <w:pPr>
              <w:pStyle w:val="Header"/>
              <w:jc w:val="right"/>
              <w:rPr>
                <w:sz w:val="28"/>
                <w:szCs w:val="28"/>
                <w:rtl/>
              </w:rPr>
            </w:pPr>
          </w:p>
        </w:tc>
      </w:tr>
    </w:tbl>
    <w:p w14:paraId="5E0CA528" w14:textId="77777777" w:rsidR="00A90CA1" w:rsidRPr="00876478" w:rsidRDefault="00A90CA1" w:rsidP="00A90CA1">
      <w:pPr>
        <w:pStyle w:val="Header"/>
        <w:rPr>
          <w:rtl/>
        </w:rPr>
      </w:pPr>
    </w:p>
    <w:p w14:paraId="2628D762" w14:textId="77777777" w:rsidR="00A90CA1" w:rsidRPr="00876478" w:rsidRDefault="00A90CA1" w:rsidP="00A90CA1">
      <w:pPr>
        <w:rPr>
          <w:rtl/>
        </w:rPr>
      </w:pPr>
    </w:p>
    <w:p w14:paraId="07DB9B01" w14:textId="77777777" w:rsidR="00A90CA1" w:rsidRPr="00876478" w:rsidRDefault="00A90CA1" w:rsidP="00A90CA1">
      <w:pPr>
        <w:rPr>
          <w:rtl/>
        </w:rPr>
      </w:pPr>
    </w:p>
    <w:tbl>
      <w:tblPr>
        <w:bidiVisual/>
        <w:tblW w:w="8820" w:type="dxa"/>
        <w:jc w:val="center"/>
        <w:tblLook w:val="01E0" w:firstRow="1" w:lastRow="1" w:firstColumn="1" w:lastColumn="1" w:noHBand="0" w:noVBand="0"/>
      </w:tblPr>
      <w:tblGrid>
        <w:gridCol w:w="743"/>
        <w:gridCol w:w="900"/>
        <w:gridCol w:w="7177"/>
      </w:tblGrid>
      <w:tr w:rsidR="00A90CA1" w:rsidRPr="00876478" w14:paraId="05450576" w14:textId="77777777" w:rsidTr="00A90CA1">
        <w:trPr>
          <w:jc w:val="center"/>
        </w:trPr>
        <w:tc>
          <w:tcPr>
            <w:tcW w:w="743" w:type="dxa"/>
            <w:shd w:val="clear" w:color="auto" w:fill="auto"/>
          </w:tcPr>
          <w:p w14:paraId="0ED62505" w14:textId="77777777" w:rsidR="00A90CA1" w:rsidRPr="00876478" w:rsidRDefault="00A90CA1" w:rsidP="00A90CA1">
            <w:pPr>
              <w:jc w:val="both"/>
              <w:rPr>
                <w:rFonts w:ascii="Arial" w:hAnsi="Arial"/>
                <w:b/>
                <w:bCs/>
                <w:noProof/>
              </w:rPr>
            </w:pPr>
            <w:r w:rsidRPr="00876478">
              <w:rPr>
                <w:rFonts w:ascii="Arial" w:hAnsi="Arial" w:hint="cs"/>
                <w:b/>
                <w:bCs/>
                <w:rtl/>
              </w:rPr>
              <w:t xml:space="preserve">לפני </w:t>
            </w:r>
          </w:p>
        </w:tc>
        <w:tc>
          <w:tcPr>
            <w:tcW w:w="8077" w:type="dxa"/>
            <w:gridSpan w:val="2"/>
            <w:shd w:val="clear" w:color="auto" w:fill="auto"/>
          </w:tcPr>
          <w:p w14:paraId="4856F85F" w14:textId="77777777" w:rsidR="00A90CA1" w:rsidRPr="00876478" w:rsidRDefault="00A90CA1" w:rsidP="004C5B31">
            <w:pPr>
              <w:rPr>
                <w:rFonts w:ascii="Arial" w:hAnsi="Arial" w:cs="FrankRuehl"/>
                <w:b/>
                <w:bCs/>
                <w:noProof/>
                <w:highlight w:val="yellow"/>
                <w:rtl/>
              </w:rPr>
            </w:pPr>
            <w:r w:rsidRPr="00876478">
              <w:rPr>
                <w:rFonts w:ascii="Arial" w:hAnsi="Arial" w:hint="cs"/>
                <w:b/>
                <w:bCs/>
                <w:rtl/>
              </w:rPr>
              <w:t>כב' השופט הבכיר אור אדם</w:t>
            </w:r>
          </w:p>
          <w:p w14:paraId="4B834042" w14:textId="77777777" w:rsidR="00A90CA1" w:rsidRPr="00876478" w:rsidRDefault="00A90CA1" w:rsidP="004C5B31">
            <w:pPr>
              <w:rPr>
                <w:rFonts w:ascii="Arial" w:hAnsi="Arial" w:cs="FrankRuehl"/>
                <w:b/>
                <w:bCs/>
                <w:noProof/>
                <w:highlight w:val="yellow"/>
              </w:rPr>
            </w:pPr>
          </w:p>
        </w:tc>
      </w:tr>
      <w:tr w:rsidR="00A90CA1" w:rsidRPr="00876478" w14:paraId="566D13F3" w14:textId="77777777" w:rsidTr="00A90CA1">
        <w:trPr>
          <w:jc w:val="center"/>
        </w:trPr>
        <w:tc>
          <w:tcPr>
            <w:tcW w:w="1643" w:type="dxa"/>
            <w:gridSpan w:val="2"/>
            <w:shd w:val="clear" w:color="auto" w:fill="auto"/>
          </w:tcPr>
          <w:p w14:paraId="43EF3F68" w14:textId="77777777" w:rsidR="00A90CA1" w:rsidRPr="00876478" w:rsidRDefault="00A90CA1" w:rsidP="00A90CA1">
            <w:pPr>
              <w:bidi w:val="0"/>
              <w:rPr>
                <w:rFonts w:ascii="Arial" w:hAnsi="Arial"/>
                <w:b/>
                <w:bCs/>
                <w:rtl/>
              </w:rPr>
            </w:pPr>
            <w:bookmarkStart w:id="2" w:name="FirstAppellant"/>
          </w:p>
          <w:p w14:paraId="4C6053D2" w14:textId="77777777" w:rsidR="00A90CA1" w:rsidRPr="00876478" w:rsidRDefault="00A90CA1" w:rsidP="00A90CA1">
            <w:pPr>
              <w:bidi w:val="0"/>
              <w:jc w:val="right"/>
              <w:rPr>
                <w:rFonts w:ascii="Arial" w:hAnsi="Arial"/>
                <w:b/>
                <w:bCs/>
              </w:rPr>
            </w:pPr>
            <w:r w:rsidRPr="00876478">
              <w:rPr>
                <w:rFonts w:ascii="Arial" w:hAnsi="Arial" w:hint="cs"/>
                <w:b/>
                <w:bCs/>
                <w:rtl/>
              </w:rPr>
              <w:t>המאשימה:</w:t>
            </w:r>
          </w:p>
        </w:tc>
        <w:tc>
          <w:tcPr>
            <w:tcW w:w="7177" w:type="dxa"/>
            <w:shd w:val="clear" w:color="auto" w:fill="auto"/>
          </w:tcPr>
          <w:p w14:paraId="267C6D5E" w14:textId="77777777" w:rsidR="00A90CA1" w:rsidRPr="00876478" w:rsidRDefault="00A90CA1" w:rsidP="004C5B31">
            <w:pPr>
              <w:rPr>
                <w:rFonts w:ascii="Arial" w:hAnsi="Arial"/>
                <w:b/>
                <w:bCs/>
                <w:rtl/>
              </w:rPr>
            </w:pPr>
          </w:p>
          <w:p w14:paraId="0E7C6CF8" w14:textId="77777777" w:rsidR="00A90CA1" w:rsidRPr="00876478" w:rsidRDefault="00A90CA1" w:rsidP="004C5B31">
            <w:pPr>
              <w:rPr>
                <w:b/>
                <w:bCs/>
              </w:rPr>
            </w:pPr>
            <w:r w:rsidRPr="00876478">
              <w:rPr>
                <w:rFonts w:ascii="Arial" w:hAnsi="Arial" w:hint="cs"/>
                <w:b/>
                <w:bCs/>
                <w:rtl/>
              </w:rPr>
              <w:t>מדינת ישראל</w:t>
            </w:r>
            <w:r w:rsidRPr="00876478">
              <w:rPr>
                <w:rFonts w:ascii="Arial" w:hAnsi="Arial"/>
                <w:b/>
                <w:bCs/>
                <w:rtl/>
              </w:rPr>
              <w:br/>
            </w:r>
            <w:r w:rsidRPr="00876478">
              <w:rPr>
                <w:rFonts w:hint="cs"/>
                <w:rtl/>
              </w:rPr>
              <w:t>ע"י ב"כ עו"ד ליבי סיל ותהילה נידם פרקליטות מחוז הדרום (פלילי)</w:t>
            </w:r>
          </w:p>
        </w:tc>
      </w:tr>
      <w:bookmarkEnd w:id="2"/>
      <w:tr w:rsidR="00A90CA1" w:rsidRPr="00876478" w14:paraId="4ED0D438" w14:textId="77777777" w:rsidTr="00A90CA1">
        <w:trPr>
          <w:jc w:val="center"/>
        </w:trPr>
        <w:tc>
          <w:tcPr>
            <w:tcW w:w="8820" w:type="dxa"/>
            <w:gridSpan w:val="3"/>
            <w:shd w:val="clear" w:color="auto" w:fill="auto"/>
          </w:tcPr>
          <w:p w14:paraId="31A33169" w14:textId="77777777" w:rsidR="00A90CA1" w:rsidRPr="00876478" w:rsidRDefault="00A90CA1" w:rsidP="004C5B31">
            <w:pPr>
              <w:rPr>
                <w:rFonts w:ascii="Arial" w:hAnsi="Arial"/>
                <w:b/>
                <w:bCs/>
                <w:rtl/>
              </w:rPr>
            </w:pPr>
          </w:p>
          <w:p w14:paraId="5CAB64B5" w14:textId="77777777" w:rsidR="00A90CA1" w:rsidRPr="00876478" w:rsidRDefault="00A90CA1" w:rsidP="00A90CA1">
            <w:pPr>
              <w:jc w:val="center"/>
              <w:rPr>
                <w:rFonts w:ascii="Arial" w:hAnsi="Arial"/>
                <w:b/>
                <w:bCs/>
                <w:rtl/>
              </w:rPr>
            </w:pPr>
            <w:r w:rsidRPr="00876478">
              <w:rPr>
                <w:rFonts w:ascii="Arial" w:hAnsi="Arial" w:hint="cs"/>
                <w:b/>
                <w:bCs/>
                <w:rtl/>
              </w:rPr>
              <w:t>נגד</w:t>
            </w:r>
          </w:p>
          <w:p w14:paraId="36434C3F" w14:textId="77777777" w:rsidR="00A90CA1" w:rsidRPr="00876478" w:rsidRDefault="00A90CA1" w:rsidP="004C5B31">
            <w:pPr>
              <w:rPr>
                <w:rFonts w:ascii="Arial" w:hAnsi="Arial"/>
                <w:b/>
                <w:bCs/>
              </w:rPr>
            </w:pPr>
          </w:p>
        </w:tc>
      </w:tr>
      <w:tr w:rsidR="00A90CA1" w:rsidRPr="00876478" w14:paraId="492FAB26" w14:textId="77777777" w:rsidTr="00A90CA1">
        <w:trPr>
          <w:jc w:val="center"/>
        </w:trPr>
        <w:tc>
          <w:tcPr>
            <w:tcW w:w="1643" w:type="dxa"/>
            <w:gridSpan w:val="2"/>
            <w:shd w:val="clear" w:color="auto" w:fill="auto"/>
          </w:tcPr>
          <w:p w14:paraId="3C6A3F30" w14:textId="77777777" w:rsidR="00A90CA1" w:rsidRPr="00876478" w:rsidRDefault="00A90CA1" w:rsidP="004C5B31">
            <w:pPr>
              <w:rPr>
                <w:rFonts w:ascii="Arial" w:hAnsi="Arial"/>
                <w:b/>
                <w:bCs/>
              </w:rPr>
            </w:pPr>
            <w:r w:rsidRPr="00876478">
              <w:rPr>
                <w:rFonts w:ascii="Arial" w:hAnsi="Arial" w:hint="cs"/>
                <w:b/>
                <w:bCs/>
                <w:rtl/>
              </w:rPr>
              <w:t>הנאשם:</w:t>
            </w:r>
          </w:p>
        </w:tc>
        <w:tc>
          <w:tcPr>
            <w:tcW w:w="7177" w:type="dxa"/>
            <w:shd w:val="clear" w:color="auto" w:fill="auto"/>
          </w:tcPr>
          <w:p w14:paraId="5306DBEB" w14:textId="77777777" w:rsidR="00A90CA1" w:rsidRPr="00876478" w:rsidRDefault="00A90CA1" w:rsidP="004C5B31">
            <w:pPr>
              <w:rPr>
                <w:b/>
                <w:bCs/>
              </w:rPr>
            </w:pPr>
            <w:r w:rsidRPr="00876478">
              <w:rPr>
                <w:rFonts w:ascii="Arial" w:hAnsi="Arial" w:hint="cs"/>
                <w:b/>
                <w:bCs/>
                <w:rtl/>
              </w:rPr>
              <w:t>סהר מסעוד אפריאת</w:t>
            </w:r>
            <w:r w:rsidRPr="00876478">
              <w:rPr>
                <w:rFonts w:ascii="Arial" w:hAnsi="Arial"/>
                <w:b/>
                <w:bCs/>
                <w:rtl/>
              </w:rPr>
              <w:br/>
            </w:r>
            <w:r w:rsidRPr="00876478">
              <w:rPr>
                <w:rFonts w:hint="cs"/>
                <w:rtl/>
              </w:rPr>
              <w:t>ע"י ב"כ עו"ד אפרת צרפתי</w:t>
            </w:r>
          </w:p>
        </w:tc>
      </w:tr>
    </w:tbl>
    <w:p w14:paraId="44C5B668" w14:textId="77777777" w:rsidR="00876478" w:rsidRPr="00876478" w:rsidRDefault="00876478" w:rsidP="00876478">
      <w:pPr>
        <w:spacing w:before="120" w:after="120" w:line="240" w:lineRule="exact"/>
        <w:ind w:left="283" w:hanging="283"/>
        <w:jc w:val="both"/>
        <w:rPr>
          <w:rFonts w:ascii="FrankRuehl" w:hAnsi="FrankRuehl" w:cs="FrankRuehl"/>
          <w:rtl/>
        </w:rPr>
      </w:pPr>
    </w:p>
    <w:p w14:paraId="6FF3994E" w14:textId="77777777" w:rsidR="00876478" w:rsidRPr="00876478" w:rsidRDefault="00876478" w:rsidP="00876478">
      <w:pPr>
        <w:rPr>
          <w:rtl/>
        </w:rPr>
      </w:pPr>
    </w:p>
    <w:p w14:paraId="6F4D4A42" w14:textId="77777777" w:rsidR="000858D1" w:rsidRPr="000858D1" w:rsidRDefault="000858D1" w:rsidP="000858D1">
      <w:pPr>
        <w:spacing w:before="120" w:after="120" w:line="240" w:lineRule="exact"/>
        <w:ind w:left="283" w:hanging="283"/>
        <w:jc w:val="both"/>
        <w:rPr>
          <w:rFonts w:ascii="FrankRuehl" w:hAnsi="FrankRuehl" w:cs="FrankRuehl"/>
          <w:rtl/>
        </w:rPr>
      </w:pPr>
      <w:bookmarkStart w:id="3" w:name="LawTable"/>
      <w:bookmarkEnd w:id="3"/>
    </w:p>
    <w:p w14:paraId="0326A8D0" w14:textId="77777777" w:rsidR="000858D1" w:rsidRPr="000858D1" w:rsidRDefault="000858D1" w:rsidP="000858D1">
      <w:pPr>
        <w:spacing w:before="120" w:after="120" w:line="240" w:lineRule="exact"/>
        <w:ind w:left="283" w:hanging="283"/>
        <w:jc w:val="both"/>
        <w:rPr>
          <w:rFonts w:ascii="FrankRuehl" w:hAnsi="FrankRuehl" w:cs="FrankRuehl"/>
          <w:rtl/>
        </w:rPr>
      </w:pPr>
      <w:r w:rsidRPr="000858D1">
        <w:rPr>
          <w:rFonts w:ascii="FrankRuehl" w:hAnsi="FrankRuehl" w:cs="FrankRuehl"/>
          <w:rtl/>
        </w:rPr>
        <w:t xml:space="preserve">חקיקה שאוזכרה: </w:t>
      </w:r>
    </w:p>
    <w:p w14:paraId="7D26D726" w14:textId="77777777" w:rsidR="000858D1" w:rsidRPr="000858D1" w:rsidRDefault="000858D1" w:rsidP="000858D1">
      <w:pPr>
        <w:spacing w:before="120" w:after="120" w:line="240" w:lineRule="exact"/>
        <w:ind w:left="283" w:hanging="283"/>
        <w:jc w:val="both"/>
        <w:rPr>
          <w:rFonts w:ascii="FrankRuehl" w:hAnsi="FrankRuehl" w:cs="FrankRuehl"/>
          <w:color w:val="0000FF"/>
          <w:rtl/>
        </w:rPr>
      </w:pPr>
      <w:hyperlink r:id="rId7" w:history="1">
        <w:r w:rsidRPr="000858D1">
          <w:rPr>
            <w:rStyle w:val="Hyperlink"/>
            <w:rFonts w:ascii="FrankRuehl" w:hAnsi="FrankRuehl" w:cs="FrankRuehl"/>
            <w:u w:val="none"/>
            <w:rtl/>
          </w:rPr>
          <w:t>חוק העונשין, תשל"ז-1977</w:t>
        </w:r>
      </w:hyperlink>
      <w:r w:rsidRPr="000858D1">
        <w:rPr>
          <w:rFonts w:ascii="FrankRuehl" w:hAnsi="FrankRuehl" w:cs="FrankRuehl"/>
          <w:color w:val="0000FF"/>
          <w:rtl/>
        </w:rPr>
        <w:t xml:space="preserve">: סע'  </w:t>
      </w:r>
      <w:hyperlink r:id="rId8" w:history="1">
        <w:r w:rsidRPr="000858D1">
          <w:rPr>
            <w:rStyle w:val="Hyperlink"/>
            <w:rFonts w:ascii="FrankRuehl" w:hAnsi="FrankRuehl" w:cs="FrankRuehl"/>
            <w:u w:val="none"/>
          </w:rPr>
          <w:t>52</w:t>
        </w:r>
      </w:hyperlink>
      <w:r w:rsidRPr="000858D1">
        <w:rPr>
          <w:rFonts w:ascii="FrankRuehl" w:hAnsi="FrankRuehl" w:cs="FrankRuehl"/>
          <w:color w:val="0000FF"/>
          <w:rtl/>
        </w:rPr>
        <w:t xml:space="preserve">(ג), </w:t>
      </w:r>
      <w:hyperlink r:id="rId9" w:history="1">
        <w:r w:rsidRPr="000858D1">
          <w:rPr>
            <w:rStyle w:val="Hyperlink"/>
            <w:rFonts w:ascii="FrankRuehl" w:hAnsi="FrankRuehl" w:cs="FrankRuehl"/>
            <w:u w:val="none"/>
          </w:rPr>
          <w:t>384</w:t>
        </w:r>
      </w:hyperlink>
      <w:r w:rsidRPr="000858D1">
        <w:rPr>
          <w:rFonts w:ascii="FrankRuehl" w:hAnsi="FrankRuehl" w:cs="FrankRuehl"/>
          <w:color w:val="0000FF"/>
          <w:rtl/>
        </w:rPr>
        <w:t xml:space="preserve">, </w:t>
      </w:r>
      <w:hyperlink r:id="rId10" w:history="1">
        <w:r w:rsidRPr="000858D1">
          <w:rPr>
            <w:rStyle w:val="Hyperlink"/>
            <w:rFonts w:ascii="FrankRuehl" w:hAnsi="FrankRuehl" w:cs="FrankRuehl"/>
            <w:u w:val="none"/>
          </w:rPr>
          <w:t>406</w:t>
        </w:r>
      </w:hyperlink>
      <w:r w:rsidRPr="000858D1">
        <w:rPr>
          <w:rFonts w:ascii="FrankRuehl" w:hAnsi="FrankRuehl" w:cs="FrankRuehl"/>
          <w:color w:val="0000FF"/>
          <w:rtl/>
        </w:rPr>
        <w:t>(ב)</w:t>
      </w:r>
    </w:p>
    <w:p w14:paraId="5618D7B9" w14:textId="77777777" w:rsidR="000858D1" w:rsidRPr="000858D1" w:rsidRDefault="000858D1" w:rsidP="000858D1">
      <w:pPr>
        <w:spacing w:before="120" w:after="120" w:line="240" w:lineRule="exact"/>
        <w:ind w:left="283" w:hanging="283"/>
        <w:jc w:val="both"/>
        <w:rPr>
          <w:rFonts w:ascii="FrankRuehl" w:hAnsi="FrankRuehl" w:cs="FrankRuehl"/>
          <w:color w:val="0000FF"/>
          <w:rtl/>
        </w:rPr>
      </w:pPr>
      <w:hyperlink r:id="rId11" w:history="1">
        <w:r w:rsidRPr="000858D1">
          <w:rPr>
            <w:rStyle w:val="Hyperlink"/>
            <w:rFonts w:ascii="FrankRuehl" w:hAnsi="FrankRuehl" w:cs="FrankRuehl"/>
            <w:u w:val="none"/>
            <w:rtl/>
          </w:rPr>
          <w:t>פקודת הסמים המסוכנים [נוסח חדש], תשל"ג-1973</w:t>
        </w:r>
      </w:hyperlink>
      <w:r w:rsidRPr="000858D1">
        <w:rPr>
          <w:rFonts w:ascii="FrankRuehl" w:hAnsi="FrankRuehl" w:cs="FrankRuehl"/>
          <w:color w:val="0000FF"/>
          <w:rtl/>
        </w:rPr>
        <w:t xml:space="preserve">: סע'  </w:t>
      </w:r>
      <w:hyperlink r:id="rId12" w:history="1">
        <w:r w:rsidRPr="000858D1">
          <w:rPr>
            <w:rStyle w:val="Hyperlink"/>
            <w:rFonts w:ascii="FrankRuehl" w:hAnsi="FrankRuehl" w:cs="FrankRuehl"/>
            <w:u w:val="none"/>
          </w:rPr>
          <w:t>7.</w:t>
        </w:r>
        <w:r w:rsidRPr="000858D1">
          <w:rPr>
            <w:rStyle w:val="Hyperlink"/>
            <w:rFonts w:ascii="FrankRuehl" w:hAnsi="FrankRuehl" w:cs="FrankRuehl"/>
            <w:u w:val="none"/>
            <w:rtl/>
          </w:rPr>
          <w:t>א</w:t>
        </w:r>
        <w:r w:rsidRPr="000858D1">
          <w:rPr>
            <w:rStyle w:val="Hyperlink"/>
            <w:rFonts w:ascii="FrankRuehl" w:hAnsi="FrankRuehl" w:cs="FrankRuehl"/>
            <w:u w:val="none"/>
          </w:rPr>
          <w:t>.</w:t>
        </w:r>
      </w:hyperlink>
      <w:r w:rsidRPr="000858D1">
        <w:rPr>
          <w:rFonts w:ascii="FrankRuehl" w:hAnsi="FrankRuehl" w:cs="FrankRuehl"/>
          <w:color w:val="0000FF"/>
          <w:rtl/>
        </w:rPr>
        <w:t xml:space="preserve">, </w:t>
      </w:r>
      <w:hyperlink r:id="rId13" w:history="1">
        <w:r w:rsidRPr="000858D1">
          <w:rPr>
            <w:rStyle w:val="Hyperlink"/>
            <w:rFonts w:ascii="FrankRuehl" w:hAnsi="FrankRuehl" w:cs="FrankRuehl"/>
            <w:u w:val="none"/>
          </w:rPr>
          <w:t>7.</w:t>
        </w:r>
        <w:r w:rsidRPr="000858D1">
          <w:rPr>
            <w:rStyle w:val="Hyperlink"/>
            <w:rFonts w:ascii="FrankRuehl" w:hAnsi="FrankRuehl" w:cs="FrankRuehl"/>
            <w:u w:val="none"/>
            <w:rtl/>
          </w:rPr>
          <w:t>ג</w:t>
        </w:r>
      </w:hyperlink>
      <w:r w:rsidRPr="000858D1">
        <w:rPr>
          <w:rFonts w:ascii="FrankRuehl" w:hAnsi="FrankRuehl" w:cs="FrankRuehl"/>
          <w:color w:val="0000FF"/>
          <w:rtl/>
        </w:rPr>
        <w:t xml:space="preserve">, </w:t>
      </w:r>
      <w:hyperlink r:id="rId14" w:history="1">
        <w:r w:rsidRPr="000858D1">
          <w:rPr>
            <w:rStyle w:val="Hyperlink"/>
            <w:rFonts w:ascii="FrankRuehl" w:hAnsi="FrankRuehl" w:cs="FrankRuehl"/>
            <w:u w:val="none"/>
          </w:rPr>
          <w:t>13</w:t>
        </w:r>
      </w:hyperlink>
      <w:r w:rsidRPr="000858D1">
        <w:rPr>
          <w:rFonts w:ascii="FrankRuehl" w:hAnsi="FrankRuehl" w:cs="FrankRuehl"/>
          <w:color w:val="0000FF"/>
          <w:rtl/>
        </w:rPr>
        <w:t xml:space="preserve">, </w:t>
      </w:r>
      <w:hyperlink r:id="rId15" w:history="1">
        <w:r w:rsidRPr="000858D1">
          <w:rPr>
            <w:rStyle w:val="Hyperlink"/>
            <w:rFonts w:ascii="FrankRuehl" w:hAnsi="FrankRuehl" w:cs="FrankRuehl"/>
            <w:u w:val="none"/>
          </w:rPr>
          <w:t>19</w:t>
        </w:r>
        <w:r w:rsidRPr="000858D1">
          <w:rPr>
            <w:rStyle w:val="Hyperlink"/>
            <w:rFonts w:ascii="FrankRuehl" w:hAnsi="FrankRuehl" w:cs="FrankRuehl"/>
            <w:u w:val="none"/>
            <w:rtl/>
          </w:rPr>
          <w:t>א</w:t>
        </w:r>
      </w:hyperlink>
    </w:p>
    <w:p w14:paraId="1218BBFC" w14:textId="77777777" w:rsidR="000858D1" w:rsidRPr="000858D1" w:rsidRDefault="000858D1" w:rsidP="000858D1">
      <w:pPr>
        <w:spacing w:before="120" w:after="120" w:line="240" w:lineRule="exact"/>
        <w:ind w:left="283" w:hanging="283"/>
        <w:jc w:val="both"/>
        <w:rPr>
          <w:rFonts w:ascii="FrankRuehl" w:hAnsi="FrankRuehl" w:cs="FrankRuehl"/>
          <w:color w:val="0000FF"/>
          <w:rtl/>
        </w:rPr>
      </w:pPr>
      <w:hyperlink r:id="rId16" w:history="1">
        <w:r w:rsidRPr="000858D1">
          <w:rPr>
            <w:rStyle w:val="Hyperlink"/>
            <w:rFonts w:ascii="FrankRuehl" w:hAnsi="FrankRuehl" w:cs="FrankRuehl"/>
            <w:u w:val="none"/>
            <w:rtl/>
          </w:rPr>
          <w:t>פקודת התעבורה [נוסח חדש</w:t>
        </w:r>
        <w:r w:rsidRPr="000858D1">
          <w:rPr>
            <w:rStyle w:val="Hyperlink"/>
            <w:rFonts w:ascii="FrankRuehl" w:hAnsi="FrankRuehl" w:cs="FrankRuehl"/>
            <w:u w:val="none"/>
          </w:rPr>
          <w:t>]</w:t>
        </w:r>
      </w:hyperlink>
      <w:r w:rsidRPr="000858D1">
        <w:rPr>
          <w:rFonts w:ascii="FrankRuehl" w:hAnsi="FrankRuehl" w:cs="FrankRuehl"/>
          <w:color w:val="0000FF"/>
          <w:rtl/>
        </w:rPr>
        <w:t xml:space="preserve">: סע'  </w:t>
      </w:r>
      <w:hyperlink r:id="rId17" w:history="1">
        <w:r w:rsidRPr="000858D1">
          <w:rPr>
            <w:rStyle w:val="Hyperlink"/>
            <w:rFonts w:ascii="FrankRuehl" w:hAnsi="FrankRuehl" w:cs="FrankRuehl"/>
            <w:u w:val="none"/>
          </w:rPr>
          <w:t>36</w:t>
        </w:r>
      </w:hyperlink>
      <w:r w:rsidRPr="000858D1">
        <w:rPr>
          <w:rFonts w:ascii="FrankRuehl" w:hAnsi="FrankRuehl" w:cs="FrankRuehl"/>
          <w:color w:val="0000FF"/>
          <w:rtl/>
        </w:rPr>
        <w:t>(ג)</w:t>
      </w:r>
    </w:p>
    <w:p w14:paraId="59F07BFA" w14:textId="77777777" w:rsidR="00A90CA1" w:rsidRPr="000858D1" w:rsidRDefault="00A90CA1" w:rsidP="000858D1">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0CA1" w14:paraId="0CDDB548" w14:textId="77777777" w:rsidTr="00A90CA1">
        <w:trPr>
          <w:trHeight w:val="355"/>
          <w:jc w:val="center"/>
        </w:trPr>
        <w:tc>
          <w:tcPr>
            <w:tcW w:w="8820" w:type="dxa"/>
            <w:tcBorders>
              <w:top w:val="nil"/>
              <w:left w:val="nil"/>
              <w:bottom w:val="nil"/>
              <w:right w:val="nil"/>
            </w:tcBorders>
            <w:shd w:val="clear" w:color="auto" w:fill="auto"/>
          </w:tcPr>
          <w:p w14:paraId="79D0FFF5" w14:textId="77777777" w:rsidR="00876478" w:rsidRPr="00876478" w:rsidRDefault="00876478" w:rsidP="00876478">
            <w:pPr>
              <w:jc w:val="center"/>
              <w:rPr>
                <w:rFonts w:ascii="Arial" w:hAnsi="Arial"/>
                <w:b/>
                <w:bCs/>
                <w:sz w:val="32"/>
                <w:szCs w:val="32"/>
                <w:u w:val="single"/>
                <w:rtl/>
              </w:rPr>
            </w:pPr>
            <w:bookmarkStart w:id="5" w:name="PsakDin" w:colFirst="0" w:colLast="0"/>
            <w:bookmarkEnd w:id="0"/>
            <w:bookmarkEnd w:id="1"/>
            <w:r w:rsidRPr="00876478">
              <w:rPr>
                <w:rFonts w:ascii="Arial" w:hAnsi="Arial"/>
                <w:b/>
                <w:bCs/>
                <w:sz w:val="32"/>
                <w:szCs w:val="32"/>
                <w:u w:val="single"/>
                <w:rtl/>
              </w:rPr>
              <w:t>גזר דין</w:t>
            </w:r>
          </w:p>
          <w:p w14:paraId="61F8478C" w14:textId="77777777" w:rsidR="00A90CA1" w:rsidRPr="00876478" w:rsidRDefault="00A90CA1" w:rsidP="00876478">
            <w:pPr>
              <w:jc w:val="center"/>
              <w:rPr>
                <w:rFonts w:ascii="Arial" w:hAnsi="Arial"/>
                <w:bCs/>
                <w:sz w:val="32"/>
                <w:szCs w:val="32"/>
                <w:u w:val="single"/>
                <w:rtl/>
              </w:rPr>
            </w:pPr>
          </w:p>
        </w:tc>
      </w:tr>
    </w:tbl>
    <w:p w14:paraId="30804274" w14:textId="77777777" w:rsidR="00A90CA1" w:rsidRPr="00123BD2" w:rsidRDefault="00A90CA1" w:rsidP="00A90CA1">
      <w:pPr>
        <w:numPr>
          <w:ilvl w:val="0"/>
          <w:numId w:val="1"/>
        </w:numPr>
        <w:spacing w:before="120" w:line="400" w:lineRule="atLeast"/>
        <w:jc w:val="both"/>
        <w:rPr>
          <w:rtl/>
        </w:rPr>
      </w:pPr>
      <w:bookmarkStart w:id="6" w:name="ABSTRACT_START"/>
      <w:bookmarkEnd w:id="5"/>
      <w:bookmarkEnd w:id="6"/>
      <w:r w:rsidRPr="00123BD2">
        <w:rPr>
          <w:rFonts w:hint="cs"/>
          <w:rtl/>
        </w:rPr>
        <w:t>הנאשם הורשע ע"פ הודאתו בתיקים הבאים:</w:t>
      </w:r>
    </w:p>
    <w:p w14:paraId="438237EE" w14:textId="77777777" w:rsidR="00A90CA1" w:rsidRPr="00123BD2" w:rsidRDefault="00A90CA1" w:rsidP="00A90CA1">
      <w:pPr>
        <w:numPr>
          <w:ilvl w:val="1"/>
          <w:numId w:val="1"/>
        </w:numPr>
        <w:spacing w:before="120" w:line="400" w:lineRule="atLeast"/>
        <w:jc w:val="both"/>
      </w:pPr>
      <w:r w:rsidRPr="00123BD2">
        <w:rPr>
          <w:rFonts w:hint="cs"/>
          <w:rtl/>
        </w:rPr>
        <w:t>ב</w:t>
      </w:r>
      <w:hyperlink r:id="rId18" w:history="1">
        <w:r w:rsidR="00876478" w:rsidRPr="00876478">
          <w:rPr>
            <w:color w:val="0000FF"/>
            <w:u w:val="single"/>
            <w:rtl/>
          </w:rPr>
          <w:t>ת"פ 3755-09-19</w:t>
        </w:r>
      </w:hyperlink>
      <w:r w:rsidRPr="00123BD2">
        <w:rPr>
          <w:rFonts w:hint="cs"/>
          <w:rtl/>
        </w:rPr>
        <w:t xml:space="preserve"> הורשע הנאשם בעבירות של התפרצות למגורים, גניבה והחזקת סמים שלא לצריכה עצמית, בניגוד </w:t>
      </w:r>
      <w:hyperlink r:id="rId19" w:history="1">
        <w:r w:rsidR="003B4281" w:rsidRPr="003B4281">
          <w:rPr>
            <w:rStyle w:val="Hyperlink"/>
            <w:rFonts w:hint="eastAsia"/>
            <w:color w:val="0000FF"/>
            <w:rtl/>
          </w:rPr>
          <w:t>לסעיפים</w:t>
        </w:r>
        <w:r w:rsidR="003B4281" w:rsidRPr="003B4281">
          <w:rPr>
            <w:rStyle w:val="Hyperlink"/>
            <w:color w:val="0000FF"/>
            <w:rtl/>
          </w:rPr>
          <w:t xml:space="preserve"> 406(ב)</w:t>
        </w:r>
      </w:hyperlink>
      <w:r w:rsidRPr="00123BD2">
        <w:rPr>
          <w:rFonts w:hint="cs"/>
          <w:rtl/>
        </w:rPr>
        <w:t xml:space="preserve"> ו- </w:t>
      </w:r>
      <w:hyperlink r:id="rId20" w:history="1">
        <w:r w:rsidR="003B4281" w:rsidRPr="003B4281">
          <w:rPr>
            <w:rStyle w:val="Hyperlink"/>
            <w:color w:val="0000FF"/>
            <w:rtl/>
          </w:rPr>
          <w:t>384</w:t>
        </w:r>
      </w:hyperlink>
      <w:r w:rsidRPr="00123BD2">
        <w:rPr>
          <w:rFonts w:hint="cs"/>
          <w:rtl/>
        </w:rPr>
        <w:t xml:space="preserve"> ל</w:t>
      </w:r>
      <w:hyperlink r:id="rId21" w:history="1">
        <w:r w:rsidR="00876478" w:rsidRPr="00876478">
          <w:rPr>
            <w:color w:val="0000FF"/>
            <w:u w:val="single"/>
            <w:rtl/>
          </w:rPr>
          <w:t>חוק העונשין</w:t>
        </w:r>
      </w:hyperlink>
      <w:r w:rsidRPr="00123BD2">
        <w:rPr>
          <w:rFonts w:hint="cs"/>
          <w:rtl/>
        </w:rPr>
        <w:t xml:space="preserve"> תשל"ז 1977 ו- 7(א)(ג) רישה ל</w:t>
      </w:r>
      <w:hyperlink r:id="rId22" w:history="1">
        <w:r w:rsidR="00876478" w:rsidRPr="00876478">
          <w:rPr>
            <w:color w:val="0000FF"/>
            <w:u w:val="single"/>
            <w:rtl/>
          </w:rPr>
          <w:t>פקודת הסמים</w:t>
        </w:r>
        <w:r w:rsidR="00876478" w:rsidRPr="00876478">
          <w:rPr>
            <w:color w:val="0000FF"/>
            <w:u w:val="single"/>
            <w:rtl/>
          </w:rPr>
          <w:t xml:space="preserve"> </w:t>
        </w:r>
        <w:r w:rsidR="00876478" w:rsidRPr="00876478">
          <w:rPr>
            <w:color w:val="0000FF"/>
            <w:u w:val="single"/>
            <w:rtl/>
          </w:rPr>
          <w:t>המסוכנים</w:t>
        </w:r>
      </w:hyperlink>
      <w:r w:rsidRPr="00123BD2">
        <w:rPr>
          <w:rFonts w:hint="cs"/>
          <w:rtl/>
        </w:rPr>
        <w:t>, בכך שביום 20.8.19, התפר</w:t>
      </w:r>
      <w:r>
        <w:rPr>
          <w:rFonts w:hint="cs"/>
          <w:rtl/>
        </w:rPr>
        <w:t xml:space="preserve">ץ עם אחרים לדירה ברח' כצנלסון, ממנה </w:t>
      </w:r>
      <w:r w:rsidRPr="00123BD2">
        <w:rPr>
          <w:rFonts w:hint="cs"/>
          <w:rtl/>
        </w:rPr>
        <w:t>גנבו מזוודה עם מסמכים</w:t>
      </w:r>
      <w:r>
        <w:rPr>
          <w:rFonts w:hint="cs"/>
          <w:rtl/>
        </w:rPr>
        <w:t xml:space="preserve">. בנוסף לכך </w:t>
      </w:r>
      <w:r w:rsidRPr="00123BD2">
        <w:rPr>
          <w:rFonts w:hint="cs"/>
          <w:rtl/>
        </w:rPr>
        <w:t>החזיקו</w:t>
      </w:r>
      <w:r>
        <w:rPr>
          <w:rFonts w:hint="cs"/>
          <w:rtl/>
        </w:rPr>
        <w:t xml:space="preserve"> הנאשם ושותפו</w:t>
      </w:r>
      <w:r w:rsidRPr="00123BD2">
        <w:rPr>
          <w:rFonts w:hint="cs"/>
          <w:rtl/>
        </w:rPr>
        <w:t xml:space="preserve"> 25 גר' חשיש. </w:t>
      </w:r>
    </w:p>
    <w:p w14:paraId="75A86C7D" w14:textId="77777777" w:rsidR="00A90CA1" w:rsidRPr="00123BD2" w:rsidRDefault="00A90CA1" w:rsidP="00A90CA1">
      <w:pPr>
        <w:numPr>
          <w:ilvl w:val="1"/>
          <w:numId w:val="1"/>
        </w:numPr>
        <w:spacing w:before="120" w:line="400" w:lineRule="atLeast"/>
        <w:jc w:val="both"/>
      </w:pPr>
      <w:bookmarkStart w:id="7" w:name="ABSTRACT_END"/>
      <w:bookmarkEnd w:id="7"/>
      <w:r w:rsidRPr="00123BD2">
        <w:rPr>
          <w:rFonts w:hint="cs"/>
          <w:rtl/>
        </w:rPr>
        <w:t xml:space="preserve">בתפ"ק 29591-10-20 הורשע הנאשם בעבירות של סחר בסם מסוכן והחזקת סם מסוכן שלא לצריכה עצמית, בניגוד לסעיפים </w:t>
      </w:r>
      <w:hyperlink r:id="rId23" w:history="1">
        <w:r w:rsidR="003B4281" w:rsidRPr="003B4281">
          <w:rPr>
            <w:rStyle w:val="Hyperlink"/>
            <w:color w:val="0000FF"/>
            <w:rtl/>
          </w:rPr>
          <w:t>7(א)(ג)</w:t>
        </w:r>
      </w:hyperlink>
      <w:r w:rsidRPr="00123BD2">
        <w:rPr>
          <w:rFonts w:hint="cs"/>
          <w:rtl/>
        </w:rPr>
        <w:t xml:space="preserve"> רישה ו- </w:t>
      </w:r>
      <w:hyperlink r:id="rId24" w:history="1">
        <w:r w:rsidR="000858D1" w:rsidRPr="000858D1">
          <w:rPr>
            <w:rStyle w:val="Hyperlink"/>
            <w:color w:val="0000FF"/>
            <w:rtl/>
          </w:rPr>
          <w:t>13</w:t>
        </w:r>
      </w:hyperlink>
      <w:r w:rsidRPr="00123BD2">
        <w:rPr>
          <w:rFonts w:hint="cs"/>
          <w:rtl/>
        </w:rPr>
        <w:t xml:space="preserve"> + </w:t>
      </w:r>
      <w:hyperlink r:id="rId25" w:history="1">
        <w:r w:rsidR="000858D1" w:rsidRPr="000858D1">
          <w:rPr>
            <w:rStyle w:val="Hyperlink"/>
            <w:color w:val="0000FF"/>
            <w:rtl/>
          </w:rPr>
          <w:t>19א</w:t>
        </w:r>
      </w:hyperlink>
      <w:r w:rsidRPr="00123BD2">
        <w:rPr>
          <w:rFonts w:hint="cs"/>
          <w:rtl/>
        </w:rPr>
        <w:t xml:space="preserve"> ל</w:t>
      </w:r>
      <w:hyperlink r:id="rId26" w:history="1">
        <w:r w:rsidR="00876478" w:rsidRPr="00876478">
          <w:rPr>
            <w:color w:val="0000FF"/>
            <w:u w:val="single"/>
            <w:rtl/>
          </w:rPr>
          <w:t>פקודת הסמים המסוכנים</w:t>
        </w:r>
      </w:hyperlink>
      <w:r w:rsidRPr="00123BD2">
        <w:rPr>
          <w:rFonts w:hint="cs"/>
          <w:rtl/>
        </w:rPr>
        <w:t xml:space="preserve"> [נוסח חדש] התשל"ג 1973, בכך שביום 22.6.20 מכר לסוכן משטרתי 22 גר' קוקאין תמורת 8,750 ₪, וביום 14.7.20 מכר לסוכן משטרתי 45 גר' קוקאין תמורת 16,000 ₪.</w:t>
      </w:r>
    </w:p>
    <w:p w14:paraId="5956FF1B" w14:textId="77777777" w:rsidR="00A90CA1" w:rsidRPr="00123BD2" w:rsidRDefault="00A90CA1" w:rsidP="00A90CA1">
      <w:pPr>
        <w:numPr>
          <w:ilvl w:val="1"/>
          <w:numId w:val="1"/>
        </w:numPr>
        <w:spacing w:before="120" w:line="400" w:lineRule="atLeast"/>
        <w:jc w:val="both"/>
      </w:pPr>
      <w:r w:rsidRPr="00123BD2">
        <w:rPr>
          <w:rFonts w:hint="cs"/>
          <w:rtl/>
        </w:rPr>
        <w:lastRenderedPageBreak/>
        <w:t xml:space="preserve">בת"פ 26570-05-22 הורשע הנאשם בעבירה של החזקת סם שלא לצריכה עצמית בניגוד להוראות </w:t>
      </w:r>
      <w:hyperlink r:id="rId27" w:history="1">
        <w:r w:rsidR="000858D1" w:rsidRPr="000858D1">
          <w:rPr>
            <w:rStyle w:val="Hyperlink"/>
            <w:rFonts w:hint="eastAsia"/>
            <w:color w:val="0000FF"/>
            <w:rtl/>
          </w:rPr>
          <w:t>סעיף</w:t>
        </w:r>
        <w:r w:rsidR="000858D1" w:rsidRPr="000858D1">
          <w:rPr>
            <w:rStyle w:val="Hyperlink"/>
            <w:color w:val="0000FF"/>
            <w:rtl/>
          </w:rPr>
          <w:t xml:space="preserve"> 7(א)(ג)</w:t>
        </w:r>
      </w:hyperlink>
      <w:r w:rsidRPr="00123BD2">
        <w:rPr>
          <w:rFonts w:hint="cs"/>
          <w:rtl/>
        </w:rPr>
        <w:t xml:space="preserve"> רישה ל</w:t>
      </w:r>
      <w:hyperlink r:id="rId28" w:history="1">
        <w:r w:rsidR="00876478" w:rsidRPr="00876478">
          <w:rPr>
            <w:color w:val="0000FF"/>
            <w:u w:val="single"/>
            <w:rtl/>
          </w:rPr>
          <w:t>פקודת הסמים המסוכנים</w:t>
        </w:r>
      </w:hyperlink>
      <w:r w:rsidRPr="00123BD2">
        <w:rPr>
          <w:rFonts w:hint="cs"/>
          <w:rtl/>
        </w:rPr>
        <w:t>, בכך שביום 8.5.22 החזיק 1.7 גר' קוקאין.</w:t>
      </w:r>
    </w:p>
    <w:p w14:paraId="798586D9" w14:textId="77777777" w:rsidR="00A90CA1" w:rsidRPr="00123BD2" w:rsidRDefault="00A90CA1" w:rsidP="00A90CA1">
      <w:pPr>
        <w:numPr>
          <w:ilvl w:val="0"/>
          <w:numId w:val="1"/>
        </w:numPr>
        <w:spacing w:before="120" w:line="400" w:lineRule="atLeast"/>
        <w:jc w:val="both"/>
      </w:pPr>
      <w:r w:rsidRPr="00123BD2">
        <w:rPr>
          <w:rFonts w:hint="cs"/>
          <w:rtl/>
        </w:rPr>
        <w:t>הנאשם שולב בבית המשפט הקהילתי, אולם לא צלח את ההליך השיקומי, ונשר מן התהליך בשלב השלישי.</w:t>
      </w:r>
    </w:p>
    <w:p w14:paraId="12931D15" w14:textId="77777777" w:rsidR="00A90CA1" w:rsidRPr="00123BD2" w:rsidRDefault="00A90CA1" w:rsidP="00A90CA1">
      <w:pPr>
        <w:numPr>
          <w:ilvl w:val="0"/>
          <w:numId w:val="1"/>
        </w:numPr>
        <w:spacing w:before="120" w:line="400" w:lineRule="atLeast"/>
        <w:jc w:val="both"/>
      </w:pPr>
      <w:r w:rsidRPr="00123BD2">
        <w:rPr>
          <w:rFonts w:hint="cs"/>
          <w:rtl/>
        </w:rPr>
        <w:t>גיליון הרישום הפלילי מלמד כי לחובתו של הנאשם שתי הרשעות קודמות בעבירות סמים.</w:t>
      </w:r>
    </w:p>
    <w:p w14:paraId="30CF77FC" w14:textId="77777777" w:rsidR="00A90CA1" w:rsidRPr="00123BD2" w:rsidRDefault="00A90CA1" w:rsidP="00A90CA1">
      <w:pPr>
        <w:numPr>
          <w:ilvl w:val="0"/>
          <w:numId w:val="1"/>
        </w:numPr>
        <w:spacing w:before="120" w:line="400" w:lineRule="atLeast"/>
        <w:jc w:val="both"/>
      </w:pPr>
      <w:r w:rsidRPr="00123BD2">
        <w:rPr>
          <w:rFonts w:hint="cs"/>
          <w:rtl/>
        </w:rPr>
        <w:t xml:space="preserve">בין השאר תלוי ועומד נגד הנאשם מאסר על תנאי של ארבעה חודשים מתיק </w:t>
      </w:r>
      <w:hyperlink r:id="rId29" w:history="1">
        <w:r w:rsidR="00876478" w:rsidRPr="00876478">
          <w:rPr>
            <w:color w:val="0000FF"/>
            <w:u w:val="single"/>
            <w:rtl/>
          </w:rPr>
          <w:t>ת"פ 34627-08-19</w:t>
        </w:r>
      </w:hyperlink>
      <w:r w:rsidRPr="00123BD2">
        <w:rPr>
          <w:rFonts w:hint="cs"/>
          <w:rtl/>
        </w:rPr>
        <w:t xml:space="preserve"> מיום 10.11.21 שהוא בר הפעלה וכן התחייבות כספית על סך 1,500 ₪. </w:t>
      </w:r>
    </w:p>
    <w:p w14:paraId="223AD1B8" w14:textId="77777777" w:rsidR="00A90CA1" w:rsidRDefault="00A90CA1" w:rsidP="00A90CA1">
      <w:pPr>
        <w:numPr>
          <w:ilvl w:val="0"/>
          <w:numId w:val="1"/>
        </w:numPr>
        <w:spacing w:before="120" w:line="400" w:lineRule="atLeast"/>
        <w:jc w:val="both"/>
      </w:pPr>
      <w:r w:rsidRPr="00123BD2">
        <w:rPr>
          <w:rFonts w:hint="cs"/>
          <w:rtl/>
        </w:rPr>
        <w:t>תסקיר שירות המבחן מפרט כי מדובר בנאשם אשר סבל מהתמודדות עם התמכרות לחומרים משני תודעה, דפוסי התנהגות עבריינים, קשיים ביחסים עם אמו, העדר הכשרה מקצועית, מיצוי זכויות בחסר ובעיות בריאות.</w:t>
      </w:r>
      <w:r w:rsidRPr="00123BD2">
        <w:rPr>
          <w:rFonts w:hint="cs"/>
          <w:rtl/>
        </w:rPr>
        <w:tab/>
      </w:r>
      <w:r w:rsidRPr="00123BD2">
        <w:rPr>
          <w:rFonts w:hint="cs"/>
          <w:rtl/>
        </w:rPr>
        <w:br/>
      </w:r>
      <w:r w:rsidRPr="00123BD2">
        <w:rPr>
          <w:rFonts w:hint="cs"/>
          <w:b/>
          <w:bCs/>
          <w:rtl/>
        </w:rPr>
        <w:t>בתחום הטיפול הפרטני</w:t>
      </w:r>
      <w:r w:rsidRPr="00123BD2">
        <w:rPr>
          <w:rFonts w:hint="cs"/>
          <w:rtl/>
        </w:rPr>
        <w:t>, בתחילת התוכנית הנאשם שיתף פעולה והגיע לפגישות. הנאשם שהה בהוסטל טיפולי ולאחר מכן עזב את ההוסטל ושכר דירה לבדו. לאחר שנעצר בגין התיק המצורף של החזקת סמים, שוחרר למעצר בית בבית אמו. התסקיר מפרט את מערכת היחסים המורכבת עם האם. הנאשם ואמו הסכימו להגיע לטיפול משפחתי אך לא הגיעו לטיפול.</w:t>
      </w:r>
      <w:r w:rsidRPr="00123BD2">
        <w:rPr>
          <w:rFonts w:hint="cs"/>
          <w:rtl/>
        </w:rPr>
        <w:tab/>
      </w:r>
      <w:r w:rsidRPr="00123BD2">
        <w:rPr>
          <w:rFonts w:hint="cs"/>
          <w:rtl/>
        </w:rPr>
        <w:br/>
      </w:r>
      <w:r w:rsidRPr="00123BD2">
        <w:rPr>
          <w:rFonts w:hint="cs"/>
          <w:b/>
          <w:bCs/>
          <w:rtl/>
        </w:rPr>
        <w:t xml:space="preserve">בתחום הקשרים חברתיים, </w:t>
      </w:r>
      <w:r w:rsidRPr="00123BD2">
        <w:rPr>
          <w:rFonts w:hint="cs"/>
          <w:rtl/>
        </w:rPr>
        <w:t xml:space="preserve">הנאשם ניסה להיפרד מסביבה המנהלת אורח חיים עברייני, אולם ניכר כי התהליך לא הושלם. הנאשם גילה קושי במציאת מקומו בחברה והדבר הוביל לחזרה לשימוש בסמים. התרשמות שירות המבחן, כי הנאשם מתקשה להינתק מסביבה שולית אשר גורמת להשפעה שלילית על חייו. </w:t>
      </w:r>
      <w:r w:rsidRPr="00123BD2">
        <w:rPr>
          <w:rFonts w:hint="cs"/>
          <w:rtl/>
        </w:rPr>
        <w:tab/>
      </w:r>
      <w:r w:rsidRPr="00123BD2">
        <w:rPr>
          <w:rFonts w:hint="cs"/>
          <w:rtl/>
        </w:rPr>
        <w:br/>
      </w:r>
      <w:r w:rsidRPr="00123BD2">
        <w:rPr>
          <w:rFonts w:hint="cs"/>
          <w:b/>
          <w:bCs/>
          <w:rtl/>
        </w:rPr>
        <w:t xml:space="preserve">בתחום הטיפול הקבוצתי, </w:t>
      </w:r>
      <w:r w:rsidRPr="00123BD2">
        <w:rPr>
          <w:rFonts w:hint="cs"/>
          <w:rtl/>
        </w:rPr>
        <w:t xml:space="preserve">הנאשם שולב בקבוצת צעירים, אולם לא השלים את הטיפול עקב בעיות התנהגות. </w:t>
      </w:r>
      <w:r w:rsidRPr="00123BD2">
        <w:rPr>
          <w:rFonts w:hint="cs"/>
          <w:rtl/>
        </w:rPr>
        <w:tab/>
      </w:r>
      <w:r w:rsidRPr="00123BD2">
        <w:rPr>
          <w:rFonts w:hint="cs"/>
          <w:rtl/>
        </w:rPr>
        <w:br/>
      </w:r>
      <w:r w:rsidRPr="00123BD2">
        <w:rPr>
          <w:rFonts w:hint="cs"/>
          <w:b/>
          <w:bCs/>
          <w:rtl/>
        </w:rPr>
        <w:t xml:space="preserve">בתחום השימוש בסמים, </w:t>
      </w:r>
      <w:r w:rsidRPr="00123BD2">
        <w:rPr>
          <w:rFonts w:hint="cs"/>
          <w:rtl/>
        </w:rPr>
        <w:t xml:space="preserve">הנאשם הגיע לבדיקות לגילוי שרידים סם, ובחלק מהבדיקות התגלו שרידי סם, בחלק מהמקרים הנאשם לא לקח אחריות על המעידה לסם. </w:t>
      </w:r>
      <w:r>
        <w:rPr>
          <w:rFonts w:hint="cs"/>
          <w:rtl/>
        </w:rPr>
        <w:t xml:space="preserve">עם זאת, </w:t>
      </w:r>
      <w:r w:rsidRPr="00123BD2">
        <w:rPr>
          <w:rFonts w:hint="cs"/>
          <w:rtl/>
        </w:rPr>
        <w:t>בחודשים האחרונים בדיקותיו נקיות משרידי סם.</w:t>
      </w:r>
      <w:r w:rsidRPr="00123BD2">
        <w:rPr>
          <w:rFonts w:hint="cs"/>
          <w:rtl/>
        </w:rPr>
        <w:tab/>
      </w:r>
      <w:r w:rsidRPr="00123BD2">
        <w:rPr>
          <w:rFonts w:hint="cs"/>
          <w:rtl/>
        </w:rPr>
        <w:br/>
      </w:r>
      <w:r w:rsidRPr="00123BD2">
        <w:rPr>
          <w:rFonts w:hint="cs"/>
          <w:b/>
          <w:bCs/>
          <w:rtl/>
        </w:rPr>
        <w:t xml:space="preserve">בתחום הבריאות הפיסית, </w:t>
      </w:r>
      <w:r w:rsidRPr="00123BD2">
        <w:rPr>
          <w:rFonts w:hint="cs"/>
          <w:rtl/>
        </w:rPr>
        <w:t>הנאשם מתמודד עם סכרת נעורים. בעקבות מחלתו ביקש לבטל פגישות עקב ערכי סוכר גבוה וסחרחורות. מצבו החמיר ומאחר ודחה את תור רפואי שתואם עבורו.</w:t>
      </w:r>
      <w:r w:rsidRPr="00123BD2">
        <w:rPr>
          <w:rFonts w:hint="cs"/>
          <w:rtl/>
        </w:rPr>
        <w:tab/>
      </w:r>
      <w:r w:rsidRPr="00123BD2">
        <w:rPr>
          <w:rFonts w:hint="cs"/>
          <w:rtl/>
        </w:rPr>
        <w:br/>
      </w:r>
      <w:r w:rsidRPr="00123BD2">
        <w:rPr>
          <w:rFonts w:hint="cs"/>
          <w:b/>
          <w:bCs/>
          <w:rtl/>
        </w:rPr>
        <w:t xml:space="preserve">בתחום בריאות הנפש, </w:t>
      </w:r>
      <w:r w:rsidRPr="00123BD2">
        <w:rPr>
          <w:rFonts w:hint="cs"/>
          <w:rtl/>
        </w:rPr>
        <w:t xml:space="preserve">הנאשם תיאר תחושות של לחץ וחרדה בעקבות הקשר עם אמו. הנאשם תיאר התמודדות עם התקפי חרדה והופנה לפסיכיאטר, אולם לא קידם כדבעי את </w:t>
      </w:r>
      <w:r w:rsidRPr="00123BD2">
        <w:rPr>
          <w:rFonts w:hint="cs"/>
          <w:rtl/>
        </w:rPr>
        <w:lastRenderedPageBreak/>
        <w:t>הטיפול הפסיכיאטרי.</w:t>
      </w:r>
      <w:r w:rsidRPr="00123BD2">
        <w:rPr>
          <w:rFonts w:hint="cs"/>
          <w:rtl/>
        </w:rPr>
        <w:tab/>
      </w:r>
      <w:r w:rsidRPr="00123BD2">
        <w:rPr>
          <w:rFonts w:hint="cs"/>
          <w:rtl/>
        </w:rPr>
        <w:br/>
      </w:r>
      <w:r w:rsidRPr="00123BD2">
        <w:rPr>
          <w:rFonts w:hint="cs"/>
          <w:b/>
          <w:bCs/>
          <w:rtl/>
        </w:rPr>
        <w:t xml:space="preserve">בתחום ההכשרה המקצועית, </w:t>
      </w:r>
      <w:r w:rsidRPr="00123BD2">
        <w:rPr>
          <w:rFonts w:hint="cs"/>
          <w:rtl/>
        </w:rPr>
        <w:t>הנאשם לא שיתף פעולה או רצון לכך. בקשר ללימוד תאוריה עבור רישיון נהיגה, הנאשם הופיע בשני מפגשים בלבד וגם יצא מאחד מהם בטרם הסתיים.</w:t>
      </w:r>
      <w:r w:rsidRPr="00123BD2">
        <w:rPr>
          <w:rFonts w:hint="cs"/>
          <w:rtl/>
        </w:rPr>
        <w:br/>
      </w:r>
      <w:r w:rsidRPr="00123BD2">
        <w:rPr>
          <w:rFonts w:hint="cs"/>
          <w:b/>
          <w:bCs/>
          <w:rtl/>
        </w:rPr>
        <w:t>ההתייחסות לעב</w:t>
      </w:r>
      <w:r>
        <w:rPr>
          <w:rFonts w:hint="cs"/>
          <w:b/>
          <w:bCs/>
          <w:rtl/>
        </w:rPr>
        <w:t>י</w:t>
      </w:r>
      <w:r w:rsidRPr="00123BD2">
        <w:rPr>
          <w:rFonts w:hint="cs"/>
          <w:b/>
          <w:bCs/>
          <w:rtl/>
        </w:rPr>
        <w:t xml:space="preserve">רות - </w:t>
      </w:r>
      <w:r w:rsidRPr="00123BD2">
        <w:rPr>
          <w:rFonts w:hint="cs"/>
          <w:rtl/>
        </w:rPr>
        <w:t xml:space="preserve">הנאשם תאר כי העבירות בוצעו בשל שימושו בסמים כדי לממן את השימוש בהם. הנאשם לקח אחריות על מעשיו והדגיש שהוא מודע להשלכות שיש לשימוש בסמים הן לסביבה והן למשפחתו. </w:t>
      </w:r>
      <w:r w:rsidRPr="00123BD2">
        <w:rPr>
          <w:rFonts w:hint="cs"/>
          <w:rtl/>
        </w:rPr>
        <w:tab/>
      </w:r>
      <w:r w:rsidRPr="00123BD2">
        <w:rPr>
          <w:rFonts w:hint="cs"/>
          <w:rtl/>
        </w:rPr>
        <w:br/>
      </w:r>
      <w:r w:rsidRPr="00123BD2">
        <w:rPr>
          <w:rFonts w:hint="cs"/>
          <w:b/>
          <w:bCs/>
          <w:rtl/>
        </w:rPr>
        <w:t xml:space="preserve">עמדת נפגע העבירה – </w:t>
      </w:r>
      <w:r w:rsidRPr="00123BD2">
        <w:rPr>
          <w:rFonts w:hint="cs"/>
          <w:rtl/>
        </w:rPr>
        <w:t xml:space="preserve">הקורבן בתיק ההתפרצות תיאר כי מיום המקרה </w:t>
      </w:r>
      <w:r>
        <w:rPr>
          <w:rFonts w:hint="cs"/>
          <w:rtl/>
        </w:rPr>
        <w:t xml:space="preserve">עד היום הוא </w:t>
      </w:r>
      <w:r w:rsidRPr="00123BD2">
        <w:rPr>
          <w:rFonts w:hint="cs"/>
          <w:rtl/>
        </w:rPr>
        <w:t xml:space="preserve">מתמודד עם פחדים שהדבר יחזור על עצמו, מתקשה לישון בבית ואף להירדם וחרד שמא ינסו לשדוד אותו שוב. </w:t>
      </w:r>
      <w:r w:rsidRPr="00123BD2">
        <w:rPr>
          <w:rFonts w:hint="cs"/>
          <w:rtl/>
        </w:rPr>
        <w:tab/>
      </w:r>
      <w:r w:rsidRPr="00123BD2">
        <w:rPr>
          <w:rFonts w:hint="cs"/>
          <w:rtl/>
        </w:rPr>
        <w:br/>
      </w:r>
      <w:r w:rsidRPr="00123BD2">
        <w:rPr>
          <w:rFonts w:hint="cs"/>
          <w:b/>
          <w:bCs/>
          <w:rtl/>
        </w:rPr>
        <w:t xml:space="preserve">לסיכום, </w:t>
      </w:r>
      <w:r w:rsidRPr="00123BD2">
        <w:rPr>
          <w:rFonts w:hint="cs"/>
          <w:rtl/>
        </w:rPr>
        <w:t xml:space="preserve">התסקיר הדגיש כי הנאשם בחר </w:t>
      </w:r>
      <w:r>
        <w:rPr>
          <w:rFonts w:hint="cs"/>
          <w:rtl/>
        </w:rPr>
        <w:t>ש</w:t>
      </w:r>
      <w:r w:rsidRPr="00123BD2">
        <w:rPr>
          <w:rFonts w:hint="cs"/>
          <w:rtl/>
        </w:rPr>
        <w:t>לא לשתף א</w:t>
      </w:r>
      <w:r>
        <w:rPr>
          <w:rFonts w:hint="cs"/>
          <w:rtl/>
        </w:rPr>
        <w:t>ת</w:t>
      </w:r>
      <w:r w:rsidRPr="00123BD2">
        <w:rPr>
          <w:rFonts w:hint="cs"/>
          <w:rtl/>
        </w:rPr>
        <w:t xml:space="preserve"> שירות המבחן באופן מלא בקשיים בחייו. הנאשם גילה מוטיבציה ונכונות, אולם בכל פעם מעד מחדש וההליך השיקומי ידע עליות ומורדות. שירות המבחן התרשם אפוא</w:t>
      </w:r>
      <w:r>
        <w:rPr>
          <w:rFonts w:hint="cs"/>
          <w:rtl/>
        </w:rPr>
        <w:t>,</w:t>
      </w:r>
      <w:r w:rsidRPr="00123BD2">
        <w:rPr>
          <w:rFonts w:hint="cs"/>
          <w:rtl/>
        </w:rPr>
        <w:t xml:space="preserve"> כי קיים סיכון להישנות התנהגות עבריינית והמליץ לסיים את ההליך בבית המשפט הקהילתי שלא בהצלחה, בדרך של הפעלת המאסר על תנאי והטלת מאסר שניתן לרצותו בעבודות שירות, לצד מא</w:t>
      </w:r>
      <w:r>
        <w:rPr>
          <w:rFonts w:hint="cs"/>
          <w:rtl/>
        </w:rPr>
        <w:t>סר על תנאי שיהווה אלמנט מרתיע ומ</w:t>
      </w:r>
      <w:r w:rsidRPr="00123BD2">
        <w:rPr>
          <w:rFonts w:hint="cs"/>
          <w:rtl/>
        </w:rPr>
        <w:t xml:space="preserve">ציב גבולות ברורים.   </w:t>
      </w:r>
    </w:p>
    <w:p w14:paraId="458C4B26" w14:textId="77777777" w:rsidR="00A90CA1" w:rsidRPr="00123BD2" w:rsidRDefault="00A90CA1" w:rsidP="00A90CA1">
      <w:pPr>
        <w:spacing w:before="120" w:line="400" w:lineRule="atLeast"/>
        <w:ind w:left="720"/>
        <w:jc w:val="both"/>
      </w:pPr>
      <w:r w:rsidRPr="00123BD2">
        <w:rPr>
          <w:rFonts w:hint="cs"/>
          <w:rtl/>
        </w:rPr>
        <w:t xml:space="preserve"> </w:t>
      </w:r>
    </w:p>
    <w:p w14:paraId="322BB956" w14:textId="77777777" w:rsidR="00A90CA1" w:rsidRPr="00123BD2" w:rsidRDefault="00A90CA1" w:rsidP="00A90CA1">
      <w:pPr>
        <w:numPr>
          <w:ilvl w:val="0"/>
          <w:numId w:val="1"/>
        </w:numPr>
        <w:spacing w:before="120" w:line="400" w:lineRule="atLeast"/>
        <w:jc w:val="both"/>
      </w:pPr>
      <w:r w:rsidRPr="00123BD2">
        <w:rPr>
          <w:rFonts w:hint="cs"/>
          <w:rtl/>
        </w:rPr>
        <w:t>התובעת הגישה טיעון בכתב בו טענה כי מדובר בשורה של עבירות חמורות בשלושה כתבי אישום שונים במועדים שונים, שיש לקבוע מתחם עונש הולם לכל אחד מהם בנפרד. אשר לעבירה החמורה של הסחר בסם מסוג קוקאין, הדגישה התובעת את הכמות הניכרת של הסם ה</w:t>
      </w:r>
      <w:r>
        <w:rPr>
          <w:rFonts w:hint="cs"/>
          <w:rtl/>
        </w:rPr>
        <w:t xml:space="preserve">מעידה על מעורבות עמוקה בפלילים. </w:t>
      </w:r>
      <w:r w:rsidRPr="00123BD2">
        <w:rPr>
          <w:rFonts w:hint="cs"/>
          <w:rtl/>
        </w:rPr>
        <w:t>אשר לעבירת הרכוש, נטען כי מדובר בפגיעה משמעותית בערך המוגן של ביטחון הציבור ורכושו.</w:t>
      </w:r>
      <w:r>
        <w:rPr>
          <w:rtl/>
        </w:rPr>
        <w:tab/>
      </w:r>
      <w:r>
        <w:rPr>
          <w:rtl/>
        </w:rPr>
        <w:br/>
      </w:r>
      <w:r>
        <w:rPr>
          <w:rFonts w:hint="cs"/>
          <w:rtl/>
        </w:rPr>
        <w:t>התביעה</w:t>
      </w:r>
      <w:r w:rsidRPr="00123BD2">
        <w:rPr>
          <w:rFonts w:hint="cs"/>
          <w:rtl/>
        </w:rPr>
        <w:t xml:space="preserve"> הפנתה אל שורה של פסקי דין בהם נגזרו עונשי מאסר ארוכים בגין סחר בכמויות דומות. התביעה הדגישה כי אין סיבה לחרוג ממתחם העונש ההולם, שעה שהנאשם עזב את ההוסטל 10 ימים לאחר שנתקבל לבית המשפט הקהילתי. עוד יש להביא בחשבון לחומרה, את העובדה שתוך כדי הליך השיקום, עבר הנאשם עבירת סמים נוספת. ניתנו לנאשם מספר הזדמנויות והוא בחר שלא לנצלן. </w:t>
      </w:r>
      <w:r>
        <w:rPr>
          <w:rFonts w:hint="cs"/>
          <w:rtl/>
        </w:rPr>
        <w:t xml:space="preserve">המאשימה ביקשה להדגיש כי </w:t>
      </w:r>
      <w:r w:rsidRPr="00123BD2">
        <w:rPr>
          <w:rFonts w:hint="cs"/>
          <w:rtl/>
        </w:rPr>
        <w:t>לא ניתן להתעלם מהעובדה שהנאשם סיים הליך ממושך בקהילה הטיפולית "רוח מדבר", אולם בהמשך חזר ומעד ולכן נטען כי אין אפיק שיקומי המצדיק חריגה ממתחם העונש ההולם.</w:t>
      </w:r>
      <w:r w:rsidRPr="00123BD2">
        <w:rPr>
          <w:rFonts w:hint="cs"/>
          <w:rtl/>
        </w:rPr>
        <w:tab/>
      </w:r>
      <w:r w:rsidRPr="00123BD2">
        <w:rPr>
          <w:rFonts w:hint="cs"/>
          <w:rtl/>
        </w:rPr>
        <w:br/>
        <w:t>לנוכח כל האמור לעיל, עתרה המאשימה להטיל על הנאשם מאסר ארוך, להפעיל את המאסר על תנאי במצטבר, להפעיל את ההתחייבות הכספית, להטיל קנס משמעותי, להורות על פסילה בפועל ועל תנאי, ועל פיצוי לנפגע העבירה וחילוט הכסף שנתפס.</w:t>
      </w:r>
    </w:p>
    <w:p w14:paraId="5271EB7D" w14:textId="77777777" w:rsidR="00A90CA1" w:rsidRPr="00123BD2" w:rsidRDefault="00A90CA1" w:rsidP="00A90CA1">
      <w:pPr>
        <w:numPr>
          <w:ilvl w:val="0"/>
          <w:numId w:val="1"/>
        </w:numPr>
        <w:spacing w:before="120" w:line="400" w:lineRule="atLeast"/>
        <w:jc w:val="both"/>
      </w:pPr>
      <w:r w:rsidRPr="00123BD2">
        <w:rPr>
          <w:rFonts w:hint="cs"/>
          <w:rtl/>
        </w:rPr>
        <w:t xml:space="preserve">הסניגורית טענה, כי מדובר בנאשם צעיר שנגרר אחר גורמים שוליים, עבר כברת דרך משמעותית של תשעה חודשים בקהילה סגורה וגם בבית המשפט הקהילתי, גילה מוטיבציה רבה להשתקם. נטען כי אלמלא דוחות מידע </w:t>
      </w:r>
      <w:r>
        <w:rPr>
          <w:rFonts w:hint="cs"/>
          <w:rtl/>
        </w:rPr>
        <w:t xml:space="preserve">מודיעיני </w:t>
      </w:r>
      <w:r w:rsidRPr="00123BD2">
        <w:rPr>
          <w:rFonts w:hint="cs"/>
          <w:rtl/>
        </w:rPr>
        <w:t>חסרי משקל</w:t>
      </w:r>
      <w:r>
        <w:rPr>
          <w:rFonts w:hint="cs"/>
          <w:rtl/>
        </w:rPr>
        <w:t>,</w:t>
      </w:r>
      <w:r w:rsidRPr="00123BD2">
        <w:rPr>
          <w:rFonts w:hint="cs"/>
          <w:rtl/>
        </w:rPr>
        <w:t xml:space="preserve"> שהביאו להוצאתו מההליך הקהילתי, הוא יכול היה לסיים את ההליך בהצלחה</w:t>
      </w:r>
      <w:r>
        <w:rPr>
          <w:rFonts w:hint="cs"/>
          <w:rtl/>
        </w:rPr>
        <w:t>.</w:t>
      </w:r>
      <w:r w:rsidRPr="00123BD2">
        <w:rPr>
          <w:rFonts w:hint="cs"/>
          <w:rtl/>
        </w:rPr>
        <w:t xml:space="preserve"> עובדה </w:t>
      </w:r>
      <w:r>
        <w:rPr>
          <w:rFonts w:hint="cs"/>
          <w:rtl/>
        </w:rPr>
        <w:t xml:space="preserve">היא </w:t>
      </w:r>
      <w:r w:rsidRPr="00123BD2">
        <w:rPr>
          <w:rFonts w:hint="cs"/>
          <w:rtl/>
        </w:rPr>
        <w:t>שלא נפתחו תיקים חדשים בשנה וחצי האחרונות ויש להביא זאת בחשבון. ההגנה טענה כי עבירת הרכוש היא ישנה ושותפיו לעבירה מן הסתם כבר שוחררו. הסניגורית הגדירה את הנאשם כ</w:t>
      </w:r>
      <w:r>
        <w:rPr>
          <w:rFonts w:hint="cs"/>
          <w:rtl/>
        </w:rPr>
        <w:t>"</w:t>
      </w:r>
      <w:r w:rsidRPr="00123BD2">
        <w:rPr>
          <w:rFonts w:hint="cs"/>
          <w:rtl/>
        </w:rPr>
        <w:t>ילד אבוד</w:t>
      </w:r>
      <w:r>
        <w:rPr>
          <w:rFonts w:hint="cs"/>
          <w:rtl/>
        </w:rPr>
        <w:t>"</w:t>
      </w:r>
      <w:r w:rsidRPr="00123BD2">
        <w:rPr>
          <w:rFonts w:hint="cs"/>
          <w:rtl/>
        </w:rPr>
        <w:t xml:space="preserve"> ללא מעטפת תמיכה, שנסיבות חייו הקשות הביאוהו לביצוע עבירות. הוא הודה מייד וחסך זמן שיפוטי יקר, וביקש בכל מאודו לצאת מעולם הפשע, אולם לא הצליח. בנסיבות אלה, </w:t>
      </w:r>
      <w:r>
        <w:rPr>
          <w:rFonts w:hint="cs"/>
          <w:rtl/>
        </w:rPr>
        <w:t xml:space="preserve">נטען כי </w:t>
      </w:r>
      <w:r w:rsidRPr="00123BD2">
        <w:rPr>
          <w:rFonts w:hint="cs"/>
          <w:rtl/>
        </w:rPr>
        <w:t>יש להקל עם הנאשם, ולהפעיל את המאסר על תנאי בחופף, כך שניתן יהיה לרצות את העונש בעבודות שירות, כפי שממליץ גם שירות המבחן.</w:t>
      </w:r>
    </w:p>
    <w:p w14:paraId="7763ECAE" w14:textId="77777777" w:rsidR="00A90CA1" w:rsidRDefault="00A90CA1" w:rsidP="00A90CA1">
      <w:pPr>
        <w:numPr>
          <w:ilvl w:val="0"/>
          <w:numId w:val="1"/>
        </w:numPr>
        <w:spacing w:before="120" w:line="400" w:lineRule="atLeast"/>
        <w:jc w:val="both"/>
      </w:pPr>
      <w:r w:rsidRPr="00123BD2">
        <w:rPr>
          <w:rFonts w:hint="cs"/>
          <w:rtl/>
        </w:rPr>
        <w:t>הנאשם עצמו ביקש להדגיש כי בכוונתו להמשיך בהליך טיפולי גם ללא מעורבות בית המשפט הקהילתי. הוא ציין כי הוא שומר תקופה ארוכה על נקיון מסמים ויציבות תעסוקתית, וביקש להקל בעונשו.</w:t>
      </w:r>
    </w:p>
    <w:p w14:paraId="4F7BB9FC" w14:textId="77777777" w:rsidR="00A90CA1" w:rsidRPr="00123BD2" w:rsidRDefault="00A90CA1" w:rsidP="00A90CA1">
      <w:pPr>
        <w:spacing w:before="120" w:line="400" w:lineRule="atLeast"/>
        <w:ind w:left="720"/>
        <w:jc w:val="both"/>
      </w:pPr>
    </w:p>
    <w:p w14:paraId="589ACC3E" w14:textId="77777777" w:rsidR="00A90CA1" w:rsidRPr="00123BD2" w:rsidRDefault="00A90CA1" w:rsidP="00A90CA1">
      <w:pPr>
        <w:numPr>
          <w:ilvl w:val="0"/>
          <w:numId w:val="1"/>
        </w:numPr>
        <w:spacing w:before="120" w:line="400" w:lineRule="atLeast"/>
        <w:jc w:val="both"/>
      </w:pPr>
      <w:r w:rsidRPr="00123BD2">
        <w:rPr>
          <w:rFonts w:hint="cs"/>
          <w:b/>
          <w:bCs/>
          <w:rtl/>
        </w:rPr>
        <w:t>מתחם העונש ההולם</w:t>
      </w:r>
      <w:r w:rsidRPr="00123BD2">
        <w:rPr>
          <w:rFonts w:hint="cs"/>
          <w:rtl/>
        </w:rPr>
        <w:tab/>
      </w:r>
      <w:r w:rsidRPr="00123BD2">
        <w:rPr>
          <w:rFonts w:hint="cs"/>
          <w:rtl/>
        </w:rPr>
        <w:br/>
        <w:t>בהתאם לתיקון 113 על בית המשפט לקבוע תחילה את מתחם העונש ההולם עבור כל אחד מהאישומים בנפרד, בהתעלם מנסיבות אישיות.</w:t>
      </w:r>
    </w:p>
    <w:p w14:paraId="459A3C3E" w14:textId="77777777" w:rsidR="00A90CA1" w:rsidRPr="00123BD2" w:rsidRDefault="00A90CA1" w:rsidP="00A90CA1">
      <w:pPr>
        <w:numPr>
          <w:ilvl w:val="0"/>
          <w:numId w:val="1"/>
        </w:numPr>
        <w:spacing w:before="120" w:line="400" w:lineRule="atLeast"/>
        <w:jc w:val="both"/>
      </w:pPr>
      <w:r w:rsidRPr="00123BD2">
        <w:rPr>
          <w:rFonts w:hint="cs"/>
          <w:b/>
          <w:bCs/>
          <w:rtl/>
        </w:rPr>
        <w:t xml:space="preserve">עבירת ההתפרצות </w:t>
      </w:r>
      <w:r w:rsidRPr="00123BD2">
        <w:rPr>
          <w:rFonts w:hint="cs"/>
          <w:rtl/>
        </w:rPr>
        <w:t>– לא אחת נקבע כי עבירה של התפרצות לבית מגורים היא עבירה שפוגעת באדם בביתו, ולכן בתחושת הביטחון האישי של הקורבן באופן הקשה ביותר, ומכאן הפגיעה המשמעותית בערך המוגן.</w:t>
      </w:r>
      <w:r w:rsidRPr="00123BD2">
        <w:rPr>
          <w:rFonts w:hint="cs"/>
          <w:rtl/>
        </w:rPr>
        <w:tab/>
      </w:r>
      <w:r w:rsidRPr="00123BD2">
        <w:rPr>
          <w:rFonts w:hint="cs"/>
          <w:rtl/>
        </w:rPr>
        <w:br/>
        <w:t>בתי המשפט המחוזיים אישרו לא פעם מתחם עונש בעבירת התפרצות של 12 – 24 חודשי מאסר או בדומה לכך (</w:t>
      </w:r>
      <w:hyperlink r:id="rId30" w:history="1">
        <w:r w:rsidR="00876478" w:rsidRPr="00876478">
          <w:rPr>
            <w:color w:val="0000FF"/>
            <w:u w:val="single"/>
            <w:rtl/>
          </w:rPr>
          <w:t>עפ"ג (מחוזי ב"ש) 13824-08-17</w:t>
        </w:r>
      </w:hyperlink>
      <w:r w:rsidRPr="00123BD2">
        <w:rPr>
          <w:rFonts w:hint="cs"/>
          <w:rtl/>
        </w:rPr>
        <w:t xml:space="preserve"> </w:t>
      </w:r>
      <w:r w:rsidRPr="00123BD2">
        <w:rPr>
          <w:rFonts w:hint="cs"/>
          <w:b/>
          <w:bCs/>
          <w:rtl/>
        </w:rPr>
        <w:t>מדינת ישראל נ' דוד מאיר אוחיון</w:t>
      </w:r>
      <w:r w:rsidRPr="00123BD2">
        <w:rPr>
          <w:rFonts w:hint="cs"/>
          <w:rtl/>
        </w:rPr>
        <w:t xml:space="preserve"> (16.10.2017)‏‏ ; </w:t>
      </w:r>
      <w:hyperlink r:id="rId31" w:history="1">
        <w:r w:rsidR="00876478" w:rsidRPr="00876478">
          <w:rPr>
            <w:color w:val="0000FF"/>
            <w:u w:val="single"/>
            <w:rtl/>
          </w:rPr>
          <w:t>ע"פ (מחוזי נצ') 38973-05-16</w:t>
        </w:r>
      </w:hyperlink>
      <w:r w:rsidRPr="00123BD2">
        <w:rPr>
          <w:rFonts w:hint="cs"/>
          <w:rtl/>
        </w:rPr>
        <w:t xml:space="preserve"> </w:t>
      </w:r>
      <w:r w:rsidRPr="00123BD2">
        <w:rPr>
          <w:rFonts w:hint="cs"/>
          <w:b/>
          <w:bCs/>
          <w:rtl/>
        </w:rPr>
        <w:t>איל רחמני נ' מדינת ישראל</w:t>
      </w:r>
      <w:r w:rsidRPr="00123BD2">
        <w:rPr>
          <w:rFonts w:hint="cs"/>
          <w:rtl/>
        </w:rPr>
        <w:t xml:space="preserve"> (19.07.2016) ; </w:t>
      </w:r>
      <w:hyperlink r:id="rId32" w:history="1">
        <w:r w:rsidR="00876478" w:rsidRPr="00876478">
          <w:rPr>
            <w:color w:val="0000FF"/>
            <w:u w:val="single"/>
            <w:rtl/>
          </w:rPr>
          <w:t>עפ"ג (מחוזי חי') 33356-06-13</w:t>
        </w:r>
      </w:hyperlink>
      <w:r w:rsidRPr="00123BD2">
        <w:rPr>
          <w:rFonts w:hint="cs"/>
          <w:rtl/>
        </w:rPr>
        <w:t xml:space="preserve"> </w:t>
      </w:r>
      <w:r w:rsidRPr="00123BD2">
        <w:rPr>
          <w:rFonts w:hint="cs"/>
          <w:b/>
          <w:bCs/>
          <w:rtl/>
        </w:rPr>
        <w:t>שאדי הדיב נ' מדינת ישראל</w:t>
      </w:r>
      <w:r w:rsidRPr="00123BD2">
        <w:rPr>
          <w:rFonts w:hint="cs"/>
          <w:rtl/>
        </w:rPr>
        <w:t xml:space="preserve"> (02.01.2014)‏‏ ; </w:t>
      </w:r>
      <w:hyperlink r:id="rId33" w:history="1">
        <w:r w:rsidR="00876478" w:rsidRPr="00876478">
          <w:rPr>
            <w:color w:val="0000FF"/>
            <w:u w:val="single"/>
            <w:rtl/>
          </w:rPr>
          <w:t>ע"פ (מחוזי נצ') 11833-12-17</w:t>
        </w:r>
      </w:hyperlink>
      <w:r w:rsidRPr="00123BD2">
        <w:rPr>
          <w:rFonts w:hint="cs"/>
          <w:rtl/>
        </w:rPr>
        <w:t xml:space="preserve"> </w:t>
      </w:r>
      <w:r w:rsidRPr="00123BD2">
        <w:rPr>
          <w:rFonts w:hint="cs"/>
          <w:b/>
          <w:bCs/>
          <w:rtl/>
        </w:rPr>
        <w:t>בנימין יפה נ' מדינת ישראל</w:t>
      </w:r>
      <w:r w:rsidRPr="00123BD2">
        <w:rPr>
          <w:rFonts w:hint="cs"/>
          <w:rtl/>
        </w:rPr>
        <w:t xml:space="preserve"> (13.02.2018)).</w:t>
      </w:r>
      <w:r w:rsidRPr="00123BD2">
        <w:rPr>
          <w:rFonts w:hint="cs"/>
          <w:rtl/>
        </w:rPr>
        <w:tab/>
      </w:r>
      <w:r w:rsidRPr="00123BD2">
        <w:rPr>
          <w:rFonts w:hint="cs"/>
          <w:rtl/>
        </w:rPr>
        <w:br/>
        <w:t>בענייננו, ניתן לראות נסיבה לחומרה בכך שמדובר בהתארגנות בצוותא של מספר משתתפים, תוך עריכת סיור מכין. הנאשם שבפנינו הוא זה שבפועל נכנס לתוך הבית וגנב את המזוודה. עם זאת, לא צויין בכתב האישום המתוקן ערך הרכוש שנגנב</w:t>
      </w:r>
      <w:r>
        <w:rPr>
          <w:rFonts w:hint="cs"/>
          <w:rtl/>
        </w:rPr>
        <w:t>, ולא צויינה</w:t>
      </w:r>
      <w:r w:rsidRPr="00123BD2">
        <w:rPr>
          <w:rFonts w:hint="cs"/>
          <w:rtl/>
        </w:rPr>
        <w:t xml:space="preserve"> היתקלות כלשהיא עם הקורבן, שהם גורמי</w:t>
      </w:r>
      <w:r>
        <w:rPr>
          <w:rFonts w:hint="cs"/>
          <w:rtl/>
        </w:rPr>
        <w:t>ם</w:t>
      </w:r>
      <w:r w:rsidRPr="00123BD2">
        <w:rPr>
          <w:rFonts w:hint="cs"/>
          <w:rtl/>
        </w:rPr>
        <w:t xml:space="preserve"> מחמירים, מה גם שמאז ביצוע העבירות חלפו חמש שנים. כל אלה נסיבות לקולה.</w:t>
      </w:r>
      <w:r w:rsidRPr="00123BD2">
        <w:rPr>
          <w:rFonts w:hint="cs"/>
          <w:rtl/>
        </w:rPr>
        <w:tab/>
      </w:r>
      <w:r w:rsidRPr="00123BD2">
        <w:rPr>
          <w:rFonts w:hint="cs"/>
          <w:rtl/>
        </w:rPr>
        <w:br/>
        <w:t xml:space="preserve">אני קובע אפוא כי מתחם העונש ההולם בגין האישום הראשון בזמן, עומד על </w:t>
      </w:r>
      <w:r>
        <w:rPr>
          <w:rFonts w:hint="cs"/>
          <w:rtl/>
        </w:rPr>
        <w:t>שמונה</w:t>
      </w:r>
      <w:r w:rsidRPr="00123BD2">
        <w:rPr>
          <w:rFonts w:hint="cs"/>
          <w:rtl/>
        </w:rPr>
        <w:t xml:space="preserve"> עד 20 חודשי מאסר בפועל.</w:t>
      </w:r>
    </w:p>
    <w:p w14:paraId="4905E892" w14:textId="77777777" w:rsidR="00A90CA1" w:rsidRPr="00123BD2" w:rsidRDefault="00A90CA1" w:rsidP="00A90CA1">
      <w:pPr>
        <w:numPr>
          <w:ilvl w:val="0"/>
          <w:numId w:val="1"/>
        </w:numPr>
        <w:spacing w:before="120" w:line="400" w:lineRule="atLeast"/>
        <w:jc w:val="both"/>
      </w:pPr>
      <w:r w:rsidRPr="00123BD2">
        <w:rPr>
          <w:rFonts w:hint="cs"/>
          <w:b/>
          <w:bCs/>
          <w:rtl/>
        </w:rPr>
        <w:t xml:space="preserve">עבירת הסחר </w:t>
      </w:r>
      <w:r w:rsidRPr="00123BD2">
        <w:rPr>
          <w:rFonts w:hint="cs"/>
          <w:rtl/>
        </w:rPr>
        <w:t>– קוקאין הוא מהסמים הקשים וסחר בקוקאין היא עבירה שפגיעתה בערכים המוגנים היא פגיעה משמעותית, שרמת הענישה בה לפי הפסיקה היא עונשי מאסר ארוכים.</w:t>
      </w:r>
      <w:r w:rsidRPr="00123BD2">
        <w:rPr>
          <w:rFonts w:hint="cs"/>
          <w:rtl/>
        </w:rPr>
        <w:tab/>
      </w:r>
      <w:r w:rsidRPr="00123BD2">
        <w:rPr>
          <w:rFonts w:hint="cs"/>
          <w:rtl/>
        </w:rPr>
        <w:br/>
        <w:t>בעבירות סחר בקוקאין בכמויות דומות, נפסק כי בהתחשב בסוג הסמים, כמות הסמים והתמורה ששולמה עבורם, ולאור הפסיקה הנוהגת, מתחם העונש ההולם בגין כל עבירת סחר בסם נע בין 12 ל- 24 חודשי מאסר בפועל וענישה נלווית הכוללת מאסר על תנאי, קנס, פסילת רישיון בפועל ופסילה על תנאי (</w:t>
      </w:r>
      <w:hyperlink r:id="rId34" w:history="1">
        <w:r w:rsidR="00876478" w:rsidRPr="00876478">
          <w:rPr>
            <w:color w:val="0000FF"/>
            <w:u w:val="single"/>
            <w:rtl/>
          </w:rPr>
          <w:t>עפ"ג (מחוזי מרכז) 5501-09-17</w:t>
        </w:r>
      </w:hyperlink>
      <w:r w:rsidRPr="00123BD2">
        <w:rPr>
          <w:rFonts w:hint="cs"/>
          <w:rtl/>
        </w:rPr>
        <w:t xml:space="preserve"> </w:t>
      </w:r>
      <w:r w:rsidRPr="00123BD2">
        <w:rPr>
          <w:rFonts w:hint="cs"/>
          <w:b/>
          <w:bCs/>
          <w:rtl/>
        </w:rPr>
        <w:t>וואהל סמאדה נ' מדינת ישראל</w:t>
      </w:r>
      <w:r w:rsidRPr="00123BD2">
        <w:rPr>
          <w:rFonts w:hint="cs"/>
          <w:rtl/>
        </w:rPr>
        <w:t xml:space="preserve"> (06.02.2018)‏‏). במקרה אחר בו מדובר היה בשלוש עבירות סחר קוקאין אבל בכמויות קטנות בהרבה, נקבע כי יש לקבוע כי המתחם מתחיל במספר חודשי מאסר בפועל, שלא לריצוי בעבודות שירות, והרף העליון שלו עומד על 24 חודשים (</w:t>
      </w:r>
      <w:hyperlink r:id="rId35" w:history="1">
        <w:r w:rsidR="00876478" w:rsidRPr="00876478">
          <w:rPr>
            <w:color w:val="0000FF"/>
            <w:u w:val="single"/>
            <w:rtl/>
          </w:rPr>
          <w:t>עפ"ג (מחוזי י-ם) 1434-12-18</w:t>
        </w:r>
      </w:hyperlink>
      <w:r w:rsidRPr="00123BD2">
        <w:rPr>
          <w:rFonts w:hint="cs"/>
          <w:rtl/>
        </w:rPr>
        <w:t xml:space="preserve"> </w:t>
      </w:r>
      <w:r w:rsidRPr="00123BD2">
        <w:rPr>
          <w:rFonts w:hint="cs"/>
          <w:b/>
          <w:bCs/>
          <w:rtl/>
        </w:rPr>
        <w:t>מדינת ישראל נ' נאגי נתנאל נסים</w:t>
      </w:r>
      <w:r w:rsidRPr="00123BD2">
        <w:rPr>
          <w:rFonts w:hint="cs"/>
          <w:rtl/>
        </w:rPr>
        <w:t xml:space="preserve"> (13.03.2019)‏‏).</w:t>
      </w:r>
      <w:r w:rsidRPr="00123BD2">
        <w:rPr>
          <w:rFonts w:hint="cs"/>
          <w:rtl/>
        </w:rPr>
        <w:tab/>
      </w:r>
      <w:r w:rsidRPr="00123BD2">
        <w:rPr>
          <w:rFonts w:hint="cs"/>
          <w:rtl/>
        </w:rPr>
        <w:br/>
        <w:t>במקרה של תיווך בלבד בסם מסוג קוקאין, אושר מתחם עונש של 12 עד 28 חודשי מאסר (</w:t>
      </w:r>
      <w:hyperlink r:id="rId36" w:history="1">
        <w:r w:rsidR="00876478" w:rsidRPr="00876478">
          <w:rPr>
            <w:color w:val="0000FF"/>
            <w:u w:val="single"/>
            <w:rtl/>
          </w:rPr>
          <w:t>עפ"ג (מחוזי מרכז) 33119-07-17</w:t>
        </w:r>
      </w:hyperlink>
      <w:r w:rsidRPr="00123BD2">
        <w:rPr>
          <w:rFonts w:hint="cs"/>
          <w:rtl/>
        </w:rPr>
        <w:t xml:space="preserve"> </w:t>
      </w:r>
      <w:r w:rsidRPr="00123BD2">
        <w:rPr>
          <w:rFonts w:hint="cs"/>
          <w:b/>
          <w:bCs/>
          <w:rtl/>
        </w:rPr>
        <w:t>גיהאד סלאמה נ' מדינת ישראל</w:t>
      </w:r>
      <w:r w:rsidRPr="00123BD2">
        <w:rPr>
          <w:rFonts w:hint="cs"/>
          <w:rtl/>
        </w:rPr>
        <w:t xml:space="preserve"> (26.12.2017)).</w:t>
      </w:r>
      <w:r w:rsidRPr="00123BD2">
        <w:rPr>
          <w:rFonts w:hint="cs"/>
          <w:rtl/>
        </w:rPr>
        <w:tab/>
      </w:r>
      <w:r w:rsidRPr="00123BD2">
        <w:rPr>
          <w:rFonts w:hint="cs"/>
          <w:rtl/>
        </w:rPr>
        <w:br/>
        <w:t>בענייננו, האישום המרכזי מעלה שתי עסקאות של סחר בקוקאין בכמויות גדולות יחסית של 22 גר' ו- 45 גר'. גם שאר העובדות המפורטת באישום, כגון משא ומתן והבטחות שונות, מלמדות על עומק המעור</w:t>
      </w:r>
      <w:r>
        <w:rPr>
          <w:rFonts w:hint="cs"/>
          <w:rtl/>
        </w:rPr>
        <w:t xml:space="preserve">בות של הנאשם בעולם הסחר ומקימות </w:t>
      </w:r>
      <w:r w:rsidRPr="00123BD2">
        <w:rPr>
          <w:rFonts w:hint="cs"/>
          <w:rtl/>
        </w:rPr>
        <w:t>נסיבות לחומרה. אף שמדובר בשתי עסקאות בהפרש של כמעט חודש, ניתן לראות בשתיהן אירוע אחד ולקבוע מתחם ענישה אחד שבין 12 ל- 30 חודשי מאסר בפועל.</w:t>
      </w:r>
    </w:p>
    <w:p w14:paraId="02B7FEE9" w14:textId="77777777" w:rsidR="00A90CA1" w:rsidRDefault="00A90CA1" w:rsidP="00A90CA1">
      <w:pPr>
        <w:numPr>
          <w:ilvl w:val="0"/>
          <w:numId w:val="1"/>
        </w:numPr>
        <w:spacing w:before="120" w:line="400" w:lineRule="atLeast"/>
        <w:jc w:val="both"/>
      </w:pPr>
      <w:r w:rsidRPr="00123BD2">
        <w:rPr>
          <w:rFonts w:hint="cs"/>
          <w:b/>
          <w:bCs/>
          <w:rtl/>
        </w:rPr>
        <w:t xml:space="preserve">החזקת קוקאין – </w:t>
      </w:r>
      <w:r w:rsidRPr="00123BD2">
        <w:rPr>
          <w:rFonts w:hint="cs"/>
          <w:rtl/>
        </w:rPr>
        <w:t>העבירה המאוחרת של החזקת כמויות קטנות של קוקאין, מצדיקה מתחם ענישה שבין חודשיים ל- 10 חודשי מאסר.</w:t>
      </w:r>
    </w:p>
    <w:p w14:paraId="67BAEA43" w14:textId="77777777" w:rsidR="00A90CA1" w:rsidRPr="00123BD2" w:rsidRDefault="00A90CA1" w:rsidP="00A90CA1">
      <w:pPr>
        <w:spacing w:before="120" w:line="400" w:lineRule="atLeast"/>
        <w:ind w:left="720"/>
        <w:jc w:val="both"/>
      </w:pPr>
    </w:p>
    <w:p w14:paraId="08BA0056" w14:textId="77777777" w:rsidR="00A90CA1" w:rsidRPr="00123BD2" w:rsidRDefault="00A90CA1" w:rsidP="00A90CA1">
      <w:pPr>
        <w:numPr>
          <w:ilvl w:val="0"/>
          <w:numId w:val="1"/>
        </w:numPr>
        <w:spacing w:before="120" w:line="400" w:lineRule="atLeast"/>
        <w:jc w:val="both"/>
      </w:pPr>
      <w:r w:rsidRPr="00123BD2">
        <w:rPr>
          <w:rFonts w:hint="cs"/>
          <w:b/>
          <w:bCs/>
          <w:rtl/>
        </w:rPr>
        <w:t>גזירת העונש</w:t>
      </w:r>
      <w:r w:rsidRPr="00123BD2">
        <w:rPr>
          <w:rFonts w:hint="cs"/>
          <w:rtl/>
        </w:rPr>
        <w:t xml:space="preserve"> – </w:t>
      </w:r>
      <w:r>
        <w:rPr>
          <w:rFonts w:hint="cs"/>
          <w:rtl/>
        </w:rPr>
        <w:t>יודגש כי בין הטיעון לעונש לגזר הדין נעצר הנאשם.</w:t>
      </w:r>
      <w:r>
        <w:rPr>
          <w:rFonts w:hint="cs"/>
          <w:rtl/>
        </w:rPr>
        <w:tab/>
      </w:r>
      <w:r>
        <w:rPr>
          <w:rtl/>
        </w:rPr>
        <w:br/>
      </w:r>
      <w:r w:rsidRPr="00123BD2">
        <w:rPr>
          <w:rFonts w:hint="cs"/>
          <w:rtl/>
        </w:rPr>
        <w:t xml:space="preserve">אין </w:t>
      </w:r>
      <w:r>
        <w:rPr>
          <w:rFonts w:hint="cs"/>
          <w:rtl/>
        </w:rPr>
        <w:t xml:space="preserve">בנמצא </w:t>
      </w:r>
      <w:r w:rsidRPr="00123BD2">
        <w:rPr>
          <w:rFonts w:hint="cs"/>
          <w:rtl/>
        </w:rPr>
        <w:t xml:space="preserve">עילה יוצאת דופן לחרוג ממתחם העונש ההולם משיקולי שיקום או הרתעה. בתוך מתחמי הענישה שנקבעו, ראוי להביא בחשבון את הנסיבות האישיות של הנאשם. מדובר בנאשם שעברו הפלילי איננו מכביד. הוא ביקש "לנקות שולחן" וצירף שלושה תיקים. הנאשם אמנם לא סיים בהצלחה הליך שיקומי בבית המשפט הקהילתי, אולם הוא עבר תהליך משמעותי של תשעה חודשים בקהילה סגורה. גם בבית המשפט הקהילתי, הוא גילה מוטיבציה גבוהה לצאת מעולם העבריינות, אלא שבכל פעם היו כוחות שמשכו אותו חזרה להתדרדרות, בין אם מדובר בשימוש בסמים, ובין אם מדובר בחברה שלילית. עם זאת, יש להביא בחשבון כי הליך בבית המשפט הקהילתי הוא הזדמנות פז לשיקום תוך טיפול משמעותי בכל בעיות הרקע שהובילו לעבריינות. </w:t>
      </w:r>
      <w:r>
        <w:rPr>
          <w:rFonts w:hint="cs"/>
          <w:rtl/>
        </w:rPr>
        <w:t xml:space="preserve">בנימה אישית, צר על הנאשם שהוא בחור צעיר וחבל מאד שלא ניצל את ההזדמנות שניתנה לו להשתקם במסגרת בית המשפט הקהילתי, כי ללא ספק הוא מתאים לכך, היו שלבים בהם שיתף פעולה בהליך הטיפולי באופן מעורר הערכה, ובית המשפט הקהילתי הוא בהחלט בית ודרך לנאשמים כמותו המעוניינים לערוך שינוי בחייהם. ואולם, </w:t>
      </w:r>
      <w:r w:rsidRPr="00123BD2">
        <w:rPr>
          <w:rFonts w:hint="cs"/>
          <w:rtl/>
        </w:rPr>
        <w:t>לנאשם ניתנה הזדמנות זו, חרף העבירות החמורות מאד שעבר, ו</w:t>
      </w:r>
      <w:r>
        <w:rPr>
          <w:rFonts w:hint="cs"/>
          <w:rtl/>
        </w:rPr>
        <w:t>הוא לא ניצל את היד שהושטה לעברו, ולכן אין ברירה לבית המשפט אלא לגזור את הדין בתוך מתחם העונש ההולם, אם כי תוך התייחסות למוטיבציה שגילה הנאשם לצאת מעולם הפשע.</w:t>
      </w:r>
    </w:p>
    <w:p w14:paraId="62AB8E40" w14:textId="77777777" w:rsidR="00A90CA1" w:rsidRPr="00123BD2" w:rsidRDefault="00A90CA1" w:rsidP="00A90CA1">
      <w:pPr>
        <w:numPr>
          <w:ilvl w:val="0"/>
          <w:numId w:val="1"/>
        </w:numPr>
        <w:spacing w:before="120" w:line="400" w:lineRule="atLeast"/>
        <w:jc w:val="both"/>
      </w:pPr>
      <w:r>
        <w:rPr>
          <w:rFonts w:hint="cs"/>
          <w:rtl/>
        </w:rPr>
        <w:t>בנסיבות אלה, אין מקום להסתפק ב</w:t>
      </w:r>
      <w:r w:rsidRPr="00123BD2">
        <w:rPr>
          <w:rFonts w:hint="cs"/>
          <w:rtl/>
        </w:rPr>
        <w:t xml:space="preserve">ענישה של עבודות שירות, כפי שהמליץ שירות המבחן וביקשה הסניגוריה, אולם יש מקום לגזור את הדין בתחתית מתחם העונש ההולם לגבי כל אחד מהאישומים, וניתן לחפוף חלק מהעונשים, לנוכח רצונו של הנאשם לסיים את כל תיקיו בגזר דין אחד. </w:t>
      </w:r>
    </w:p>
    <w:p w14:paraId="6A7D1121" w14:textId="77777777" w:rsidR="00A90CA1" w:rsidRPr="00123BD2" w:rsidRDefault="00A90CA1" w:rsidP="00A90CA1">
      <w:pPr>
        <w:numPr>
          <w:ilvl w:val="0"/>
          <w:numId w:val="1"/>
        </w:numPr>
        <w:spacing w:before="120" w:line="400" w:lineRule="atLeast"/>
        <w:jc w:val="both"/>
      </w:pPr>
      <w:r w:rsidRPr="00123BD2">
        <w:rPr>
          <w:rFonts w:hint="cs"/>
          <w:rtl/>
        </w:rPr>
        <w:t>אשר על כן אני גוזר על הנאשם את העונשים הבאים:</w:t>
      </w:r>
    </w:p>
    <w:p w14:paraId="5B06FDB2" w14:textId="77777777" w:rsidR="00A90CA1" w:rsidRPr="00123BD2" w:rsidRDefault="00A90CA1" w:rsidP="00A90CA1">
      <w:pPr>
        <w:numPr>
          <w:ilvl w:val="1"/>
          <w:numId w:val="1"/>
        </w:numPr>
        <w:spacing w:before="120" w:line="400" w:lineRule="atLeast"/>
        <w:jc w:val="both"/>
      </w:pPr>
      <w:r>
        <w:rPr>
          <w:rFonts w:hint="cs"/>
          <w:rtl/>
        </w:rPr>
        <w:t>20</w:t>
      </w:r>
      <w:r w:rsidRPr="00123BD2">
        <w:rPr>
          <w:rFonts w:hint="cs"/>
          <w:rtl/>
        </w:rPr>
        <w:t xml:space="preserve"> חודשי מאסר בפועל.</w:t>
      </w:r>
    </w:p>
    <w:p w14:paraId="363F8648" w14:textId="77777777" w:rsidR="00A90CA1" w:rsidRPr="00123BD2" w:rsidRDefault="00A90CA1" w:rsidP="00A90CA1">
      <w:pPr>
        <w:numPr>
          <w:ilvl w:val="1"/>
          <w:numId w:val="1"/>
        </w:numPr>
        <w:spacing w:before="120" w:line="400" w:lineRule="atLeast"/>
        <w:jc w:val="both"/>
      </w:pPr>
      <w:r w:rsidRPr="00123BD2">
        <w:rPr>
          <w:rFonts w:hint="cs"/>
          <w:rtl/>
        </w:rPr>
        <w:t>אני מפעיל מאסר על תנאי בן ארבעה חודשים מ</w:t>
      </w:r>
      <w:hyperlink r:id="rId37" w:history="1">
        <w:r w:rsidR="00876478" w:rsidRPr="00876478">
          <w:rPr>
            <w:color w:val="0000FF"/>
            <w:u w:val="single"/>
            <w:rtl/>
          </w:rPr>
          <w:t>ת"פ  34627-08-19</w:t>
        </w:r>
      </w:hyperlink>
      <w:r w:rsidRPr="00123BD2">
        <w:rPr>
          <w:rFonts w:hint="cs"/>
          <w:rtl/>
        </w:rPr>
        <w:t xml:space="preserve"> מיום 10.11.21 מחציתו בחופף ומחציתו במצטבר, כך שבס"ה ישא הנאשם 2</w:t>
      </w:r>
      <w:r>
        <w:rPr>
          <w:rFonts w:hint="cs"/>
          <w:rtl/>
        </w:rPr>
        <w:t>2</w:t>
      </w:r>
      <w:r w:rsidRPr="00123BD2">
        <w:rPr>
          <w:rFonts w:hint="cs"/>
          <w:rtl/>
        </w:rPr>
        <w:t xml:space="preserve"> חודשי מאסר בניכוי ימי מעצרו בכל התיקים.</w:t>
      </w:r>
    </w:p>
    <w:p w14:paraId="3E0F5238" w14:textId="77777777" w:rsidR="00A90CA1" w:rsidRPr="00123BD2" w:rsidRDefault="00A90CA1" w:rsidP="00A90CA1">
      <w:pPr>
        <w:numPr>
          <w:ilvl w:val="1"/>
          <w:numId w:val="1"/>
        </w:numPr>
        <w:spacing w:before="120" w:line="400" w:lineRule="atLeast"/>
        <w:jc w:val="both"/>
      </w:pPr>
      <w:r w:rsidRPr="00123BD2">
        <w:rPr>
          <w:rFonts w:hint="cs"/>
          <w:rtl/>
        </w:rPr>
        <w:t xml:space="preserve">שבעה חודשי מאסר על תנאי לתקופה של שלוש שנים מיום שחרורו בהתאם להוראות </w:t>
      </w:r>
      <w:hyperlink r:id="rId38" w:history="1">
        <w:r w:rsidR="000858D1" w:rsidRPr="000858D1">
          <w:rPr>
            <w:rStyle w:val="Hyperlink"/>
            <w:rFonts w:hint="eastAsia"/>
            <w:color w:val="0000FF"/>
            <w:rtl/>
          </w:rPr>
          <w:t>סעיף</w:t>
        </w:r>
        <w:r w:rsidR="000858D1" w:rsidRPr="000858D1">
          <w:rPr>
            <w:rStyle w:val="Hyperlink"/>
            <w:color w:val="0000FF"/>
            <w:rtl/>
          </w:rPr>
          <w:t xml:space="preserve"> 52(ג)</w:t>
        </w:r>
      </w:hyperlink>
      <w:r w:rsidRPr="00123BD2">
        <w:rPr>
          <w:rFonts w:hint="cs"/>
          <w:rtl/>
        </w:rPr>
        <w:t xml:space="preserve"> ל</w:t>
      </w:r>
      <w:hyperlink r:id="rId39" w:history="1">
        <w:r w:rsidR="00876478" w:rsidRPr="00876478">
          <w:rPr>
            <w:color w:val="0000FF"/>
            <w:u w:val="single"/>
            <w:rtl/>
          </w:rPr>
          <w:t>חוק העונשין</w:t>
        </w:r>
      </w:hyperlink>
      <w:r w:rsidRPr="00123BD2">
        <w:rPr>
          <w:rFonts w:hint="cs"/>
          <w:rtl/>
        </w:rPr>
        <w:t xml:space="preserve"> תשל"ז 1977, שלא יעבור עבירת סמים או רכוש שהיא פשע.</w:t>
      </w:r>
    </w:p>
    <w:p w14:paraId="6CD214EB" w14:textId="77777777" w:rsidR="00A90CA1" w:rsidRPr="00123BD2" w:rsidRDefault="00A90CA1" w:rsidP="00A90CA1">
      <w:pPr>
        <w:numPr>
          <w:ilvl w:val="1"/>
          <w:numId w:val="1"/>
        </w:numPr>
        <w:spacing w:before="120" w:line="400" w:lineRule="atLeast"/>
        <w:jc w:val="both"/>
      </w:pPr>
      <w:r w:rsidRPr="00123BD2">
        <w:rPr>
          <w:rFonts w:hint="cs"/>
          <w:rtl/>
        </w:rPr>
        <w:t xml:space="preserve">שלושה חודשי מאסר על תנאי לתקופה של שלוש שנים מיום שחרורו בהתאם להוראות </w:t>
      </w:r>
      <w:hyperlink r:id="rId40" w:history="1">
        <w:r w:rsidR="000858D1" w:rsidRPr="000858D1">
          <w:rPr>
            <w:rStyle w:val="Hyperlink"/>
            <w:rFonts w:hint="eastAsia"/>
            <w:color w:val="0000FF"/>
            <w:rtl/>
          </w:rPr>
          <w:t>סעיף</w:t>
        </w:r>
        <w:r w:rsidR="000858D1" w:rsidRPr="000858D1">
          <w:rPr>
            <w:rStyle w:val="Hyperlink"/>
            <w:color w:val="0000FF"/>
            <w:rtl/>
          </w:rPr>
          <w:t xml:space="preserve"> 52(ג)</w:t>
        </w:r>
      </w:hyperlink>
      <w:r w:rsidRPr="00123BD2">
        <w:rPr>
          <w:rFonts w:hint="cs"/>
          <w:rtl/>
        </w:rPr>
        <w:t xml:space="preserve"> ל</w:t>
      </w:r>
      <w:hyperlink r:id="rId41" w:history="1">
        <w:r w:rsidR="00876478" w:rsidRPr="00876478">
          <w:rPr>
            <w:color w:val="0000FF"/>
            <w:u w:val="single"/>
            <w:rtl/>
          </w:rPr>
          <w:t>חוק העונשין</w:t>
        </w:r>
      </w:hyperlink>
      <w:r w:rsidRPr="00123BD2">
        <w:rPr>
          <w:rFonts w:hint="cs"/>
          <w:rtl/>
        </w:rPr>
        <w:t xml:space="preserve"> תשל"ז 1977, שלא יעבור עבירת סמים או רכוש שהיא עוון ואיננה פשע.</w:t>
      </w:r>
    </w:p>
    <w:p w14:paraId="52796EC3" w14:textId="77777777" w:rsidR="00A90CA1" w:rsidRPr="00123BD2" w:rsidRDefault="00A90CA1" w:rsidP="00A90CA1">
      <w:pPr>
        <w:numPr>
          <w:ilvl w:val="1"/>
          <w:numId w:val="1"/>
        </w:numPr>
        <w:spacing w:before="120" w:line="400" w:lineRule="atLeast"/>
        <w:jc w:val="both"/>
      </w:pPr>
      <w:r w:rsidRPr="00123BD2">
        <w:rPr>
          <w:rFonts w:hint="cs"/>
          <w:rtl/>
        </w:rPr>
        <w:t>פיצוי בסך 2,500 ₪ למתלונן ב</w:t>
      </w:r>
      <w:hyperlink r:id="rId42" w:history="1">
        <w:r w:rsidR="00876478" w:rsidRPr="00876478">
          <w:rPr>
            <w:color w:val="0000FF"/>
            <w:u w:val="single"/>
            <w:rtl/>
          </w:rPr>
          <w:t>ת"פ 3755-09-19</w:t>
        </w:r>
      </w:hyperlink>
      <w:r w:rsidRPr="00123BD2">
        <w:rPr>
          <w:rFonts w:hint="cs"/>
          <w:rtl/>
        </w:rPr>
        <w:t>. הפיצוי ישולם עד ליום 1.12.24 ויועבר למתלונן לפי פרטים שתמסור המאשימה.</w:t>
      </w:r>
    </w:p>
    <w:p w14:paraId="179AFE31" w14:textId="77777777" w:rsidR="00A90CA1" w:rsidRPr="00123BD2" w:rsidRDefault="00A90CA1" w:rsidP="00A90CA1">
      <w:pPr>
        <w:numPr>
          <w:ilvl w:val="1"/>
          <w:numId w:val="1"/>
        </w:numPr>
        <w:spacing w:before="120" w:line="400" w:lineRule="atLeast"/>
        <w:jc w:val="both"/>
      </w:pPr>
      <w:r w:rsidRPr="00123BD2">
        <w:rPr>
          <w:rFonts w:hint="cs"/>
          <w:rtl/>
        </w:rPr>
        <w:t>הפעלת התחייבות של 1,500 ₪ מ</w:t>
      </w:r>
      <w:hyperlink r:id="rId43" w:history="1">
        <w:r w:rsidR="00876478" w:rsidRPr="00876478">
          <w:rPr>
            <w:color w:val="0000FF"/>
            <w:u w:val="single"/>
            <w:rtl/>
          </w:rPr>
          <w:t>ת"פ 34627-08-19</w:t>
        </w:r>
      </w:hyperlink>
      <w:r w:rsidRPr="00123BD2">
        <w:rPr>
          <w:rFonts w:hint="cs"/>
          <w:rtl/>
        </w:rPr>
        <w:t xml:space="preserve"> מיום 10.11.21 או חודש מאסר תמורתה. הנאשם ישלם את ההתחייבות עד ליום 1.1.25. </w:t>
      </w:r>
      <w:r w:rsidRPr="00123BD2">
        <w:rPr>
          <w:rFonts w:hint="cs"/>
          <w:rtl/>
        </w:rPr>
        <w:tab/>
      </w:r>
      <w:r w:rsidRPr="00123BD2">
        <w:rPr>
          <w:rFonts w:hint="cs"/>
          <w:rtl/>
        </w:rPr>
        <w:br/>
        <w:t>לנוכח הטלת פיצוי והפעלת התחייבות כספית, לא יוטל קנס כספי נוסף.</w:t>
      </w:r>
    </w:p>
    <w:p w14:paraId="30165EFD" w14:textId="77777777" w:rsidR="00A90CA1" w:rsidRPr="00123BD2" w:rsidRDefault="00A90CA1" w:rsidP="00A90CA1">
      <w:pPr>
        <w:numPr>
          <w:ilvl w:val="1"/>
          <w:numId w:val="1"/>
        </w:numPr>
        <w:spacing w:before="120" w:line="400" w:lineRule="atLeast"/>
        <w:jc w:val="both"/>
      </w:pPr>
      <w:r w:rsidRPr="00123BD2">
        <w:rPr>
          <w:rFonts w:hint="cs"/>
          <w:rtl/>
        </w:rPr>
        <w:t xml:space="preserve">שלושה חודשי פסילה על תנאי לשלוש שנים בהתאם להוראת </w:t>
      </w:r>
      <w:hyperlink r:id="rId44" w:history="1">
        <w:r w:rsidR="000858D1" w:rsidRPr="000858D1">
          <w:rPr>
            <w:rStyle w:val="Hyperlink"/>
            <w:rFonts w:hint="eastAsia"/>
            <w:color w:val="0000FF"/>
            <w:rtl/>
          </w:rPr>
          <w:t>סעיף</w:t>
        </w:r>
        <w:r w:rsidR="000858D1" w:rsidRPr="000858D1">
          <w:rPr>
            <w:rStyle w:val="Hyperlink"/>
            <w:color w:val="0000FF"/>
            <w:rtl/>
          </w:rPr>
          <w:t xml:space="preserve"> 36(ג)</w:t>
        </w:r>
      </w:hyperlink>
      <w:r w:rsidRPr="00123BD2">
        <w:rPr>
          <w:rFonts w:hint="cs"/>
          <w:rtl/>
        </w:rPr>
        <w:t xml:space="preserve"> ל</w:t>
      </w:r>
      <w:hyperlink r:id="rId45" w:history="1">
        <w:r w:rsidR="00876478" w:rsidRPr="00876478">
          <w:rPr>
            <w:color w:val="0000FF"/>
            <w:u w:val="single"/>
            <w:rtl/>
          </w:rPr>
          <w:t>פקודת התעבורה</w:t>
        </w:r>
      </w:hyperlink>
      <w:r w:rsidRPr="00123BD2">
        <w:rPr>
          <w:rFonts w:hint="cs"/>
          <w:rtl/>
        </w:rPr>
        <w:t>.</w:t>
      </w:r>
    </w:p>
    <w:p w14:paraId="6546EACC" w14:textId="77777777" w:rsidR="00A90CA1" w:rsidRPr="00123BD2" w:rsidRDefault="00A90CA1" w:rsidP="00A90CA1">
      <w:pPr>
        <w:numPr>
          <w:ilvl w:val="0"/>
          <w:numId w:val="1"/>
        </w:numPr>
        <w:spacing w:before="120" w:line="400" w:lineRule="atLeast"/>
        <w:jc w:val="both"/>
      </w:pPr>
      <w:r w:rsidRPr="00123BD2">
        <w:rPr>
          <w:rFonts w:hint="cs"/>
          <w:rtl/>
        </w:rPr>
        <w:t>אני מכריז על הנאשם סוחר סמים ומורה על חילוט הכסף שנתפס ממנו נשוא האישום המרכזי.</w:t>
      </w:r>
    </w:p>
    <w:p w14:paraId="6CAA7A9C" w14:textId="77777777" w:rsidR="00A90CA1" w:rsidRPr="00123BD2" w:rsidRDefault="00A90CA1" w:rsidP="00A90CA1">
      <w:pPr>
        <w:numPr>
          <w:ilvl w:val="0"/>
          <w:numId w:val="1"/>
        </w:numPr>
        <w:spacing w:before="120" w:line="400" w:lineRule="atLeast"/>
        <w:jc w:val="both"/>
      </w:pPr>
      <w:r w:rsidRPr="00123BD2">
        <w:rPr>
          <w:rFonts w:hint="cs"/>
          <w:rtl/>
        </w:rPr>
        <w:t>בית המשפט מודה לשירות המבחן ולצוות בית המשפט הקהילתי.</w:t>
      </w:r>
    </w:p>
    <w:p w14:paraId="632E9F17" w14:textId="77777777" w:rsidR="00A90CA1" w:rsidRPr="00123BD2" w:rsidRDefault="00A90CA1" w:rsidP="00A90CA1">
      <w:pPr>
        <w:numPr>
          <w:ilvl w:val="0"/>
          <w:numId w:val="1"/>
        </w:numPr>
        <w:spacing w:before="120" w:line="400" w:lineRule="atLeast"/>
        <w:jc w:val="both"/>
      </w:pPr>
      <w:r w:rsidRPr="00123BD2">
        <w:rPr>
          <w:rFonts w:hint="cs"/>
          <w:rtl/>
        </w:rPr>
        <w:t>המוצגים יושמדו או יוחזרו לבעליהם לשיקול דעת תחנת המשטרה הרלוונטית.</w:t>
      </w:r>
    </w:p>
    <w:p w14:paraId="0E9A2F44" w14:textId="77777777" w:rsidR="00A90CA1" w:rsidRPr="00123BD2" w:rsidRDefault="00A90CA1" w:rsidP="00A90CA1">
      <w:pPr>
        <w:numPr>
          <w:ilvl w:val="0"/>
          <w:numId w:val="1"/>
        </w:numPr>
        <w:spacing w:before="120" w:line="400" w:lineRule="atLeast"/>
        <w:jc w:val="both"/>
      </w:pPr>
      <w:r w:rsidRPr="00123BD2">
        <w:rPr>
          <w:rFonts w:hint="cs"/>
          <w:rtl/>
        </w:rPr>
        <w:t>זכות ערעור לבית המשפט המחוזי בתוך 45 ימים.</w:t>
      </w:r>
    </w:p>
    <w:p w14:paraId="4C140B7C" w14:textId="77777777" w:rsidR="00A90CA1" w:rsidRDefault="00A90CA1" w:rsidP="00A90CA1">
      <w:pPr>
        <w:rPr>
          <w:rFonts w:cs="FrankRuehl"/>
          <w:sz w:val="28"/>
          <w:szCs w:val="28"/>
          <w:rtl/>
        </w:rPr>
      </w:pPr>
    </w:p>
    <w:p w14:paraId="38096E56" w14:textId="77777777" w:rsidR="00A90CA1" w:rsidRPr="00876478" w:rsidRDefault="00876478" w:rsidP="00A90CA1">
      <w:pPr>
        <w:rPr>
          <w:rFonts w:cs="FrankRuehl"/>
          <w:color w:val="FFFFFF"/>
          <w:sz w:val="2"/>
          <w:szCs w:val="2"/>
          <w:rtl/>
        </w:rPr>
      </w:pPr>
      <w:r w:rsidRPr="00876478">
        <w:rPr>
          <w:rFonts w:cs="FrankRuehl"/>
          <w:color w:val="FFFFFF"/>
          <w:sz w:val="2"/>
          <w:szCs w:val="2"/>
          <w:rtl/>
        </w:rPr>
        <w:t>5129371</w:t>
      </w:r>
    </w:p>
    <w:p w14:paraId="5CDAAE5C" w14:textId="77777777" w:rsidR="00A90CA1" w:rsidRDefault="00876478" w:rsidP="00A90CA1">
      <w:pPr>
        <w:rPr>
          <w:rFonts w:cs="FrankRuehl"/>
          <w:sz w:val="28"/>
          <w:szCs w:val="28"/>
          <w:rtl/>
        </w:rPr>
      </w:pPr>
      <w:bookmarkStart w:id="8" w:name="Nitan"/>
      <w:r w:rsidRPr="00876478">
        <w:rPr>
          <w:rFonts w:ascii="Arial" w:hAnsi="Arial"/>
          <w:color w:val="FFFFFF"/>
          <w:sz w:val="2"/>
          <w:szCs w:val="2"/>
          <w:rtl/>
        </w:rPr>
        <w:t>54678313</w:t>
      </w:r>
      <w:r>
        <w:rPr>
          <w:rFonts w:ascii="Arial" w:hAnsi="Arial"/>
          <w:rtl/>
        </w:rPr>
        <w:t xml:space="preserve">ניתן היום, ‏ח' אדר ב' תשפ"ד, 18 מרץ 2024 במעמד הצדדים. </w:t>
      </w:r>
      <w:bookmarkEnd w:id="8"/>
    </w:p>
    <w:p w14:paraId="4C5FE673" w14:textId="77777777" w:rsidR="00A90CA1" w:rsidRDefault="00A90CA1" w:rsidP="00A90CA1">
      <w:pPr>
        <w:spacing w:line="360" w:lineRule="auto"/>
        <w:ind w:left="5760" w:firstLine="720"/>
        <w:jc w:val="both"/>
      </w:pPr>
    </w:p>
    <w:p w14:paraId="16189A41" w14:textId="77777777" w:rsidR="00A90CA1" w:rsidRDefault="00A90CA1" w:rsidP="00A90CA1">
      <w:pPr>
        <w:spacing w:line="360" w:lineRule="auto"/>
        <w:ind w:left="5760" w:firstLine="720"/>
        <w:jc w:val="both"/>
        <w:rPr>
          <w:rFonts w:ascii="Arial" w:hAnsi="Arial" w:cs="FrankRuehl"/>
          <w:sz w:val="28"/>
          <w:szCs w:val="28"/>
          <w:rtl/>
        </w:rPr>
      </w:pPr>
    </w:p>
    <w:p w14:paraId="48E2663C" w14:textId="77777777" w:rsidR="00876478" w:rsidRDefault="00876478" w:rsidP="00876478">
      <w:pPr>
        <w:rPr>
          <w:rtl/>
        </w:rPr>
      </w:pPr>
    </w:p>
    <w:p w14:paraId="3078F599" w14:textId="77777777" w:rsidR="00876478" w:rsidRDefault="00876478" w:rsidP="00876478">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B72B458" w14:textId="77777777" w:rsidR="003B4281" w:rsidRPr="003B4281" w:rsidRDefault="003B4281" w:rsidP="003B4281">
      <w:pPr>
        <w:keepNext/>
        <w:rPr>
          <w:rFonts w:ascii="David" w:hAnsi="David"/>
          <w:color w:val="000000"/>
          <w:sz w:val="22"/>
          <w:szCs w:val="22"/>
          <w:rtl/>
        </w:rPr>
      </w:pPr>
    </w:p>
    <w:p w14:paraId="6A7D4B90" w14:textId="77777777" w:rsidR="003B4281" w:rsidRPr="003B4281" w:rsidRDefault="003B4281" w:rsidP="003B4281">
      <w:pPr>
        <w:keepNext/>
        <w:rPr>
          <w:rFonts w:ascii="David" w:hAnsi="David"/>
          <w:color w:val="000000"/>
          <w:sz w:val="22"/>
          <w:szCs w:val="22"/>
          <w:rtl/>
        </w:rPr>
      </w:pPr>
      <w:r w:rsidRPr="003B4281">
        <w:rPr>
          <w:rFonts w:ascii="David" w:hAnsi="David"/>
          <w:color w:val="000000"/>
          <w:sz w:val="22"/>
          <w:szCs w:val="22"/>
          <w:rtl/>
        </w:rPr>
        <w:t>אור אדם 54678313-/</w:t>
      </w:r>
    </w:p>
    <w:p w14:paraId="63C8CAF9" w14:textId="77777777" w:rsidR="00876478" w:rsidRPr="00876478" w:rsidRDefault="003B4281" w:rsidP="003B4281">
      <w:pPr>
        <w:rPr>
          <w:color w:val="0000FF"/>
          <w:u w:val="single"/>
        </w:rPr>
      </w:pPr>
      <w:r w:rsidRPr="003B4281">
        <w:rPr>
          <w:color w:val="000000"/>
          <w:u w:val="single"/>
          <w:rtl/>
        </w:rPr>
        <w:t>נוסח מסמך זה כפוף לשינויי ניסוח ועריכה</w:t>
      </w:r>
    </w:p>
    <w:sectPr w:rsidR="00876478" w:rsidRPr="00876478" w:rsidSect="003B4281">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15E87" w14:textId="77777777" w:rsidR="00367334" w:rsidRDefault="00367334" w:rsidP="00BA5773">
      <w:r>
        <w:separator/>
      </w:r>
    </w:p>
  </w:endnote>
  <w:endnote w:type="continuationSeparator" w:id="0">
    <w:p w14:paraId="50C74DC9" w14:textId="77777777" w:rsidR="00367334" w:rsidRDefault="00367334" w:rsidP="00BA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24B09" w14:textId="77777777" w:rsidR="003B4281" w:rsidRDefault="003B4281" w:rsidP="003B428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855748" w14:textId="77777777" w:rsidR="004C5B31" w:rsidRPr="003B4281" w:rsidRDefault="003B4281" w:rsidP="003B4281">
    <w:pPr>
      <w:pStyle w:val="Footer"/>
      <w:pBdr>
        <w:top w:val="single" w:sz="4" w:space="1" w:color="auto"/>
        <w:between w:val="single" w:sz="4" w:space="0" w:color="auto"/>
      </w:pBdr>
      <w:spacing w:after="60"/>
      <w:jc w:val="center"/>
      <w:rPr>
        <w:rFonts w:ascii="FrankRuehl" w:hAnsi="FrankRuehl" w:cs="FrankRuehl"/>
        <w:color w:val="000000"/>
      </w:rPr>
    </w:pPr>
    <w:r w:rsidRPr="003B42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5BC00" w14:textId="77777777" w:rsidR="003B4281" w:rsidRDefault="003B4281" w:rsidP="003B428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46466">
      <w:rPr>
        <w:rFonts w:ascii="FrankRuehl" w:hAnsi="FrankRuehl" w:cs="FrankRuehl"/>
        <w:noProof/>
        <w:rtl/>
      </w:rPr>
      <w:t>1</w:t>
    </w:r>
    <w:r>
      <w:rPr>
        <w:rFonts w:ascii="FrankRuehl" w:hAnsi="FrankRuehl" w:cs="FrankRuehl"/>
        <w:rtl/>
      </w:rPr>
      <w:fldChar w:fldCharType="end"/>
    </w:r>
  </w:p>
  <w:p w14:paraId="4E4A2D8E" w14:textId="77777777" w:rsidR="004C5B31" w:rsidRPr="003B4281" w:rsidRDefault="003B4281" w:rsidP="003B4281">
    <w:pPr>
      <w:pStyle w:val="Footer"/>
      <w:pBdr>
        <w:top w:val="single" w:sz="4" w:space="1" w:color="auto"/>
        <w:between w:val="single" w:sz="4" w:space="0" w:color="auto"/>
      </w:pBdr>
      <w:spacing w:after="60"/>
      <w:jc w:val="center"/>
      <w:rPr>
        <w:rFonts w:ascii="FrankRuehl" w:hAnsi="FrankRuehl" w:cs="FrankRuehl"/>
        <w:color w:val="000000"/>
      </w:rPr>
    </w:pPr>
    <w:r w:rsidRPr="003B4281">
      <w:rPr>
        <w:rFonts w:ascii="FrankRuehl" w:hAnsi="FrankRuehl" w:cs="FrankRuehl"/>
        <w:color w:val="000000"/>
      </w:rPr>
      <w:pict w14:anchorId="63193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BEBFB" w14:textId="77777777" w:rsidR="00367334" w:rsidRDefault="00367334" w:rsidP="00BA5773">
      <w:r>
        <w:separator/>
      </w:r>
    </w:p>
  </w:footnote>
  <w:footnote w:type="continuationSeparator" w:id="0">
    <w:p w14:paraId="03433167" w14:textId="77777777" w:rsidR="00367334" w:rsidRDefault="00367334" w:rsidP="00BA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EE386" w14:textId="77777777" w:rsidR="00876478" w:rsidRPr="003B4281" w:rsidRDefault="003B4281" w:rsidP="003B4281">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(ב"ש) 29591-10-20</w:t>
    </w:r>
    <w:r>
      <w:rPr>
        <w:rFonts w:ascii="David" w:hAnsi="David"/>
        <w:color w:val="000000"/>
        <w:sz w:val="22"/>
        <w:szCs w:val="22"/>
        <w:rtl/>
      </w:rPr>
      <w:tab/>
      <w:t xml:space="preserve"> מדינת ישראל נ' סהר מסעוד אפריאת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5809F" w14:textId="77777777" w:rsidR="00876478" w:rsidRPr="003B4281" w:rsidRDefault="003B4281" w:rsidP="003B4281">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(ב"ש) 29591-10-20</w:t>
    </w:r>
    <w:r>
      <w:rPr>
        <w:rFonts w:ascii="David" w:hAnsi="David"/>
        <w:color w:val="000000"/>
        <w:sz w:val="22"/>
        <w:szCs w:val="22"/>
        <w:rtl/>
      </w:rPr>
      <w:tab/>
      <w:t xml:space="preserve"> מדינת ישראל נ' סהר מסעוד אפריאת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02630F"/>
    <w:multiLevelType w:val="hybridMultilevel"/>
    <w:tmpl w:val="67661038"/>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8500C7A2">
      <w:numFmt w:val="bullet"/>
      <w:lvlText w:val=""/>
      <w:lvlJc w:val="left"/>
      <w:pPr>
        <w:ind w:left="2160" w:right="2340" w:hanging="360"/>
      </w:pPr>
      <w:rPr>
        <w:rFonts w:ascii="Symbol" w:eastAsia="Calibri" w:hAnsi="Symbol" w:cs="David"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72950666">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0CA1"/>
    <w:rsid w:val="000858D1"/>
    <w:rsid w:val="000C1B81"/>
    <w:rsid w:val="001B5A3B"/>
    <w:rsid w:val="00367334"/>
    <w:rsid w:val="003B4281"/>
    <w:rsid w:val="004C5B31"/>
    <w:rsid w:val="00876478"/>
    <w:rsid w:val="00A90CA1"/>
    <w:rsid w:val="00BA5773"/>
    <w:rsid w:val="00D277DC"/>
    <w:rsid w:val="00E464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11CC69"/>
  <w15:chartTrackingRefBased/>
  <w15:docId w15:val="{1BB807D3-6D4B-4A05-9555-E4C30F44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CA1"/>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90CA1"/>
    <w:pPr>
      <w:tabs>
        <w:tab w:val="center" w:pos="4153"/>
        <w:tab w:val="right" w:pos="8306"/>
      </w:tabs>
    </w:pPr>
  </w:style>
  <w:style w:type="character" w:customStyle="1" w:styleId="HeaderChar">
    <w:name w:val="Header Char"/>
    <w:link w:val="Header"/>
    <w:rsid w:val="00A90CA1"/>
    <w:rPr>
      <w:rFonts w:ascii="Times New Roman" w:eastAsia="Times New Roman" w:hAnsi="Times New Roman" w:cs="David"/>
      <w:sz w:val="24"/>
      <w:szCs w:val="24"/>
    </w:rPr>
  </w:style>
  <w:style w:type="paragraph" w:styleId="Footer">
    <w:name w:val="footer"/>
    <w:basedOn w:val="Normal"/>
    <w:link w:val="FooterChar"/>
    <w:rsid w:val="00A90CA1"/>
    <w:pPr>
      <w:tabs>
        <w:tab w:val="center" w:pos="4153"/>
        <w:tab w:val="right" w:pos="8306"/>
      </w:tabs>
    </w:pPr>
  </w:style>
  <w:style w:type="character" w:customStyle="1" w:styleId="FooterChar">
    <w:name w:val="Footer Char"/>
    <w:link w:val="Footer"/>
    <w:rsid w:val="00A90CA1"/>
    <w:rPr>
      <w:rFonts w:ascii="Times New Roman" w:eastAsia="Times New Roman" w:hAnsi="Times New Roman" w:cs="David"/>
      <w:sz w:val="24"/>
      <w:szCs w:val="24"/>
    </w:rPr>
  </w:style>
  <w:style w:type="table" w:styleId="TableGrid">
    <w:name w:val="Table Grid"/>
    <w:basedOn w:val="TableNormal"/>
    <w:rsid w:val="00A90C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A90CA1"/>
  </w:style>
  <w:style w:type="character" w:styleId="Hyperlink">
    <w:name w:val="Hyperlink"/>
    <w:rsid w:val="0087647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6003031" TargetMode="External"/><Relationship Id="rId26" Type="http://schemas.openxmlformats.org/officeDocument/2006/relationships/hyperlink" Target="http://www.nevo.co.il/law/4216"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3133293" TargetMode="External"/><Relationship Id="rId42" Type="http://schemas.openxmlformats.org/officeDocument/2006/relationships/hyperlink" Target="http://www.nevo.co.il/case/2600303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case/25954183" TargetMode="External"/><Relationship Id="rId11" Type="http://schemas.openxmlformats.org/officeDocument/2006/relationships/hyperlink" Target="http://www.nevo.co.il/law/4216" TargetMode="External"/><Relationship Id="rId24" Type="http://schemas.openxmlformats.org/officeDocument/2006/relationships/hyperlink" Target="http://www.nevo.co.il/law/4216/13" TargetMode="External"/><Relationship Id="rId32" Type="http://schemas.openxmlformats.org/officeDocument/2006/relationships/hyperlink" Target="http://www.nevo.co.il/case/7705320" TargetMode="External"/><Relationship Id="rId37" Type="http://schemas.openxmlformats.org/officeDocument/2006/relationships/hyperlink" Target="http://www.nevo.co.il/case/25954183" TargetMode="External"/><Relationship Id="rId40" Type="http://schemas.openxmlformats.org/officeDocument/2006/relationships/hyperlink" Target="http://www.nevo.co.il/law/70301/52.c" TargetMode="External"/><Relationship Id="rId45" Type="http://schemas.openxmlformats.org/officeDocument/2006/relationships/hyperlink" Target="http://www.nevo.co.il/law/5227" TargetMode="Externa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4216" TargetMode="External"/><Relationship Id="rId36" Type="http://schemas.openxmlformats.org/officeDocument/2006/relationships/hyperlink" Target="http://www.nevo.co.il/case/22832600" TargetMode="External"/><Relationship Id="rId49" Type="http://schemas.openxmlformats.org/officeDocument/2006/relationships/footer" Target="footer1.xml"/><Relationship Id="rId10" Type="http://schemas.openxmlformats.org/officeDocument/2006/relationships/hyperlink" Target="http://www.nevo.co.il/law/70301/406.b" TargetMode="External"/><Relationship Id="rId19" Type="http://schemas.openxmlformats.org/officeDocument/2006/relationships/hyperlink" Target="http://www.nevo.co.il/law/70301/406.b" TargetMode="External"/><Relationship Id="rId31" Type="http://schemas.openxmlformats.org/officeDocument/2006/relationships/hyperlink" Target="http://www.nevo.co.il/case/21747898" TargetMode="External"/><Relationship Id="rId44" Type="http://schemas.openxmlformats.org/officeDocument/2006/relationships/hyperlink" Target="http://www.nevo.co.il/law/5227/36.c"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84"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7.a.;7.c" TargetMode="External"/><Relationship Id="rId30" Type="http://schemas.openxmlformats.org/officeDocument/2006/relationships/hyperlink" Target="http://www.nevo.co.il/case/22901272" TargetMode="External"/><Relationship Id="rId35" Type="http://schemas.openxmlformats.org/officeDocument/2006/relationships/hyperlink" Target="http://www.nevo.co.il/case/25193405" TargetMode="External"/><Relationship Id="rId43" Type="http://schemas.openxmlformats.org/officeDocument/2006/relationships/hyperlink" Target="http://www.nevo.co.il/case/25954183" TargetMode="External"/><Relationship Id="rId48" Type="http://schemas.openxmlformats.org/officeDocument/2006/relationships/header" Target="header2.xml"/><Relationship Id="rId8" Type="http://schemas.openxmlformats.org/officeDocument/2006/relationships/hyperlink" Target="http://www.nevo.co.il/law/70301/52.c"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5227/36.c" TargetMode="External"/><Relationship Id="rId25" Type="http://schemas.openxmlformats.org/officeDocument/2006/relationships/hyperlink" Target="http://www.nevo.co.il/law/4216/19a" TargetMode="External"/><Relationship Id="rId33" Type="http://schemas.openxmlformats.org/officeDocument/2006/relationships/hyperlink" Target="http://www.nevo.co.il/case/23389559" TargetMode="External"/><Relationship Id="rId38" Type="http://schemas.openxmlformats.org/officeDocument/2006/relationships/hyperlink" Target="http://www.nevo.co.il/law/70301/52.c"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384"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13156</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8323175</vt:i4>
      </vt:variant>
      <vt:variant>
        <vt:i4>114</vt:i4>
      </vt:variant>
      <vt:variant>
        <vt:i4>0</vt:i4>
      </vt:variant>
      <vt:variant>
        <vt:i4>5</vt:i4>
      </vt:variant>
      <vt:variant>
        <vt:lpwstr>http://www.nevo.co.il/law/5227</vt:lpwstr>
      </vt:variant>
      <vt:variant>
        <vt:lpwstr/>
      </vt:variant>
      <vt:variant>
        <vt:i4>6422654</vt:i4>
      </vt:variant>
      <vt:variant>
        <vt:i4>111</vt:i4>
      </vt:variant>
      <vt:variant>
        <vt:i4>0</vt:i4>
      </vt:variant>
      <vt:variant>
        <vt:i4>5</vt:i4>
      </vt:variant>
      <vt:variant>
        <vt:lpwstr>http://www.nevo.co.il/law/5227/36.c</vt:lpwstr>
      </vt:variant>
      <vt:variant>
        <vt:lpwstr/>
      </vt:variant>
      <vt:variant>
        <vt:i4>3604597</vt:i4>
      </vt:variant>
      <vt:variant>
        <vt:i4>108</vt:i4>
      </vt:variant>
      <vt:variant>
        <vt:i4>0</vt:i4>
      </vt:variant>
      <vt:variant>
        <vt:i4>5</vt:i4>
      </vt:variant>
      <vt:variant>
        <vt:lpwstr>http://www.nevo.co.il/case/25954183</vt:lpwstr>
      </vt:variant>
      <vt:variant>
        <vt:lpwstr/>
      </vt:variant>
      <vt:variant>
        <vt:i4>3276914</vt:i4>
      </vt:variant>
      <vt:variant>
        <vt:i4>105</vt:i4>
      </vt:variant>
      <vt:variant>
        <vt:i4>0</vt:i4>
      </vt:variant>
      <vt:variant>
        <vt:i4>5</vt:i4>
      </vt:variant>
      <vt:variant>
        <vt:lpwstr>http://www.nevo.co.il/case/26003031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262222</vt:i4>
      </vt:variant>
      <vt:variant>
        <vt:i4>99</vt:i4>
      </vt:variant>
      <vt:variant>
        <vt:i4>0</vt:i4>
      </vt:variant>
      <vt:variant>
        <vt:i4>5</vt:i4>
      </vt:variant>
      <vt:variant>
        <vt:lpwstr>http://www.nevo.co.il/law/70301/52.c</vt:lpwstr>
      </vt:variant>
      <vt:variant>
        <vt:lpwstr/>
      </vt:variant>
      <vt:variant>
        <vt:i4>7995492</vt:i4>
      </vt:variant>
      <vt:variant>
        <vt:i4>96</vt:i4>
      </vt:variant>
      <vt:variant>
        <vt:i4>0</vt:i4>
      </vt:variant>
      <vt:variant>
        <vt:i4>5</vt:i4>
      </vt:variant>
      <vt:variant>
        <vt:lpwstr>http://www.nevo.co.il/law/70301</vt:lpwstr>
      </vt:variant>
      <vt:variant>
        <vt:lpwstr/>
      </vt:variant>
      <vt:variant>
        <vt:i4>262222</vt:i4>
      </vt:variant>
      <vt:variant>
        <vt:i4>93</vt:i4>
      </vt:variant>
      <vt:variant>
        <vt:i4>0</vt:i4>
      </vt:variant>
      <vt:variant>
        <vt:i4>5</vt:i4>
      </vt:variant>
      <vt:variant>
        <vt:lpwstr>http://www.nevo.co.il/law/70301/52.c</vt:lpwstr>
      </vt:variant>
      <vt:variant>
        <vt:lpwstr/>
      </vt:variant>
      <vt:variant>
        <vt:i4>3604597</vt:i4>
      </vt:variant>
      <vt:variant>
        <vt:i4>90</vt:i4>
      </vt:variant>
      <vt:variant>
        <vt:i4>0</vt:i4>
      </vt:variant>
      <vt:variant>
        <vt:i4>5</vt:i4>
      </vt:variant>
      <vt:variant>
        <vt:lpwstr>http://www.nevo.co.il/case/25954183</vt:lpwstr>
      </vt:variant>
      <vt:variant>
        <vt:lpwstr/>
      </vt:variant>
      <vt:variant>
        <vt:i4>3670131</vt:i4>
      </vt:variant>
      <vt:variant>
        <vt:i4>87</vt:i4>
      </vt:variant>
      <vt:variant>
        <vt:i4>0</vt:i4>
      </vt:variant>
      <vt:variant>
        <vt:i4>5</vt:i4>
      </vt:variant>
      <vt:variant>
        <vt:lpwstr>http://www.nevo.co.il/case/22832600</vt:lpwstr>
      </vt:variant>
      <vt:variant>
        <vt:lpwstr/>
      </vt:variant>
      <vt:variant>
        <vt:i4>3145852</vt:i4>
      </vt:variant>
      <vt:variant>
        <vt:i4>84</vt:i4>
      </vt:variant>
      <vt:variant>
        <vt:i4>0</vt:i4>
      </vt:variant>
      <vt:variant>
        <vt:i4>5</vt:i4>
      </vt:variant>
      <vt:variant>
        <vt:lpwstr>http://www.nevo.co.il/case/25193405</vt:lpwstr>
      </vt:variant>
      <vt:variant>
        <vt:lpwstr/>
      </vt:variant>
      <vt:variant>
        <vt:i4>3735670</vt:i4>
      </vt:variant>
      <vt:variant>
        <vt:i4>81</vt:i4>
      </vt:variant>
      <vt:variant>
        <vt:i4>0</vt:i4>
      </vt:variant>
      <vt:variant>
        <vt:i4>5</vt:i4>
      </vt:variant>
      <vt:variant>
        <vt:lpwstr>http://www.nevo.co.il/case/23133293</vt:lpwstr>
      </vt:variant>
      <vt:variant>
        <vt:lpwstr/>
      </vt:variant>
      <vt:variant>
        <vt:i4>3997818</vt:i4>
      </vt:variant>
      <vt:variant>
        <vt:i4>78</vt:i4>
      </vt:variant>
      <vt:variant>
        <vt:i4>0</vt:i4>
      </vt:variant>
      <vt:variant>
        <vt:i4>5</vt:i4>
      </vt:variant>
      <vt:variant>
        <vt:lpwstr>http://www.nevo.co.il/case/23389559</vt:lpwstr>
      </vt:variant>
      <vt:variant>
        <vt:lpwstr/>
      </vt:variant>
      <vt:variant>
        <vt:i4>3407988</vt:i4>
      </vt:variant>
      <vt:variant>
        <vt:i4>75</vt:i4>
      </vt:variant>
      <vt:variant>
        <vt:i4>0</vt:i4>
      </vt:variant>
      <vt:variant>
        <vt:i4>5</vt:i4>
      </vt:variant>
      <vt:variant>
        <vt:lpwstr>http://www.nevo.co.il/case/7705320</vt:lpwstr>
      </vt:variant>
      <vt:variant>
        <vt:lpwstr/>
      </vt:variant>
      <vt:variant>
        <vt:i4>3866745</vt:i4>
      </vt:variant>
      <vt:variant>
        <vt:i4>72</vt:i4>
      </vt:variant>
      <vt:variant>
        <vt:i4>0</vt:i4>
      </vt:variant>
      <vt:variant>
        <vt:i4>5</vt:i4>
      </vt:variant>
      <vt:variant>
        <vt:lpwstr>http://www.nevo.co.il/case/21747898</vt:lpwstr>
      </vt:variant>
      <vt:variant>
        <vt:lpwstr/>
      </vt:variant>
      <vt:variant>
        <vt:i4>3997812</vt:i4>
      </vt:variant>
      <vt:variant>
        <vt:i4>69</vt:i4>
      </vt:variant>
      <vt:variant>
        <vt:i4>0</vt:i4>
      </vt:variant>
      <vt:variant>
        <vt:i4>5</vt:i4>
      </vt:variant>
      <vt:variant>
        <vt:lpwstr>http://www.nevo.co.il/case/22901272</vt:lpwstr>
      </vt:variant>
      <vt:variant>
        <vt:lpwstr/>
      </vt:variant>
      <vt:variant>
        <vt:i4>3604597</vt:i4>
      </vt:variant>
      <vt:variant>
        <vt:i4>66</vt:i4>
      </vt:variant>
      <vt:variant>
        <vt:i4>0</vt:i4>
      </vt:variant>
      <vt:variant>
        <vt:i4>5</vt:i4>
      </vt:variant>
      <vt:variant>
        <vt:lpwstr>http://www.nevo.co.il/case/25954183</vt:lpwstr>
      </vt:variant>
      <vt:variant>
        <vt:lpwstr/>
      </vt:variant>
      <vt:variant>
        <vt:i4>8257637</vt:i4>
      </vt:variant>
      <vt:variant>
        <vt:i4>63</vt:i4>
      </vt:variant>
      <vt:variant>
        <vt:i4>0</vt:i4>
      </vt:variant>
      <vt:variant>
        <vt:i4>5</vt:i4>
      </vt:variant>
      <vt:variant>
        <vt:lpwstr>http://www.nevo.co.il/law/4216</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8257637</vt:i4>
      </vt:variant>
      <vt:variant>
        <vt:i4>57</vt:i4>
      </vt:variant>
      <vt:variant>
        <vt:i4>0</vt:i4>
      </vt:variant>
      <vt:variant>
        <vt:i4>5</vt:i4>
      </vt:variant>
      <vt:variant>
        <vt:lpwstr>http://www.nevo.co.il/law/4216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7143526</vt:i4>
      </vt:variant>
      <vt:variant>
        <vt:i4>39</vt:i4>
      </vt:variant>
      <vt:variant>
        <vt:i4>0</vt:i4>
      </vt:variant>
      <vt:variant>
        <vt:i4>5</vt:i4>
      </vt:variant>
      <vt:variant>
        <vt:lpwstr>http://www.nevo.co.il/law/70301/384</vt:lpwstr>
      </vt:variant>
      <vt:variant>
        <vt:lpwstr/>
      </vt:variant>
      <vt:variant>
        <vt:i4>4915287</vt:i4>
      </vt:variant>
      <vt:variant>
        <vt:i4>36</vt:i4>
      </vt:variant>
      <vt:variant>
        <vt:i4>0</vt:i4>
      </vt:variant>
      <vt:variant>
        <vt:i4>5</vt:i4>
      </vt:variant>
      <vt:variant>
        <vt:lpwstr>http://www.nevo.co.il/law/70301/406.b</vt:lpwstr>
      </vt:variant>
      <vt:variant>
        <vt:lpwstr/>
      </vt:variant>
      <vt:variant>
        <vt:i4>3276914</vt:i4>
      </vt:variant>
      <vt:variant>
        <vt:i4>33</vt:i4>
      </vt:variant>
      <vt:variant>
        <vt:i4>0</vt:i4>
      </vt:variant>
      <vt:variant>
        <vt:i4>5</vt:i4>
      </vt:variant>
      <vt:variant>
        <vt:lpwstr>http://www.nevo.co.il/case/26003031</vt:lpwstr>
      </vt:variant>
      <vt:variant>
        <vt:lpwstr/>
      </vt:variant>
      <vt:variant>
        <vt:i4>6422654</vt:i4>
      </vt:variant>
      <vt:variant>
        <vt:i4>30</vt:i4>
      </vt:variant>
      <vt:variant>
        <vt:i4>0</vt:i4>
      </vt:variant>
      <vt:variant>
        <vt:i4>5</vt:i4>
      </vt:variant>
      <vt:variant>
        <vt:lpwstr>http://www.nevo.co.il/law/5227/36.c</vt:lpwstr>
      </vt:variant>
      <vt:variant>
        <vt:lpwstr/>
      </vt:variant>
      <vt:variant>
        <vt:i4>8323175</vt:i4>
      </vt:variant>
      <vt:variant>
        <vt:i4>27</vt:i4>
      </vt:variant>
      <vt:variant>
        <vt:i4>0</vt:i4>
      </vt:variant>
      <vt:variant>
        <vt:i4>5</vt:i4>
      </vt:variant>
      <vt:variant>
        <vt:lpwstr>http://www.nevo.co.il/law/5227</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4915287</vt:i4>
      </vt:variant>
      <vt:variant>
        <vt:i4>9</vt:i4>
      </vt:variant>
      <vt:variant>
        <vt:i4>0</vt:i4>
      </vt:variant>
      <vt:variant>
        <vt:i4>5</vt:i4>
      </vt:variant>
      <vt:variant>
        <vt:lpwstr>http://www.nevo.co.il/law/70301/406.b</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262222</vt:i4>
      </vt:variant>
      <vt:variant>
        <vt:i4>3</vt:i4>
      </vt:variant>
      <vt:variant>
        <vt:i4>0</vt:i4>
      </vt:variant>
      <vt:variant>
        <vt:i4>5</vt:i4>
      </vt:variant>
      <vt:variant>
        <vt:lpwstr>http://www.nevo.co.il/law/70301/52.c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29591</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סהר מסעוד אפריאת</vt:lpwstr>
  </property>
  <property fmtid="{D5CDD505-2E9C-101B-9397-08002B2CF9AE}" pid="10" name="LAWYER">
    <vt:lpwstr>ליבי סיל;תהילה נידם;אפרת צרפתי</vt:lpwstr>
  </property>
  <property fmtid="{D5CDD505-2E9C-101B-9397-08002B2CF9AE}" pid="11" name="JUDGE">
    <vt:lpwstr>אור אדם</vt:lpwstr>
  </property>
  <property fmtid="{D5CDD505-2E9C-101B-9397-08002B2CF9AE}" pid="12" name="CITY">
    <vt:lpwstr>ב"ש</vt:lpwstr>
  </property>
  <property fmtid="{D5CDD505-2E9C-101B-9397-08002B2CF9AE}" pid="13" name="DATE">
    <vt:lpwstr>20240318</vt:lpwstr>
  </property>
  <property fmtid="{D5CDD505-2E9C-101B-9397-08002B2CF9AE}" pid="14" name="TYPE_N_DATE">
    <vt:lpwstr>38020240318</vt:lpwstr>
  </property>
  <property fmtid="{D5CDD505-2E9C-101B-9397-08002B2CF9AE}" pid="15" name="CASESLISTTMP1">
    <vt:lpwstr>26003031:2;25954183:3;22901272;21747898;7705320;23389559;23133293;25193405;22832600</vt:lpwstr>
  </property>
  <property fmtid="{D5CDD505-2E9C-101B-9397-08002B2CF9AE}" pid="16" name="CASENOTES1">
    <vt:lpwstr>ProcID=301&amp;PartA=29591&amp;PartB=10&amp;PartC=20</vt:lpwstr>
  </property>
  <property fmtid="{D5CDD505-2E9C-101B-9397-08002B2CF9AE}" pid="17" name="CASENOTES2">
    <vt:lpwstr>ProcID=209&amp;PartA=26570&amp;PartB=05&amp;PartC=22</vt:lpwstr>
  </property>
  <property fmtid="{D5CDD505-2E9C-101B-9397-08002B2CF9AE}" pid="18" name="WORDNUMPAGES">
    <vt:lpwstr>7</vt:lpwstr>
  </property>
  <property fmtid="{D5CDD505-2E9C-101B-9397-08002B2CF9AE}" pid="19" name="TYPE_ABS_DATE">
    <vt:lpwstr>380020240318</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70301/406.b;384;052.c:2</vt:lpwstr>
  </property>
  <property fmtid="{D5CDD505-2E9C-101B-9397-08002B2CF9AE}" pid="39" name="LAWLISTTMP2">
    <vt:lpwstr>4216/007.a:2;007.c:2;013;019a</vt:lpwstr>
  </property>
  <property fmtid="{D5CDD505-2E9C-101B-9397-08002B2CF9AE}" pid="40" name="LAWLISTTMP3">
    <vt:lpwstr>5227/036.c</vt:lpwstr>
  </property>
</Properties>
</file>