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44226-07-14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אברמוב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97" w:type="dxa"/>
        <w:jc w:val="start"/>
        <w:tblInd w:w="24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5"/>
        <w:gridCol w:w="2420"/>
        <w:gridCol w:w="5922"/>
      </w:tblGrid>
      <w:tr>
        <w:trPr/>
        <w:tc>
          <w:tcPr>
            <w:tcW w:w="55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120" w:after="120"/>
              <w:ind w:end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</w:tc>
      </w:tr>
      <w:tr>
        <w:trPr/>
        <w:tc>
          <w:tcPr>
            <w:tcW w:w="247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</w:tr>
      <w:tr>
        <w:trPr/>
        <w:tc>
          <w:tcPr>
            <w:tcW w:w="8397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7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ליאור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אברמוב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סיבוני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קליין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חזן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דהאן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סיבוני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2001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18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369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384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1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1982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תרופתו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האזרחי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אישורו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חטיפ</w:t>
      </w:r>
      <w:r>
        <w:rPr>
          <w:rFonts w:cs="FrankRuehl"/>
          <w:szCs w:val="26"/>
          <w:rtl w:val="true"/>
        </w:rPr>
        <w:t>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לחטיפה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וגניבה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המנהלי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בהגינות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שנשקלו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שנשקלו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כראוי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הרלבנטיים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תרופתו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מאזן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ולקיחת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וענישתו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מהמתלוננות</w:t>
      </w:r>
      <w:r>
        <w:rPr>
          <w:rFonts w:cs="FrankRuehl"/>
          <w:szCs w:val="26"/>
          <w:rtl w:val="true"/>
        </w:rPr>
        <w:t>.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6"/>
          <w:u w:val="none"/>
        </w:rPr>
      </w:pPr>
      <w:r>
        <w:rPr>
          <w:rFonts w:cs="FrankRuehl" w:ascii="FrankRuehl" w:hAnsi="FrankRuehl"/>
          <w:b w:val="false"/>
          <w:bCs w:val="false"/>
          <w:szCs w:val="26"/>
          <w:u w:val="none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6"/>
                <w:szCs w:val="36"/>
                <w:u w:val="single"/>
              </w:rPr>
            </w:pPr>
            <w:bookmarkStart w:id="7" w:name="LawTable_End"/>
            <w:bookmarkEnd w:id="7"/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3/7/2013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19/6/2014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נחטפה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בחדרה</w:t>
      </w:r>
      <w:r>
        <w:rPr>
          <w:rFonts w:ascii="David" w:hAnsi="David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3243-07-14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</w:t>
      </w:r>
      <w:r>
        <w:rPr>
          <w:rFonts w:cs="David" w:ascii="David" w:hAnsi="David"/>
          <w:b/>
          <w:bCs/>
          <w:u w:val="single"/>
          <w:rtl w:val="true"/>
        </w:rPr>
        <w:t>/</w:t>
      </w:r>
      <w:r>
        <w:rPr>
          <w:rFonts w:cs="David" w:ascii="David" w:hAnsi="David"/>
          <w:b/>
          <w:bCs/>
          <w:u w:val="single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תיק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חדרה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</w:t>
      </w:r>
      <w:r>
        <w:rPr>
          <w:rFonts w:cs="David" w:ascii="David" w:hAnsi="David"/>
          <w:b/>
          <w:bCs/>
          <w:u w:val="single"/>
          <w:rtl w:val="true"/>
        </w:rPr>
        <w:t>/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</w:t>
      </w:r>
      <w:r>
        <w:rPr>
          <w:rFonts w:cs="David" w:ascii="David" w:hAnsi="David"/>
          <w:b/>
          <w:bCs/>
          <w:u w:val="single"/>
          <w:rtl w:val="true"/>
        </w:rPr>
        <w:t>/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התפרצות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חטיפה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שהחליפה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לחטיפה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שהחליפה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ויצרפו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David" w:ascii="David" w:hAnsi="David"/>
          <w:b/>
          <w:bCs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חדרה</w:t>
      </w:r>
      <w:r>
        <w:rPr>
          <w:rFonts w:cs="David" w:ascii="David" w:hAnsi="David"/>
          <w:rtl w:val="true"/>
        </w:rPr>
        <w:t xml:space="preserve">). 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מודעים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מתנגדים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והודיעה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זכויות נפגעי עבירה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זכויות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נפגעי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להלן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עובדות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כתב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המתוקן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מא</w:t>
      </w:r>
      <w:r>
        <w:rPr>
          <w:rFonts w:cs="David" w:ascii="David" w:hAnsi="David"/>
          <w:b/>
          <w:bCs/>
          <w:u w:val="single"/>
          <w:rtl w:val="true"/>
        </w:rPr>
        <w:t>/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ascii="David" w:hAnsi="David"/>
          <w:u w:val="single"/>
          <w:rtl w:val="true"/>
        </w:rPr>
        <w:t>והעבירות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בהן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הורשע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פיו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ראשון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3.7.13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בפרדס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ילדיהם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11.6.2010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הקטינה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כשהקטינה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המיטה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המיטה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השינה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המנעול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02:55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וחטף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Arial" w:hAnsi="Arial" w:cs="Arial"/>
        </w:rPr>
      </w:pPr>
      <w:r>
        <w:rPr>
          <w:rFonts w:ascii="David" w:hAnsi="David"/>
          <w:u w:val="single"/>
          <w:rtl w:val="true"/>
        </w:rPr>
        <w:t>העבירות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כניסה והתפרצות למקום מגורים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חטיפה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369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העובדות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19.6.14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בפרדס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וילדיהם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16.07.2009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הקטינה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שישנה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שבחצר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Fonts w:ascii="Calibri" w:hAnsi="Calibri" w:cs="Calibri"/>
          <w:rtl w:val="true"/>
        </w:rPr>
        <w:t>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04:15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העבירות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ניסיון לחטיפה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369</w:t>
        </w:r>
      </w:hyperlink>
      <w:r>
        <w:rPr>
          <w:rFonts w:cs="Arial" w:ascii="Arial" w:hAnsi="Arial"/>
          <w:rtl w:val="true"/>
        </w:rPr>
        <w:t xml:space="preserve"> +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להלן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העובדות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והעבירות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בהן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הורשע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פי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כתב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בתיק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חדרה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מא</w:t>
      </w:r>
      <w:r>
        <w:rPr>
          <w:rFonts w:cs="David" w:ascii="David" w:hAnsi="David"/>
          <w:b/>
          <w:bCs/>
          <w:u w:val="single"/>
          <w:rtl w:val="true"/>
        </w:rPr>
        <w:t>/</w:t>
      </w:r>
      <w:r>
        <w:rPr>
          <w:rFonts w:cs="David" w:ascii="David" w:hAnsi="David"/>
          <w:b/>
          <w:bCs/>
          <w:u w:val="single"/>
        </w:rPr>
        <w:t>3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העובדות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19.6.14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04:00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התפרץ לבית של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בפרדס</w:t>
      </w:r>
      <w:r>
        <w:rPr>
          <w:rFonts w:ascii="David" w:hAnsi="David"/>
          <w:rtl w:val="true"/>
        </w:rPr>
        <w:t xml:space="preserve"> חנה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באופן שפתח את חלון פינת </w:t>
      </w:r>
      <w:r>
        <w:rPr>
          <w:rFonts w:ascii="David" w:hAnsi="David"/>
          <w:rtl w:val="true"/>
        </w:rPr>
        <w:t>האוכל</w:t>
      </w:r>
      <w:r>
        <w:rPr>
          <w:rFonts w:ascii="David" w:hAnsi="David"/>
          <w:rtl w:val="true"/>
        </w:rPr>
        <w:t xml:space="preserve"> בבית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החלון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הציץ לתוך הבית וראה תיק גב מלא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התרחק מהחלון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חלץ נעליו ניגש פעם נוספת לחלון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אותו לרווחה ונכנס לבית בכוונה לבצע גניבה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לקח מהבית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ובו רכוש וזאת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הסכמת הבעלים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במרמה ובלי תביעת זכות בתום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מתכוון בשעת הנטילה לשלול את הרכוש מבעליו שלילת 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העבירות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גניבה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כניסה והתפרצות למקום מגורים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ascii="David" w:hAnsi="David"/>
          <w:rtl w:val="true"/>
        </w:rPr>
        <w:t>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שהתקיימה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20/3/16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בישיבה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עורכי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אולמן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ועו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נימוקי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להסדר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הסכימו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התחדדו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עדויותיהן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בשרשרת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DNA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rtl w:val="true"/>
        </w:rPr>
        <w:t>שנערכה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להוכיח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להוצאתן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הוסבר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הפרקליטות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להתנגדות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הובהרו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זכויות נפגעי עבירה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בהסתמך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צ </w:t>
        </w:r>
        <w:r>
          <w:rPr>
            <w:rStyle w:val="Hyperlink"/>
            <w:rFonts w:cs="David" w:ascii="David" w:hAnsi="David"/>
            <w:color w:val="0000FF"/>
            <w:u w:val="single"/>
          </w:rPr>
          <w:t>4395/12</w:t>
        </w:r>
      </w:hyperlink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דרור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כהן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פרקליטות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מחוז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מרכז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15/11/2012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פסיכולוגית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ומדריכה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מצלמות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מטפלת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ובתנועה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התצהירים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המצהירים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לדיון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הסתייגו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בכפוף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התצהירים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הסנגורים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ההוצל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b/>
          <w:b/>
          <w:bCs/>
          <w:u w:val="single"/>
          <w:rtl w:val="true"/>
        </w:rPr>
        <w:t>מסומן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נא</w:t>
      </w:r>
      <w:r>
        <w:rPr>
          <w:rFonts w:cs="David" w:ascii="David" w:hAnsi="David"/>
          <w:b/>
          <w:bCs/>
          <w:u w:val="single"/>
          <w:rtl w:val="true"/>
        </w:rPr>
        <w:t>/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בילדותו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התגרשו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והשפלות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להתרועע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ולעשן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מהתפרצויות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גיא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להסתבך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להיתרם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להתמודדות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לחץ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מרתיעה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תצהירי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נפגעי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זכויות נפגעי עבירה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תצהירים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הנפגעות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צנעת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בתצהירים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בתצהירים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והנפשיים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והכלכליים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ולמשפחותיהם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הטראומה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החששות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הדאגות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אבדן</w:t>
      </w:r>
      <w:r>
        <w:rPr>
          <w:rFonts w:ascii="David" w:hAnsi="David"/>
          <w:rtl w:val="true"/>
        </w:rPr>
        <w:t xml:space="preserve"> האמון </w:t>
      </w:r>
      <w:r>
        <w:rPr>
          <w:rFonts w:ascii="David" w:hAnsi="David"/>
          <w:rtl w:val="true"/>
        </w:rPr>
        <w:t>והפחדים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שגרמה</w:t>
      </w:r>
      <w:r>
        <w:rPr>
          <w:rFonts w:ascii="David" w:hAnsi="David"/>
          <w:rtl w:val="true"/>
        </w:rPr>
        <w:t xml:space="preserve"> להם </w:t>
      </w:r>
      <w:r>
        <w:rPr>
          <w:rFonts w:ascii="David" w:hAnsi="David"/>
          <w:rtl w:val="true"/>
        </w:rPr>
        <w:t>חטיפת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שצורפו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לתצהירי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</w:t>
      </w:r>
      <w:r>
        <w:rPr>
          <w:rFonts w:ascii="David" w:hAnsi="David"/>
          <w:rtl w:val="true"/>
        </w:rPr>
        <w:t>פן</w:t>
      </w:r>
      <w:r>
        <w:rPr>
          <w:rFonts w:ascii="David" w:hAnsi="David"/>
          <w:rtl w:val="true"/>
        </w:rPr>
        <w:t xml:space="preserve"> ספציפי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מחטיפתן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תסמינים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בהוריהם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קרן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ההתקדמות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תתבסס</w:t>
      </w:r>
      <w:r>
        <w:rPr>
          <w:rFonts w:ascii="David" w:hAnsi="David"/>
          <w:rtl w:val="true"/>
        </w:rPr>
        <w:t xml:space="preserve"> ות</w:t>
      </w:r>
      <w:r>
        <w:rPr>
          <w:rFonts w:ascii="David" w:hAnsi="David"/>
          <w:rtl w:val="true"/>
        </w:rPr>
        <w:t>ימשך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מהתצהירים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מאמינים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מעבר לאשר הוסכם בהסדר הטיעון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15.7.14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24.6.14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2.7.14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ממיטותיהן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בטוחות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חטיפה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חטיפה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3682/12</w:t>
        </w:r>
      </w:hyperlink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28/1/2014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בחטיפה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והסבתא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והשאירם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8751/02</w:t>
        </w:r>
      </w:hyperlink>
      <w:r>
        <w:rPr>
          <w:rFonts w:cs="David" w:ascii="David" w:hAnsi="David"/>
          <w:rtl w:val="true"/>
        </w:rPr>
        <w:t xml:space="preserve"> - 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חוסין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זחאיקה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7/11/2002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חטף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b/>
          <w:b/>
          <w:bCs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הסנגור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נימוק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6563/02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דימיטרי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אילינסקי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18/11/2002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לאתרו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במאגרים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בחטיפה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תרופתי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פסיכיאטר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בוודאי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ישמח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להיזקק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ולהיבנות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בתצהירי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לתקיפת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השומע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אזרחי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התדפיס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ההוצל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נפגעי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העבירה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בביהמ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ש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ועמדת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התנגדותן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לחטיפה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ניטלה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מהקורבנות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הרחקת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הפרקליטות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ברצונם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הרחב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לחטיפת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4709/10</w:t>
        </w:r>
      </w:hyperlink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גיא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פיצחזדה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19/5/2011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Miriam"/>
          <w:rtl w:val="true"/>
        </w:rPr>
        <w:t>כדאי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שלפני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הבאת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ההסדר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יקראוהו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הצדדים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שוב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בעיני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cs="Miriam" w:ascii="David" w:hAnsi="David"/>
          <w:rtl w:val="true"/>
        </w:rPr>
        <w:t xml:space="preserve">'. </w:t>
      </w:r>
      <w:r>
        <w:rPr>
          <w:rFonts w:ascii="David" w:hAnsi="David" w:cs="Miriam"/>
          <w:rtl w:val="true"/>
        </w:rPr>
        <w:t>דוגמא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לכך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בענייננו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למשל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היא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שההסדר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מנוסח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באופן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שאיננו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יודעים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עמד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ביסוד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התקיפה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</w:t>
      </w:r>
      <w:r>
        <w:rPr>
          <w:rFonts w:cs="Miriam" w:ascii="David" w:hAnsi="David"/>
          <w:rtl w:val="true"/>
        </w:rPr>
        <w:t>-</w:t>
      </w:r>
      <w:r>
        <w:rPr>
          <w:rFonts w:ascii="David" w:hAnsi="David" w:cs="Miriam"/>
          <w:rtl w:val="true"/>
        </w:rPr>
        <w:t>ידי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המערער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שהרי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אף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המניע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אינו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חלק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ההליך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הפלילי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אי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אפשר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להתעלם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ממנו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כליל</w:t>
      </w:r>
      <w:r>
        <w:rPr>
          <w:rFonts w:cs="Miriam" w:ascii="David" w:hAnsi="David"/>
          <w:rtl w:val="true"/>
        </w:rPr>
        <w:t xml:space="preserve">; </w:t>
      </w:r>
      <w:r>
        <w:rPr>
          <w:rFonts w:ascii="David" w:hAnsi="David" w:cs="Miriam"/>
          <w:rtl w:val="true"/>
        </w:rPr>
        <w:t>בית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עוסק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בבני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אנוש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ובהתנהגותם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וראוי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שהתמונה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שתהא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לנגד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עיניו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בבואו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להביאם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מאחורי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סורג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ובריח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תהא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ככל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הניתן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       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שנחטפו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שנטענה ללא כל הפנייה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שלם לא הפנה לפסיקה כלשהי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חרמון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יחליטו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בשבילו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זכויות נפגעי עבירה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במעמדם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לסגירת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המתגבש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וזכותם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מיוצגות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עורכי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שהתקיימו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מוסמכת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לכאורה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ייכללו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ההשגה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הפרקליטות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בכל אחד מהמקרים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ליועץ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לממשלה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63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40">
        <w:r>
          <w:rPr>
            <w:rStyle w:val="Hyperlink"/>
            <w:rFonts w:cs="David" w:ascii="David" w:hAnsi="David"/>
            <w:color w:val="0000FF"/>
            <w:u w:val="single"/>
          </w:rPr>
          <w:t>64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סדר הדין הפלילי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משולב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1982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ההשגה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המשפט הגבוה לצדק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סמכותה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טווחי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המנהלי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ההתערבות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הפרקליטות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עקרונות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המנהלי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בהגינות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שנשקלו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הרלבנטיים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ץ </w:t>
        </w:r>
        <w:r>
          <w:rPr>
            <w:rStyle w:val="Hyperlink"/>
            <w:rFonts w:cs="David" w:ascii="David" w:hAnsi="David"/>
            <w:color w:val="0000FF"/>
            <w:u w:val="single"/>
          </w:rPr>
          <w:t>2477/07</w:t>
        </w:r>
      </w:hyperlink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פרקליט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המדינה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>תק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2534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27/05/2007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 w:cs="Miriam"/>
          <w:rtl w:val="true"/>
        </w:rPr>
        <w:t>אין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לנפגע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זכות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וטו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אפילו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מעין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זכות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הצבעה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לעניין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אישור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הסדר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הטיעון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ידי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התביעה</w:t>
      </w:r>
      <w:r>
        <w:rPr>
          <w:rFonts w:cs="Miriam" w:ascii="David" w:hAnsi="David"/>
          <w:rtl w:val="true"/>
        </w:rPr>
        <w:t xml:space="preserve">. </w:t>
      </w:r>
      <w:r>
        <w:rPr>
          <w:rFonts w:ascii="David" w:hAnsi="David" w:cs="Miriam"/>
          <w:rtl w:val="true"/>
        </w:rPr>
        <w:t>יתרה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מזו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עמדתו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נפגע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לעניין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הסדר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הטיעון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המוצע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תהווה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חלק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ממכלול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השיקולים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שהתביעה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מצווה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עליהם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לעניין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זה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והנתונים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כמכלול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בשיקול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דעתה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הבלעדי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ורשאי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 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ץ </w:t>
        </w:r>
        <w:r>
          <w:rPr>
            <w:rStyle w:val="Hyperlink"/>
            <w:rFonts w:cs="David" w:ascii="David" w:hAnsi="David"/>
            <w:color w:val="0000FF"/>
            <w:u w:val="single"/>
          </w:rPr>
          <w:t>4395/12</w:t>
        </w:r>
      </w:hyperlink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דרור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כהן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פרקליטות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מחוז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מרכז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15/11/2012</w:t>
      </w:r>
      <w:r>
        <w:rPr>
          <w:rFonts w:cs="David" w:ascii="David" w:hAnsi="David"/>
          <w:rtl w:val="true"/>
        </w:rPr>
        <w:t>) "</w:t>
      </w:r>
      <w:r>
        <w:rPr>
          <w:rFonts w:ascii="David" w:hAnsi="David" w:cs="Miriam"/>
          <w:rtl w:val="true"/>
        </w:rPr>
        <w:t>ככלל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אין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זה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נוהג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להתערב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בשיקול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דעת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התביעה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לעניין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העמדה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לדין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עריכת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הסדר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טיעון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הפרקליטות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רחב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Miriam"/>
          <w:rtl w:val="true"/>
        </w:rPr>
        <w:t>אך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במקרים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נדירים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בהם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נפל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פגם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מהותי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ואקוטי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בהחלטתה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שאינו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הולם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עקרונות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המנהלי</w:t>
      </w:r>
      <w:r>
        <w:rPr>
          <w:rFonts w:ascii="David" w:hAnsi="David" w:eastAsia="David"/>
          <w:rtl w:val="true"/>
        </w:rPr>
        <w:t xml:space="preserve"> </w:t>
      </w:r>
      <w:r>
        <w:rPr>
          <w:rFonts w:cs="Miriam" w:ascii="David" w:hAnsi="David"/>
          <w:rtl w:val="true"/>
        </w:rPr>
        <w:t>(</w:t>
      </w:r>
      <w:r>
        <w:rPr>
          <w:rFonts w:ascii="David" w:hAnsi="David" w:cs="Miriam"/>
          <w:rtl w:val="true"/>
        </w:rPr>
        <w:t>ראו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דברי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השופטת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חיות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נאמרו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לאחרונה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</w:t>
      </w:r>
      <w:r>
        <w:rPr>
          <w:rFonts w:cs="Miriam" w:ascii="David" w:hAnsi="David"/>
          <w:rtl w:val="true"/>
        </w:rPr>
        <w:t>-</w:t>
      </w:r>
      <w:hyperlink r:id="rId44"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בג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ץ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David" w:hAnsi="David"/>
            <w:color w:val="0000FF"/>
            <w:u w:val="single"/>
          </w:rPr>
          <w:t>1560/12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דיקן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פרקליטות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המדינה</w:t>
      </w:r>
      <w:r>
        <w:rPr>
          <w:rFonts w:ascii="David" w:hAnsi="David" w:eastAsia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 w:ascii="David" w:hAnsi="David"/>
          <w:rtl w:val="true"/>
        </w:rPr>
        <w:t>(</w:t>
      </w:r>
      <w:r>
        <w:rPr>
          <w:rFonts w:ascii="David" w:hAnsi="David" w:cs="Miriam"/>
          <w:rtl w:val="true"/>
        </w:rPr>
        <w:t>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פורסם</w:t>
      </w:r>
      <w:r>
        <w:rPr>
          <w:rFonts w:cs="Miriam" w:ascii="David" w:hAnsi="David"/>
          <w:rtl w:val="true"/>
        </w:rPr>
        <w:t xml:space="preserve">, </w:t>
      </w:r>
      <w:r>
        <w:rPr>
          <w:rFonts w:cs="Miriam" w:ascii="David" w:hAnsi="David"/>
        </w:rPr>
        <w:t>29.5.2012</w:t>
      </w:r>
      <w:r>
        <w:rPr>
          <w:rFonts w:cs="Miriam" w:ascii="David" w:hAnsi="David"/>
          <w:rtl w:val="true"/>
        </w:rPr>
        <w:t>) (</w:t>
      </w:r>
      <w:r>
        <w:rPr>
          <w:rFonts w:ascii="David" w:hAnsi="David" w:cs="Miriam"/>
          <w:rtl w:val="true"/>
        </w:rPr>
        <w:t>להלן</w:t>
      </w:r>
      <w:r>
        <w:rPr>
          <w:rFonts w:cs="Miriam" w:ascii="David" w:hAnsi="David"/>
          <w:rtl w:val="true"/>
        </w:rPr>
        <w:t xml:space="preserve">: </w:t>
      </w:r>
      <w:r>
        <w:rPr>
          <w:rFonts w:ascii="David" w:hAnsi="David" w:cs="Miriam"/>
          <w:rtl w:val="true"/>
        </w:rPr>
        <w:t>פרשת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דיקן</w:t>
      </w:r>
      <w:r>
        <w:rPr>
          <w:rFonts w:cs="Miriam" w:ascii="David" w:hAnsi="David"/>
          <w:rtl w:val="true"/>
        </w:rPr>
        <w:t xml:space="preserve">); </w:t>
      </w:r>
      <w:hyperlink r:id="rId45"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בג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ץ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David" w:hAnsi="David"/>
            <w:color w:val="0000FF"/>
            <w:u w:val="single"/>
          </w:rPr>
          <w:t>3425/94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גנור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לממשלה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ואח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ד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נ</w:t>
        </w:r>
      </w:hyperlink>
      <w:r>
        <w:rPr>
          <w:rFonts w:cs="Miriam" w:ascii="David" w:hAnsi="David"/>
          <w:rtl w:val="true"/>
        </w:rPr>
        <w:t>(</w:t>
      </w:r>
      <w:r>
        <w:rPr>
          <w:rFonts w:cs="Miriam" w:ascii="David" w:hAnsi="David"/>
        </w:rPr>
        <w:t>4</w:t>
      </w:r>
      <w:r>
        <w:rPr>
          <w:rFonts w:cs="Miriam" w:ascii="David" w:hAnsi="David"/>
          <w:rtl w:val="true"/>
        </w:rPr>
        <w:t xml:space="preserve">) </w:t>
      </w:r>
      <w:r>
        <w:rPr>
          <w:rFonts w:cs="Miriam" w:ascii="David" w:hAnsi="David"/>
        </w:rPr>
        <w:t>1</w:t>
      </w:r>
      <w:r>
        <w:rPr>
          <w:rFonts w:cs="Miriam" w:ascii="David" w:hAnsi="David"/>
          <w:rtl w:val="true"/>
        </w:rPr>
        <w:t xml:space="preserve"> (</w:t>
      </w:r>
      <w:r>
        <w:rPr>
          <w:rFonts w:cs="Miriam" w:ascii="David" w:hAnsi="David"/>
        </w:rPr>
        <w:t>1996</w:t>
      </w:r>
      <w:r>
        <w:rPr>
          <w:rFonts w:cs="Miriam" w:ascii="David" w:hAnsi="David"/>
          <w:rtl w:val="true"/>
        </w:rPr>
        <w:t xml:space="preserve">); </w:t>
      </w:r>
      <w:hyperlink r:id="rId46"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בג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ץ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David" w:hAnsi="David"/>
            <w:color w:val="0000FF"/>
            <w:u w:val="single"/>
          </w:rPr>
          <w:t>2534/97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ח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כ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יהב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פרקליטות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המדינה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ד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נא</w:t>
        </w:r>
      </w:hyperlink>
      <w:r>
        <w:rPr>
          <w:rFonts w:cs="Miriam" w:ascii="David" w:hAnsi="David"/>
          <w:rtl w:val="true"/>
        </w:rPr>
        <w:t>(</w:t>
      </w:r>
      <w:r>
        <w:rPr>
          <w:rFonts w:cs="Miriam" w:ascii="David" w:hAnsi="David"/>
        </w:rPr>
        <w:t>3</w:t>
      </w:r>
      <w:r>
        <w:rPr>
          <w:rFonts w:cs="Miriam" w:ascii="David" w:hAnsi="David"/>
          <w:rtl w:val="true"/>
        </w:rPr>
        <w:t xml:space="preserve">) </w:t>
      </w:r>
      <w:r>
        <w:rPr>
          <w:rFonts w:cs="Miriam" w:ascii="David" w:hAnsi="David"/>
        </w:rPr>
        <w:t>1</w:t>
      </w:r>
      <w:r>
        <w:rPr>
          <w:rFonts w:cs="Miriam" w:ascii="David" w:hAnsi="David"/>
          <w:rtl w:val="true"/>
        </w:rPr>
        <w:t xml:space="preserve"> (</w:t>
      </w:r>
      <w:r>
        <w:rPr>
          <w:rFonts w:cs="Miriam" w:ascii="David" w:hAnsi="David"/>
        </w:rPr>
        <w:t>1997</w:t>
      </w:r>
      <w:r>
        <w:rPr>
          <w:rFonts w:cs="Miriam" w:ascii="David" w:hAnsi="David"/>
          <w:rtl w:val="true"/>
        </w:rPr>
        <w:t xml:space="preserve">); </w:t>
      </w:r>
      <w:hyperlink r:id="rId47"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בג</w:t>
        </w:r>
        <w:r>
          <w:rPr>
            <w:rStyle w:val="Hyperlink"/>
            <w:rFonts w:cs="Miriam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ץ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David" w:hAnsi="David"/>
            <w:color w:val="0000FF"/>
            <w:u w:val="single"/>
          </w:rPr>
          <w:t>492/11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טורק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פרקליט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המדינה</w:t>
      </w:r>
      <w:r>
        <w:rPr>
          <w:rFonts w:cs="Miriam" w:ascii="David" w:hAnsi="David"/>
          <w:rtl w:val="true"/>
        </w:rPr>
        <w:t>(</w:t>
      </w:r>
      <w:r>
        <w:rPr>
          <w:rFonts w:ascii="David" w:hAnsi="David" w:cs="Miriam"/>
          <w:rtl w:val="true"/>
        </w:rPr>
        <w:t>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פורסם</w:t>
      </w:r>
      <w:r>
        <w:rPr>
          <w:rFonts w:cs="Miriam" w:ascii="David" w:hAnsi="David"/>
          <w:rtl w:val="true"/>
        </w:rPr>
        <w:t>,</w:t>
      </w:r>
      <w:r>
        <w:rPr>
          <w:rFonts w:cs="Miriam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 w:ascii="David" w:hAnsi="David"/>
          <w:rtl w:val="true"/>
        </w:rPr>
        <w:t xml:space="preserve"> </w:t>
      </w:r>
      <w:r>
        <w:rPr>
          <w:rFonts w:cs="Miriam" w:ascii="David" w:hAnsi="David"/>
        </w:rPr>
        <w:t>27.3.2011</w:t>
      </w:r>
      <w:r>
        <w:rPr>
          <w:rFonts w:cs="Miriam" w:ascii="David" w:hAnsi="David"/>
          <w:rtl w:val="true"/>
        </w:rPr>
        <w:t>))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סקירת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1958/98</w:t>
        </w:r>
        <w:r>
          <w:rPr>
            <w:rStyle w:val="Hyperlink"/>
            <w:rFonts w:cs="David" w:ascii="David" w:hAnsi="David"/>
            <w:rtl w:val="true"/>
          </w:rPr>
          <w:t xml:space="preserve"> -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פלוני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נ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מדינת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ישראל</w:t>
        </w:r>
        <w:r>
          <w:rPr>
            <w:rStyle w:val="Hyperlink"/>
            <w:rFonts w:cs="David" w:ascii="David" w:hAnsi="David"/>
            <w:b/>
            <w:bCs/>
            <w:rtl w:val="true"/>
          </w:rPr>
          <w:t>,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פד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נז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25/12/2002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טוענים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מופנית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שנמחקו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שנאמר לעי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ובבירור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הפרקליטות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ולתקן את כתב האישום באופן בו תוקן </w:t>
      </w:r>
      <w:r>
        <w:rPr>
          <w:rFonts w:ascii="David" w:hAnsi="David"/>
          <w:rtl w:val="true"/>
        </w:rPr>
        <w:t>וזו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לעניין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אישור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הסדר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הטיעון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זכויות נפגעי עבירה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cs="Miriam" w:ascii="David" w:hAnsi="David"/>
          <w:rtl w:val="true"/>
        </w:rPr>
        <w:t>(</w:t>
      </w:r>
      <w:r>
        <w:rPr>
          <w:rFonts w:ascii="David" w:hAnsi="David" w:cs="Miriam"/>
          <w:rtl w:val="true"/>
        </w:rPr>
        <w:t>א</w:t>
      </w:r>
      <w:r>
        <w:rPr>
          <w:rFonts w:cs="Miriam" w:ascii="David" w:hAnsi="David"/>
          <w:rtl w:val="true"/>
        </w:rPr>
        <w:t xml:space="preserve">) </w:t>
      </w:r>
      <w:r>
        <w:rPr>
          <w:rFonts w:ascii="David" w:hAnsi="David" w:cs="Miriam"/>
          <w:rtl w:val="true"/>
        </w:rPr>
        <w:t>נפגע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זכאי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למסור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הצהרה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בכתב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לגוף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החוקר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לתובע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u w:val="single"/>
          <w:rtl w:val="true"/>
        </w:rPr>
        <w:t>על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כל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פגיעה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ונזק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שנגרמו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לו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בשל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העבירה</w:t>
      </w:r>
      <w:r>
        <w:rPr>
          <w:rFonts w:cs="Miriam" w:ascii="David" w:hAnsi="David"/>
          <w:u w:val="single"/>
          <w:rtl w:val="true"/>
        </w:rPr>
        <w:t xml:space="preserve">, </w:t>
      </w:r>
      <w:r>
        <w:rPr>
          <w:rFonts w:ascii="David" w:hAnsi="David" w:cs="Miriam"/>
          <w:u w:val="single"/>
          <w:rtl w:val="true"/>
        </w:rPr>
        <w:t>לרבות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נזק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גוף</w:t>
      </w:r>
      <w:r>
        <w:rPr>
          <w:rFonts w:cs="Miriam" w:ascii="David" w:hAnsi="David"/>
          <w:u w:val="single"/>
          <w:rtl w:val="true"/>
        </w:rPr>
        <w:t xml:space="preserve">, </w:t>
      </w:r>
      <w:r>
        <w:rPr>
          <w:rFonts w:ascii="David" w:hAnsi="David" w:cs="Miriam"/>
          <w:u w:val="single"/>
          <w:rtl w:val="true"/>
        </w:rPr>
        <w:t>נזק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נפשי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או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נזק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לרכוש</w:t>
      </w:r>
      <w:r>
        <w:rPr>
          <w:rFonts w:cs="Miriam" w:ascii="David" w:hAnsi="David"/>
          <w:rtl w:val="true"/>
        </w:rPr>
        <w:t xml:space="preserve">; </w:t>
      </w:r>
      <w:r>
        <w:rPr>
          <w:rFonts w:ascii="David" w:hAnsi="David" w:cs="Miriam"/>
          <w:rtl w:val="true"/>
        </w:rPr>
        <w:t>מסר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הנפגע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הצהרה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כאמור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u w:val="single"/>
          <w:rtl w:val="true"/>
        </w:rPr>
        <w:t>זכאי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הוא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שהתובע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יביא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את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הצהרתו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לפני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בית</w:t>
      </w:r>
      <w:r>
        <w:rPr>
          <w:rFonts w:ascii="David" w:hAnsi="David" w:eastAsia="David"/>
          <w:u w:val="single"/>
          <w:rtl w:val="true"/>
        </w:rPr>
        <w:t xml:space="preserve"> </w:t>
      </w:r>
      <w:r>
        <w:rPr>
          <w:rFonts w:ascii="David" w:hAnsi="David" w:cs="Miriam"/>
          <w:u w:val="single"/>
          <w:rtl w:val="true"/>
        </w:rPr>
        <w:t>המשפט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בדיון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בענין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גזר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דינו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הנאשם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לפי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הוראות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פרק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</w:t>
      </w:r>
      <w:r>
        <w:rPr>
          <w:rFonts w:cs="Miriam" w:ascii="David" w:hAnsi="David"/>
          <w:rtl w:val="true"/>
        </w:rPr>
        <w:t xml:space="preserve">', </w:t>
      </w:r>
      <w:r>
        <w:rPr>
          <w:rFonts w:ascii="David" w:hAnsi="David" w:cs="Miriam"/>
          <w:rtl w:val="true"/>
        </w:rPr>
        <w:t>סימן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ז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ל</w:t>
      </w:r>
      <w:hyperlink r:id="rId51"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סדר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הדין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Miriam"/>
            <w:color w:val="0000FF"/>
            <w:u w:val="single"/>
            <w:rtl w:val="true"/>
          </w:rPr>
          <w:t>הפלילי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בדיון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בענין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נאשם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שהוא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קטין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 w:cs="Miriam"/>
          <w:rtl w:val="true"/>
        </w:rPr>
        <w:t>לפי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הוראות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פרק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לחוק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הנוער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כלומר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זאת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רק לעניין הפגיעות והנזקים שנגרמו לו עקב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תרופתו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פנייה </w:t>
      </w:r>
      <w:r>
        <w:rPr>
          <w:rFonts w:ascii="David" w:hAnsi="David"/>
          <w:rtl w:val="true"/>
        </w:rPr>
        <w:t>בעתירה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אשמע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ואכריע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השומע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שמשמעה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קיצוני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לעשותו</w:t>
      </w:r>
      <w:r>
        <w:rPr>
          <w:rFonts w:ascii="David" w:hAnsi="David"/>
          <w:rtl w:val="true"/>
        </w:rPr>
        <w:t xml:space="preserve"> מיוזמתו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מקום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שממילא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וראויים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אשאיר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הפרקליטות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והוסברו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הרלבנטיים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התבררו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חקירותיהן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לשרשרת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sz w:val="22"/>
          <w:szCs w:val="22"/>
        </w:rPr>
        <w:t>DNA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מחווה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ממילא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מ</w:t>
      </w:r>
      <w:r>
        <w:rPr>
          <w:rFonts w:ascii="David" w:hAnsi="David"/>
          <w:rtl w:val="true"/>
        </w:rPr>
        <w:t>שמעית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החטיפה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</w:t>
      </w:r>
      <w:r>
        <w:rPr>
          <w:rFonts w:ascii="David" w:hAnsi="David"/>
          <w:rtl w:val="true"/>
        </w:rPr>
        <w:t xml:space="preserve"> העליון של מתחם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ששמעתי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זה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עדויותיהן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שנמחקו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גרסתו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מההודעות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חקירותיו</w:t>
      </w:r>
      <w:r>
        <w:rPr>
          <w:rFonts w:ascii="David" w:hAnsi="David"/>
          <w:rtl w:val="true"/>
        </w:rPr>
        <w:t xml:space="preserve"> ומתשובתו לאישומים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מבינה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חשדם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אמונתם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בילדותיהם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מאוכזבים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וכן </w:t>
      </w:r>
      <w:r>
        <w:rPr>
          <w:rFonts w:ascii="David" w:hAnsi="David"/>
          <w:rtl w:val="true"/>
        </w:rPr>
        <w:t>המניע</w:t>
      </w:r>
      <w:r>
        <w:rPr>
          <w:rFonts w:ascii="David" w:hAnsi="David"/>
          <w:rtl w:val="true"/>
        </w:rPr>
        <w:t xml:space="preserve"> לחטיפה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נמחקו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חוששים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בחשדם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של מקרה ספציפי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הסדר הטיעון  </w:t>
      </w:r>
      <w:r>
        <w:rPr>
          <w:rFonts w:ascii="David" w:hAnsi="David"/>
          <w:rtl w:val="true"/>
        </w:rPr>
        <w:t>מאזן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לחטיפת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וענישתו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בקטינות</w:t>
      </w:r>
      <w:r>
        <w:rPr>
          <w:rFonts w:ascii="David" w:hAnsi="David"/>
          <w:rtl w:val="true"/>
        </w:rPr>
        <w:t xml:space="preserve"> ובמניע לחטיפה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בחטיפת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שכבר נאמר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לפתע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וחטף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ממיטותיהן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ומבטחן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בהוריהם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התערער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בטראומה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טראומה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לפצות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לקטינות</w:t>
      </w:r>
      <w:r>
        <w:rPr>
          <w:rFonts w:ascii="David" w:hAnsi="David"/>
          <w:rtl w:val="true"/>
        </w:rPr>
        <w:t xml:space="preserve"> ול</w:t>
      </w:r>
      <w:r>
        <w:rPr>
          <w:rFonts w:ascii="David" w:hAnsi="David"/>
          <w:rtl w:val="true"/>
        </w:rPr>
        <w:t>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פתרונות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נאשם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להוכיחן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לספק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והענשתו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עוולה</w:t>
      </w:r>
      <w:r>
        <w:rPr>
          <w:rFonts w:ascii="David" w:hAnsi="David"/>
          <w:rtl w:val="true"/>
        </w:rPr>
        <w:t xml:space="preserve">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רעהו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שהסבר</w:t>
      </w:r>
      <w:r>
        <w:rPr>
          <w:rFonts w:ascii="David" w:hAnsi="David"/>
          <w:rtl w:val="true"/>
        </w:rPr>
        <w:t>תי</w:t>
      </w:r>
      <w:r>
        <w:rPr>
          <w:rFonts w:ascii="David" w:hAnsi="David"/>
          <w:rtl w:val="true"/>
        </w:rPr>
        <w:t xml:space="preserve">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נובע מקשיים ראייתיים משמעותיים ו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התוצאה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וגזירת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וגוזרת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24.6.14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2.7.14</w:t>
      </w:r>
      <w:r>
        <w:rPr>
          <w:rFonts w:cs="David" w:ascii="David" w:hAnsi="David"/>
          <w:rtl w:val="true"/>
        </w:rPr>
        <w:t xml:space="preserve"> ( </w:t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3243-07-14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u w:val="single"/>
          <w:rtl w:val="true"/>
        </w:rPr>
        <w:t>מיום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15.7.14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ועד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256" w:before="0" w:after="160"/>
        <w:ind w:end="0"/>
        <w:jc w:val="start"/>
        <w:rPr>
          <w:rFonts w:cs="Arial"/>
        </w:rPr>
      </w:pPr>
      <w:r>
        <w:rPr>
          <w:rFonts w:eastAsia="Calibri" w:cs="Calibri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ההוצל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לתצהירי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לכל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שייפסק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מובהר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כי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התיק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הפלילי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עצמו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לרבות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שמות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המתלוננות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פרט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שעלול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לזהותן</w:t>
      </w:r>
      <w:r>
        <w:rPr>
          <w:rFonts w:cs="Calibri" w:ascii="Calibri" w:hAnsi="Calibri"/>
          <w:b/>
          <w:bCs/>
          <w:u w:val="single"/>
          <w:rtl w:val="true"/>
        </w:rPr>
        <w:t xml:space="preserve">,  </w:t>
      </w:r>
      <w:r>
        <w:rPr>
          <w:rFonts w:ascii="Calibri" w:hAnsi="Calibri" w:cs="Calibri"/>
          <w:b/>
          <w:b/>
          <w:bCs/>
          <w:u w:val="single"/>
          <w:rtl w:val="true"/>
        </w:rPr>
        <w:t>קיים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צו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איסור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פרסום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וכי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שמותר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לפרסם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ממנו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הושמטו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שמות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המתלוננות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פרט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שעלול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לזהותן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cs="Calibri" w:ascii="Calibri" w:hAnsi="Calibri"/>
          <w:b/>
          <w:bCs/>
          <w:u w:val="single"/>
          <w:rtl w:val="true"/>
        </w:rPr>
        <w:t xml:space="preserve">. 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אדר 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44226-07-14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ליאור אברמוב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Cs w:val="24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szCs w:val="24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6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835" TargetMode="External"/><Relationship Id="rId3" Type="http://schemas.openxmlformats.org/officeDocument/2006/relationships/hyperlink" Target="http://www.nevo.co.il/law/71835/17" TargetMode="External"/><Relationship Id="rId4" Type="http://schemas.openxmlformats.org/officeDocument/2006/relationships/hyperlink" Target="http://www.nevo.co.il/law/71835/18" TargetMode="External"/><Relationship Id="rId5" Type="http://schemas.openxmlformats.org/officeDocument/2006/relationships/hyperlink" Target="http://www.nevo.co.il/law/71835/18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369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06.b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63" TargetMode="External"/><Relationship Id="rId13" Type="http://schemas.openxmlformats.org/officeDocument/2006/relationships/hyperlink" Target="http://www.nevo.co.il/law/74903/64" TargetMode="External"/><Relationship Id="rId14" Type="http://schemas.openxmlformats.org/officeDocument/2006/relationships/hyperlink" Target="http://www.nevo.co.il/case/17021047" TargetMode="External"/><Relationship Id="rId15" Type="http://schemas.openxmlformats.org/officeDocument/2006/relationships/hyperlink" Target="http://www.nevo.co.il/law/71835/17" TargetMode="External"/><Relationship Id="rId16" Type="http://schemas.openxmlformats.org/officeDocument/2006/relationships/hyperlink" Target="http://www.nevo.co.il/law/71835" TargetMode="External"/><Relationship Id="rId17" Type="http://schemas.openxmlformats.org/officeDocument/2006/relationships/hyperlink" Target="http://www.nevo.co.il/law/70301/406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6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69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6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1835/17" TargetMode="External"/><Relationship Id="rId29" Type="http://schemas.openxmlformats.org/officeDocument/2006/relationships/hyperlink" Target="http://www.nevo.co.il/law/71835" TargetMode="External"/><Relationship Id="rId30" Type="http://schemas.openxmlformats.org/officeDocument/2006/relationships/hyperlink" Target="http://www.nevo.co.il/case/5587407" TargetMode="External"/><Relationship Id="rId31" Type="http://schemas.openxmlformats.org/officeDocument/2006/relationships/hyperlink" Target="http://www.nevo.co.il/law/71835/18" TargetMode="External"/><Relationship Id="rId32" Type="http://schemas.openxmlformats.org/officeDocument/2006/relationships/hyperlink" Target="http://www.nevo.co.il/law/71835" TargetMode="External"/><Relationship Id="rId33" Type="http://schemas.openxmlformats.org/officeDocument/2006/relationships/hyperlink" Target="http://www.nevo.co.il/case/6245120" TargetMode="External"/><Relationship Id="rId34" Type="http://schemas.openxmlformats.org/officeDocument/2006/relationships/hyperlink" Target="http://www.nevo.co.il/case/6136940" TargetMode="External"/><Relationship Id="rId35" Type="http://schemas.openxmlformats.org/officeDocument/2006/relationships/hyperlink" Target="http://www.nevo.co.il/case/5831461" TargetMode="External"/><Relationship Id="rId36" Type="http://schemas.openxmlformats.org/officeDocument/2006/relationships/hyperlink" Target="http://www.nevo.co.il/law/71835" TargetMode="External"/><Relationship Id="rId37" Type="http://schemas.openxmlformats.org/officeDocument/2006/relationships/hyperlink" Target="http://www.nevo.co.il/law/71835/17" TargetMode="External"/><Relationship Id="rId38" Type="http://schemas.openxmlformats.org/officeDocument/2006/relationships/hyperlink" Target="http://www.nevo.co.il/law/71835/17" TargetMode="External"/><Relationship Id="rId39" Type="http://schemas.openxmlformats.org/officeDocument/2006/relationships/hyperlink" Target="http://www.nevo.co.il/law/74903/63" TargetMode="External"/><Relationship Id="rId40" Type="http://schemas.openxmlformats.org/officeDocument/2006/relationships/hyperlink" Target="http://www.nevo.co.il/law/74903/64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case/6207008" TargetMode="External"/><Relationship Id="rId43" Type="http://schemas.openxmlformats.org/officeDocument/2006/relationships/hyperlink" Target="http://www.nevo.co.il/case/5587407" TargetMode="External"/><Relationship Id="rId44" Type="http://schemas.openxmlformats.org/officeDocument/2006/relationships/hyperlink" Target="http://www.nevo.co.il/case/5576388" TargetMode="External"/><Relationship Id="rId45" Type="http://schemas.openxmlformats.org/officeDocument/2006/relationships/hyperlink" Target="http://www.nevo.co.il/case/17919707" TargetMode="External"/><Relationship Id="rId46" Type="http://schemas.openxmlformats.org/officeDocument/2006/relationships/hyperlink" Target="http://www.nevo.co.il/case/5839572" TargetMode="External"/><Relationship Id="rId47" Type="http://schemas.openxmlformats.org/officeDocument/2006/relationships/hyperlink" Target="http://www.nevo.co.il/case/5706263" TargetMode="External"/><Relationship Id="rId48" Type="http://schemas.openxmlformats.org/officeDocument/2006/relationships/hyperlink" Target="http://www.nevo.co.il/case/161892" TargetMode="External"/><Relationship Id="rId49" Type="http://schemas.openxmlformats.org/officeDocument/2006/relationships/hyperlink" Target="http://www.nevo.co.il/law/71835/18.a" TargetMode="External"/><Relationship Id="rId50" Type="http://schemas.openxmlformats.org/officeDocument/2006/relationships/hyperlink" Target="http://www.nevo.co.il/law/71835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  <Pages>18</Pages>
  <Words>921</Words>
  <Characters>4206</Characters>
  <CharactersWithSpaces>5128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2016-04-04T07:26:00Z</dcterms:created>
  <dc:creator> </dc:creator>
  <dc:description/>
  <cp:keywords/>
  <dc:language>en-IL</dc:language>
  <cp:lastModifiedBy>orly</cp:lastModifiedBy>
  <cp:lastPrinted>2016-03-28T15:20:00Z</cp:lastPrinted>
  <dcterms:modified xsi:type="dcterms:W3CDTF">2016-04-04T07:26:00Z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ליאור אברמוב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17021047;5587407:2;6245120;6136940;5831461;6207008;5576388;17919707;5839572;5706263;161892</vt:lpwstr>
  </property>
  <property fmtid="{D5CDD505-2E9C-101B-9397-08002B2CF9AE}" pid="9" name="CITY">
    <vt:lpwstr>חי'</vt:lpwstr>
  </property>
  <property fmtid="{D5CDD505-2E9C-101B-9397-08002B2CF9AE}" pid="10" name="DATE">
    <vt:lpwstr>20160331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71835/017:4;018;018.a</vt:lpwstr>
  </property>
  <property fmtid="{D5CDD505-2E9C-101B-9397-08002B2CF9AE}" pid="15" name="LAWLISTTMP2">
    <vt:lpwstr>70301/406.b:2;369:2;025;384</vt:lpwstr>
  </property>
  <property fmtid="{D5CDD505-2E9C-101B-9397-08002B2CF9AE}" pid="16" name="LAWLISTTMP3">
    <vt:lpwstr>74903/063;064</vt:lpwstr>
  </property>
  <property fmtid="{D5CDD505-2E9C-101B-9397-08002B2CF9AE}" pid="17" name="LAWYER">
    <vt:lpwstr>מיכאל סיבוני;ישראל קליין;מאיה חזן דהאן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44226</vt:lpwstr>
  </property>
  <property fmtid="{D5CDD505-2E9C-101B-9397-08002B2CF9AE}" pid="25" name="NEWPARTB">
    <vt:lpwstr>07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דיון פלילי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77;18;18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הסדר טיעון</vt:lpwstr>
  </property>
  <property fmtid="{D5CDD505-2E9C-101B-9397-08002B2CF9AE}" pid="42" name="NOSE23">
    <vt:lpwstr>הסדר טיעון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1446;461;461</vt:lpwstr>
  </property>
  <property fmtid="{D5CDD505-2E9C-101B-9397-08002B2CF9AE}" pid="50" name="NOSE31">
    <vt:lpwstr>הסדר טיעון</vt:lpwstr>
  </property>
  <property fmtid="{D5CDD505-2E9C-101B-9397-08002B2CF9AE}" pid="51" name="NOSE310">
    <vt:lpwstr/>
  </property>
  <property fmtid="{D5CDD505-2E9C-101B-9397-08002B2CF9AE}" pid="52" name="NOSE32">
    <vt:lpwstr>אישורו</vt:lpwstr>
  </property>
  <property fmtid="{D5CDD505-2E9C-101B-9397-08002B2CF9AE}" pid="53" name="NOSE33">
    <vt:lpwstr>ביקורת שיפוטית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15822;3608;15606</vt:lpwstr>
  </property>
  <property fmtid="{D5CDD505-2E9C-101B-9397-08002B2CF9AE}" pid="61" name="PADIDATE">
    <vt:lpwstr>20160404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390120160331</vt:lpwstr>
  </property>
  <property fmtid="{D5CDD505-2E9C-101B-9397-08002B2CF9AE}" pid="71" name="TYPE_N_DATE">
    <vt:lpwstr>39020160331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