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46896-11-15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טאהא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נתנאל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טאהא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אוליאל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חליוה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התוספת השנייה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bookmarkStart w:id="8" w:name="ABSTRACT_START"/>
      <w:bookmarkEnd w:id="8"/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מתוקן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ascii="Calibri" w:hAnsi="Calibri" w:cs="Calibri"/>
          <w:b/>
          <w:b/>
          <w:bCs/>
          <w:rtl w:val="true"/>
        </w:rPr>
        <w:t>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סעיף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+</w:t>
      </w:r>
      <w:r>
        <w:rPr>
          <w:rFonts w:cs="Calibri" w:ascii="Calibri" w:hAnsi="Calibri"/>
          <w:b/>
          <w:bCs/>
          <w:rtl w:val="true"/>
        </w:rPr>
        <w:t xml:space="preserve"> </w:t>
      </w:r>
      <w:hyperlink r:id="rId12"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[</w:t>
      </w:r>
      <w:r>
        <w:rPr>
          <w:rFonts w:ascii="Calibri" w:hAnsi="Calibri" w:cs="Calibri"/>
          <w:b/>
          <w:b/>
          <w:bCs/>
          <w:rtl w:val="true"/>
        </w:rPr>
        <w:t>נוסח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חדש</w:t>
      </w:r>
      <w:r>
        <w:rPr>
          <w:rFonts w:cs="Calibri" w:ascii="Calibri" w:hAnsi="Calibri"/>
          <w:b/>
          <w:bCs/>
          <w:rtl w:val="true"/>
        </w:rPr>
        <w:t xml:space="preserve">] </w:t>
      </w:r>
      <w:r>
        <w:rPr>
          <w:rFonts w:ascii="Calibri" w:hAnsi="Calibri" w:cs="Calibri"/>
          <w:b/>
          <w:b/>
          <w:bCs/>
          <w:rtl w:val="true"/>
        </w:rPr>
        <w:t>תשל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1973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bookmarkStart w:id="9" w:name="ABSTRACT_END"/>
      <w:bookmarkEnd w:id="9"/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        </w:t>
      </w:r>
      <w:r>
        <w:rPr>
          <w:rFonts w:ascii="Calibri" w:hAnsi="Calibri" w:cs="Calibri"/>
          <w:u w:val="single"/>
          <w:rtl w:val="true"/>
        </w:rPr>
        <w:t>להלן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עובדות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כתב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האישום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המתוקן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עבאסי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אברהים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אובידיו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אדריאן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טימיס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ויקטור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פרננדז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ופרנסיסקו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סנצ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רודריגז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בהתאמה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ויקטור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פרנסיסקו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טימיס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ויקטור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ופרנסיסקו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השלושה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153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הבית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והחזיקו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3.11.15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ואברהים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rtl w:val="true"/>
        </w:rPr>
        <w:t>", "</w:t>
      </w:r>
      <w:r>
        <w:rPr>
          <w:rFonts w:ascii="Calibri" w:hAnsi="Calibri" w:cs="Calibri"/>
          <w:b/>
          <w:b/>
          <w:bCs/>
          <w:rtl w:val="true"/>
        </w:rPr>
        <w:t>הסיכום</w:t>
      </w:r>
      <w:r>
        <w:rPr>
          <w:rFonts w:cs="Calibri" w:ascii="Calibri" w:hAnsi="Calibri"/>
          <w:rtl w:val="true"/>
        </w:rPr>
        <w:t xml:space="preserve">"). 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3.11.15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19:00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טימיס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3.11.15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קואנג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יאנג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2214379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שבשימושו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הקטנוע</w:t>
      </w:r>
      <w:r>
        <w:rPr>
          <w:rFonts w:cs="Calibri" w:ascii="Calibri" w:hAnsi="Calibri"/>
          <w:rtl w:val="true"/>
        </w:rPr>
        <w:t xml:space="preserve">"),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302.42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והכניסם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המסוכנים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19:03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8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302.42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ראיות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מטעם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המאשימה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גיליון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ממנו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טאהא</w:t>
      </w:r>
      <w:r>
        <w:rPr>
          <w:rFonts w:cs="David" w:ascii="David" w:hAnsi="David"/>
          <w:rtl w:val="true"/>
        </w:rPr>
        <w:t xml:space="preserve">")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שונות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יצוא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הספקה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מסוכנים</w:t>
      </w:r>
      <w:r>
        <w:rPr>
          <w:rFonts w:cs="Calibri" w:ascii="Calibri" w:hAnsi="Calibri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לפשע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כגנוב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הכרעת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וטיעונים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10.6.14</w:t>
      </w:r>
      <w:r>
        <w:rPr>
          <w:rFonts w:cs="David" w:ascii="David" w:hAnsi="David"/>
          <w:rtl w:val="true"/>
        </w:rPr>
        <w:t xml:space="preserve"> - 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24960-09-13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השלום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בחיפה</w:t>
      </w:r>
      <w:r>
        <w:rPr>
          <w:rFonts w:ascii="David" w:hAnsi="David"/>
          <w:b/>
          <w:b/>
          <w:bCs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תיק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התנאי</w:t>
      </w:r>
      <w:r>
        <w:rPr>
          <w:rFonts w:cs="David" w:ascii="David" w:hAnsi="David"/>
          <w:rtl w:val="true"/>
        </w:rPr>
        <w:t xml:space="preserve">" - </w:t>
      </w:r>
      <w:r>
        <w:rPr>
          <w:rFonts w:ascii="David" w:hAnsi="David"/>
          <w:b/>
          <w:b/>
          <w:bCs/>
          <w:rtl w:val="true"/>
        </w:rPr>
        <w:t>סומן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הוטלו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9"/>
        </w:numPr>
        <w:spacing w:lineRule="auto" w:line="360" w:before="0" w:after="160"/>
        <w:ind w:hanging="360" w:start="18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9"/>
        </w:numPr>
        <w:spacing w:lineRule="auto" w:line="360"/>
        <w:ind w:hanging="360" w:start="18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הופעל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19356-05-09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8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תנאי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לתקופה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u w:val="single"/>
          <w:rtl w:val="true"/>
        </w:rPr>
        <w:t>אין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חולק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על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תנאי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זה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הפעלה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בתיק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דנן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80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מתוקן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וגזרי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שניתנו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נדונו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טימיס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אובידיו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אדריאן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טימיס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מריה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אנגלס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בלסטרוס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פרז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מריה פרז</w:t>
      </w:r>
      <w:r>
        <w:rPr>
          <w:rFonts w:cs="David" w:ascii="David" w:hAnsi="David"/>
          <w:rtl w:val="true"/>
        </w:rPr>
        <w:t>")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אדריאן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חימנז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פאלמה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פאלמה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ואח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סומנו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rtl w:val="true"/>
        </w:rPr>
        <w:t xml:space="preserve">) - </w:t>
      </w:r>
      <w:hyperlink r:id="rId16"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b/>
            <w:bCs/>
            <w:color w:val="0000FF"/>
            <w:u w:val="single"/>
          </w:rPr>
          <w:t>56230-11-15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המחוזי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בחיפה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David" w:hAnsi="David"/>
          <w:rtl w:val="true"/>
        </w:rPr>
        <w:t>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1,3,4,5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13.06.2016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ביום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28.06.2016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ראיות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מטעם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טאהא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שכתבה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הילדות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בעלה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אשת הנאשם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הקטינות</w:t>
      </w:r>
      <w:r>
        <w:rPr>
          <w:rFonts w:ascii="Calibri" w:hAnsi="Calibri" w:cs="Calibri"/>
          <w:rtl w:val="true"/>
        </w:rPr>
        <w:t xml:space="preserve"> ו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18/09/2016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פה</w:t>
      </w:r>
      <w:r>
        <w:rPr>
          <w:rFonts w:cs="Calibri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10.06.2014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 הורשע טאהא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firstLine="30" w:start="720" w:end="0"/>
        <w:jc w:val="both"/>
        <w:rPr/>
      </w:pP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דידה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ותחכום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שמבצע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ייתפס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במישרין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סוג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חלוקה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למארזים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מארזים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</w:t>
      </w:r>
      <w:r>
        <w:rPr>
          <w:rFonts w:ascii="Calibri" w:hAnsi="Calibri" w:cs="Calibri"/>
          <w:rtl w:val="true"/>
        </w:rPr>
        <w:t>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hanging="36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>כמות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302.42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הקבועה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התוספת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השנייה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בודדת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שוקלת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0.3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1008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הצרכנים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 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5-3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הרביעית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בהרשעתו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>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לדבריה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אף ש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שחומרתו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לשיטתה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41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הבדלים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56230-11-15</w:t>
        </w:r>
      </w:hyperlink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: 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בספרד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בארץ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ופלאמה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להישמע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להבדיל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David" w:hAnsi="David"/>
          <w:rtl w:val="true"/>
        </w:rPr>
        <w:t>טאהא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רק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ובשונה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מהנאשם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לטימיס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טימיס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7"/>
        </w:numPr>
        <w:spacing w:lineRule="auto" w:line="360" w:before="0" w:after="160"/>
        <w:ind w:hanging="360" w:start="108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שטימיס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שברשותם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1.013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טימיס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מטבע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גידולם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והספקתם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בקשת החילוט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Arial" w:hAnsi="Arial" w:cs="Arial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Arial" w:hAnsi="Arial" w:cs="Arial"/>
          <w:rtl w:val="true"/>
        </w:rPr>
        <w:t>המאשימה ביקשה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בכתב האישום והן במסגרת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לטובת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הקרן לטיפול בנכסים שחולטו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אשר הוקמה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36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סך של </w:t>
      </w:r>
      <w:r>
        <w:rPr>
          <w:rFonts w:cs="Arial" w:ascii="Arial" w:hAnsi="Arial"/>
        </w:rPr>
        <w:t>800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שנתפס על הנאשם בעת מעצרו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לבקשה זו מסכים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Arial" w:hAnsi="Arial" w:cs="Arial"/>
          <w:rtl w:val="true"/>
        </w:rPr>
        <w:t>עליו נתפס הנאשם</w:t>
      </w:r>
      <w:r>
        <w:rPr>
          <w:rFonts w:ascii="Arial" w:hAnsi="Arial" w:cs="Arial"/>
          <w:rtl w:val="true"/>
        </w:rPr>
        <w:t xml:space="preserve"> ו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ascii="Arial" w:hAnsi="Arial" w:cs="Arial"/>
          <w:rtl w:val="true"/>
        </w:rPr>
        <w:t xml:space="preserve">אמצעי 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אפשר את ביצועה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בישיבת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18.09.2016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David" w:hAnsi="David"/>
          <w:rtl w:val="true"/>
        </w:rPr>
        <w:t>טאהא</w:t>
      </w:r>
      <w:r>
        <w:rPr>
          <w:rFonts w:ascii="Calibri" w:hAnsi="Calibri" w:cs="Calibri"/>
          <w:rtl w:val="true"/>
        </w:rPr>
        <w:t xml:space="preserve"> 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בישיבת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18/09/2016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תחילה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ניכר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מראיות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אמצעי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ממחדלי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החקירה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ומהכשלים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והמהותיים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הנמנע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לזיכוי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למחדלים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שהשליכו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תשומת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המהותי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שבשגרה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המקורי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שוהה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במעצר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כן נטען כי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</w:t>
      </w:r>
      <w:r>
        <w:rPr>
          <w:rFonts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מהאחרים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איננו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בקשירת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לביצוע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תיווך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הרשומה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ומבלי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בלבד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במציאות</w:t>
      </w:r>
      <w:r>
        <w:rPr>
          <w:rFonts w:ascii="David" w:hAnsi="David"/>
          <w:rtl w:val="true"/>
        </w:rPr>
        <w:t xml:space="preserve"> וכי </w:t>
      </w:r>
      <w:r>
        <w:rPr>
          <w:rFonts w:ascii="David" w:hAnsi="David"/>
          <w:rtl w:val="true"/>
        </w:rPr>
        <w:t>מפסיקה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ניתן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הנהוגים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מסתיימים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הקיצוני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בהליך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ועבודות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הבהיר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טוען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ייבוא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תיווך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שבעתיים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מתחם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העונש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ההולם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נע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חודשים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לריצוי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בעבודות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שירות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לבין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18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מאסר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בפועל</w:t>
      </w:r>
      <w:r>
        <w:rPr>
          <w:rFonts w:ascii="David" w:hAnsi="David"/>
          <w:rtl w:val="true"/>
        </w:rPr>
        <w:t xml:space="preserve"> ולכל היותר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</w:t>
      </w:r>
      <w:r>
        <w:rPr>
          <w:rFonts w:ascii="David" w:hAnsi="David"/>
          <w:rtl w:val="true"/>
        </w:rPr>
        <w:t>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5458/11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6364/11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אבי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אברג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David" w:ascii="David" w:hAnsi="David"/>
        </w:rPr>
        <w:t>31/01/2012</w:t>
      </w:r>
      <w:r>
        <w:rPr>
          <w:rFonts w:cs="David" w:ascii="David" w:hAnsi="David"/>
          <w:rtl w:val="true"/>
        </w:rPr>
        <w:t>)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עסקאות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תיווך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הופעלו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5374/12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שלמה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אברג</w:t>
      </w:r>
      <w:r>
        <w:rPr>
          <w:rFonts w:cs="Miriam" w:ascii="David" w:hAnsi="David"/>
          <w:rtl w:val="true"/>
        </w:rPr>
        <w:t>'</w:t>
      </w:r>
      <w:r>
        <w:rPr>
          <w:rFonts w:ascii="David" w:hAnsi="David" w:cs="Miriam"/>
          <w:rtl w:val="true"/>
        </w:rPr>
        <w:t>יל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09/01/2013</w:t>
      </w:r>
      <w:r>
        <w:rPr>
          <w:rFonts w:cs="David" w:ascii="David" w:hAnsi="David"/>
          <w:rtl w:val="true"/>
        </w:rPr>
        <w:t>)</w:t>
      </w:r>
      <w:r>
        <w:rPr>
          <w:rFonts w:cs="Miriam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Miriam"/>
        </w:rPr>
      </w:pPr>
      <w:r>
        <w:rPr>
          <w:rFonts w:cs="Miriam" w:ascii="David" w:hAnsi="David"/>
          <w:rtl w:val="true"/>
        </w:rPr>
      </w:r>
    </w:p>
    <w:p>
      <w:pPr>
        <w:pStyle w:val="Normal"/>
        <w:numPr>
          <w:ilvl w:val="0"/>
          <w:numId w:val="5"/>
        </w:numPr>
        <w:spacing w:lineRule="auto" w:line="36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7507/12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תרא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טאעון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16/10/2013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הירואין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שעיסוק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התלוי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הפעלתו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למכלול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הנתונים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נחשף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להפעילו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שחציו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ברמת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שנמנו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החיסכון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האדיר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החרטה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והדאגה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לגורלן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הגדלות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ארוכה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פאלמה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חלק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מרשת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ייבוא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בתכנון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מדוקדק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והטמין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כקילוגרם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העבירות החמורות בהן הורשע ו</w:t>
      </w:r>
      <w:r>
        <w:rPr>
          <w:rFonts w:ascii="David" w:hAnsi="David"/>
          <w:rtl w:val="true"/>
        </w:rPr>
        <w:t>חרף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הגדולה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בסופו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המעורבים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בפרשייה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שגרו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ששימשה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לגידול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וייצורם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</w:t>
      </w:r>
      <w:r>
        <w:rPr>
          <w:rFonts w:ascii="David" w:hAnsi="David"/>
          <w:rtl w:val="true"/>
        </w:rPr>
        <w:t>ם 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למטרה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ובדירה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נמצאו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473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עציצים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ערעור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20057-10-12</w:t>
        </w:r>
      </w:hyperlink>
      <w:r>
        <w:rPr>
          <w:rFonts w:cs="Miriam" w:ascii="David" w:hAnsi="David"/>
          <w:rtl w:val="true"/>
        </w:rPr>
        <w:t xml:space="preserve"> </w:t>
      </w:r>
      <w:r>
        <w:rPr>
          <w:rFonts w:ascii="David" w:hAnsi="David" w:cs="Miriam"/>
          <w:rtl w:val="true"/>
        </w:rPr>
        <w:t>מדינת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נ</w:t>
      </w:r>
      <w:r>
        <w:rPr>
          <w:rFonts w:cs="Miriam" w:ascii="David" w:hAnsi="David"/>
          <w:rtl w:val="true"/>
        </w:rPr>
        <w:t xml:space="preserve">' </w:t>
      </w:r>
      <w:r>
        <w:rPr>
          <w:rFonts w:ascii="David" w:hAnsi="David" w:cs="Miriam"/>
          <w:rtl w:val="true"/>
        </w:rPr>
        <w:t>עומר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אבו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cs="Miriam"/>
          <w:rtl w:val="true"/>
        </w:rPr>
        <w:t>כלאב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21.5.2013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ולפסקי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חמוּרים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תומכים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לדידו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יליד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1983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שלוש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נאלצת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הכרוכים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שכתבה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סומן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בהודאתו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הודא</w:t>
      </w:r>
      <w:r>
        <w:rPr>
          <w:rFonts w:ascii="David" w:hAnsi="David"/>
          <w:rtl w:val="true"/>
        </w:rPr>
        <w:t xml:space="preserve">ה </w:t>
      </w:r>
      <w:r>
        <w:rPr>
          <w:rFonts w:ascii="David" w:hAnsi="David"/>
          <w:rtl w:val="true"/>
        </w:rPr>
        <w:t>הגיעה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בזכותה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זמן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שיפוטי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יקר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והיא אף </w:t>
      </w:r>
      <w:r>
        <w:rPr>
          <w:rFonts w:ascii="David" w:hAnsi="David"/>
          <w:rtl w:val="true"/>
        </w:rPr>
        <w:t>מעידה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>חרטה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נ</w:t>
      </w:r>
      <w:r>
        <w:rPr>
          <w:rFonts w:ascii="David" w:hAnsi="David"/>
          <w:rtl w:val="true"/>
        </w:rPr>
        <w:t>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שסכומי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בהתייחס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לנושא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השיקום</w:t>
      </w:r>
      <w:r>
        <w:rPr>
          <w:rFonts w:ascii="David" w:hAnsi="David"/>
          <w:rtl w:val="true"/>
        </w:rPr>
        <w:t xml:space="preserve"> ולדרך אותה עובר טאהא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לאסופת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התעודות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ענ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התעודות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מעידות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טאהא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מתפקד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באופן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כאסיר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מעטים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המקרים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אסירים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בתקופת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עצ</w:t>
      </w:r>
      <w:r>
        <w:rPr>
          <w:rFonts w:ascii="David" w:hAnsi="David"/>
          <w:rtl w:val="true"/>
        </w:rPr>
        <w:t>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לתעודות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ההודאה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לקיחת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ללמד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שינוי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ותובנה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ם טאהא</w:t>
      </w:r>
      <w:r>
        <w:rPr>
          <w:rFonts w:ascii="David" w:hAnsi="David"/>
          <w:rtl w:val="true"/>
        </w:rPr>
        <w:t xml:space="preserve"> קודם</w:t>
      </w:r>
      <w:r>
        <w:rPr>
          <w:rFonts w:ascii="David" w:hAnsi="David"/>
          <w:rtl w:val="true"/>
        </w:rPr>
        <w:t xml:space="preserve"> לכן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משקל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דורנר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הזוכה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להתייחסות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ערכאות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לפיו</w:t>
      </w:r>
      <w:r>
        <w:rPr>
          <w:rFonts w:ascii="David" w:hAnsi="David"/>
          <w:rtl w:val="true"/>
        </w:rPr>
        <w:t xml:space="preserve"> אין זה </w:t>
      </w:r>
      <w:r>
        <w:rPr>
          <w:rFonts w:ascii="David" w:hAnsi="David"/>
          <w:rtl w:val="true"/>
        </w:rPr>
        <w:t>ראוי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ואין זה </w:t>
      </w:r>
      <w:r>
        <w:rPr>
          <w:rFonts w:ascii="David" w:hAnsi="David"/>
          <w:rtl w:val="true"/>
        </w:rPr>
        <w:t>נכון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ממושכים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הדגיש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בארבע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שחלקן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בגין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שנעברו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13-12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בתנאים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לגדול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וללמוד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חינוכית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תומכת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ודואגת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לקנס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טאהא</w:t>
      </w:r>
      <w:r>
        <w:rPr>
          <w:rFonts w:ascii="David" w:hAnsi="David"/>
          <w:rtl w:val="true"/>
        </w:rPr>
        <w:t xml:space="preserve"> 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סכומי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כסף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גדולים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במצבם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ובנותיו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הקטינות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הצפוי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ובגובה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הקנסות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שנגזרו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שייבאו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והובילו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סומנה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תגובת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כ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המאשימה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לטיעוני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המאשימה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בעניין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העמדתו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קוקאין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מועמדים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דברי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טאהא</w:t>
      </w:r>
      <w:r>
        <w:rPr>
          <w:rFonts w:ascii="David" w:hAnsi="David"/>
          <w:rtl w:val="true"/>
        </w:rPr>
        <w:t xml:space="preserve"> 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סליחה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הקודמים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כזו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סוהר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חצי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משתתף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בשיחות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פרטניות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סוציאלי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ובמשך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אגף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ועוזר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לנרקומנים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מסכנים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להשתנות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הבטיח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שכועסת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ישתנה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ויהפוך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ברצונו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להתחיל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לחזור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לאותם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טאהא</w:t>
      </w:r>
      <w:r>
        <w:rPr>
          <w:rFonts w:ascii="David" w:hAnsi="David"/>
          <w:rtl w:val="true"/>
        </w:rPr>
        <w:t xml:space="preserve"> 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הקלה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סליחה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 w:before="0" w:after="160"/>
        <w:ind w:hanging="567" w:start="567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cs="Calibri" w:ascii="Calibri" w:hAnsi="Calibri"/>
          <w:rtl w:val="true"/>
        </w:rPr>
        <w:t xml:space="preserve">,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המנחה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קיומו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 w:before="0" w:after="160"/>
        <w:ind w:hanging="567" w:start="567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לערכים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483" w:start="567" w:end="0"/>
        <w:jc w:val="both"/>
        <w:rPr/>
      </w:pP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פגיעתן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</w:t>
      </w:r>
      <w:r>
        <w:rPr>
          <w:rFonts w:ascii="Calibri" w:hAnsi="Calibri" w:cs="Calibri"/>
          <w:rtl w:val="true"/>
        </w:rPr>
        <w:t>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>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הם </w:t>
      </w:r>
      <w:r>
        <w:rPr>
          <w:rFonts w:ascii="Calibri" w:hAnsi="Calibri" w:cs="Calibri"/>
          <w:rtl w:val="true"/>
        </w:rPr>
        <w:t>רחבי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וממושכים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ועקיפים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נפשיים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וכלכליים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567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המחוקק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567" w:start="567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במקומותינו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מהמעורבים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והפצתו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6029/03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שמאי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734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9.2.2004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 w:before="0" w:after="160"/>
        <w:ind w:start="1440" w:end="426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בבואו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סוחרי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כמערערים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שלפנינו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לשוות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לנגד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עיניו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צרכני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הפגועים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משפחותיהם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המפוררות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הנחיית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המחוקק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להטיל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לביעור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ברטוריקה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נדרשים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ממש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להעלות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תרומתו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למלחמתה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במשחיתיה</w:t>
      </w:r>
      <w:r>
        <w:rPr>
          <w:rFonts w:cs="Miriam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>"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רובינשטיין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972/11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יניב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4.7.2012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 w:before="0" w:after="160"/>
        <w:ind w:start="1440" w:end="426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למאבק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בנגע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שותפים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רבים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חלקם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מתמקדים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בחינוך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מניעתי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ובהסברה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אחרים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מסייעים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בהליכי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הגמילה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לצדם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פועלים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אכיפת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שתפקידם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וללכוד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העבריינים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נוטל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חלק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במאבק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באמצעות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מרתיע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שהורשע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לכמות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ואיכותו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טיב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שבוצעה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תרומתו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להתגשמות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ועברו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הפלילי</w:t>
      </w:r>
      <w:r>
        <w:rPr>
          <w:rFonts w:cs="Miriam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>"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אפנה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שנאמרו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6990/13</w:t>
        </w:r>
      </w:hyperlink>
      <w:r>
        <w:rPr>
          <w:rFonts w:cs="Calibri" w:ascii="Calibri" w:hAnsi="Calibri"/>
          <w:rtl w:val="true"/>
        </w:rPr>
        <w:t xml:space="preserve">, 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7046/13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חט</w:t>
      </w:r>
      <w:r>
        <w:rPr>
          <w:rFonts w:cs="Miriam" w:ascii="Calibri" w:hAnsi="Calibri"/>
          <w:rtl w:val="true"/>
        </w:rPr>
        <w:t>'</w:t>
      </w:r>
      <w:r>
        <w:rPr>
          <w:rFonts w:ascii="Calibri" w:hAnsi="Calibri" w:cs="Miriam"/>
          <w:rtl w:val="true"/>
        </w:rPr>
        <w:t>יב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24.2.2014</w:t>
      </w:r>
      <w:r>
        <w:rPr>
          <w:rFonts w:cs="Calibri" w:ascii="Calibri" w:hAnsi="Calibri"/>
          <w:rtl w:val="true"/>
        </w:rPr>
        <w:t>):</w:t>
      </w:r>
    </w:p>
    <w:p>
      <w:pPr>
        <w:pStyle w:val="Normal"/>
        <w:spacing w:lineRule="auto" w:line="360" w:before="0" w:after="160"/>
        <w:ind w:start="1440" w:end="709"/>
        <w:jc w:val="both"/>
        <w:rPr/>
      </w:pPr>
      <w:r>
        <w:rPr>
          <w:rFonts w:cs="Calibri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הצביע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בפסקי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הקשות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הנגרמות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בעקבות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הפצת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מסוכנים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ובמיוחד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הקשים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שביניהם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קשה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להגזים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בהערכת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הנגרם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מייצור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הפצה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נזק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ממוני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גופני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ונפשי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המקיף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בכללותה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ואיננו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נעצר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במשתמש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במעורבים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הישירים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בביצוע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העבירות</w:t>
      </w:r>
      <w:r>
        <w:rPr>
          <w:rFonts w:cs="Miriam" w:ascii="Calibri" w:hAnsi="Calibri"/>
          <w:rtl w:val="true"/>
        </w:rPr>
        <w:t>...</w:t>
      </w:r>
      <w:r>
        <w:rPr>
          <w:rFonts w:ascii="Calibri" w:hAnsi="Calibri" w:cs="Miriam"/>
          <w:rtl w:val="true"/>
        </w:rPr>
        <w:t>יבואני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וסוחריו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המרכזיים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שיוזמים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ומניעים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התהליך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תפקיד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וממשי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בערכים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המוגנים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חברי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החוליות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המרכיבות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השרשרת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מגדול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קטן</w:t>
      </w:r>
      <w:r>
        <w:rPr>
          <w:rFonts w:cs="Miriam" w:ascii="Calibri" w:hAnsi="Calibri"/>
          <w:rtl w:val="true"/>
        </w:rPr>
        <w:t>: '</w:t>
      </w:r>
      <w:r>
        <w:rPr>
          <w:rFonts w:ascii="Calibri" w:hAnsi="Calibri" w:cs="Miriam"/>
          <w:rtl w:val="true"/>
        </w:rPr>
        <w:t>וידענו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חוליות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הביניים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המרכיבות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השרשרת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יתקשו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העיקריים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זממם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כנדרש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מכאן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חובה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המוטלת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להיאבק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חוליה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וחוליה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ולנתק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השרשרת</w:t>
      </w:r>
      <w:r>
        <w:rPr>
          <w:rFonts w:cs="Miriam" w:ascii="Calibri" w:hAnsi="Calibri"/>
          <w:rtl w:val="true"/>
        </w:rPr>
        <w:t>' (</w:t>
      </w:r>
      <w:hyperlink r:id="rId36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7757/04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בורשטיין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נ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ישראל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נט</w:t>
        </w:r>
      </w:hyperlink>
      <w:r>
        <w:rPr>
          <w:rFonts w:cs="Miriam" w:ascii="Calibri" w:hAnsi="Calibri"/>
          <w:rtl w:val="true"/>
        </w:rPr>
        <w:t>(</w:t>
      </w:r>
      <w:r>
        <w:rPr>
          <w:rFonts w:cs="Miriam" w:ascii="Calibri" w:hAnsi="Calibri"/>
        </w:rPr>
        <w:t>5</w:t>
      </w:r>
      <w:r>
        <w:rPr>
          <w:rFonts w:cs="Miriam" w:ascii="Calibri" w:hAnsi="Calibri"/>
          <w:rtl w:val="true"/>
        </w:rPr>
        <w:t xml:space="preserve">) </w:t>
      </w:r>
      <w:r>
        <w:rPr>
          <w:rFonts w:cs="Miriam" w:ascii="Calibri" w:hAnsi="Calibri"/>
        </w:rPr>
        <w:t>218</w:t>
      </w:r>
      <w:r>
        <w:rPr>
          <w:rFonts w:cs="Miriam" w:ascii="Calibri" w:hAnsi="Calibri"/>
          <w:rtl w:val="true"/>
        </w:rPr>
        <w:t xml:space="preserve">, </w:t>
      </w:r>
      <w:r>
        <w:rPr>
          <w:rFonts w:cs="Miriam" w:ascii="Calibri" w:hAnsi="Calibri"/>
        </w:rPr>
        <w:t>232</w:t>
      </w:r>
      <w:r>
        <w:rPr>
          <w:rFonts w:cs="Miriam" w:ascii="Calibri" w:hAnsi="Calibri"/>
          <w:rtl w:val="true"/>
        </w:rPr>
        <w:t xml:space="preserve"> (</w:t>
      </w:r>
      <w:r>
        <w:rPr>
          <w:rFonts w:cs="Miriam" w:ascii="Calibri" w:hAnsi="Calibri"/>
        </w:rPr>
        <w:t>2005</w:t>
      </w:r>
      <w:r>
        <w:rPr>
          <w:rFonts w:cs="Miriam" w:ascii="Calibri" w:hAnsi="Calibri"/>
          <w:rtl w:val="true"/>
        </w:rPr>
        <w:t>))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השרשרת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בייבוא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לעניין הנזק יש לומר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 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אותו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ספציפי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1-3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 לעבירת של החזקת 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בעביר</w:t>
      </w:r>
      <w:r>
        <w:rPr>
          <w:rFonts w:ascii="Calibri" w:hAnsi="Calibri" w:cs="Calibri"/>
          <w:rtl w:val="true"/>
        </w:rPr>
        <w:t>ה של ייבוא 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הנמצאת </w:t>
      </w:r>
      <w:r>
        <w:rPr>
          <w:rFonts w:ascii="Calibri" w:hAnsi="Calibri" w:cs="Calibri"/>
          <w:u w:val="single"/>
          <w:rtl w:val="true"/>
        </w:rPr>
        <w:t>במדרג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וגם </w:t>
      </w:r>
      <w:r>
        <w:rPr>
          <w:rFonts w:ascii="Calibri" w:hAnsi="Calibri" w:cs="Calibri"/>
          <w:rtl w:val="true"/>
        </w:rPr>
        <w:t>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 בהן הורשעו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טימיס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ופאלמה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קוקאין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744.02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מחולקים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+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 ו</w:t>
      </w:r>
      <w:r>
        <w:rPr>
          <w:rFonts w:ascii="Calibri" w:hAnsi="Calibri" w:cs="Calibri"/>
          <w:b/>
          <w:b/>
          <w:bCs/>
          <w:rtl w:val="true"/>
        </w:rPr>
        <w:t>סיוע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לייבוא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קוקאין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1.013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טימיס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אספקת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302.42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</w:t>
      </w:r>
      <w:r>
        <w:rPr>
          <w:rFonts w:cs="Calibri" w:ascii="Calibri" w:hAnsi="Calibri"/>
          <w:rtl w:val="true"/>
        </w:rPr>
        <w:t>' (</w:t>
      </w:r>
      <w:r>
        <w:rPr>
          <w:rFonts w:ascii="Calibri" w:hAnsi="Calibri" w:cs="Calibri"/>
          <w:u w:val="single"/>
          <w:rtl w:val="true"/>
        </w:rPr>
        <w:t>הוא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הסם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שנמצא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</w:t>
      </w:r>
      <w:r>
        <w:rPr>
          <w:rFonts w:ascii="Calibri" w:hAnsi="Calibri" w:cs="Calibri"/>
          <w:u w:val="single"/>
          <w:rtl w:val="true"/>
        </w:rPr>
        <w:t>ה</w:t>
      </w:r>
      <w:r>
        <w:rPr>
          <w:rFonts w:ascii="Calibri" w:hAnsi="Calibri" w:cs="Calibri"/>
          <w:u w:val="single"/>
          <w:rtl w:val="true"/>
        </w:rPr>
        <w:t>חזקת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שבפניי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סך הכול הורשעו שלושת הנאשמים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 ייבוא וסיוע לייבוא קוקאין והחזקה שלא לצריכה 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במשקל כולל של </w:t>
      </w:r>
      <w:r>
        <w:rPr>
          <w:rFonts w:cs="Calibri" w:ascii="Calibri" w:hAnsi="Calibri"/>
          <w:b/>
          <w:bCs/>
          <w:u w:val="single"/>
        </w:rPr>
        <w:t>1.757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כמעט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פי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לגביה הורשע </w:t>
      </w:r>
      <w:r>
        <w:rPr>
          <w:rFonts w:ascii="David" w:hAnsi="David"/>
          <w:rtl w:val="true"/>
        </w:rPr>
        <w:t>טאהא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טימיס</w:t>
      </w:r>
      <w:r>
        <w:rPr>
          <w:rFonts w:ascii="Calibri" w:hAnsi="Calibri" w:cs="Calibri"/>
          <w:rtl w:val="true"/>
        </w:rPr>
        <w:t xml:space="preserve">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אספקת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לטאהא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לגבי שלושתם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</w:t>
      </w:r>
      <w:r>
        <w:rPr>
          <w:rFonts w:cs="Calibri" w:ascii="Calibri" w:hAnsi="Calibri"/>
          <w:b/>
          <w:bCs/>
          <w:u w:val="single"/>
          <w:rtl w:val="true"/>
        </w:rPr>
        <w:t xml:space="preserve">- </w:t>
      </w:r>
      <w:r>
        <w:rPr>
          <w:rFonts w:cs="Calibri" w:ascii="Calibri" w:hAnsi="Calibri"/>
          <w:b/>
          <w:bCs/>
          <w:u w:val="single"/>
        </w:rPr>
        <w:t>7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לריצוי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להשלמת התמונה 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קנביס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18-6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לריצוי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לעלות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18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הדין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המתחם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בצד זה יש לזכור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 הרשעותיו הקודמות של טאהא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הן מלפני </w:t>
      </w:r>
      <w:r>
        <w:rPr>
          <w:rFonts w:cs="Calibri" w:ascii="Calibri" w:hAnsi="Calibri"/>
        </w:rPr>
        <w:t>12-13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את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לכאורה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ראייתיים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התעודות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מעידות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טאהא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הקטינות</w:t>
      </w:r>
      <w:r>
        <w:rPr>
          <w:rFonts w:cs="Calibri" w:ascii="Calibri" w:hAnsi="Calibri"/>
          <w:rtl w:val="true"/>
        </w:rPr>
        <w:t>.</w:t>
        <w:tab/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כן נוכח </w:t>
      </w:r>
      <w:r>
        <w:rPr>
          <w:rFonts w:ascii="Calibri" w:hAnsi="Calibri" w:cs="Calibri"/>
          <w:rtl w:val="true"/>
        </w:rPr>
        <w:t>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טאהא </w:t>
      </w:r>
      <w:r>
        <w:rPr>
          <w:rFonts w:ascii="Calibri" w:hAnsi="Calibri" w:cs="Calibri"/>
          <w:rtl w:val="true"/>
        </w:rPr>
        <w:t>בכלא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טימיס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פאלמה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כל כמות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שיובאו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שנתפסו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אבהיר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בראייה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סופו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דבר</w:t>
      </w:r>
      <w:r>
        <w:rPr>
          <w:rFonts w:cs="Calibri" w:ascii="Calibri" w:hAnsi="Calibri"/>
          <w:u w:val="single"/>
          <w:rtl w:val="true"/>
        </w:rPr>
        <w:t xml:space="preserve">, </w:t>
      </w:r>
      <w:r>
        <w:rPr>
          <w:rFonts w:ascii="Calibri" w:hAnsi="Calibri" w:cs="Calibri"/>
          <w:u w:val="single"/>
          <w:rtl w:val="true"/>
        </w:rPr>
        <w:t>אני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גוזרת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טאהא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03.11.2015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24960-09-13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במצטבר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ומחצית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/>
          <w:rtl w:val="true"/>
        </w:rPr>
        <w:t>התוצאה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שסך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ירצה</w:t>
      </w:r>
      <w:r>
        <w:rPr>
          <w:rFonts w:ascii="David" w:hAnsi="David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David" w:hAnsi="David"/>
          <w:rtl w:val="true"/>
        </w:rPr>
        <w:t xml:space="preserve"> 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26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,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15.1.17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color w:val="000000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46896-11-15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תמיר טאהא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5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Times New Roman"/>
      </w:rPr>
    </w:lvl>
  </w:abstractNum>
  <w:abstractNum w:abstractNumId="6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7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  <w:rPr>
        <w:rFonts w:cs="Times New Roman"/>
      </w:r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cs="Miriam"/>
    </w:rPr>
  </w:style>
  <w:style w:type="character" w:styleId="WW8Num14z1">
    <w:name w:val="WW8Num1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.c" TargetMode="External"/><Relationship Id="rId4" Type="http://schemas.openxmlformats.org/officeDocument/2006/relationships/hyperlink" Target="http://www.nevo.co.il/law/4216/2T" TargetMode="External"/><Relationship Id="rId5" Type="http://schemas.openxmlformats.org/officeDocument/2006/relationships/hyperlink" Target="http://www.nevo.co.il/law/4216/7.a" TargetMode="External"/><Relationship Id="rId6" Type="http://schemas.openxmlformats.org/officeDocument/2006/relationships/hyperlink" Target="http://www.nevo.co.il/law/4216/31" TargetMode="External"/><Relationship Id="rId7" Type="http://schemas.openxmlformats.org/officeDocument/2006/relationships/hyperlink" Target="http://www.nevo.co.il/law/4216/36h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/41d" TargetMode="External"/><Relationship Id="rId11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law/4216/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case/8281823" TargetMode="External"/><Relationship Id="rId15" Type="http://schemas.openxmlformats.org/officeDocument/2006/relationships/hyperlink" Target="http://www.nevo.co.il/case/4446129" TargetMode="External"/><Relationship Id="rId16" Type="http://schemas.openxmlformats.org/officeDocument/2006/relationships/hyperlink" Target="http://www.nevo.co.il/case/20752147" TargetMode="External"/><Relationship Id="rId17" Type="http://schemas.openxmlformats.org/officeDocument/2006/relationships/hyperlink" Target="http://www.nevo.co.il/law/4216/31" TargetMode="External"/><Relationship Id="rId18" Type="http://schemas.openxmlformats.org/officeDocument/2006/relationships/hyperlink" Target="http://www.nevo.co.il/law/4216/2T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/41d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20752147" TargetMode="External"/><Relationship Id="rId23" Type="http://schemas.openxmlformats.org/officeDocument/2006/relationships/hyperlink" Target="http://www.nevo.co.il/law/4216/36h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5594359" TargetMode="External"/><Relationship Id="rId26" Type="http://schemas.openxmlformats.org/officeDocument/2006/relationships/hyperlink" Target="http://www.nevo.co.il/case/5594354" TargetMode="External"/><Relationship Id="rId27" Type="http://schemas.openxmlformats.org/officeDocument/2006/relationships/hyperlink" Target="http://www.nevo.co.il/case/5590128" TargetMode="External"/><Relationship Id="rId28" Type="http://schemas.openxmlformats.org/officeDocument/2006/relationships/hyperlink" Target="http://www.nevo.co.il/case/5601584" TargetMode="External"/><Relationship Id="rId29" Type="http://schemas.openxmlformats.org/officeDocument/2006/relationships/hyperlink" Target="http://www.nevo.co.il/case/3978050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b" TargetMode="External"/><Relationship Id="rId32" Type="http://schemas.openxmlformats.org/officeDocument/2006/relationships/hyperlink" Target="http://www.nevo.co.il/case/5786821" TargetMode="External"/><Relationship Id="rId33" Type="http://schemas.openxmlformats.org/officeDocument/2006/relationships/hyperlink" Target="http://www.nevo.co.il/case/5738608" TargetMode="External"/><Relationship Id="rId34" Type="http://schemas.openxmlformats.org/officeDocument/2006/relationships/hyperlink" Target="http://www.nevo.co.il/case/11269774" TargetMode="External"/><Relationship Id="rId35" Type="http://schemas.openxmlformats.org/officeDocument/2006/relationships/hyperlink" Target="http://www.nevo.co.il/case/16900334" TargetMode="External"/><Relationship Id="rId36" Type="http://schemas.openxmlformats.org/officeDocument/2006/relationships/hyperlink" Target="http://www.nevo.co.il/case/5821045" TargetMode="External"/><Relationship Id="rId37" Type="http://schemas.openxmlformats.org/officeDocument/2006/relationships/hyperlink" Target="http://www.nevo.co.il/case/8281823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17</Pages>
  <Words>3844</Words>
  <Characters>17682</Characters>
  <CharactersWithSpaces>21443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2017-07-20T14:12:00Z</dcterms:created>
  <dc:creator> </dc:creator>
  <dc:description/>
  <cp:keywords/>
  <dc:language>en-IL</dc:language>
  <cp:lastModifiedBy>run</cp:lastModifiedBy>
  <dcterms:modified xsi:type="dcterms:W3CDTF">2017-07-20T14:12:00Z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תמיר טאהא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8281823:2;4446129;20752147:2;5594359;5594354;5590128;5601584;3978050;5786821;5738608;11269774;16900334;5821045</vt:lpwstr>
  </property>
  <property fmtid="{D5CDD505-2E9C-101B-9397-08002B2CF9AE}" pid="9" name="CITY">
    <vt:lpwstr>חי'</vt:lpwstr>
  </property>
  <property fmtid="{D5CDD505-2E9C-101B-9397-08002B2CF9AE}" pid="10" name="DATE">
    <vt:lpwstr>20161010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שרון נתנאל</vt:lpwstr>
  </property>
  <property fmtid="{D5CDD505-2E9C-101B-9397-08002B2CF9AE}" pid="14" name="LAWLISTTMP1">
    <vt:lpwstr>4216/007.a;.c;031;002T;036h</vt:lpwstr>
  </property>
  <property fmtid="{D5CDD505-2E9C-101B-9397-08002B2CF9AE}" pid="15" name="LAWLISTTMP2">
    <vt:lpwstr>70301/041d;040b</vt:lpwstr>
  </property>
  <property fmtid="{D5CDD505-2E9C-101B-9397-08002B2CF9AE}" pid="16" name="LAWYER">
    <vt:lpwstr>אמיר אוליאל;רונן חליוה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46896</vt:lpwstr>
  </property>
  <property fmtid="{D5CDD505-2E9C-101B-9397-08002B2CF9AE}" pid="23" name="NEWPARTB">
    <vt:lpwstr>11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390020161010</vt:lpwstr>
  </property>
  <property fmtid="{D5CDD505-2E9C-101B-9397-08002B2CF9AE}" pid="35" name="TYPE_N_DATE">
    <vt:lpwstr>39020161010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