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52031-06-16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גברילוב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 xml:space="preserve">)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4258"/>
        <w:gridCol w:w="3367"/>
      </w:tblGrid>
      <w:tr>
        <w:trPr>
          <w:trHeight w:val="29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מרדכי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58" w:type="dxa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אלירם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גלעם</w:t>
            </w:r>
          </w:p>
        </w:tc>
        <w:tc>
          <w:tcPr>
            <w:tcW w:w="33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5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4258" w:type="dxa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גברילוב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נודל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סיגלית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גברילוב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דוידוב</w:t>
            </w:r>
          </w:p>
        </w:tc>
        <w:tc>
          <w:tcPr>
            <w:tcW w:w="33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25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1418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המסוכנים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3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התעבורה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3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ביטוח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רכב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מנועי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3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המיטלטלין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8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3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המכר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0">
        <w:r>
          <w:rPr>
            <w:rStyle w:val="Hyperlink"/>
            <w:rFonts w:cs="FrankRuehl" w:ascii="FrankRuehl" w:hAnsi="FrankRuehl"/>
            <w:color w:val="0000FF"/>
            <w:u w:val="single"/>
          </w:rPr>
          <w:t>33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בעניינו של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פתח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09" w:end="0"/>
        <w:jc w:val="both"/>
        <w:rPr>
          <w:rFonts w:ascii="Calibri" w:hAnsi="Calibri" w:cs="Calibri"/>
        </w:rPr>
      </w:pPr>
      <w:bookmarkStart w:id="3" w:name="ABSTRACT_START"/>
      <w:bookmarkEnd w:id="3"/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42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המסוכנים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שיבוש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מהלכי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הפרעה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והדחה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בחקירה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מחמירות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חובה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ביטוח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רכב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מנועי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b/>
          <w:bCs/>
        </w:rPr>
      </w:pPr>
      <w:bookmarkStart w:id="4" w:name="ABSTRACT_END"/>
      <w:bookmarkEnd w:id="4"/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b/>
          <w:b/>
          <w:bCs/>
          <w:rtl w:val="true"/>
        </w:rPr>
        <w:t>ההגנה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תעתור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תפורטנה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הדירה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72.82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המסוכן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פלסטיק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החיפוש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לבקר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משהודע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עשיתי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לזרוק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למשמע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השלישי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רישוי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79-917-65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יפו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הסוגיות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הטעונות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הכרעה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שתי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מרכזיות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והשניה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סוגיית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החילוט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סוגיית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החילוט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5040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212$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הכסף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המזומן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הכספים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הושכר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חאיב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לירן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ובחתימת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תוקנו</w:t>
      </w:r>
      <w:r>
        <w:rPr>
          <w:rFonts w:cs="Calibri" w:ascii="Calibri" w:hAnsi="Calibri"/>
          <w:rtl w:val="true"/>
        </w:rPr>
        <w:t>):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799176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הקונה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חאיב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xxxxxxxxx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זכרון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הדברים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rtl w:val="true"/>
        </w:rPr>
        <w:t>צילום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877573078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rtl w:val="true"/>
        </w:rPr>
        <w:t>הודעת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שבבעלותו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והרכישה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1,700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יצטרך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להשכרתו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נודל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שאנחנו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הלוואי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שאלתי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cs="Calibri" w:ascii="Calibri" w:hAnsi="Calibri"/>
          <w:rtl w:val="true"/>
        </w:rPr>
        <w:t>: '</w:t>
      </w:r>
      <w:r>
        <w:rPr>
          <w:rFonts w:ascii="Calibri" w:hAnsi="Calibri" w:cs="Calibri"/>
          <w:rtl w:val="true"/>
        </w:rPr>
        <w:t>האוטו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מיפו</w:t>
      </w:r>
      <w:r>
        <w:rPr>
          <w:rFonts w:cs="Calibri" w:ascii="Calibri" w:hAnsi="Calibri"/>
          <w:rtl w:val="true"/>
        </w:rPr>
        <w:t xml:space="preserve">'";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41,000-26,400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לדגם של 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בצדק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והפיסי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והפיסי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והאיבזור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ליסינג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וכיוצ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מוחמד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העוסק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ולירן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בעדותו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הזיז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לירן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מכרתי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קונה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עיקרי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 והכסף המזומן שנתפסו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כרכושו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מהתמורה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החתימה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המוסכמת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זימונו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החילוט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שנועד</w:t>
      </w:r>
      <w:r>
        <w:rPr>
          <w:rFonts w:ascii="Calibri" w:hAnsi="Calibri" w:cs="Calibri"/>
          <w:rtl w:val="true"/>
        </w:rPr>
        <w:t xml:space="preserve">ו </w:t>
      </w:r>
      <w:r>
        <w:rPr>
          <w:rFonts w:ascii="Calibri" w:hAnsi="Calibri" w:cs="Calibri"/>
          <w:rtl w:val="true"/>
        </w:rPr>
        <w:t>להבטיח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שתיקתו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אף </w:t>
      </w:r>
      <w:r>
        <w:rPr>
          <w:rFonts w:ascii="Calibri" w:hAnsi="Calibri" w:cs="Calibri"/>
          <w:rtl w:val="true"/>
        </w:rPr>
        <w:t>בגרסת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המיטלטלין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במיטלטלין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המכר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1968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החילוט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4209/09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ברין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נה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587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7376/02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כהן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נז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558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2003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החילוט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מפקידם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קטנים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ומנגד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100$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50$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20$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נשאל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ממוחמד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שסיפרת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בחקירתך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תגובתך</w:t>
      </w:r>
      <w:r>
        <w:rPr>
          <w:rFonts w:cs="Calibri" w:ascii="Calibri" w:hAnsi="Calibri"/>
          <w:rtl w:val="true"/>
        </w:rPr>
        <w:t xml:space="preserve">?". </w:t>
      </w: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הכתובה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 ו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תוכן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תוכן </w:t>
      </w:r>
      <w:r>
        <w:rPr>
          <w:rFonts w:ascii="Calibri" w:hAnsi="Calibri" w:cs="Calibri"/>
          <w:rtl w:val="true"/>
        </w:rPr>
        <w:t>אמרותיו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שקרי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מיסוי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ואינ</w:t>
      </w:r>
      <w:r>
        <w:rPr>
          <w:rFonts w:ascii="Calibri" w:hAnsi="Calibri" w:cs="Calibri"/>
          <w:rtl w:val="true"/>
        </w:rPr>
        <w:t xml:space="preserve">ם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החתימה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חודשיים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ה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26,400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עוד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זה </w:t>
      </w:r>
      <w:r>
        <w:rPr>
          <w:rFonts w:ascii="Calibri" w:hAnsi="Calibri" w:cs="Calibri"/>
          <w:rtl w:val="true"/>
        </w:rPr>
        <w:t>שחתום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שחילוטם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מקורו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כמתופף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הכרעה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בסוגיית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החילוט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"(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):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יצווה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זולת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מנימוקים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יחולט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–</w:t>
      </w:r>
    </w:p>
    <w:p>
      <w:pPr>
        <w:pStyle w:val="Normal"/>
        <w:spacing w:lineRule="auto" w:line="360"/>
        <w:ind w:start="1440" w:end="1418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ששימש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כאמצעי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ששימש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לאפשר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>;</w:t>
      </w:r>
    </w:p>
    <w:p>
      <w:pPr>
        <w:pStyle w:val="Normal"/>
        <w:spacing w:lineRule="auto" w:line="360"/>
        <w:ind w:start="1440" w:end="1418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שהושג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במישרין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בעקיפין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כשכר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start="1082" w:end="1418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...</w:t>
      </w:r>
    </w:p>
    <w:p>
      <w:pPr>
        <w:pStyle w:val="Normal"/>
        <w:spacing w:lineRule="auto" w:line="360"/>
        <w:ind w:start="1082" w:end="1418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שהרשיע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בהכרעת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6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6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7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9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0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1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2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סק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6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7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8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2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3">
        <w:r>
          <w:rPr>
            <w:rStyle w:val="Hyperlink"/>
            <w:rFonts w:cs="FrankRuehl" w:ascii="FrankRuehl" w:hAnsi="FrankRuehl"/>
            <w:color w:val="0000FF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4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10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1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10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10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המיטלטלין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5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hyperlink r:id="rId10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המכר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7">
        <w:r>
          <w:rPr>
            <w:rStyle w:val="Hyperlink"/>
            <w:rFonts w:cs="FrankRuehl" w:ascii="FrankRuehl" w:hAnsi="FrankRuehl"/>
            <w:color w:val="0000FF"/>
            <w:u w:val="single"/>
          </w:rPr>
          <w:t>33</w:t>
        </w:r>
      </w:hyperlink>
    </w:p>
    <w:p>
      <w:pPr>
        <w:pStyle w:val="Normal"/>
        <w:spacing w:lineRule="exact" w:line="240" w:before="0" w:after="120"/>
        <w:ind w:hanging="283" w:start="283" w:end="1418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start="1082" w:end="1418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start="1082" w:end="1418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082" w:end="1418"/>
        <w:jc w:val="both"/>
        <w:rPr>
          <w:rFonts w:ascii="FrankRuehl" w:hAnsi="FrankRuehl" w:cs="FrankRuehl"/>
        </w:rPr>
      </w:pPr>
      <w:r>
        <w:rPr>
          <w:rFonts w:ascii="Calibri" w:hAnsi="Calibri" w:cs="Calibri"/>
          <w:b/>
          <w:b/>
          <w:bCs/>
          <w:rtl w:val="true"/>
        </w:rPr>
        <w:t>ת</w:t>
      </w:r>
    </w:p>
    <w:p>
      <w:pPr>
        <w:pStyle w:val="Normal"/>
        <w:spacing w:lineRule="auto" w:line="360"/>
        <w:ind w:start="1082" w:end="1418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082" w:end="1418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082" w:end="1418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ו</w:t>
      </w:r>
    </w:p>
    <w:p>
      <w:pPr>
        <w:pStyle w:val="Normal"/>
        <w:spacing w:lineRule="auto" w:line="360"/>
        <w:ind w:start="1082" w:end="1418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ascii="Calibri" w:hAnsi="Calibri" w:cs="Calibri"/>
          <w:rtl w:val="true"/>
        </w:rPr>
        <w:t>ע</w:t>
      </w:r>
    </w:p>
    <w:p>
      <w:pPr>
        <w:pStyle w:val="Normal"/>
        <w:spacing w:lineRule="auto" w:line="360"/>
        <w:ind w:start="1082" w:end="1418"/>
        <w:jc w:val="both"/>
        <w:rPr>
          <w:rFonts w:ascii="FrankRuehl" w:hAnsi="FrankRuehl" w:cs="FrankRuehl"/>
        </w:rPr>
      </w:pPr>
      <w:r>
        <w:rPr>
          <w:rFonts w:cs="Calibri" w:ascii="Calibri" w:hAnsi="Calibri"/>
          <w:b/>
          <w:bCs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</w:p>
    <w:p>
      <w:pPr>
        <w:pStyle w:val="Normal"/>
        <w:spacing w:lineRule="auto" w:line="360"/>
        <w:ind w:start="1082" w:end="1418"/>
        <w:jc w:val="center"/>
        <w:rPr>
          <w:rFonts w:ascii="Calibri" w:hAnsi="Calibri" w:cs="Calibri"/>
          <w:b/>
          <w:bCs/>
        </w:rPr>
      </w:pPr>
      <w:bookmarkStart w:id="8" w:name="PsakDin"/>
      <w:bookmarkEnd w:id="8"/>
      <w:r>
        <w:rPr>
          <w:rFonts w:ascii="Calibri" w:hAnsi="Calibri" w:cs="Calibri"/>
          <w:b/>
          <w:b/>
          <w:bCs/>
          <w:rtl w:val="true"/>
        </w:rPr>
        <w:t>שהנידון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  </w:t>
      </w:r>
      <w:r>
        <w:rPr>
          <w:rFonts w:ascii="Calibri" w:hAnsi="Calibri" w:cs="Calibri"/>
          <w:b/>
          <w:b/>
          <w:bCs/>
          <w:rtl w:val="true"/>
        </w:rPr>
        <w:t>יצווה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בנוסף</w:t>
      </w:r>
    </w:p>
    <w:p>
      <w:pPr>
        <w:pStyle w:val="Normal"/>
        <w:spacing w:lineRule="auto" w:line="360"/>
        <w:ind w:start="1082" w:end="1418"/>
        <w:jc w:val="both"/>
        <w:rPr>
          <w:rFonts w:ascii="Calibri" w:hAnsi="Calibri" w:cs="Calibri"/>
          <w:b/>
          <w:bCs/>
        </w:rPr>
      </w:pPr>
      <w:bookmarkStart w:id="9" w:name="PsakDin"/>
      <w:bookmarkEnd w:id="9"/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יחולט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מנימוקים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שיפרט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hyperlink r:id="rId108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09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מנימוקים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שיפרט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10"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לחלטו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"(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): </w:t>
      </w:r>
      <w:r>
        <w:rPr>
          <w:rFonts w:ascii="Calibri" w:hAnsi="Calibri" w:cs="Calibri"/>
          <w:b/>
          <w:b/>
          <w:bCs/>
          <w:rtl w:val="true"/>
        </w:rPr>
        <w:t>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שנידון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–</w:t>
      </w:r>
    </w:p>
    <w:p>
      <w:pPr>
        <w:pStyle w:val="Normal"/>
        <w:spacing w:lineRule="auto" w:line="36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)</w:t>
        <w:tab/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זוגו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ילדיו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תמורה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ייראה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הוכיח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מאלה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firstLine="358"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אא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האמצעים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חוקיים</w:t>
      </w:r>
      <w:r>
        <w:rPr>
          <w:rFonts w:cs="Calibri" w:ascii="Calibri" w:hAnsi="Calibri"/>
          <w:b/>
          <w:bCs/>
          <w:rtl w:val="true"/>
        </w:rPr>
        <w:t>;</w:t>
      </w:r>
    </w:p>
    <w:p>
      <w:pPr>
        <w:pStyle w:val="Normal"/>
        <w:spacing w:lineRule="auto" w:line="360"/>
        <w:ind w:start="1440" w:end="1418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בב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שקדמו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נדון</w:t>
      </w:r>
      <w:r>
        <w:rPr>
          <w:rFonts w:cs="Calibri" w:ascii="Calibri" w:hAnsi="Calibri"/>
          <w:b/>
          <w:bCs/>
          <w:rtl w:val="true"/>
        </w:rPr>
        <w:t>;</w:t>
      </w:r>
    </w:p>
    <w:p>
      <w:pPr>
        <w:pStyle w:val="Normal"/>
        <w:spacing w:lineRule="auto" w:line="36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בחזקתו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הוכיח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זולתו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המפורטים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)".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הקבועה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11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רכושו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ייראה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הוכיח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hyperlink r:id="rId11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הימצאות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בחזקתו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והנטל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להוכיח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לזולתו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יודגש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ברכוש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בעלותו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בנכס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בלעדיו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לקיומה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חילוט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לפקודה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א</w:t>
      </w:r>
      <w:r>
        <w:rPr>
          <w:rFonts w:cs="Calibri" w:ascii="Calibri" w:hAnsi="Calibri"/>
          <w:u w:val="single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חילוט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הכסף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המזומן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</w:rPr>
        <w:t>,</w:t>
      </w:r>
      <w:r>
        <w:rPr>
          <w:rFonts w:cs="Calibri" w:ascii="Calibri" w:hAnsi="Calibri"/>
        </w:rPr>
        <w:t>040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212$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שהרוויח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במאזן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ההסתברויות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1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].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ברלינר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170/07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19.11.2007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 w:before="240" w:after="24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הלך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הסנגור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מאיינת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לחלוטין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שבסעיף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cs="Calibri" w:ascii="Calibri" w:hAnsi="Calibri"/>
          <w:b/>
          <w:bCs/>
          <w:color w:val="000000"/>
        </w:rPr>
        <w:t>31</w:t>
      </w:r>
      <w:r>
        <w:rPr>
          <w:rFonts w:cs="Calibri" w:ascii="Calibri" w:hAnsi="Calibri"/>
          <w:b/>
          <w:bCs/>
          <w:color w:val="000000"/>
          <w:rtl w:val="true"/>
        </w:rPr>
        <w:t>(</w:t>
      </w:r>
      <w:r>
        <w:rPr>
          <w:rFonts w:cs="Calibri" w:ascii="Calibri" w:hAnsi="Calibri"/>
          <w:b/>
          <w:bCs/>
          <w:color w:val="000000"/>
        </w:rPr>
        <w:t>6</w:t>
      </w:r>
      <w:r>
        <w:rPr>
          <w:rFonts w:cs="Calibri" w:ascii="Calibri" w:hAnsi="Calibri"/>
          <w:b/>
          <w:bCs/>
          <w:color w:val="000000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סעיפיו</w:t>
      </w:r>
      <w:r>
        <w:rPr>
          <w:rFonts w:cs="Calibri" w:ascii="Calibri" w:hAnsi="Calibri"/>
          <w:b/>
          <w:bCs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ההוכחה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הפוזיטיבית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שהיתה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נדרשת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מהתביעה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להוכחת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הכספים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ממלאת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זהו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הטענה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הסנגור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להתבסס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דהיינו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הכספים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עומדת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לרועץ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לתביעה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התביעה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חובתה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בהקמת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הכרזתו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ואילך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הנטל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לסתור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הוודאות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הנדרשת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מאזן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ההסתברויות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לטובתו</w:t>
      </w:r>
      <w:r>
        <w:rPr>
          <w:rFonts w:cs="Calibri" w:ascii="Calibri" w:hAnsi="Calibri"/>
          <w:b/>
          <w:bCs/>
          <w:rtl w:val="true"/>
        </w:rPr>
        <w:t xml:space="preserve">".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הרכוש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ברלינר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גרסתו על פי </w:t>
      </w:r>
      <w:r>
        <w:rPr>
          <w:rFonts w:ascii="Calibri" w:hAnsi="Calibri" w:cs="Calibri"/>
          <w:rtl w:val="true"/>
        </w:rPr>
        <w:t>מאזן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ההסתברויות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כמתופף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 ש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היה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מחזק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כללו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חילוט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הרכב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הקבועה</w:t>
      </w:r>
      <w:r>
        <w:rPr>
          <w:rFonts w:ascii="Calibri" w:hAnsi="Calibri" w:cs="Calibri"/>
          <w:rtl w:val="true"/>
        </w:rPr>
        <w:t xml:space="preserve"> </w:t>
      </w:r>
      <w:hyperlink r:id="rId1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פי  מאזן ההסתברויות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לזולתו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למוחמד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ממכלול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שלירן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השכרת</w:t>
      </w:r>
      <w:r>
        <w:rPr>
          <w:rFonts w:ascii="Calibri" w:hAnsi="Calibri" w:cs="Calibri"/>
          <w:rtl w:val="true"/>
        </w:rPr>
        <w:t xml:space="preserve"> הרכב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במפורש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cs="Calibri" w:ascii="Calibri" w:hAnsi="Calibri"/>
          <w:rtl w:val="true"/>
        </w:rPr>
        <w:t>) "</w:t>
      </w:r>
      <w:r>
        <w:rPr>
          <w:rFonts w:ascii="Calibri" w:hAnsi="Calibri" w:cs="Calibri"/>
          <w:rtl w:val="true"/>
        </w:rPr>
        <w:t>נמכרה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הקונה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ממוחמד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בעדויותיהם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ומתחמקות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לשיטתם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שמר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האוטו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מיפו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פרטי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10.6.6.16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106-91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237-218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חזקת</w:t>
      </w:r>
      <w:r>
        <w:rPr>
          <w:rFonts w:ascii="Calibri" w:hAnsi="Calibri" w:cs="Calibri"/>
          <w:rtl w:val="true"/>
        </w:rPr>
        <w:t>ו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 ל</w:t>
      </w:r>
      <w:r>
        <w:rPr>
          <w:rFonts w:ascii="Calibri" w:hAnsi="Calibri" w:cs="Calibri"/>
          <w:rtl w:val="true"/>
        </w:rPr>
        <w:t>סת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 הקבועה כאמור בדין וזאת בשים לב גם ל</w:t>
      </w:r>
      <w:r>
        <w:rPr>
          <w:rFonts w:ascii="Calibri" w:hAnsi="Calibri" w:cs="Calibri"/>
          <w:rtl w:val="true"/>
        </w:rPr>
        <w:t>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מידת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מטפלים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סיעודיים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וחיובי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עיקרי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עתר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להטיל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וזאת כאמור לצד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אריזות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הבלעדי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: </w:t>
      </w:r>
      <w:hyperlink r:id="rId1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2371/16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פיטוסי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5.10.2016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פיטוסי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1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1313/14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בהתימי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9.6.2015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בהתימי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1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2472/15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שורצמן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21.5.2015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שורצמן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1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6277/14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משלטי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2.2.2015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משלטי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1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5374/12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אברג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9.1.2013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אברג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יל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הרשעה ב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דרסטי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עבירות הסמים שבהן הורשע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 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 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5-3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גין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בלבד </w:t>
      </w:r>
      <w:r>
        <w:rPr>
          <w:rFonts w:ascii="Calibri" w:hAnsi="Calibri" w:cs="Calibri"/>
          <w:rtl w:val="true"/>
        </w:rPr>
        <w:t>והגם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עיקרי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להסתפק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השתכנעו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קוף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ונוצל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>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והמשפחתיות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להלן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כמתופף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ופטירת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האקוסטית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שבדירה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שצמחו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</w:t>
      </w:r>
      <w:r>
        <w:rPr>
          <w:rFonts w:ascii="Calibri" w:hAnsi="Calibri" w:cs="Calibri"/>
          <w:rtl w:val="true"/>
        </w:rPr>
        <w:t>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גין ה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: </w:t>
      </w:r>
      <w:hyperlink r:id="rId1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4592/15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פדידה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8.2.2016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פדידה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1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2279/15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בורוחוב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31.1.2016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בורוחוב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1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2646/15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16.7.2015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1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1425/15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טבול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5.3.2015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טבול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8107/13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17.1.2016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שתתמוך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ascii="Calibri" w:hAnsi="Calibri" w:cs="Calibri"/>
          <w:rtl w:val="true"/>
        </w:rPr>
        <w:t>מדתו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לקטגוריה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בגירים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לעמדתו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הקוגניטיבית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המשתייכים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1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31"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</w:rPr>
          <w:t>6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הסמלי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מוגבל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נטען כי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מינימלית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בדבריו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וישפוט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מכולם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... </w:t>
      </w:r>
      <w:r>
        <w:rPr>
          <w:rFonts w:ascii="Calibri" w:hAnsi="Calibri" w:cs="Calibri"/>
          <w:rtl w:val="true"/>
        </w:rPr>
        <w:t>חסכתי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בקוקאין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כללי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33">
        <w:r>
          <w:rPr>
            <w:rStyle w:val="Hyperlink"/>
            <w:rFonts w:ascii="Calibri" w:hAnsi="Calibri" w:cs="Calibri"/>
            <w:color w:val="0000FF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35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יג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color w:val="000000"/>
          <w:rtl w:val="true"/>
        </w:rPr>
        <w:t>חוק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hyperlink r:id="rId1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5668/13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מזרחי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17.3.2016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37">
        <w:r>
          <w:rPr>
            <w:rStyle w:val="Hyperlink"/>
            <w:rFonts w:ascii="Calibri" w:hAnsi="Calibri" w:cs="Calibri"/>
            <w:color w:val="0000FF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138">
        <w:r>
          <w:rPr>
            <w:rStyle w:val="Hyperlink"/>
            <w:rFonts w:ascii="Calibri" w:hAnsi="Calibri" w:cs="Calibri"/>
            <w:color w:val="0000FF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hyperlink r:id="rId1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2918/13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18.7.2013</w:t>
      </w:r>
      <w:r>
        <w:rPr>
          <w:rFonts w:cs="Calibri" w:ascii="Calibri" w:hAnsi="Calibri"/>
          <w:rtl w:val="true"/>
        </w:rPr>
        <w:t xml:space="preserve">); </w:t>
      </w:r>
      <w:hyperlink r:id="rId1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29-18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סולברג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5.8.2013</w:t>
      </w:r>
      <w:r>
        <w:rPr>
          <w:rFonts w:cs="Calibri" w:ascii="Calibri" w:hAnsi="Calibri"/>
          <w:rtl w:val="true"/>
        </w:rPr>
        <w:t xml:space="preserve">); </w:t>
      </w:r>
      <w:hyperlink r:id="rId1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4741/13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נעאמנה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10.6.2014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43">
        <w:r>
          <w:rPr>
            <w:rStyle w:val="Hyperlink"/>
            <w:rFonts w:ascii="Calibri" w:hAnsi="Calibri" w:cs="Calibri"/>
            <w:color w:val="0000FF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144">
        <w:r>
          <w:rPr>
            <w:rStyle w:val="Hyperlink"/>
            <w:rFonts w:ascii="Calibri" w:hAnsi="Calibri" w:cs="Calibri"/>
            <w:color w:val="0000FF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והרתעת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ז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ובלבד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חריגה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לחפוף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)].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הפרט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וביניהם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גראס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</w:t>
      </w:r>
      <w:r>
        <w:rPr>
          <w:rFonts w:ascii="Calibri" w:hAnsi="Calibri" w:cs="Calibri"/>
          <w:rtl w:val="true"/>
        </w:rPr>
        <w:t>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ומרתיעה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211/09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אזולאי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22.6.2010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076" w:end="1418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המופלגת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קודם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בבריאות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שנית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להעביר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משמעי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אזהרה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אפקטיבי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שמתכוון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ההעברות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הפונקציה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בשרשרת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מדגישים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החשובים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לביעורו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משרתת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וההרתעה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היעדים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העיקריים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בתחום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פרוקצ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יוער כי </w:t>
      </w:r>
      <w:r>
        <w:rPr>
          <w:rFonts w:ascii="Calibri" w:hAnsi="Calibri" w:cs="Calibri"/>
          <w:rtl w:val="true"/>
        </w:rPr>
        <w:t>בפסק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גראס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ממשנהו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בסם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מספר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גראס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שכידוע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ומועדיהם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אותם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פיטוסי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בהתימי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שורצמן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1.4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משלטי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51.36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10.11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אברג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פדידה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מאסר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ההדגשה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6-2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לטעמנו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בורוחוב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 xml:space="preserve">עבירות </w:t>
      </w:r>
      <w:r>
        <w:rPr>
          <w:rFonts w:ascii="Calibri" w:hAnsi="Calibri" w:cs="Calibri"/>
          <w:b/>
          <w:b/>
          <w:bCs/>
          <w:rtl w:val="true"/>
        </w:rPr>
        <w:t>ההחזקה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גם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מהלכי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במהלך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תפקידו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והשוו</w:t>
      </w:r>
      <w:r>
        <w:rPr>
          <w:rFonts w:cs="Calibri" w:ascii="Calibri" w:hAnsi="Calibri"/>
          <w:rtl w:val="true"/>
        </w:rPr>
        <w:t xml:space="preserve">: </w:t>
      </w:r>
      <w:hyperlink r:id="rId1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39860-03-10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5.11.2013</w:t>
      </w:r>
      <w:r>
        <w:rPr>
          <w:rFonts w:cs="Calibri" w:ascii="Calibri" w:hAnsi="Calibri"/>
          <w:rtl w:val="true"/>
        </w:rPr>
        <w:t xml:space="preserve">); </w:t>
      </w:r>
      <w:hyperlink r:id="rId1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61784-01-13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4.6.2015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חובה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השלישי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מותנה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והשוו</w:t>
      </w:r>
      <w:r>
        <w:rPr>
          <w:rFonts w:cs="Calibri" w:ascii="Calibri" w:hAnsi="Calibri"/>
          <w:rtl w:val="true"/>
        </w:rPr>
        <w:t xml:space="preserve">: </w:t>
      </w:r>
      <w:hyperlink r:id="rId1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4389/12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סצקו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6.6.2012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; </w:t>
      </w:r>
      <w:hyperlink r:id="rId1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22585-11-12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אשורוב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3.12.2012</w:t>
      </w:r>
      <w:r>
        <w:rPr>
          <w:rFonts w:cs="Calibri" w:ascii="Calibri" w:hAnsi="Calibri"/>
          <w:rtl w:val="true"/>
        </w:rPr>
        <w:t xml:space="preserve">)].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משוקלל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כולל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גזירת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המתאים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ושלגביהן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ולתינוקת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.    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hyperlink r:id="rId1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1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7781/12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25.6.2013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בגיר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cs="Calibri" w:ascii="Calibri" w:hAnsi="Calibri"/>
          <w:b/>
          <w:bCs/>
          <w:rtl w:val="true"/>
        </w:rPr>
        <w:t xml:space="preserve">",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בתבונה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מבגירים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ההתפתחותיים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האנטומיים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הפסיכולוגיים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והקוגניטיביים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במאפייניה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הייחודיים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120" w:after="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להתחשב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בייחודיותה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קבוצת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בגירים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צעירים</w:t>
      </w:r>
      <w:r>
        <w:rPr>
          <w:rFonts w:cs="Calibri" w:ascii="Calibri" w:hAnsi="Calibri"/>
          <w:b/>
          <w:bCs/>
          <w:rtl w:val="true"/>
        </w:rPr>
        <w:t xml:space="preserve">'. </w:t>
      </w:r>
      <w:r>
        <w:rPr>
          <w:rFonts w:ascii="Calibri" w:hAnsi="Calibri" w:cs="Calibri"/>
          <w:b/>
          <w:b/>
          <w:bCs/>
          <w:rtl w:val="true"/>
        </w:rPr>
        <w:t>חשוב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להבהיר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בקביעתנו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קבוצה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בקובעו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בגיר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לייחס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קרבתו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ההשפעה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האפשרית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ומצבו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הנפשי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ובגרותו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מתסקיר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שיוגש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בפניו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בטרם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58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hyperlink r:id="rId1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4641/12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20.11.2013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1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2357/13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6.10.2013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המיעוט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7781/12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בגירים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120" w:after="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יט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דומה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בעינינו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הגישות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הבחנה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לבגירים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צעירים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ואולם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פרמטר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המובא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בתיקון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113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ascii="Calibri" w:hAnsi="Calibri" w:cs="Calibri"/>
          <w:b/>
          <w:b/>
          <w:bCs/>
          <w:rtl w:val="true"/>
        </w:rPr>
        <w:t>ט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מובאת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יכולתו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הפסול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שבמעשהו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גילו</w:t>
      </w:r>
      <w:r>
        <w:rPr>
          <w:rFonts w:cs="Calibri" w:ascii="Calibri" w:hAnsi="Calibri"/>
          <w:b/>
          <w:bCs/>
          <w:rtl w:val="true"/>
        </w:rPr>
        <w:t xml:space="preserve">'; </w:t>
      </w:r>
      <w:r>
        <w:rPr>
          <w:rFonts w:ascii="Calibri" w:hAnsi="Calibri" w:cs="Calibri"/>
          <w:b/>
          <w:b/>
          <w:bCs/>
          <w:rtl w:val="true"/>
        </w:rPr>
        <w:t>והן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ascii="Calibri" w:hAnsi="Calibri" w:cs="Calibri"/>
          <w:b/>
          <w:b/>
          <w:bCs/>
          <w:rtl w:val="true"/>
        </w:rPr>
        <w:t>יא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המביא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גילו</w:t>
      </w:r>
      <w:r>
        <w:rPr>
          <w:rFonts w:cs="Calibri" w:ascii="Calibri" w:hAnsi="Calibri"/>
          <w:b/>
          <w:bCs/>
          <w:rtl w:val="true"/>
        </w:rPr>
        <w:t xml:space="preserve">'. </w:t>
      </w:r>
      <w:r>
        <w:rPr>
          <w:rFonts w:ascii="Calibri" w:hAnsi="Calibri" w:cs="Calibri"/>
          <w:b/>
          <w:b/>
          <w:bCs/>
          <w:rtl w:val="true"/>
        </w:rPr>
        <w:t>ההתחשבות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cs="Calibri" w:ascii="Calibri" w:hAnsi="Calibri"/>
          <w:b/>
          <w:bCs/>
          <w:rtl w:val="true"/>
        </w:rPr>
        <w:t xml:space="preserve">... </w:t>
      </w:r>
    </w:p>
    <w:p>
      <w:pPr>
        <w:pStyle w:val="Normal"/>
        <w:spacing w:lineRule="auto" w:line="360" w:before="120" w:after="0"/>
        <w:ind w:start="1082" w:end="1418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בגיר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פוליסת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מקטינים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לגביהם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המתאימים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ממאסר</w:t>
      </w:r>
      <w:r>
        <w:rPr>
          <w:rFonts w:cs="Calibri" w:ascii="Calibri" w:hAnsi="Calibri"/>
          <w:b/>
          <w:bCs/>
          <w:rtl w:val="true"/>
        </w:rPr>
        <w:t xml:space="preserve">..."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הבגירים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spacing w:lineRule="auto" w:line="360" w:before="120" w:after="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"...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פרטנית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מאפייניו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תאפשר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להבטיח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דוקטרינת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הבגירים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הצעירים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נותרת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המגשים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השיפוטי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קטגוריה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נפרדת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הפורצת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>... '</w:t>
      </w:r>
      <w:r>
        <w:rPr>
          <w:rFonts w:ascii="Calibri" w:hAnsi="Calibri" w:cs="Calibri"/>
          <w:b/>
          <w:b/>
          <w:bCs/>
          <w:rtl w:val="true"/>
        </w:rPr>
        <w:t>בגיר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מונח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קסם</w:t>
      </w:r>
      <w:r>
        <w:rPr>
          <w:rFonts w:cs="Calibri" w:ascii="Calibri" w:hAnsi="Calibri"/>
          <w:b/>
          <w:bCs/>
          <w:rtl w:val="true"/>
        </w:rPr>
        <w:t xml:space="preserve">', </w:t>
      </w:r>
      <w:r>
        <w:rPr>
          <w:rFonts w:ascii="Calibri" w:hAnsi="Calibri" w:cs="Calibri"/>
          <w:b/>
          <w:b/>
          <w:bCs/>
          <w:rtl w:val="true"/>
        </w:rPr>
        <w:t>המצדיק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כשלעצמו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המשתייך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לקבוצת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הגילאים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המסוימת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בקבוצת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משתנים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לבחון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מתקיימים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לגופו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בחינה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תיעשה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ההוראות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16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השיפוטי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מאפשרות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למאפייניהם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המיוחדים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הבגירים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הצעירים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[</w:t>
      </w:r>
      <w:hyperlink r:id="rId1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2420/15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אבטליון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21-20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29.11.2015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hyperlink r:id="rId1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308/16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נאטור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11-10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7.11.2016</w:t>
      </w:r>
      <w:r>
        <w:rPr>
          <w:rFonts w:cs="Calibri" w:ascii="Calibri" w:hAnsi="Calibri"/>
          <w:rtl w:val="true"/>
        </w:rPr>
        <w:t xml:space="preserve">); </w:t>
      </w:r>
      <w:hyperlink r:id="rId1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8487/15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זילברטל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8.11.2016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ובמשפחתו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המשוקלל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 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7.7.16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;  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יחולטו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40"/>
        <w:ind w:hanging="357" w:start="799"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240"/>
        <w:ind w:hanging="357" w:start="799" w:end="0"/>
        <w:jc w:val="both"/>
        <w:rPr>
          <w:rFonts w:ascii="Calibri" w:hAnsi="Calibri" w:cs="Calibri"/>
          <w:highlight w:val="yellow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זכות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ערעור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תוך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cs="Arial" w:ascii="Calibri" w:hAnsi="Calibri"/>
          <w:sz w:val="22"/>
          <w:szCs w:val="22"/>
        </w:rPr>
        <w:t>45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ימים</w:t>
      </w:r>
      <w:r>
        <w:rPr>
          <w:rFonts w:ascii="Calibri" w:hAnsi="Calibri" w:eastAsia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Arial"/>
          <w:sz w:val="22"/>
          <w:sz w:val="22"/>
          <w:szCs w:val="22"/>
          <w:rtl w:val="true"/>
        </w:rPr>
        <w:t>מהיום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919" w:type="dxa"/>
        <w:jc w:val="start"/>
        <w:tblInd w:w="120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19"/>
      </w:tblGrid>
      <w:tr>
        <w:trPr/>
        <w:tc>
          <w:tcPr>
            <w:tcW w:w="29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sz w:val="20"/>
                <w:szCs w:val="20"/>
                <w:lang w:val="en-IL" w:eastAsia="en-IL"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ו טבת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ינואר </w:t>
            </w:r>
            <w:r>
              <w:rPr>
                <w:rFonts w:cs="Arial" w:ascii="Arial" w:hAnsi="Arial"/>
              </w:rPr>
              <w:t>2017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Times New Roman"/>
                <w:sz w:val="20"/>
                <w:szCs w:val="20"/>
                <w:rtl w:val="true"/>
                <w:lang w:val="en-IL" w:eastAsia="en-IL"/>
              </w:rPr>
              <w:t xml:space="preserve">   </w:t>
            </w:r>
          </w:p>
        </w:tc>
      </w:tr>
      <w:tr>
        <w:trPr/>
        <w:tc>
          <w:tcPr>
            <w:tcW w:w="291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56" w:before="0" w:after="160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rFonts w:cs="David" w:ascii="David" w:hAnsi="David"/>
          <w:color w:val="000000"/>
          <w:sz w:val="22"/>
          <w:szCs w:val="22"/>
        </w:rPr>
        <w:t>54678313-4209/09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8"/>
      <w:footerReference w:type="default" r:id="rId16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4209/09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52031-06-16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נתניאל גברילוב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882" w:hanging="360"/>
      </w:pPr>
      <w:rPr>
        <w:sz w:val="2"/>
        <w:szCs w:val="22"/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1211" w:hanging="360"/>
      </w:pPr>
      <w:rPr>
        <w:sz w:val="24"/>
        <w:b w:val="false"/>
        <w:szCs w:val="24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David"/>
      <w:b w:val="false"/>
      <w:bCs w:val="false"/>
      <w:sz w:val="2"/>
      <w:szCs w:val="24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>
      <w:rFonts w:cs="Times New Roman"/>
      <w:sz w:val="2"/>
      <w:szCs w:val="22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  <w:b w:val="false"/>
      <w:bCs w:val="false"/>
      <w:sz w:val="24"/>
      <w:szCs w:val="24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  <w:sz w:val="2"/>
      <w:szCs w:val="26"/>
    </w:rPr>
  </w:style>
  <w:style w:type="character" w:styleId="WW8Num9z0">
    <w:name w:val="WW8Num9z0"/>
    <w:qFormat/>
    <w:rPr>
      <w:rFonts w:cs="Times New Roman"/>
      <w:b w:val="false"/>
      <w:bCs w:val="false"/>
      <w:color w:val="000000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  <w:b w:val="false"/>
      <w:bCs w:val="false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  <w:b w:val="false"/>
      <w:bCs w:val="false"/>
      <w:sz w:val="24"/>
      <w:szCs w:val="24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Style12">
    <w:name w:val="תבנית רגיל תו"/>
    <w:qFormat/>
    <w:rPr>
      <w:rFonts w:ascii="Times" w:hAnsi="Times" w:cs="David"/>
      <w:sz w:val="24"/>
      <w:szCs w:val="26"/>
      <w:lang w:val="en-US" w:bidi="he-IL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big-number">
    <w:name w:val="big-number"/>
    <w:qFormat/>
    <w:rPr>
      <w:rFonts w:ascii="Times New Roman" w:hAnsi="Times New Roman" w:cs="Times New Roman"/>
      <w:sz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437" w:start="652" w:end="0"/>
      <w:contextualSpacing/>
      <w:jc w:val="both"/>
    </w:pPr>
    <w:rPr>
      <w:rFonts w:ascii="Calibri" w:hAnsi="Calibri" w:cs="Arial"/>
      <w:sz w:val="22"/>
      <w:szCs w:val="22"/>
    </w:rPr>
  </w:style>
  <w:style w:type="paragraph" w:styleId="Style13">
    <w:name w:val="תבנית רגיל"/>
    <w:basedOn w:val="Normal"/>
    <w:qFormat/>
    <w:pPr>
      <w:spacing w:lineRule="auto" w:line="360"/>
      <w:jc w:val="both"/>
    </w:pPr>
    <w:rPr>
      <w:rFonts w:ascii="Times" w:hAnsi="Times" w:cs="Times"/>
      <w:szCs w:val="26"/>
    </w:rPr>
  </w:style>
  <w:style w:type="paragraph" w:styleId="1">
    <w:name w:val="פיסקת רשימה1"/>
    <w:basedOn w:val="Normal"/>
    <w:qFormat/>
    <w:pPr>
      <w:spacing w:lineRule="auto" w:line="360" w:before="0" w:after="240"/>
      <w:ind w:hanging="425" w:start="720" w:end="0"/>
      <w:jc w:val="both"/>
    </w:pPr>
    <w:rPr>
      <w:rFonts w:ascii="Calibri" w:hAnsi="Calibri" w:cs="Arial"/>
      <w:sz w:val="22"/>
      <w:szCs w:val="22"/>
    </w:rPr>
  </w:style>
  <w:style w:type="paragraph" w:styleId="Style14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P11">
    <w:name w:val="P11"/>
    <w:basedOn w:val="P00"/>
    <w:qFormat/>
    <w:pPr>
      <w:ind w:hanging="0" w:start="2835" w:end="624"/>
    </w:pPr>
    <w:rPr/>
  </w:style>
  <w:style w:type="paragraph" w:styleId="medium-header">
    <w:name w:val="medium-header"/>
    <w:basedOn w:val="P00"/>
    <w:qFormat/>
    <w:pPr>
      <w:keepNext w:val="true"/>
      <w:keepLines/>
      <w:spacing w:before="72" w:after="0"/>
      <w:jc w:val="center"/>
    </w:pPr>
    <w:rPr/>
  </w:style>
  <w:style w:type="paragraph" w:styleId="P22">
    <w:name w:val="P22"/>
    <w:basedOn w:val="P00"/>
    <w:qFormat/>
    <w:pPr>
      <w:ind w:hanging="0" w:start="2835" w:end="1021"/>
    </w:pPr>
    <w:rPr/>
  </w:style>
  <w:style w:type="paragraph" w:styleId="P33">
    <w:name w:val="P33"/>
    <w:basedOn w:val="P00"/>
    <w:qFormat/>
    <w:pPr>
      <w:ind w:hanging="0" w:start="2835" w:end="1474"/>
    </w:pPr>
    <w:rPr/>
  </w:style>
  <w:style w:type="paragraph" w:styleId="P44">
    <w:name w:val="P44"/>
    <w:basedOn w:val="P00"/>
    <w:qFormat/>
    <w:pPr>
      <w:ind w:hanging="0" w:start="2835" w:end="1928"/>
    </w:pPr>
    <w:rPr/>
  </w:style>
  <w:style w:type="paragraph" w:styleId="2">
    <w:name w:val="פיסקת רשימה2"/>
    <w:basedOn w:val="Normal"/>
    <w:qFormat/>
    <w:pPr>
      <w:spacing w:lineRule="auto" w:line="360" w:before="0" w:after="240"/>
      <w:ind w:hanging="425" w:start="720" w:end="0"/>
      <w:jc w:val="both"/>
    </w:pPr>
    <w:rPr>
      <w:rFonts w:ascii="Calibri" w:hAnsi="Calibri" w:cs="Arial"/>
      <w:sz w:val="22"/>
      <w:szCs w:val="22"/>
    </w:rPr>
  </w:style>
  <w:style w:type="paragraph" w:styleId="3">
    <w:name w:val="פיסקת רשימה3"/>
    <w:basedOn w:val="Normal"/>
    <w:qFormat/>
    <w:pPr>
      <w:spacing w:lineRule="auto" w:line="360" w:before="0" w:after="240"/>
      <w:ind w:hanging="425" w:start="720" w:end="0"/>
      <w:jc w:val="both"/>
    </w:pPr>
    <w:rPr>
      <w:rFonts w:ascii="Calibri" w:hAnsi="Calibri" w:cs="Arial"/>
      <w:sz w:val="22"/>
      <w:szCs w:val="22"/>
    </w:rPr>
  </w:style>
  <w:style w:type="paragraph" w:styleId="4">
    <w:name w:val="פיסקת רשימה4"/>
    <w:basedOn w:val="Normal"/>
    <w:qFormat/>
    <w:pPr>
      <w:spacing w:lineRule="auto" w:line="360" w:before="0" w:after="240"/>
      <w:ind w:hanging="425" w:start="720" w:end="0"/>
      <w:jc w:val="both"/>
    </w:pPr>
    <w:rPr>
      <w:rFonts w:ascii="Calibri" w:hAnsi="Calibri" w:cs="Arial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4216/31.3" TargetMode="External"/><Relationship Id="rId8" Type="http://schemas.openxmlformats.org/officeDocument/2006/relationships/hyperlink" Target="http://www.nevo.co.il/law/4216/31.6.a.aa" TargetMode="External"/><Relationship Id="rId9" Type="http://schemas.openxmlformats.org/officeDocument/2006/relationships/hyperlink" Target="http://www.nevo.co.il/law/4216/31.6.b" TargetMode="External"/><Relationship Id="rId10" Type="http://schemas.openxmlformats.org/officeDocument/2006/relationships/hyperlink" Target="http://www.nevo.co.il/law/4216/36.b" TargetMode="External"/><Relationship Id="rId11" Type="http://schemas.openxmlformats.org/officeDocument/2006/relationships/hyperlink" Target="http://www.nevo.co.il/law/4216/36a" TargetMode="External"/><Relationship Id="rId12" Type="http://schemas.openxmlformats.org/officeDocument/2006/relationships/hyperlink" Target="http://www.nevo.co.il/law/4216/36a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.i.a.6" TargetMode="External"/><Relationship Id="rId15" Type="http://schemas.openxmlformats.org/officeDocument/2006/relationships/hyperlink" Target="http://www.nevo.co.il/law/70301/40.ja.1" TargetMode="External"/><Relationship Id="rId16" Type="http://schemas.openxmlformats.org/officeDocument/2006/relationships/hyperlink" Target="http://www.nevo.co.il/law/70301/40b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/40c.b" TargetMode="External"/><Relationship Id="rId19" Type="http://schemas.openxmlformats.org/officeDocument/2006/relationships/hyperlink" Target="http://www.nevo.co.il/law/70301/40d" TargetMode="External"/><Relationship Id="rId20" Type="http://schemas.openxmlformats.org/officeDocument/2006/relationships/hyperlink" Target="http://www.nevo.co.il/law/70301/40e" TargetMode="External"/><Relationship Id="rId21" Type="http://schemas.openxmlformats.org/officeDocument/2006/relationships/hyperlink" Target="http://www.nevo.co.il/law/70301/40f" TargetMode="External"/><Relationship Id="rId22" Type="http://schemas.openxmlformats.org/officeDocument/2006/relationships/hyperlink" Target="http://www.nevo.co.il/law/70301/40g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/40i.a.6" TargetMode="External"/><Relationship Id="rId25" Type="http://schemas.openxmlformats.org/officeDocument/2006/relationships/hyperlink" Target="http://www.nevo.co.il/law/70301/244" TargetMode="External"/><Relationship Id="rId26" Type="http://schemas.openxmlformats.org/officeDocument/2006/relationships/hyperlink" Target="http://www.nevo.co.il/law/70301/245.b" TargetMode="External"/><Relationship Id="rId27" Type="http://schemas.openxmlformats.org/officeDocument/2006/relationships/hyperlink" Target="http://www.nevo.co.il/law/70301/275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40ja.1" TargetMode="External"/><Relationship Id="rId30" Type="http://schemas.openxmlformats.org/officeDocument/2006/relationships/hyperlink" Target="http://www.nevo.co.il/law/70301/40jc" TargetMode="External"/><Relationship Id="rId31" Type="http://schemas.openxmlformats.org/officeDocument/2006/relationships/hyperlink" Target="http://www.nevo.co.il/law/70301/40jc.a" TargetMode="External"/><Relationship Id="rId32" Type="http://schemas.openxmlformats.org/officeDocument/2006/relationships/hyperlink" Target="http://www.nevo.co.il/law/70301/40jc.b" TargetMode="External"/><Relationship Id="rId33" Type="http://schemas.openxmlformats.org/officeDocument/2006/relationships/hyperlink" Target="http://www.nevo.co.il/law/5227" TargetMode="External"/><Relationship Id="rId34" Type="http://schemas.openxmlformats.org/officeDocument/2006/relationships/hyperlink" Target="http://www.nevo.co.il/law/5227/10.a" TargetMode="External"/><Relationship Id="rId35" Type="http://schemas.openxmlformats.org/officeDocument/2006/relationships/hyperlink" Target="http://www.nevo.co.il/law/74501" TargetMode="External"/><Relationship Id="rId36" Type="http://schemas.openxmlformats.org/officeDocument/2006/relationships/hyperlink" Target="http://www.nevo.co.il/law/74501/2.a" TargetMode="External"/><Relationship Id="rId37" Type="http://schemas.openxmlformats.org/officeDocument/2006/relationships/hyperlink" Target="http://www.nevo.co.il/law/72402" TargetMode="External"/><Relationship Id="rId38" Type="http://schemas.openxmlformats.org/officeDocument/2006/relationships/hyperlink" Target="http://www.nevo.co.il/law/72402/2" TargetMode="External"/><Relationship Id="rId39" Type="http://schemas.openxmlformats.org/officeDocument/2006/relationships/hyperlink" Target="http://www.nevo.co.il/law/72489" TargetMode="External"/><Relationship Id="rId40" Type="http://schemas.openxmlformats.org/officeDocument/2006/relationships/hyperlink" Target="http://www.nevo.co.il/law/72489/33" TargetMode="External"/><Relationship Id="rId41" Type="http://schemas.openxmlformats.org/officeDocument/2006/relationships/hyperlink" Target="http://www.nevo.co.il/law/4216/7.a" TargetMode="External"/><Relationship Id="rId42" Type="http://schemas.openxmlformats.org/officeDocument/2006/relationships/hyperlink" Target="http://www.nevo.co.il/law/4216/7c" TargetMode="External"/><Relationship Id="rId43" Type="http://schemas.openxmlformats.org/officeDocument/2006/relationships/hyperlink" Target="http://www.nevo.co.il/law/4216/31.3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law/4216/13" TargetMode="External"/><Relationship Id="rId46" Type="http://schemas.openxmlformats.org/officeDocument/2006/relationships/hyperlink" Target="http://www.nevo.co.il/law/4216/19a" TargetMode="External"/><Relationship Id="rId47" Type="http://schemas.openxmlformats.org/officeDocument/2006/relationships/hyperlink" Target="http://www.nevo.co.il/law/70301/244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275" TargetMode="External"/><Relationship Id="rId50" Type="http://schemas.openxmlformats.org/officeDocument/2006/relationships/hyperlink" Target="http://www.nevo.co.il/law/70301/245.b" TargetMode="External"/><Relationship Id="rId51" Type="http://schemas.openxmlformats.org/officeDocument/2006/relationships/hyperlink" Target="http://www.nevo.co.il/law/5227/10.a" TargetMode="External"/><Relationship Id="rId52" Type="http://schemas.openxmlformats.org/officeDocument/2006/relationships/hyperlink" Target="http://www.nevo.co.il/law/5227" TargetMode="External"/><Relationship Id="rId53" Type="http://schemas.openxmlformats.org/officeDocument/2006/relationships/hyperlink" Target="http://www.nevo.co.il/law/74501/2.a" TargetMode="External"/><Relationship Id="rId54" Type="http://schemas.openxmlformats.org/officeDocument/2006/relationships/hyperlink" Target="http://www.nevo.co.il/law/74501" TargetMode="External"/><Relationship Id="rId55" Type="http://schemas.openxmlformats.org/officeDocument/2006/relationships/hyperlink" Target="http://www.nevo.co.il/law/4216/36a.b" TargetMode="External"/><Relationship Id="rId56" Type="http://schemas.openxmlformats.org/officeDocument/2006/relationships/hyperlink" Target="http://www.nevo.co.il/law/4216" TargetMode="External"/><Relationship Id="rId57" Type="http://schemas.openxmlformats.org/officeDocument/2006/relationships/hyperlink" Target="http://www.nevo.co.il/law/72402/2" TargetMode="External"/><Relationship Id="rId58" Type="http://schemas.openxmlformats.org/officeDocument/2006/relationships/hyperlink" Target="http://www.nevo.co.il/law/72402" TargetMode="External"/><Relationship Id="rId59" Type="http://schemas.openxmlformats.org/officeDocument/2006/relationships/hyperlink" Target="http://www.nevo.co.il/law/72489/33" TargetMode="External"/><Relationship Id="rId60" Type="http://schemas.openxmlformats.org/officeDocument/2006/relationships/hyperlink" Target="http://www.nevo.co.il/law/72489" TargetMode="External"/><Relationship Id="rId61" Type="http://schemas.openxmlformats.org/officeDocument/2006/relationships/hyperlink" Target="http://www.nevo.co.il/case/2281122" TargetMode="External"/><Relationship Id="rId62" Type="http://schemas.openxmlformats.org/officeDocument/2006/relationships/hyperlink" Target="http://www.nevo.co.il/case/6101508" TargetMode="External"/><Relationship Id="rId63" Type="http://schemas.openxmlformats.org/officeDocument/2006/relationships/hyperlink" Target="http://www.nevo.co.il/law/4216/36a" TargetMode="External"/><Relationship Id="rId64" Type="http://schemas.openxmlformats.org/officeDocument/2006/relationships/hyperlink" Target="http://www.nevo.co.il/law/4216" TargetMode="External"/><Relationship Id="rId65" Type="http://schemas.openxmlformats.org/officeDocument/2006/relationships/hyperlink" Target="http://www.nevo.co.il/law/4216" TargetMode="External"/><Relationship Id="rId66" Type="http://schemas.openxmlformats.org/officeDocument/2006/relationships/hyperlink" Target="http://www.nevo.co.il/law/4216/7.a." TargetMode="External"/><Relationship Id="rId67" Type="http://schemas.openxmlformats.org/officeDocument/2006/relationships/hyperlink" Target="http://www.nevo.co.il/law/4216/7.c" TargetMode="External"/><Relationship Id="rId68" Type="http://schemas.openxmlformats.org/officeDocument/2006/relationships/hyperlink" Target="http://www.nevo.co.il/law/4216/7c" TargetMode="External"/><Relationship Id="rId69" Type="http://schemas.openxmlformats.org/officeDocument/2006/relationships/hyperlink" Target="http://www.nevo.co.il/law/4216/13" TargetMode="External"/><Relationship Id="rId70" Type="http://schemas.openxmlformats.org/officeDocument/2006/relationships/hyperlink" Target="http://www.nevo.co.il/law/4216/19a" TargetMode="External"/><Relationship Id="rId71" Type="http://schemas.openxmlformats.org/officeDocument/2006/relationships/hyperlink" Target="http://www.nevo.co.il/law/4216/31.3" TargetMode="External"/><Relationship Id="rId72" Type="http://schemas.openxmlformats.org/officeDocument/2006/relationships/hyperlink" Target="http://www.nevo.co.il/law/4216/31.6" TargetMode="External"/><Relationship Id="rId73" Type="http://schemas.openxmlformats.org/officeDocument/2006/relationships/hyperlink" Target="http://www.nevo.co.il/law/4216/31.6.a.aa" TargetMode="External"/><Relationship Id="rId74" Type="http://schemas.openxmlformats.org/officeDocument/2006/relationships/hyperlink" Target="http://www.nevo.co.il/law/4216/31.6.b" TargetMode="External"/><Relationship Id="rId75" Type="http://schemas.openxmlformats.org/officeDocument/2006/relationships/hyperlink" Target="http://www.nevo.co.il/law/4216/36.b" TargetMode="External"/><Relationship Id="rId76" Type="http://schemas.openxmlformats.org/officeDocument/2006/relationships/hyperlink" Target="http://www.nevo.co.il/law/4216/36a" TargetMode="External"/><Relationship Id="rId77" Type="http://schemas.openxmlformats.org/officeDocument/2006/relationships/hyperlink" Target="http://www.nevo.co.il/law/4216/36a.b" TargetMode="External"/><Relationship Id="rId78" Type="http://schemas.openxmlformats.org/officeDocument/2006/relationships/hyperlink" Target="http://www.nevo.co.il/law/4216/36a1" TargetMode="External"/><Relationship Id="rId79" Type="http://schemas.openxmlformats.org/officeDocument/2006/relationships/hyperlink" Target="http://www.nevo.co.il/law/4216/36a2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40.i.a.6" TargetMode="External"/><Relationship Id="rId82" Type="http://schemas.openxmlformats.org/officeDocument/2006/relationships/hyperlink" Target="http://www.nevo.co.il/law/70301/40.ja.1" TargetMode="External"/><Relationship Id="rId83" Type="http://schemas.openxmlformats.org/officeDocument/2006/relationships/hyperlink" Target="http://www.nevo.co.il/law/70301/40b" TargetMode="External"/><Relationship Id="rId84" Type="http://schemas.openxmlformats.org/officeDocument/2006/relationships/hyperlink" Target="http://www.nevo.co.il/law/70301/40c.a" TargetMode="External"/><Relationship Id="rId85" Type="http://schemas.openxmlformats.org/officeDocument/2006/relationships/hyperlink" Target="http://www.nevo.co.il/law/70301/40c.b" TargetMode="External"/><Relationship Id="rId86" Type="http://schemas.openxmlformats.org/officeDocument/2006/relationships/hyperlink" Target="http://www.nevo.co.il/law/70301/40d" TargetMode="External"/><Relationship Id="rId87" Type="http://schemas.openxmlformats.org/officeDocument/2006/relationships/hyperlink" Target="http://www.nevo.co.il/law/70301/40e" TargetMode="External"/><Relationship Id="rId88" Type="http://schemas.openxmlformats.org/officeDocument/2006/relationships/hyperlink" Target="http://www.nevo.co.il/law/70301/40f" TargetMode="External"/><Relationship Id="rId89" Type="http://schemas.openxmlformats.org/officeDocument/2006/relationships/hyperlink" Target="http://www.nevo.co.il/law/70301/40g" TargetMode="External"/><Relationship Id="rId90" Type="http://schemas.openxmlformats.org/officeDocument/2006/relationships/hyperlink" Target="http://www.nevo.co.il/law/70301/40i" TargetMode="External"/><Relationship Id="rId91" Type="http://schemas.openxmlformats.org/officeDocument/2006/relationships/hyperlink" Target="http://www.nevo.co.il/law/70301/40i.a.6" TargetMode="External"/><Relationship Id="rId92" Type="http://schemas.openxmlformats.org/officeDocument/2006/relationships/hyperlink" Target="http://www.nevo.co.il/law/70301/244" TargetMode="External"/><Relationship Id="rId93" Type="http://schemas.openxmlformats.org/officeDocument/2006/relationships/hyperlink" Target="http://www.nevo.co.il/law/70301/245.b" TargetMode="External"/><Relationship Id="rId94" Type="http://schemas.openxmlformats.org/officeDocument/2006/relationships/hyperlink" Target="http://www.nevo.co.il/law/70301/275" TargetMode="External"/><Relationship Id="rId95" Type="http://schemas.openxmlformats.org/officeDocument/2006/relationships/hyperlink" Target="http://www.nevo.co.il/law/70301/40ja" TargetMode="External"/><Relationship Id="rId96" Type="http://schemas.openxmlformats.org/officeDocument/2006/relationships/hyperlink" Target="http://www.nevo.co.il/law/70301/40ja.1" TargetMode="External"/><Relationship Id="rId97" Type="http://schemas.openxmlformats.org/officeDocument/2006/relationships/hyperlink" Target="http://www.nevo.co.il/law/70301/40jc" TargetMode="External"/><Relationship Id="rId98" Type="http://schemas.openxmlformats.org/officeDocument/2006/relationships/hyperlink" Target="http://www.nevo.co.il/law/70301/40jc.a" TargetMode="External"/><Relationship Id="rId99" Type="http://schemas.openxmlformats.org/officeDocument/2006/relationships/hyperlink" Target="http://www.nevo.co.il/law/70301/40jc.b" TargetMode="External"/><Relationship Id="rId100" Type="http://schemas.openxmlformats.org/officeDocument/2006/relationships/hyperlink" Target="http://www.nevo.co.il/law/5227" TargetMode="External"/><Relationship Id="rId101" Type="http://schemas.openxmlformats.org/officeDocument/2006/relationships/hyperlink" Target="http://www.nevo.co.il/law/5227/10.a" TargetMode="External"/><Relationship Id="rId102" Type="http://schemas.openxmlformats.org/officeDocument/2006/relationships/hyperlink" Target="http://www.nevo.co.il/law/74501" TargetMode="External"/><Relationship Id="rId103" Type="http://schemas.openxmlformats.org/officeDocument/2006/relationships/hyperlink" Target="http://www.nevo.co.il/law/74501/2.a" TargetMode="External"/><Relationship Id="rId104" Type="http://schemas.openxmlformats.org/officeDocument/2006/relationships/hyperlink" Target="http://www.nevo.co.il/law/72402" TargetMode="External"/><Relationship Id="rId105" Type="http://schemas.openxmlformats.org/officeDocument/2006/relationships/hyperlink" Target="http://www.nevo.co.il/law/72402/2" TargetMode="External"/><Relationship Id="rId106" Type="http://schemas.openxmlformats.org/officeDocument/2006/relationships/hyperlink" Target="http://www.nevo.co.il/law/72489" TargetMode="External"/><Relationship Id="rId107" Type="http://schemas.openxmlformats.org/officeDocument/2006/relationships/hyperlink" Target="http://www.nevo.co.il/law/72489/33" TargetMode="External"/><Relationship Id="rId108" Type="http://schemas.openxmlformats.org/officeDocument/2006/relationships/hyperlink" Target="http://www.nevo.co.il/law/4216/36a1" TargetMode="External"/><Relationship Id="rId109" Type="http://schemas.openxmlformats.org/officeDocument/2006/relationships/hyperlink" Target="http://www.nevo.co.il/law/4216/36a2" TargetMode="External"/><Relationship Id="rId110" Type="http://schemas.openxmlformats.org/officeDocument/2006/relationships/hyperlink" Target="http://www.nevo.co.il/law/4216/31.6" TargetMode="External"/><Relationship Id="rId111" Type="http://schemas.openxmlformats.org/officeDocument/2006/relationships/hyperlink" Target="http://www.nevo.co.il/law/4216" TargetMode="External"/><Relationship Id="rId112" Type="http://schemas.openxmlformats.org/officeDocument/2006/relationships/hyperlink" Target="http://www.nevo.co.il/law/4216/36a" TargetMode="External"/><Relationship Id="rId113" Type="http://schemas.openxmlformats.org/officeDocument/2006/relationships/hyperlink" Target="http://www.nevo.co.il/law/4216/36.b" TargetMode="External"/><Relationship Id="rId114" Type="http://schemas.openxmlformats.org/officeDocument/2006/relationships/hyperlink" Target="http://www.nevo.co.il/law/4216/31.6.a.aa" TargetMode="External"/><Relationship Id="rId115" Type="http://schemas.openxmlformats.org/officeDocument/2006/relationships/hyperlink" Target="http://www.nevo.co.il/law/4216" TargetMode="External"/><Relationship Id="rId116" Type="http://schemas.openxmlformats.org/officeDocument/2006/relationships/hyperlink" Target="http://www.nevo.co.il/case/5681787" TargetMode="External"/><Relationship Id="rId117" Type="http://schemas.openxmlformats.org/officeDocument/2006/relationships/hyperlink" Target="http://www.nevo.co.il/law/4216" TargetMode="External"/><Relationship Id="rId118" Type="http://schemas.openxmlformats.org/officeDocument/2006/relationships/hyperlink" Target="http://www.nevo.co.il/law/4216/31.6.b" TargetMode="External"/><Relationship Id="rId119" Type="http://schemas.openxmlformats.org/officeDocument/2006/relationships/hyperlink" Target="http://www.nevo.co.il/law/4216" TargetMode="External"/><Relationship Id="rId120" Type="http://schemas.openxmlformats.org/officeDocument/2006/relationships/hyperlink" Target="http://www.nevo.co.il/case/21066819" TargetMode="External"/><Relationship Id="rId121" Type="http://schemas.openxmlformats.org/officeDocument/2006/relationships/hyperlink" Target="http://www.nevo.co.il/case/12063973" TargetMode="External"/><Relationship Id="rId122" Type="http://schemas.openxmlformats.org/officeDocument/2006/relationships/hyperlink" Target="http://www.nevo.co.il/case/20178093" TargetMode="External"/><Relationship Id="rId123" Type="http://schemas.openxmlformats.org/officeDocument/2006/relationships/hyperlink" Target="http://www.nevo.co.il/case/17947582" TargetMode="External"/><Relationship Id="rId124" Type="http://schemas.openxmlformats.org/officeDocument/2006/relationships/hyperlink" Target="http://www.nevo.co.il/case/5590128" TargetMode="External"/><Relationship Id="rId125" Type="http://schemas.openxmlformats.org/officeDocument/2006/relationships/hyperlink" Target="http://www.nevo.co.il/case/20412551" TargetMode="External"/><Relationship Id="rId126" Type="http://schemas.openxmlformats.org/officeDocument/2006/relationships/hyperlink" Target="http://www.nevo.co.il/case/20151395" TargetMode="External"/><Relationship Id="rId127" Type="http://schemas.openxmlformats.org/officeDocument/2006/relationships/hyperlink" Target="http://www.nevo.co.il/case/20450155" TargetMode="External"/><Relationship Id="rId128" Type="http://schemas.openxmlformats.org/officeDocument/2006/relationships/hyperlink" Target="http://www.nevo.co.il/case/20052568" TargetMode="External"/><Relationship Id="rId129" Type="http://schemas.openxmlformats.org/officeDocument/2006/relationships/hyperlink" Target="http://www.nevo.co.il/case/10493280" TargetMode="External"/><Relationship Id="rId130" Type="http://schemas.openxmlformats.org/officeDocument/2006/relationships/hyperlink" Target="http://www.nevo.co.il/law/70301/40.ja.1" TargetMode="External"/><Relationship Id="rId131" Type="http://schemas.openxmlformats.org/officeDocument/2006/relationships/hyperlink" Target="http://www.nevo.co.il/law/70301/40.i.a.6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0301/40b" TargetMode="External"/><Relationship Id="rId134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70301/40jc" TargetMode="External"/><Relationship Id="rId136" Type="http://schemas.openxmlformats.org/officeDocument/2006/relationships/hyperlink" Target="http://www.nevo.co.il/case/7958246" TargetMode="External"/><Relationship Id="rId137" Type="http://schemas.openxmlformats.org/officeDocument/2006/relationships/hyperlink" Target="http://www.nevo.co.il/law/70301/40c.a" TargetMode="External"/><Relationship Id="rId138" Type="http://schemas.openxmlformats.org/officeDocument/2006/relationships/hyperlink" Target="http://www.nevo.co.il/law/70301/40i" TargetMode="External"/><Relationship Id="rId139" Type="http://schemas.openxmlformats.org/officeDocument/2006/relationships/hyperlink" Target="http://www.nevo.co.il/law/70301" TargetMode="External"/><Relationship Id="rId140" Type="http://schemas.openxmlformats.org/officeDocument/2006/relationships/hyperlink" Target="http://www.nevo.co.il/case/6950458" TargetMode="External"/><Relationship Id="rId141" Type="http://schemas.openxmlformats.org/officeDocument/2006/relationships/hyperlink" Target="http://www.nevo.co.il/case/5573417" TargetMode="External"/><Relationship Id="rId142" Type="http://schemas.openxmlformats.org/officeDocument/2006/relationships/hyperlink" Target="http://www.nevo.co.il/case/7730704" TargetMode="External"/><Relationship Id="rId143" Type="http://schemas.openxmlformats.org/officeDocument/2006/relationships/hyperlink" Target="http://www.nevo.co.il/law/70301/40c.b" TargetMode="External"/><Relationship Id="rId144" Type="http://schemas.openxmlformats.org/officeDocument/2006/relationships/hyperlink" Target="http://www.nevo.co.il/law/70301/40ja" TargetMode="External"/><Relationship Id="rId145" Type="http://schemas.openxmlformats.org/officeDocument/2006/relationships/hyperlink" Target="http://www.nevo.co.il/law/70301/40f" TargetMode="External"/><Relationship Id="rId146" Type="http://schemas.openxmlformats.org/officeDocument/2006/relationships/hyperlink" Target="http://www.nevo.co.il/law/70301/40g" TargetMode="External"/><Relationship Id="rId147" Type="http://schemas.openxmlformats.org/officeDocument/2006/relationships/hyperlink" Target="http://www.nevo.co.il/law/70301/40d;40e" TargetMode="External"/><Relationship Id="rId148" Type="http://schemas.openxmlformats.org/officeDocument/2006/relationships/hyperlink" Target="http://www.nevo.co.il/law/70301/40jc.b" TargetMode="External"/><Relationship Id="rId149" Type="http://schemas.openxmlformats.org/officeDocument/2006/relationships/hyperlink" Target="http://www.nevo.co.il/law/70301" TargetMode="External"/><Relationship Id="rId150" Type="http://schemas.openxmlformats.org/officeDocument/2006/relationships/hyperlink" Target="http://www.nevo.co.il/law/70301/40jc.a" TargetMode="External"/><Relationship Id="rId151" Type="http://schemas.openxmlformats.org/officeDocument/2006/relationships/hyperlink" Target="http://www.nevo.co.il/case/5698919" TargetMode="External"/><Relationship Id="rId152" Type="http://schemas.openxmlformats.org/officeDocument/2006/relationships/hyperlink" Target="http://www.nevo.co.il/case/4220599" TargetMode="External"/><Relationship Id="rId153" Type="http://schemas.openxmlformats.org/officeDocument/2006/relationships/hyperlink" Target="http://www.nevo.co.il/case/5177893" TargetMode="External"/><Relationship Id="rId154" Type="http://schemas.openxmlformats.org/officeDocument/2006/relationships/hyperlink" Target="http://www.nevo.co.il/case/5587431" TargetMode="External"/><Relationship Id="rId155" Type="http://schemas.openxmlformats.org/officeDocument/2006/relationships/hyperlink" Target="http://www.nevo.co.il/case/4038050" TargetMode="External"/><Relationship Id="rId156" Type="http://schemas.openxmlformats.org/officeDocument/2006/relationships/hyperlink" Target="http://www.nevo.co.il/law/70301/40ja.1" TargetMode="External"/><Relationship Id="rId157" Type="http://schemas.openxmlformats.org/officeDocument/2006/relationships/hyperlink" Target="http://www.nevo.co.il/law/70301" TargetMode="External"/><Relationship Id="rId158" Type="http://schemas.openxmlformats.org/officeDocument/2006/relationships/hyperlink" Target="http://www.nevo.co.il/law/70301/40i.a.6" TargetMode="External"/><Relationship Id="rId159" Type="http://schemas.openxmlformats.org/officeDocument/2006/relationships/hyperlink" Target="http://www.nevo.co.il/case/6248029" TargetMode="External"/><Relationship Id="rId160" Type="http://schemas.openxmlformats.org/officeDocument/2006/relationships/hyperlink" Target="http://www.nevo.co.il/case/6245782" TargetMode="External"/><Relationship Id="rId161" Type="http://schemas.openxmlformats.org/officeDocument/2006/relationships/hyperlink" Target="http://www.nevo.co.il/case/6862360" TargetMode="External"/><Relationship Id="rId162" Type="http://schemas.openxmlformats.org/officeDocument/2006/relationships/hyperlink" Target="http://www.nevo.co.il/case/6248029" TargetMode="External"/><Relationship Id="rId163" Type="http://schemas.openxmlformats.org/officeDocument/2006/relationships/hyperlink" Target="http://www.nevo.co.il/law/70301" TargetMode="External"/><Relationship Id="rId164" Type="http://schemas.openxmlformats.org/officeDocument/2006/relationships/hyperlink" Target="http://www.nevo.co.il/case/20157961" TargetMode="External"/><Relationship Id="rId165" Type="http://schemas.openxmlformats.org/officeDocument/2006/relationships/hyperlink" Target="http://www.nevo.co.il/case/20891758" TargetMode="External"/><Relationship Id="rId166" Type="http://schemas.openxmlformats.org/officeDocument/2006/relationships/hyperlink" Target="http://www.nevo.co.il/case/20795238" TargetMode="External"/><Relationship Id="rId167" Type="http://schemas.openxmlformats.org/officeDocument/2006/relationships/hyperlink" Target="http://www.nevo.co.il/advertisements/nevo-100.doc" TargetMode="External"/><Relationship Id="rId168" Type="http://schemas.openxmlformats.org/officeDocument/2006/relationships/header" Target="header1.xml"/><Relationship Id="rId169" Type="http://schemas.openxmlformats.org/officeDocument/2006/relationships/footer" Target="footer1.xml"/><Relationship Id="rId170" Type="http://schemas.openxmlformats.org/officeDocument/2006/relationships/numbering" Target="numbering.xml"/><Relationship Id="rId171" Type="http://schemas.openxmlformats.org/officeDocument/2006/relationships/fontTable" Target="fontTable.xml"/><Relationship Id="rId172" Type="http://schemas.openxmlformats.org/officeDocument/2006/relationships/settings" Target="settings.xml"/><Relationship Id="rId1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31</Pages>
  <Words>6704</Words>
  <Characters>30703</Characters>
  <CharactersWithSpaces>37357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2018-02-27T11:29:00Z</dcterms:created>
  <dc:creator> </dc:creator>
  <dc:description/>
  <cp:keywords/>
  <dc:language>en-IL</dc:language>
  <cp:lastModifiedBy>run</cp:lastModifiedBy>
  <dcterms:modified xsi:type="dcterms:W3CDTF">2018-02-27T11:29:00Z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נתניאל גברילוב;סיגלית גברילוב;רוני דוידוב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2281122;6101508;5681787;21066819;12063973;20178093;17947582;5590128;20412551;20151395;20450155;20052568;10493280;7958246;6950458;5573417;7730704;5698919;4220599;5177893;5587431;4038050;6248029:2;6245782;6862360;20157961;20891758;20795238</vt:lpwstr>
  </property>
  <property fmtid="{D5CDD505-2E9C-101B-9397-08002B2CF9AE}" pid="9" name="CITY">
    <vt:lpwstr>ת"א</vt:lpwstr>
  </property>
  <property fmtid="{D5CDD505-2E9C-101B-9397-08002B2CF9AE}" pid="10" name="DATE">
    <vt:lpwstr>20170124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לוי</vt:lpwstr>
  </property>
  <property fmtid="{D5CDD505-2E9C-101B-9397-08002B2CF9AE}" pid="14" name="LAWLISTTMP1">
    <vt:lpwstr>4216/007.a;007.c;013;019a;031.3;031.6.a.aa;031.6.b;036.b;036a;036a.b;007c;36a1;36a2;031.6</vt:lpwstr>
  </property>
  <property fmtid="{D5CDD505-2E9C-101B-9397-08002B2CF9AE}" pid="15" name="LAWLISTTMP2">
    <vt:lpwstr>70301/040.i.a.6;040.ja.1;040b;040c.a;040c.b;040d;040e;040f;040g;040i;040i.a.6;244;245.b;275;40ja;40ja.1;40jc;40jc.a;40jc.b</vt:lpwstr>
  </property>
  <property fmtid="{D5CDD505-2E9C-101B-9397-08002B2CF9AE}" pid="16" name="LAWLISTTMP3">
    <vt:lpwstr>5227/010.a</vt:lpwstr>
  </property>
  <property fmtid="{D5CDD505-2E9C-101B-9397-08002B2CF9AE}" pid="17" name="LAWLISTTMP4">
    <vt:lpwstr>74501/002.a</vt:lpwstr>
  </property>
  <property fmtid="{D5CDD505-2E9C-101B-9397-08002B2CF9AE}" pid="18" name="LAWLISTTMP5">
    <vt:lpwstr>72402/002</vt:lpwstr>
  </property>
  <property fmtid="{D5CDD505-2E9C-101B-9397-08002B2CF9AE}" pid="19" name="LAWLISTTMP6">
    <vt:lpwstr>72489/033</vt:lpwstr>
  </property>
  <property fmtid="{D5CDD505-2E9C-101B-9397-08002B2CF9AE}" pid="20" name="LAWYER">
    <vt:lpwstr>אלירם גלעם;שי נודל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52031</vt:lpwstr>
  </property>
  <property fmtid="{D5CDD505-2E9C-101B-9397-08002B2CF9AE}" pid="27" name="NEWPARTB">
    <vt:lpwstr>06</vt:lpwstr>
  </property>
  <property fmtid="{D5CDD505-2E9C-101B-9397-08002B2CF9AE}" pid="28" name="NEWPARTC">
    <vt:lpwstr>16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עפ;עפ</vt:lpwstr>
  </property>
  <property fmtid="{D5CDD505-2E9C-101B-9397-08002B2CF9AE}" pid="34" name="PROCNUM">
    <vt:lpwstr>4209;7376</vt:lpwstr>
  </property>
  <property fmtid="{D5CDD505-2E9C-101B-9397-08002B2CF9AE}" pid="35" name="PROCYEAR">
    <vt:lpwstr>09;02</vt:lpwstr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390020170124</vt:lpwstr>
  </property>
  <property fmtid="{D5CDD505-2E9C-101B-9397-08002B2CF9AE}" pid="39" name="TYPE_N_DATE">
    <vt:lpwstr>39020170124</vt:lpwstr>
  </property>
  <property fmtid="{D5CDD505-2E9C-101B-9397-08002B2CF9AE}" pid="40" name="VOLUME">
    <vt:lpwstr/>
  </property>
  <property fmtid="{D5CDD505-2E9C-101B-9397-08002B2CF9AE}" pid="41" name="WORDNUMPAGES">
    <vt:lpwstr>23</vt:lpwstr>
  </property>
</Properties>
</file>