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22609-10-16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בלחסן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בלחסן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b/>
          <w:b/>
          <w:bCs/>
          <w:rtl w:val="true"/>
        </w:rPr>
        <w:t>גניבה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בניצני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המשק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מסארווה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מסארווה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מסארווה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במזומן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כמשתלה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המשתלות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אונגר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"].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למשתלות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פיראטי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וואט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וונטות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משאבות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משאבת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מאווררים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313,580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בזרעי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27.9.16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התקופה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גידלו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והפיקו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והעובדים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במשתלות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קנאביס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3.4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ששוויו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בלמעלה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180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מילואים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הסרטן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ומתגוררת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לתפיסותיו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הפטריארכליות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הגירושין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שסוכמו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מנישואיו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שנולדה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ופנסיונרית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בהכנסותיו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כפושט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עיסוקו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לדרישותיהם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ומקובלים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מטשטשת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9.4.18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שאופיינה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ומניפולטיביות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והחשיפה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וסביבתו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יועץ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ורוחני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לדאוג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ולהאכיל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הקנאביס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לאסירי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אדלר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כישלונותיו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כנקודתיים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התארגנות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בולטים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ולטשטש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רציונליות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אומניפוטנטיות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ועיוותי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כגורמי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ומניפולטיביות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מטעם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בהסכמה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מחטיבת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המודיעין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מחלקת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מריחואנה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בשיטת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indoor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מהמסמך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מריחואנה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מעבדה</w:t>
      </w:r>
      <w:r>
        <w:rPr>
          <w:rFonts w:ascii="David" w:hAnsi="David"/>
          <w:rtl w:val="true"/>
        </w:rPr>
        <w:t xml:space="preserve"> </w:t>
      </w:r>
      <w:r>
        <w:rPr>
          <w:rFonts w:cs="Calibri" w:ascii="Calibri" w:hAnsi="Calibri"/>
        </w:rPr>
        <w:t>indoor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שנצפתה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זוהתה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מריחואנה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מריחואנה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ריכוז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THC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למשובחת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וסיכון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חשיפה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שיעורי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מדאיגים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שנסיבותיה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22626-10-16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המכונים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העובדים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המקביל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8.1.18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ברנט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לדיון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מתניה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מהנתונים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מטעם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ההגנה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מסמכים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הרפואי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באסופה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ביניהם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שצורף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מהמועצה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האזורית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26.4.17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הרווחה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סיעודי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להתאבד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כעציר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למופת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נורמטיביים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לחלוטין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כשעורך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רימונים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בהצלחה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כ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כשהכינוי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מעבדה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ומוקפד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והשקעה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ומשאבים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נפיצות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התופעה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בריבוי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ונדונים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שמצוין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התוצרת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לקילוגרם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קנאביס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השקעה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האביזרים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ומשקלם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דשן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ספציפי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הקנאביס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אגרונומי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בגידולים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ככל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הפרמטרים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ולמאמץ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המושקע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ובעציצים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כששוויו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וחמישה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פועלים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לסרטונים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ולתמונות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לעדויות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החריג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המעבדה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ובאומדן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אצטדיוני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כדורגל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– </w:t>
      </w:r>
      <w:r>
        <w:rPr>
          <w:rFonts w:cs="David" w:ascii="David" w:hAnsi="David"/>
        </w:rPr>
        <w:t>600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הסתיימו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3.4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הקנאביס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בישראל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מוקפד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ומושקע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שמפעיל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איכותי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מופץ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לאזורים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גיאוגרפיים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חשמל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והחיבורים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הנובעות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בכלכלה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באמור</w:t>
      </w:r>
      <w:r>
        <w:rPr>
          <w:rFonts w:ascii="David" w:hAnsi="David"/>
          <w:rtl w:val="true"/>
        </w:rPr>
        <w:t xml:space="preserve">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במשאבים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שהמשטרה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התפיסה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שנתפסו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הצריכו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לוגיסטית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לאחסון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העובדים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בתשתית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לגביו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החממות</w:t>
      </w:r>
      <w:r>
        <w:rPr>
          <w:rtl w:val="true"/>
        </w:rPr>
        <w:t xml:space="preserve">, </w:t>
      </w:r>
      <w:r>
        <w:rPr>
          <w:rtl w:val="true"/>
        </w:rPr>
        <w:t>האיסכורית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tl w:val="true"/>
        </w:rPr>
        <w:t xml:space="preserve">, </w:t>
      </w:r>
      <w:r>
        <w:rPr>
          <w:rtl w:val="true"/>
        </w:rPr>
        <w:t>כשאספקת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אכסניה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בחזיתו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1440" w:leader="none"/>
        </w:tabs>
        <w:spacing w:lineRule="auto" w:line="360"/>
        <w:ind w:start="720"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tl w:val="true"/>
        </w:rPr>
        <w:t xml:space="preserve">, </w:t>
      </w:r>
      <w:r>
        <w:rPr>
          <w:rtl w:val="true"/>
        </w:rPr>
        <w:t>התלבט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כקיצור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מחלוקת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חשמל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מתכוון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והסביר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/>
        <w:t>40000</w:t>
      </w:r>
      <w:r>
        <w:rPr>
          <w:rtl w:val="true"/>
        </w:rPr>
        <w:t xml:space="preserve"> ₪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₪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שהושקעו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30.4.18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עדכון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לעמדתו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.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27.9.16</w:t>
      </w:r>
      <w:r>
        <w:rPr>
          <w:rtl w:val="true"/>
        </w:rPr>
        <w:t xml:space="preserve">, </w:t>
      </w:r>
      <w:r>
        <w:rPr>
          <w:rtl w:val="true"/>
        </w:rPr>
        <w:t>ונלקח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tl w:val="true"/>
        </w:rPr>
        <w:t xml:space="preserve">) </w:t>
      </w:r>
      <w:r>
        <w:rPr>
          <w:rtl w:val="true"/>
        </w:rPr>
        <w:t>למעצר</w:t>
      </w:r>
      <w:r>
        <w:rPr>
          <w:rtl w:val="true"/>
        </w:rPr>
        <w:t xml:space="preserve">.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שערורייתית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העובדים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"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>-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האכסניה</w:t>
      </w:r>
      <w:r>
        <w:rPr>
          <w:rtl w:val="true"/>
        </w:rPr>
        <w:t xml:space="preserve">, </w:t>
      </w:r>
      <w:r>
        <w:rPr>
          <w:rtl w:val="true"/>
        </w:rPr>
        <w:t>ומבחינה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אכסניה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אבסורדית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3.8</w:t>
      </w:r>
      <w:r>
        <w:rPr>
          <w:rtl w:val="true"/>
        </w:rPr>
        <w:t xml:space="preserve"> </w:t>
      </w:r>
      <w:r>
        <w:rPr>
          <w:rtl w:val="true"/>
        </w:rPr>
        <w:t>דונם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דונם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העובדים</w:t>
      </w:r>
      <w:r>
        <w:rPr>
          <w:rtl w:val="true"/>
        </w:rPr>
        <w:t xml:space="preserve">".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3.4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העובדים</w:t>
      </w:r>
      <w:r>
        <w:rPr>
          <w:rtl w:val="true"/>
        </w:rPr>
        <w:t xml:space="preserve">"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₪,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צמחו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והתנהלות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tl w:val="true"/>
        </w:rPr>
        <w:t xml:space="preserve">, </w:t>
      </w:r>
      <w:r>
        <w:rPr>
          <w:rtl w:val="true"/>
        </w:rPr>
        <w:t>והסם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האכסניה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דונם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7000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טון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עובדים</w:t>
      </w:r>
      <w:r>
        <w:rPr>
          <w:rtl w:val="true"/>
        </w:rPr>
        <w:t xml:space="preserve">"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האכסניה</w:t>
      </w:r>
      <w:r>
        <w:rPr>
          <w:rtl w:val="true"/>
        </w:rPr>
        <w:t xml:space="preserve">, </w:t>
      </w:r>
      <w:r>
        <w:rPr>
          <w:rtl w:val="true"/>
        </w:rPr>
        <w:t>ולשיטתו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מהמותבים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עוגן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עובדים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מסקנתו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. 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tl w:val="true"/>
        </w:rPr>
        <w:t xml:space="preserve">,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. </w:t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האכסניה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>.</w:t>
        <w:tab/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העובדים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sz w:val="22"/>
          <w:sz w:val="22"/>
          <w:rtl w:val="true"/>
        </w:rPr>
        <w:t>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מודיעינית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ומתחשבת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במלואם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ונוגעים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לשאלת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הדגיש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התפיסה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וחצי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מומחה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לתפיסה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2"/>
        </w:rPr>
        <w:t>13</w:t>
      </w:r>
      <w:r>
        <w:rPr>
          <w:sz w:val="22"/>
          <w:rtl w:val="true"/>
        </w:rPr>
        <w:t>.</w:t>
        <w:tab/>
      </w:r>
      <w:r>
        <w:rPr>
          <w:sz w:val="22"/>
          <w:sz w:val="22"/>
          <w:u w:val="single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6.5.18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תגובה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ההתנהלות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הקלוקלת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העובדים</w:t>
      </w:r>
      <w:r>
        <w:rPr>
          <w:sz w:val="22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2"/>
        </w:rPr>
        <w:t>14</w:t>
      </w:r>
      <w:r>
        <w:rPr>
          <w:sz w:val="22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בדברו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לבית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מוסרית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ערכית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וחינוכית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לסוגיות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סניגורו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בררנית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פגע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ופרטיה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מבססות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מופץ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למפיצים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הממתנת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הערכי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גידול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לשיטתנו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כמוהו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בלבד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שבהינתן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גידול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להילחם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המגדלים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והמפיצים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מצויים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ערכית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ומעשית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שניהם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שכמות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מוצאת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ממילא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הגידול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והיבוא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לכניסתו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תהא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המכורים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בעזרתו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במדרון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עדיין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והקריטי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להתמכרות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ספציפית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לצערנו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כדוגמת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בהיקף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שנתפס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ובהשקעה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46738-09-14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צקבאשווילי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31.12.14</w:t>
      </w:r>
      <w:r>
        <w:rPr>
          <w:rFonts w:cs="Calibri" w:ascii="Calibri" w:hAnsi="Calibri"/>
          <w:rtl w:val="true"/>
        </w:rPr>
        <w:t>]).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u w:val="single"/>
          <w:rtl w:val="true"/>
        </w:rPr>
        <w:t>הנסיבות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והתייחסות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לטענה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אכיפה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בררנית</w:t>
      </w:r>
      <w:r>
        <w:rPr>
          <w:rFonts w:cs="Calibri" w:ascii="Calibri" w:hAnsi="Calibri"/>
          <w:u w:val="single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שהושקעו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המוערך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במקצועו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כמשתלה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המתוכננים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האכסניה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ובידיעתו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פיראטית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החקלאי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הכושל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91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ומסתורי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מושכלת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לגיטימיים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200,000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400,000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מצליח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בהצלחתו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99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המספריים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גידלו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3.4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  <w:b/>
          <w:bCs/>
          <w:u w:val="single"/>
        </w:rPr>
        <w:t>180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שהוקמו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3.8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דונם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313,580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מהסרטונים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והתמונות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103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112</w:t>
      </w:r>
      <w:r>
        <w:rPr>
          <w:rFonts w:cs="David" w:ascii="David" w:hAnsi="David"/>
          <w:rtl w:val="true"/>
        </w:rPr>
        <w:t xml:space="preserve">) </w:t>
      </w:r>
      <w:r>
        <w:rPr>
          <w:rFonts w:ascii="Calibri" w:hAnsi="Calibri" w:cs="Calibri"/>
          <w:rtl w:val="true"/>
        </w:rPr>
        <w:t>ומעדויות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בטאט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הלוגיסטיקה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6.11.17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"...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פשוט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משהו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נתקלתי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שהולכים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שיחים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וייטנאם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האנליטית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ובודקת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הפנטסטית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ולפשט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6.11.17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כמשמעותו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שוכנעתי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אליבא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במימדיו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ביודעין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אכסניה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המתפרשת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דונמים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אכסניה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שעיסוקו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כחקלאי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עובדים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בידיעתו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הציוד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בררנית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להידחות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במאגרי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האנגרים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שהשכירו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למגדלי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מהמזימה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האכסניה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האידיאלית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וכמבצע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והנפשיים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6869/17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פילברג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11.9.17</w:t>
      </w:r>
      <w:r>
        <w:rPr>
          <w:rFonts w:cs="Calibri" w:ascii="Calibri" w:hAnsi="Calibri"/>
          <w:rtl w:val="true"/>
        </w:rPr>
        <w:t xml:space="preserve">]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8988/16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 xml:space="preserve">];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סימון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47795-02-15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עאמר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cs="David" w:ascii="David" w:hAnsi="David"/>
        </w:rPr>
        <w:t>29.12.15</w:t>
      </w:r>
      <w:r>
        <w:rPr>
          <w:rFonts w:cs="David" w:ascii="David" w:hAnsi="David"/>
          <w:rtl w:val="true"/>
        </w:rPr>
        <w:t>]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חסינות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color w:val="FF0000"/>
        </w:rPr>
      </w:pPr>
      <w:r>
        <w:rPr>
          <w:rFonts w:cs="Calibri" w:ascii="Calibri" w:hAnsi="Calibri"/>
          <w:color w:val="FF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מדיניות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וקביעת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42358-10-14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18.2.15</w:t>
      </w:r>
      <w:r>
        <w:rPr>
          <w:rFonts w:cs="Calibri" w:ascii="Calibri" w:hAnsi="Calibri"/>
          <w:rtl w:val="true"/>
        </w:rPr>
        <w:t>]: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שמעבדות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הפכו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שהקלות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שבגידול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משמשים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להפיכתה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לנפוצה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נפיצות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ונורמטיבית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העוסקים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בתחום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170/07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ליאור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19.11.07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קלים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המוגדרים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שהשלכותיה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הרסניות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הנוכחי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קנאביס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שמוגדר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</w:t>
      </w:r>
      <w:r>
        <w:rPr>
          <w:rFonts w:cs="Calibri" w:ascii="Calibri" w:hAnsi="Calibri"/>
          <w:b/>
          <w:bCs/>
          <w:rtl w:val="true"/>
        </w:rPr>
        <w:t xml:space="preserve">". </w:t>
      </w:r>
      <w:r>
        <w:rPr>
          <w:rFonts w:ascii="Calibri" w:hAnsi="Calibri" w:cs="Calibri"/>
          <w:b/>
          <w:b/>
          <w:bCs/>
          <w:rtl w:val="true"/>
        </w:rPr>
        <w:t>לרוע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המזל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יריית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הפתיחה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להתמכרות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סכנה</w:t>
      </w:r>
      <w:r>
        <w:rPr>
          <w:rFonts w:cs="Calibri" w:ascii="Calibri" w:hAnsi="Calibri"/>
          <w:b/>
          <w:bCs/>
          <w:rtl w:val="true"/>
        </w:rPr>
        <w:t>..."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דוגמת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הקנאביס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ולמיותר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ולהזכיר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והטבעי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מצריכתם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לכבדים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b/>
          <w:bCs/>
          <w:rtl w:val="true"/>
        </w:rPr>
        <w:t xml:space="preserve">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cs="Calibri" w:ascii="Calibri" w:hAnsi="Calibri"/>
            <w:color w:val="0000FF"/>
            <w:u w:val="single"/>
          </w:rPr>
          <w:t>407/97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אמויאל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15.4.97</w:t>
      </w:r>
      <w:r>
        <w:rPr>
          <w:rFonts w:cs="Calibri" w:ascii="Calibri" w:hAnsi="Calibri"/>
          <w:rtl w:val="true"/>
        </w:rPr>
        <w:t>]).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שטחה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4512/15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6.7.15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המוערך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spacing w:val="10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5093/17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בקשט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נגד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[</w:t>
      </w:r>
      <w:r>
        <w:rPr>
          <w:rFonts w:cs="Calibri" w:ascii="Calibri" w:hAnsi="Calibri"/>
          <w:lang w:eastAsia="he-IL"/>
        </w:rPr>
        <w:t>1.1.18</w:t>
      </w:r>
      <w:r>
        <w:rPr>
          <w:rFonts w:cs="Calibri" w:ascii="Calibri" w:hAnsi="Calibri"/>
          <w:rtl w:val="true"/>
          <w:lang w:eastAsia="he-IL"/>
        </w:rPr>
        <w:t xml:space="preserve">] – </w:t>
      </w:r>
      <w:r>
        <w:rPr>
          <w:rFonts w:ascii="Calibri" w:hAnsi="Calibri" w:cs="Calibri"/>
          <w:rtl w:val="true"/>
          <w:lang w:eastAsia="he-IL"/>
        </w:rPr>
        <w:t>שני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הורשעו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ascii="Calibri" w:hAnsi="Calibri" w:cs="Calibri"/>
          <w:rtl w:val="true"/>
          <w:lang w:eastAsia="he-IL"/>
        </w:rPr>
        <w:t>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הודאותיהם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קשירת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לפשע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וייצור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הכנה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והפקה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קנאביס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במשקל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131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נטו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המערערים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השקיעו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ברכישת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ציוד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ושכירות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מבנה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סכום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cs="Calibri" w:ascii="Calibri" w:hAnsi="Calibri"/>
          <w:lang w:eastAsia="he-IL"/>
        </w:rPr>
        <w:t>300,000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ושווי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שנתפס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הוערך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אלפי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ועד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מיליוני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שקלים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מתחם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30</w:t>
      </w:r>
      <w:r>
        <w:rPr>
          <w:rFonts w:cs="Calibri" w:ascii="Calibri" w:hAnsi="Calibri"/>
          <w:rtl w:val="true"/>
          <w:lang w:eastAsia="he-IL"/>
        </w:rPr>
        <w:t xml:space="preserve"> – </w:t>
      </w:r>
      <w:r>
        <w:rPr>
          <w:rFonts w:cs="Calibri" w:ascii="Calibri" w:hAnsi="Calibri"/>
          <w:lang w:eastAsia="he-IL"/>
        </w:rPr>
        <w:t>48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שני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נעדרי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פלילי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הוגשו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בעניינם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תסקירים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חיוביים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למדי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ונמסר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התינוק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סבל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מבעיות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בליבו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34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וקנס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בסך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50,000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ח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30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וקנס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באותו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סכום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  <w:lang w:eastAsia="he-IL"/>
        </w:rPr>
        <w:t>בפסק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ascii="Calibri" w:hAnsi="Calibri" w:cs="Calibri"/>
          <w:rtl w:val="true"/>
          <w:lang w:eastAsia="he-IL"/>
        </w:rPr>
        <w:t>הדין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בבית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צוין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חורג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מרף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הנוהג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אך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בהתבסס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התסקירים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החיוביים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ועל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ascii="Calibri" w:hAnsi="Calibri" w:cs="Calibri"/>
          <w:rtl w:val="true"/>
          <w:lang w:eastAsia="he-IL"/>
        </w:rPr>
        <w:t>מנת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לעודד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להמשיך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בדרך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השיקום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הפחית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6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מתקופת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שהושתה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אחד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מהם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ואספקת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87.25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להתמודד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ומרתיעה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לבכר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שעיקרן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כסף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49625-04-17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אלאטרש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18.3.18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אלאטרש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ששטחו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המגודר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ואטומה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מרוצפת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המגודרת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ואטום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888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253.9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דישון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100%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ההשקיה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נקבע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מתחם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הולם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2.5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שנות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הושת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עונש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של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45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חודשי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מאסר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וקנס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מוסכם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בסך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</w:rPr>
        <w:t>30,000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cs="Times New Roman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sz w:val="22"/>
          <w:sz w:val="22"/>
          <w:rtl w:val="true"/>
        </w:rPr>
        <w:t>חיפוש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במאגרי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המידע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מעלה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כי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לא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הוגש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ערעור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גזר</w:t>
      </w:r>
      <w:r>
        <w:rPr>
          <w:rFonts w:cs="Calibri" w:ascii="Calibri" w:hAnsi="Calibri"/>
          <w:sz w:val="22"/>
          <w:rtl w:val="true"/>
        </w:rPr>
        <w:t>-</w:t>
      </w:r>
      <w:r>
        <w:rPr>
          <w:rFonts w:ascii="Calibri" w:hAnsi="Calibri" w:cs="Calibri"/>
          <w:sz w:val="22"/>
          <w:sz w:val="22"/>
          <w:rtl w:val="true"/>
        </w:rPr>
        <w:t>הדין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  <w:sz w:val="22"/>
        </w:rPr>
      </w:pPr>
      <w:r>
        <w:rPr>
          <w:rFonts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59971-01-17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12.9.17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שבמסגרתן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המבוגר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55495-03-18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27.5.18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17334-01-17</w:t>
        </w:r>
      </w:hyperlink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כשבינתיים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6768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כשמשקלם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/>
      </w:pPr>
      <w:r>
        <w:rPr>
          <w:rFonts w:ascii="Calibri" w:hAnsi="Calibri" w:cs="Calibri"/>
          <w:rtl w:val="true"/>
        </w:rPr>
        <w:t>בפסק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השתייכותו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התקדים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עקרון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אחידות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הענישה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ושיקולי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צדק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שנתבקשתי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שנתבקשתי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מתעוררת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והפרקליט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/>
      </w:pP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6544/16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ניסנצויג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21.2.17</w:t>
      </w:r>
      <w:r>
        <w:rPr>
          <w:rFonts w:cs="Calibri" w:ascii="Calibri" w:hAnsi="Calibri"/>
          <w:rtl w:val="true"/>
        </w:rPr>
        <w:t>]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ניסנצוייג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" w:start="720"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חיות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מוצדק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ברזילי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חשיבותו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מרכזי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cs="Calibri" w:ascii="Calibri" w:hAnsi="Calibri"/>
          <w:b/>
          <w:bCs/>
          <w:rtl w:val="true"/>
        </w:rPr>
        <w:t xml:space="preserve">'...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השוויון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שלפנינו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ושבעה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בעוד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שדינו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ברזילי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לעשרים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בחינת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ברזילי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ביניהם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מעיון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המתוקן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מיוחסות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הבדל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בצוותא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הכלכליות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ומראש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מבוטלת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כוח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במהלך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משכך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ברזילי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פוגעת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דא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עקא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עקרון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אחידות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מתמצה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ביחסיהם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באותה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הפרשה</w:t>
      </w:r>
      <w:r>
        <w:rPr>
          <w:rFonts w:cs="Calibri" w:ascii="Calibri" w:hAnsi="Calibri"/>
          <w:b/>
          <w:bCs/>
          <w:u w:val="single"/>
          <w:rtl w:val="true"/>
        </w:rPr>
        <w:t xml:space="preserve">; </w:t>
      </w:r>
      <w:r>
        <w:rPr>
          <w:rFonts w:ascii="Calibri" w:hAnsi="Calibri" w:cs="Calibri"/>
          <w:b/>
          <w:b/>
          <w:bCs/>
          <w:u w:val="single"/>
          <w:rtl w:val="true"/>
        </w:rPr>
        <w:t>עיקרון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מחייב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גם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בחינת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עניינו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ביחס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אחרים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בעבירות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ובנסיבות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דומות</w:t>
      </w:r>
      <w:r>
        <w:rPr>
          <w:rFonts w:cs="Calibri" w:ascii="Calibri" w:hAnsi="Calibri"/>
          <w:b/>
          <w:bCs/>
          <w:u w:val="single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כפל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דנציגר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הפרשות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ככלל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פנים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האחד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כללי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חיצוני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המבטיח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שוויון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ומונע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צדק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בחריגה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ונסיבותיה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[...].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פרטני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פנימי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המבטיח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שותפים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פרשיה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השותפים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ישקף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cs="Calibri" w:ascii="Calibri" w:hAnsi="Calibri"/>
          <w:b/>
          <w:bCs/>
          <w:rtl w:val="true"/>
        </w:rPr>
        <w:t>' (</w:t>
      </w:r>
      <w:hyperlink r:id="rId48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4597/13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פיצו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 [</w:t>
      </w:r>
      <w:r>
        <w:rPr>
          <w:rFonts w:ascii="Calibri" w:hAnsi="Calibri" w:cs="Calibri"/>
          <w:b/>
          <w:b/>
          <w:bCs/>
          <w:rtl w:val="true"/>
        </w:rPr>
        <w:t>פורסם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בנבו</w:t>
      </w:r>
      <w:r>
        <w:rPr>
          <w:rFonts w:cs="Calibri" w:ascii="Calibri" w:hAnsi="Calibri"/>
          <w:b/>
          <w:bCs/>
          <w:rtl w:val="true"/>
        </w:rPr>
        <w:t xml:space="preserve">]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</w:t>
      </w:r>
      <w:r>
        <w:rPr>
          <w:rFonts w:cs="Calibri" w:ascii="Calibri" w:hAnsi="Calibri"/>
          <w:b/>
          <w:bCs/>
          <w:rtl w:val="true"/>
        </w:rPr>
        <w:t xml:space="preserve"> (</w:t>
      </w:r>
      <w:r>
        <w:rPr>
          <w:rFonts w:cs="Calibri" w:ascii="Calibri" w:hAnsi="Calibri"/>
          <w:b/>
          <w:bCs/>
        </w:rPr>
        <w:t>22.9.2014</w:t>
      </w:r>
      <w:r>
        <w:rPr>
          <w:rFonts w:cs="Calibri" w:ascii="Calibri" w:hAnsi="Calibri"/>
          <w:b/>
          <w:bCs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לעתים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מתעורר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וסביר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u w:val="single"/>
          <w:rtl w:val="true"/>
        </w:rPr>
        <w:t>האם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לבכר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השוויון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אף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שבכך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יפגע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השוויון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המערער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דומים</w:t>
      </w:r>
      <w:r>
        <w:rPr>
          <w:rFonts w:cs="Calibri" w:ascii="Calibri" w:hAnsi="Calibri"/>
          <w:b/>
          <w:bCs/>
          <w:u w:val="single"/>
          <w:rtl w:val="true"/>
        </w:rPr>
        <w:t>?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אין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ולא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ראוי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שתהיה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תשובה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חד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משמעית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לשאלה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הזו</w:t>
      </w:r>
      <w:r>
        <w:rPr>
          <w:rFonts w:cs="Calibri" w:ascii="Calibri" w:hAnsi="Calibri"/>
          <w:b/>
          <w:bCs/>
          <w:u w:val="single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בכל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מקרה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לגופו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נדרש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לאזן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אלו</w:t>
      </w:r>
      <w:r>
        <w:rPr>
          <w:rFonts w:cs="Calibri" w:ascii="Calibri" w:hAnsi="Calibri"/>
          <w:b/>
          <w:bCs/>
          <w:u w:val="single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לזכור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חזות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לתוצאת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מאוזנת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המגשימה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והפרט</w:t>
      </w:r>
      <w:r>
        <w:rPr>
          <w:rFonts w:cs="Calibri" w:ascii="Calibri" w:hAnsi="Calibri"/>
          <w:b/>
          <w:bCs/>
          <w:rtl w:val="true"/>
        </w:rPr>
        <w:t xml:space="preserve">'... </w:t>
      </w:r>
      <w:r>
        <w:rPr>
          <w:rFonts w:ascii="Calibri" w:hAnsi="Calibri" w:cs="Calibri"/>
          <w:b/>
          <w:b/>
          <w:bCs/>
          <w:rtl w:val="true"/>
        </w:rPr>
        <w:t>כמו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לחלוטין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בצוותא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</w:t>
      </w:r>
      <w:r>
        <w:rPr>
          <w:rFonts w:cs="Calibri" w:ascii="Calibri" w:hAnsi="Calibri"/>
          <w:b/>
          <w:bCs/>
          <w:rtl w:val="true"/>
        </w:rPr>
        <w:t>: '</w:t>
      </w:r>
      <w:r>
        <w:rPr>
          <w:rFonts w:ascii="Calibri" w:hAnsi="Calibri" w:cs="Calibri"/>
          <w:b/>
          <w:b/>
          <w:bCs/>
          <w:rtl w:val="true"/>
        </w:rPr>
        <w:t>מלאכת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קציבת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אריתמטי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לחישוב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תרומתו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לתרומתו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אלמוני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הפרשה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לפעולת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להדמות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לפעולת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העתקה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והדבקה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אלמוני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אחידות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>' (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פיצו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23</w:t>
      </w:r>
      <w:r>
        <w:rPr>
          <w:rFonts w:cs="Calibri" w:ascii="Calibri" w:hAnsi="Calibri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</w:rPr>
        <w:t>10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לענייננו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קבענו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ובפרט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שמקנה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כלכליות</w:t>
      </w:r>
      <w:r>
        <w:rPr>
          <w:rFonts w:cs="Calibri" w:ascii="Calibri" w:hAnsi="Calibri"/>
          <w:b/>
          <w:bCs/>
          <w:rtl w:val="true"/>
        </w:rPr>
        <w:t xml:space="preserve">; </w:t>
      </w:r>
      <w:r>
        <w:rPr>
          <w:rFonts w:ascii="Calibri" w:hAnsi="Calibri" w:cs="Calibri"/>
          <w:b/>
          <w:b/>
          <w:bCs/>
          <w:rtl w:val="true"/>
        </w:rPr>
        <w:t>משכך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שעונשו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ברזילי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נמוך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קמעא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שנסטה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היסוד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המוסד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ערכאת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להתערב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בערכאה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הדיונית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במצבים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חריגים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בהקשר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לזכור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שבמהות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שבניגוד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למערער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ברזילי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היחודיים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שבבסיס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עשויים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להצדיק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לפחות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בדיעבד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פער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המושתים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שביצעו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באותה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פרשה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המכלול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הפער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לעמדתי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נתערב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הדגשים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שבועיים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שלושה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בפרוטוקול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להרוויח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בערפל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המביאים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שיסודותיה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ששוויו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קנאביס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כאחראי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ובגניבת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בידיעתו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שאינן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העבירות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וחדד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זוגו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בטיעוני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מעורפל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ומשגיח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סיעודי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כשהציל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אובדני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מצטרפת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ומשוכנע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רבנית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מהפן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המשאבים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רגילות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עובדים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הכרעתי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העובדים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שיימנו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27.9.16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;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1.1.19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22609-10-16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דוד בלחסן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3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40i.a" TargetMode="External"/><Relationship Id="rId9" Type="http://schemas.openxmlformats.org/officeDocument/2006/relationships/hyperlink" Target="http://www.nevo.co.il/law/70301/40i.a.2" TargetMode="External"/><Relationship Id="rId10" Type="http://schemas.openxmlformats.org/officeDocument/2006/relationships/hyperlink" Target="http://www.nevo.co.il/law/70301/384a.a.a.1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6" TargetMode="External"/><Relationship Id="rId13" Type="http://schemas.openxmlformats.org/officeDocument/2006/relationships/hyperlink" Target="http://www.nevo.co.il/law/4216/3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/40g" TargetMode="External"/><Relationship Id="rId17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/40i.a.2" TargetMode="External"/><Relationship Id="rId19" Type="http://schemas.openxmlformats.org/officeDocument/2006/relationships/hyperlink" Target="http://www.nevo.co.il/law/70301/384a.a.a.1" TargetMode="External"/><Relationship Id="rId20" Type="http://schemas.openxmlformats.org/officeDocument/2006/relationships/hyperlink" Target="http://www.nevo.co.il/law/4216/6" TargetMode="External"/><Relationship Id="rId21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law/70301/384a.a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1566357" TargetMode="External"/><Relationship Id="rId25" Type="http://schemas.openxmlformats.org/officeDocument/2006/relationships/hyperlink" Target="http://www.nevo.co.il/law/70301/40g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/3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case/18045843" TargetMode="External"/><Relationship Id="rId31" Type="http://schemas.openxmlformats.org/officeDocument/2006/relationships/hyperlink" Target="http://www.nevo.co.il/law/70301/40i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i.a.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2961877" TargetMode="External"/><Relationship Id="rId36" Type="http://schemas.openxmlformats.org/officeDocument/2006/relationships/hyperlink" Target="http://www.nevo.co.il/case/21644133" TargetMode="External"/><Relationship Id="rId37" Type="http://schemas.openxmlformats.org/officeDocument/2006/relationships/hyperlink" Target="http://www.nevo.co.il/case/20045115" TargetMode="External"/><Relationship Id="rId38" Type="http://schemas.openxmlformats.org/officeDocument/2006/relationships/hyperlink" Target="http://www.nevo.co.il/case/5681787" TargetMode="External"/><Relationship Id="rId39" Type="http://schemas.openxmlformats.org/officeDocument/2006/relationships/hyperlink" Target="http://www.nevo.co.il/case/5699426" TargetMode="External"/><Relationship Id="rId40" Type="http://schemas.openxmlformats.org/officeDocument/2006/relationships/hyperlink" Target="http://www.nevo.co.il/case/20402486" TargetMode="External"/><Relationship Id="rId41" Type="http://schemas.openxmlformats.org/officeDocument/2006/relationships/hyperlink" Target="http://www.nevo.co.il/case/22791245" TargetMode="External"/><Relationship Id="rId42" Type="http://schemas.openxmlformats.org/officeDocument/2006/relationships/hyperlink" Target="http://www.nevo.co.il/case/22558068" TargetMode="External"/><Relationship Id="rId43" Type="http://schemas.openxmlformats.org/officeDocument/2006/relationships/hyperlink" Target="http://www.nevo.co.il/law/4216/6" TargetMode="External"/><Relationship Id="rId44" Type="http://schemas.openxmlformats.org/officeDocument/2006/relationships/hyperlink" Target="http://www.nevo.co.il/case/22199206" TargetMode="External"/><Relationship Id="rId45" Type="http://schemas.openxmlformats.org/officeDocument/2006/relationships/hyperlink" Target="http://www.nevo.co.il/case/23816995" TargetMode="External"/><Relationship Id="rId46" Type="http://schemas.openxmlformats.org/officeDocument/2006/relationships/hyperlink" Target="http://www.nevo.co.il/case/22073328" TargetMode="External"/><Relationship Id="rId47" Type="http://schemas.openxmlformats.org/officeDocument/2006/relationships/hyperlink" Target="http://www.nevo.co.il/case/21479956" TargetMode="External"/><Relationship Id="rId48" Type="http://schemas.openxmlformats.org/officeDocument/2006/relationships/hyperlink" Target="http://www.nevo.co.il/case/7697315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31</Pages>
  <Words>6600</Words>
  <Characters>31199</Characters>
  <CharactersWithSpaces>37853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2018-10-15T15:28:00Z</dcterms:created>
  <dc:creator> </dc:creator>
  <dc:description/>
  <cp:keywords/>
  <dc:language>en-IL</dc:language>
  <cp:lastModifiedBy>run</cp:lastModifiedBy>
  <dcterms:modified xsi:type="dcterms:W3CDTF">2018-10-15T15:28:00Z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דוד בלחסן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21566357;18045843;22961877;21644133;20045115;5681787;5699426;20402486;22791245;22558068;22199206;23816995;22073328;21479956;7697315</vt:lpwstr>
  </property>
  <property fmtid="{D5CDD505-2E9C-101B-9397-08002B2CF9AE}" pid="9" name="CITY">
    <vt:lpwstr>מרכז</vt:lpwstr>
  </property>
  <property fmtid="{D5CDD505-2E9C-101B-9397-08002B2CF9AE}" pid="10" name="DATE">
    <vt:lpwstr>20180621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4216/006:2;032</vt:lpwstr>
  </property>
  <property fmtid="{D5CDD505-2E9C-101B-9397-08002B2CF9AE}" pid="15" name="LAWLISTTMP2">
    <vt:lpwstr>70301/384a.a.a.1;040g;040c.a;040i.a;040i.a.2</vt:lpwstr>
  </property>
  <property fmtid="{D5CDD505-2E9C-101B-9397-08002B2CF9AE}" pid="16" name="LAWYER">
    <vt:lpwstr>לוס;עידן שני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22609</vt:lpwstr>
  </property>
  <property fmtid="{D5CDD505-2E9C-101B-9397-08002B2CF9AE}" pid="23" name="NEWPARTB">
    <vt:lpwstr>10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390020180621</vt:lpwstr>
  </property>
  <property fmtid="{D5CDD505-2E9C-101B-9397-08002B2CF9AE}" pid="35" name="TYPE_N_DATE">
    <vt:lpwstr>39020180621</vt:lpwstr>
  </property>
  <property fmtid="{D5CDD505-2E9C-101B-9397-08002B2CF9AE}" pid="36" name="VOLUME">
    <vt:lpwstr/>
  </property>
  <property fmtid="{D5CDD505-2E9C-101B-9397-08002B2CF9AE}" pid="37" name="WORDNUMPAGES">
    <vt:lpwstr>24</vt:lpwstr>
  </property>
</Properties>
</file>