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30876-03-17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אדיבה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אברהם בן אדיבה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לוין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קינן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חקיקה שאוזכרה</w:t>
      </w:r>
      <w:r>
        <w:rPr>
          <w:rFonts w:cs="FrankRuehl" w:ascii="FrankRuehl" w:hAnsi="FrankRuehl"/>
          <w:color w:val="00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בעניינו של 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1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4" w:name="ABSTRACT_START"/>
      <w:bookmarkEnd w:id="4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לפשע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ייצור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והפקה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בצוותא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חדא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פקודת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בצירוף</w:t>
      </w:r>
      <w:r>
        <w:rPr>
          <w:rFonts w:ascii="David" w:hAnsi="David"/>
          <w:color w:val="000000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לצריכה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עצמית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לפקודת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גניבה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מיוחדות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בצוותא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חדא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9">
        <w:r>
          <w:rPr>
            <w:rStyle w:val="Hyperlink"/>
            <w:rFonts w:cs="David" w:ascii="David" w:hAnsi="David"/>
            <w:color w:val="0000FF"/>
            <w:u w:val="single"/>
          </w:rPr>
          <w:t>384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בצירוף</w:t>
      </w:r>
      <w:r>
        <w:rPr>
          <w:rFonts w:ascii="David" w:hAnsi="David"/>
          <w:color w:val="000000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חצרים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להכנת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לפקודת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5" w:name="ABSTRACT_END"/>
      <w:bookmarkEnd w:id="5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דונמים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ׁ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אוקטובר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האחרים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להקמת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מעבדה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שבעה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חדרים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המיועדים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לגידול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קנאביס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בגדלים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המעבדה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קידום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ציידו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המעבדה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80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שנאים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77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מנורות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77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מפוחי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אוויר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מייבש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משאבות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מזגן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מרכזי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1,246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שתילים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צמח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הקנאביס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cs="David" w:ascii="David" w:hAnsi="David"/>
          <w:b/>
          <w:bCs/>
          <w:color w:val="000000"/>
        </w:rPr>
        <w:t>59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חומרי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גידול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חומרי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דישון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חומרי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הדברה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שעונים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דיגיטאליים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מזמרה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משאבה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טרמומטרים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דיגיטאליים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חבילת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צינור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השקיה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בטפטוף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מדחום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מזרקים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גדולים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קנקן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מדידה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מכשיר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אלקטרוני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אלקטרודות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מרסס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נייד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אדניות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הציוד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חיברו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המבנה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לרשת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באמצעות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כבל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מוסדר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מבלי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עבור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החיבור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בעבור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צריכת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החשמל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מהקמת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5.3.17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גידלו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השתילים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במעבדה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יבשו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והפיקו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קנביס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שוויו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70,000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לקילו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5.3.17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החזיקו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במעבדה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קנביס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בכמות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כוללת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140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נטו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נטלו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רשות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מרשת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החשמל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בשווי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42,578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b/>
          <w:bCs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וניתנה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לסירוגין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בהקמת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ותפעול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דוכני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אורגניים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התחזוקה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חנויות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מסעדה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וקייטרינג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שגשגו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לסגור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לסירוגין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ובנורבגיה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מתגוררת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המשותפת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הקפיד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למפגשים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במצוקותיו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מתמודד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האכזבה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הבעייתית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הבריאותי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שנערכו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משרידי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בנובמבר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אימפולסיבי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לחלופה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ופיתוי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יומיומי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קנאביס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בנושא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בחירותיו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והשלכותיהן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בהתנהלותו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מאינפורמציה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שהתקבלה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שנערכו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3.12.17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כחונך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חקיקה שאוזכרה</w:t>
      </w:r>
      <w:r>
        <w:rPr>
          <w:rFonts w:cs="FrankRuehl" w:ascii="FrankRuehl" w:hAnsi="FrankRuehl"/>
          <w:color w:val="00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FrankRuehl" w:hAnsi="FrankRuehl" w:cs="FrankRuehl"/>
        </w:rPr>
      </w:pPr>
      <w:r>
        <w:rPr>
          <w:rFonts w:ascii="David" w:hAnsi="David"/>
          <w:color w:val="000000"/>
          <w:rtl w:val="true"/>
        </w:rPr>
        <w:t>א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ר</w:t>
      </w:r>
      <w:r>
        <w:rPr>
          <w:rFonts w:ascii="David" w:hAnsi="David"/>
          <w:bCs/>
          <w:color w:val="000000"/>
          <w:rtl w:val="true"/>
        </w:rPr>
        <w:t>כחיובי</w:t>
      </w:r>
      <w:r>
        <w:rPr>
          <w:rFonts w:cs="David" w:ascii="David" w:hAnsi="David"/>
          <w:bCs/>
          <w:color w:val="000000"/>
          <w:rtl w:val="true"/>
        </w:rPr>
        <w:t xml:space="preserve">. </w:t>
      </w:r>
      <w:r>
        <w:rPr>
          <w:rFonts w:ascii="David" w:hAnsi="David"/>
          <w:bCs/>
          <w:color w:val="000000"/>
          <w:rtl w:val="true"/>
        </w:rPr>
        <w:t>בנוסף השתתף הנאשם בשתי קבוצות טיפוליות בהן גילה עניין והביע מוטיבציה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צפוי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מיוזמתו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מעולמו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בעייתיות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ביקורתי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בחולשותיו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ולהיעזר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בסביבתו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שאפשר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ההידרדרות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בשטח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חקלאי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ששימש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100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color w:val="000000"/>
          <w:rtl w:val="true"/>
        </w:rPr>
        <w:t>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בהתארגנות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ממון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ידע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לסחור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מצטרפים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אלמנטים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וההתארגנות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ומאובחנים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ליטול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50-70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color w:val="000000"/>
          <w:rtl w:val="true"/>
        </w:rPr>
        <w:t>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2-4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שיפוטי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ההודיה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כשלעצמה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להעמיק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ולחקור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המניעים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ודורשת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5.3.17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22.5.17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השחרור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16.11.17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אחידות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ממסד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ראייתי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מגזרי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השותפות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לאחרים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בנורבגיה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הילדה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נולדה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פונדקאות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טלפוני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הסתבך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להיתרם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מהקבוצות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משרידי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השחרור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כחונך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תפקידו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הקבוצות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כאחראי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ספרייה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מסמך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נע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להתעלם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החסויות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והועברו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פרפרזות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שמתוכן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בפירוש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שמעורב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הבוס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שקיים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ספונסר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שהוגשה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וניתנו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שלטעמו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בעיצומו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והעקיפים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בהשוואה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המחוקק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והכנת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תופעת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מגודל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יתגלגל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עציצים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הבינוני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שנרכשו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מתוחכמות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במקומות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שהבהיר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2596/18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זנזורי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12.8.18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קלים</w:t>
      </w:r>
      <w:r>
        <w:rPr>
          <w:rFonts w:cs="David" w:ascii="David" w:hAnsi="David"/>
          <w:color w:val="000000"/>
          <w:rtl w:val="true"/>
        </w:rPr>
        <w:t xml:space="preserve">":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120"/>
        <w:ind w:start="964" w:end="397"/>
        <w:jc w:val="both"/>
        <w:textAlignment w:val="baseline"/>
        <w:rPr/>
      </w:pPr>
      <w:r>
        <w:rPr>
          <w:rFonts w:cs="Century" w:ascii="Century" w:hAnsi="Century"/>
          <w:spacing w:val="10"/>
          <w:sz w:val="20"/>
          <w:rtl w:val="true"/>
        </w:rPr>
        <w:t>"</w:t>
      </w:r>
      <w:r>
        <w:rPr>
          <w:rFonts w:ascii="Century" w:hAnsi="Century" w:cs="Century"/>
          <w:spacing w:val="10"/>
          <w:sz w:val="20"/>
          <w:sz w:val="20"/>
          <w:rtl w:val="true"/>
        </w:rPr>
        <w:t>ריבוי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המקרים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המובאים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לפנינו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בעת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האחרונה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pacing w:val="10"/>
          <w:sz w:val="20"/>
          <w:sz w:val="20"/>
          <w:rtl w:val="true"/>
        </w:rPr>
        <w:t>של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גידול</w:t>
      </w:r>
      <w:r>
        <w:rPr>
          <w:rFonts w:cs="Century" w:ascii="Century" w:hAnsi="Century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ייצור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והפקת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קנבוס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לשם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הפצה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ומכירה</w:t>
      </w:r>
      <w:r>
        <w:rPr>
          <w:rFonts w:cs="Century" w:ascii="Century" w:hAnsi="Century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כמו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גם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הפצה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ומכירה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של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קנבוס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תוך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שימוש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באפליקציית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</w:t>
      </w:r>
      <w:r>
        <w:rPr>
          <w:rFonts w:cs="Century" w:ascii="Century" w:hAnsi="Century"/>
          <w:spacing w:val="10"/>
          <w:sz w:val="20"/>
          <w:rtl w:val="true"/>
        </w:rPr>
        <w:t>'</w:t>
      </w:r>
      <w:r>
        <w:rPr>
          <w:rFonts w:ascii="Century" w:hAnsi="Century" w:cs="Century"/>
          <w:spacing w:val="10"/>
          <w:sz w:val="20"/>
          <w:sz w:val="20"/>
          <w:rtl w:val="true"/>
        </w:rPr>
        <w:t>טלגראס</w:t>
      </w:r>
      <w:r>
        <w:rPr>
          <w:rFonts w:cs="Century" w:ascii="Century" w:hAnsi="Century"/>
          <w:spacing w:val="10"/>
          <w:sz w:val="20"/>
          <w:rtl w:val="true"/>
        </w:rPr>
        <w:t xml:space="preserve">', </w:t>
      </w:r>
      <w:r>
        <w:rPr>
          <w:rFonts w:ascii="Century" w:hAnsi="Century" w:cs="Century"/>
          <w:spacing w:val="10"/>
          <w:sz w:val="20"/>
          <w:sz w:val="20"/>
          <w:rtl w:val="true"/>
        </w:rPr>
        <w:t>מעוררים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את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התחושה</w:t>
      </w:r>
      <w:r>
        <w:rPr>
          <w:rFonts w:cs="Century" w:ascii="Century" w:hAnsi="Century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הגם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שאינה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מגובה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בסטטיסטיקה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או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במחקר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אמפירי</w:t>
      </w:r>
      <w:r>
        <w:rPr>
          <w:rFonts w:cs="Century" w:ascii="Century" w:hAnsi="Century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כי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המדיניות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שבאה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לידי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ביטוי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בחוק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הסמים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המסוכנים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pacing w:val="10"/>
          <w:sz w:val="20"/>
          <w:rtl w:val="true"/>
        </w:rPr>
        <w:t>(</w:t>
      </w:r>
      <w:r>
        <w:rPr>
          <w:rFonts w:ascii="Century" w:hAnsi="Century" w:cs="Century"/>
          <w:spacing w:val="10"/>
          <w:sz w:val="20"/>
          <w:sz w:val="20"/>
          <w:rtl w:val="true"/>
        </w:rPr>
        <w:t>עבירת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קנס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מיוחדת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pacing w:val="10"/>
          <w:sz w:val="20"/>
          <w:sz w:val="20"/>
          <w:rtl w:val="true"/>
        </w:rPr>
        <w:t>הוראת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שעה</w:t>
      </w:r>
      <w:r>
        <w:rPr>
          <w:rFonts w:cs="Century" w:ascii="Century" w:hAnsi="Century"/>
          <w:spacing w:val="10"/>
          <w:sz w:val="20"/>
          <w:rtl w:val="true"/>
        </w:rPr>
        <w:t xml:space="preserve">), </w:t>
      </w:r>
      <w:r>
        <w:rPr>
          <w:rFonts w:ascii="Century" w:hAnsi="Century" w:cs="Century"/>
          <w:spacing w:val="10"/>
          <w:sz w:val="20"/>
          <w:sz w:val="20"/>
          <w:rtl w:val="true"/>
        </w:rPr>
        <w:t>התשע</w:t>
      </w:r>
      <w:r>
        <w:rPr>
          <w:rFonts w:cs="Century" w:ascii="Century" w:hAnsi="Century"/>
          <w:spacing w:val="10"/>
          <w:sz w:val="20"/>
          <w:rtl w:val="true"/>
        </w:rPr>
        <w:t>"</w:t>
      </w:r>
      <w:r>
        <w:rPr>
          <w:rFonts w:ascii="Century" w:hAnsi="Century" w:cs="Century"/>
          <w:spacing w:val="10"/>
          <w:sz w:val="20"/>
          <w:sz w:val="20"/>
          <w:rtl w:val="true"/>
        </w:rPr>
        <w:t>ח</w:t>
      </w:r>
      <w:r>
        <w:rPr>
          <w:rFonts w:cs="Century" w:ascii="Century" w:hAnsi="Century"/>
          <w:spacing w:val="10"/>
          <w:sz w:val="20"/>
          <w:rtl w:val="true"/>
        </w:rPr>
        <w:t>-</w:t>
      </w:r>
      <w:r>
        <w:rPr>
          <w:rFonts w:cs="Century" w:ascii="Century" w:hAnsi="Century"/>
          <w:spacing w:val="10"/>
          <w:sz w:val="20"/>
        </w:rPr>
        <w:t>2018</w:t>
      </w:r>
      <w:r>
        <w:rPr>
          <w:rFonts w:cs="Century" w:ascii="Century" w:hAnsi="Century"/>
          <w:spacing w:val="10"/>
          <w:sz w:val="20"/>
          <w:rtl w:val="true"/>
        </w:rPr>
        <w:t xml:space="preserve"> (</w:t>
      </w:r>
      <w:r>
        <w:rPr>
          <w:rFonts w:ascii="Century" w:hAnsi="Century" w:cs="Century"/>
          <w:spacing w:val="10"/>
          <w:sz w:val="20"/>
          <w:sz w:val="20"/>
          <w:rtl w:val="true"/>
        </w:rPr>
        <w:t>שתחולתו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ביום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pacing w:val="10"/>
          <w:sz w:val="20"/>
        </w:rPr>
        <w:t>1.4.2019</w:t>
      </w:r>
      <w:r>
        <w:rPr>
          <w:rFonts w:cs="Century" w:ascii="Century" w:hAnsi="Century"/>
          <w:spacing w:val="10"/>
          <w:sz w:val="20"/>
          <w:rtl w:val="true"/>
        </w:rPr>
        <w:t xml:space="preserve">) – </w:t>
      </w:r>
      <w:r>
        <w:rPr>
          <w:rFonts w:ascii="Century" w:hAnsi="Century" w:cs="Century"/>
          <w:spacing w:val="10"/>
          <w:sz w:val="20"/>
          <w:sz w:val="20"/>
          <w:rtl w:val="true"/>
        </w:rPr>
        <w:t>זלגה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שלא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בטובתה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למחוזות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אחרים</w:t>
      </w:r>
      <w:r>
        <w:rPr>
          <w:rFonts w:cs="Century" w:ascii="Century" w:hAnsi="Century"/>
          <w:spacing w:val="10"/>
          <w:sz w:val="20"/>
          <w:rtl w:val="true"/>
        </w:rPr>
        <w:t xml:space="preserve">. </w:t>
      </w:r>
      <w:r>
        <w:rPr>
          <w:rFonts w:ascii="Calibri" w:hAnsi="Calibri" w:cs="Calibri"/>
          <w:spacing w:val="10"/>
          <w:sz w:val="20"/>
          <w:sz w:val="20"/>
          <w:rtl w:val="true"/>
        </w:rPr>
        <w:t>צרכנים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ומשתמשים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ואנשים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נורמטיביים</w:t>
      </w:r>
      <w:r>
        <w:rPr>
          <w:rFonts w:cs="Calibri" w:ascii="Calibri" w:hAnsi="Calibri"/>
          <w:spacing w:val="10"/>
          <w:sz w:val="20"/>
          <w:rtl w:val="true"/>
        </w:rPr>
        <w:t xml:space="preserve">, </w:t>
      </w:r>
      <w:r>
        <w:rPr>
          <w:rFonts w:ascii="Calibri" w:hAnsi="Calibri" w:cs="Calibri"/>
          <w:spacing w:val="10"/>
          <w:sz w:val="20"/>
          <w:sz w:val="20"/>
          <w:rtl w:val="true"/>
        </w:rPr>
        <w:t>שבעבר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לא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היו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נכונים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ליטול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על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עצמם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סיכון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להסתבך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בעולם</w:t>
      </w:r>
      <w:r>
        <w:rPr>
          <w:rFonts w:ascii="Calibri" w:hAnsi="Calibri" w:cs="Calibri"/>
          <w:spacing w:val="10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pacing w:val="10"/>
          <w:sz w:val="20"/>
          <w:sz w:val="20"/>
          <w:rtl w:val="true"/>
        </w:rPr>
        <w:t>הפלילי</w:t>
      </w:r>
      <w:r>
        <w:rPr>
          <w:rFonts w:cs="Calibri" w:ascii="Calibri" w:hAnsi="Calibri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נכונים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כיום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לילך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צעד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נוסף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ולהפוך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למגדלים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ולסוחרים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בסם</w:t>
      </w:r>
      <w:r>
        <w:rPr>
          <w:rFonts w:cs="Century" w:ascii="Century" w:hAnsi="Century"/>
          <w:spacing w:val="10"/>
          <w:sz w:val="20"/>
          <w:rtl w:val="true"/>
        </w:rPr>
        <w:t xml:space="preserve">. </w:t>
      </w:r>
      <w:r>
        <w:rPr>
          <w:rFonts w:ascii="Century" w:hAnsi="Century" w:cs="Century"/>
          <w:spacing w:val="10"/>
          <w:sz w:val="20"/>
          <w:sz w:val="20"/>
          <w:rtl w:val="true"/>
        </w:rPr>
        <w:t>זאת</w:t>
      </w:r>
      <w:r>
        <w:rPr>
          <w:rFonts w:cs="Century" w:ascii="Century" w:hAnsi="Century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מתוך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תפיסה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שגויה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כי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מדובר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</w:t>
      </w:r>
      <w:r>
        <w:rPr>
          <w:rFonts w:cs="Century" w:ascii="Century" w:hAnsi="Century"/>
          <w:spacing w:val="10"/>
          <w:sz w:val="20"/>
          <w:rtl w:val="true"/>
        </w:rPr>
        <w:t>"</w:t>
      </w:r>
      <w:r>
        <w:rPr>
          <w:rFonts w:ascii="Century" w:hAnsi="Century" w:cs="Century"/>
          <w:spacing w:val="10"/>
          <w:sz w:val="20"/>
          <w:sz w:val="20"/>
          <w:rtl w:val="true"/>
        </w:rPr>
        <w:t>סמים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קלים</w:t>
      </w:r>
      <w:r>
        <w:rPr>
          <w:rFonts w:cs="Century" w:ascii="Century" w:hAnsi="Century"/>
          <w:spacing w:val="10"/>
          <w:sz w:val="20"/>
          <w:rtl w:val="true"/>
        </w:rPr>
        <w:t xml:space="preserve">", </w:t>
      </w:r>
      <w:r>
        <w:rPr>
          <w:rFonts w:ascii="Century" w:hAnsi="Century" w:cs="Century"/>
          <w:spacing w:val="10"/>
          <w:sz w:val="20"/>
          <w:sz w:val="20"/>
          <w:rtl w:val="true"/>
        </w:rPr>
        <w:t>ובהינתן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הטכנולוגיה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המאפשרת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מכירה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והפצה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קלה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</w:t>
      </w:r>
      <w:r>
        <w:rPr>
          <w:rFonts w:cs="Century" w:ascii="Century" w:hAnsi="Century"/>
          <w:spacing w:val="10"/>
          <w:sz w:val="20"/>
          <w:rtl w:val="true"/>
        </w:rPr>
        <w:t>"</w:t>
      </w:r>
      <w:r>
        <w:rPr>
          <w:rFonts w:ascii="Century" w:hAnsi="Century" w:cs="Century"/>
          <w:spacing w:val="10"/>
          <w:sz w:val="20"/>
          <w:sz w:val="20"/>
          <w:rtl w:val="true"/>
        </w:rPr>
        <w:t>סטרילית</w:t>
      </w:r>
      <w:r>
        <w:rPr>
          <w:rFonts w:cs="Century" w:ascii="Century" w:hAnsi="Century"/>
          <w:spacing w:val="10"/>
          <w:sz w:val="20"/>
          <w:rtl w:val="true"/>
        </w:rPr>
        <w:t xml:space="preserve">" </w:t>
      </w:r>
      <w:r>
        <w:rPr>
          <w:rFonts w:ascii="Century" w:hAnsi="Century" w:cs="Century"/>
          <w:spacing w:val="10"/>
          <w:sz w:val="20"/>
          <w:sz w:val="20"/>
          <w:rtl w:val="true"/>
        </w:rPr>
        <w:t>של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סמים</w:t>
      </w:r>
      <w:r>
        <w:rPr>
          <w:rFonts w:cs="Century" w:ascii="Century" w:hAnsi="Century"/>
          <w:spacing w:val="10"/>
          <w:sz w:val="20"/>
          <w:rtl w:val="true"/>
        </w:rPr>
        <w:t xml:space="preserve">. </w:t>
      </w:r>
      <w:r>
        <w:rPr>
          <w:rFonts w:ascii="Century" w:hAnsi="Century" w:cs="Century"/>
          <w:spacing w:val="10"/>
          <w:sz w:val="20"/>
          <w:sz w:val="20"/>
          <w:rtl w:val="true"/>
        </w:rPr>
        <w:t>ברם</w:t>
      </w:r>
      <w:r>
        <w:rPr>
          <w:rFonts w:cs="Century" w:ascii="Century" w:hAnsi="Century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סחר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בסמים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הוא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סחר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בסמים</w:t>
      </w:r>
      <w:r>
        <w:rPr>
          <w:rFonts w:cs="Century" w:ascii="Century" w:hAnsi="Century"/>
          <w:spacing w:val="10"/>
          <w:sz w:val="20"/>
          <w:rtl w:val="true"/>
        </w:rPr>
        <w:t xml:space="preserve">. </w:t>
      </w:r>
      <w:r>
        <w:rPr>
          <w:rFonts w:ascii="Century" w:hAnsi="Century" w:cs="Century"/>
          <w:spacing w:val="10"/>
          <w:sz w:val="20"/>
          <w:sz w:val="20"/>
          <w:rtl w:val="true"/>
        </w:rPr>
        <w:t>ידע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כל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מי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שמהרהר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בדרכים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לעשיית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כסף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קל</w:t>
      </w:r>
      <w:r>
        <w:rPr>
          <w:rFonts w:cs="Century" w:ascii="Century" w:hAnsi="Century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כי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מדיניות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הענישה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לא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השתנתה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ובית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המשפט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רואה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בחומרה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עבירות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של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סחר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והפצה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של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סמים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מסוכנים</w:t>
      </w:r>
      <w:r>
        <w:rPr>
          <w:rFonts w:cs="Century" w:ascii="Century" w:hAnsi="Century"/>
          <w:spacing w:val="10"/>
          <w:sz w:val="20"/>
          <w:rtl w:val="true"/>
        </w:rPr>
        <w:t xml:space="preserve">, </w:t>
      </w:r>
      <w:r>
        <w:rPr>
          <w:rFonts w:ascii="Century" w:hAnsi="Century" w:cs="Century"/>
          <w:spacing w:val="10"/>
          <w:sz w:val="20"/>
          <w:sz w:val="20"/>
          <w:rtl w:val="true"/>
        </w:rPr>
        <w:t>גם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סמים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pacing w:val="10"/>
          <w:sz w:val="20"/>
          <w:rtl w:val="true"/>
        </w:rPr>
        <w:t>"</w:t>
      </w:r>
      <w:r>
        <w:rPr>
          <w:rFonts w:ascii="Century" w:hAnsi="Century" w:cs="Century"/>
          <w:spacing w:val="10"/>
          <w:sz w:val="20"/>
          <w:sz w:val="20"/>
          <w:rtl w:val="true"/>
        </w:rPr>
        <w:t>קלים</w:t>
      </w:r>
      <w:r>
        <w:rPr>
          <w:rFonts w:cs="Century" w:ascii="Century" w:hAnsi="Century"/>
          <w:spacing w:val="10"/>
          <w:sz w:val="20"/>
          <w:rtl w:val="true"/>
        </w:rPr>
        <w:t xml:space="preserve">", </w:t>
      </w:r>
      <w:r>
        <w:rPr>
          <w:rFonts w:ascii="Century" w:hAnsi="Century" w:cs="Century"/>
          <w:spacing w:val="10"/>
          <w:sz w:val="20"/>
          <w:sz w:val="20"/>
          <w:rtl w:val="true"/>
        </w:rPr>
        <w:t>תוך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הטלת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ענישה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משמעותית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ומרתיעה</w:t>
      </w:r>
      <w:r>
        <w:rPr>
          <w:rFonts w:cs="Century" w:ascii="Century" w:hAnsi="Century"/>
          <w:spacing w:val="10"/>
          <w:sz w:val="20"/>
          <w:rtl w:val="true"/>
        </w:rPr>
        <w:t xml:space="preserve">. </w:t>
      </w:r>
      <w:r>
        <w:rPr>
          <w:rFonts w:ascii="Century" w:hAnsi="Century" w:cs="Century"/>
          <w:spacing w:val="10"/>
          <w:sz w:val="20"/>
          <w:sz w:val="20"/>
          <w:rtl w:val="true"/>
        </w:rPr>
        <w:t>צרכנים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ומשתמשים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pacing w:val="10"/>
          <w:sz w:val="20"/>
          <w:sz w:val="20"/>
          <w:rtl w:val="true"/>
        </w:rPr>
        <w:t>ראו</w:t>
      </w:r>
      <w:r>
        <w:rPr>
          <w:rFonts w:ascii="Century" w:hAnsi="Century" w:cs="Century"/>
          <w:spacing w:val="10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pacing w:val="10"/>
          <w:sz w:val="20"/>
          <w:sz w:val="20"/>
          <w:rtl w:val="true"/>
        </w:rPr>
        <w:t>הוזהרתם</w:t>
      </w:r>
      <w:r>
        <w:rPr>
          <w:rFonts w:cs="Century" w:ascii="Century" w:hAnsi="Century"/>
          <w:spacing w:val="10"/>
          <w:sz w:val="20"/>
          <w:rtl w:val="true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ייעודי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140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נטו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1,246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שתילים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42,000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Times New Roman"/>
          <w:b/>
          <w:bCs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4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התכנון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שכר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במתחם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ציידו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שנאים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77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מנורות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77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מפוחי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אוויר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מייבש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מזגן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מרכזי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1,246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צמח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הקנאביס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59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חומרי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חומרי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שעונים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דיגיטאליים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מזמרה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משאבה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טרמומטרים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דיגיטאליים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חבילת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צינור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השקיה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מדחום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מזרקים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מרסס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נייד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אדניות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ועוד</w:t>
      </w:r>
      <w:r>
        <w:rPr>
          <w:rFonts w:cs="David" w:ascii="David" w:hAnsi="David"/>
          <w:color w:val="000000"/>
          <w:rtl w:val="true"/>
        </w:rPr>
        <w:t>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מוסדר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ותחכום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חלקו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הוקמה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השטח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זוגו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עיקרי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שותפים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ומרכזי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חסויה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הצהירה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הצהרה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שזהותו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נמסרה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נשמע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ושותף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מומחה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אוקטובר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לפברואר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2017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פרוטוקול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15.5.18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בהצהרה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בהצהרה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מפורשת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הנוכחית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מזיקת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בקיאים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הפעילות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מופצים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שבהפצתם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עבריינים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;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מהיר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282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87.25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5093/17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בקשט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1.1.18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300,000</w:t>
      </w:r>
      <w:r>
        <w:rPr>
          <w:rtl w:val="true"/>
        </w:rPr>
        <w:t xml:space="preserve"> ₪.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tl w:val="true"/>
        </w:rPr>
        <w:t xml:space="preserve">,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2596/18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זנזורי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12.8.18</w:t>
      </w:r>
      <w:r>
        <w:rPr>
          <w:rtl w:val="true"/>
        </w:rPr>
        <w:t xml:space="preserve">)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137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11.6.18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הצמחים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48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49625-04-17</w:t>
        </w:r>
      </w:hyperlink>
      <w:r>
        <w:rPr>
          <w:rtl w:val="true"/>
        </w:rPr>
        <w:t xml:space="preserve">‏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אלאטרש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18.3.18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888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253.9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וייעודית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דישון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מתחם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ההולם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</w:rPr>
        <w:t>2.5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</w:t>
      </w:r>
      <w:r>
        <w:rPr>
          <w:rFonts w:cs="Calibri" w:ascii="Calibri" w:hAnsi="Calibri"/>
          <w:b/>
          <w:bCs/>
          <w:sz w:val="22"/>
          <w:rtl w:val="true"/>
        </w:rPr>
        <w:t xml:space="preserve">- </w:t>
      </w:r>
      <w:r>
        <w:rPr>
          <w:rFonts w:cs="Calibri" w:ascii="Calibri" w:hAnsi="Calibri"/>
          <w:b/>
          <w:bCs/>
          <w:sz w:val="22"/>
        </w:rPr>
        <w:t>5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שנות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מאסר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בפועל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הנאשם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נידון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ל</w:t>
      </w:r>
      <w:r>
        <w:rPr>
          <w:rFonts w:cs="Calibri" w:ascii="Calibri" w:hAnsi="Calibri"/>
          <w:b/>
          <w:bCs/>
          <w:sz w:val="22"/>
          <w:rtl w:val="true"/>
        </w:rPr>
        <w:t xml:space="preserve">- </w:t>
      </w:r>
      <w:r>
        <w:rPr>
          <w:rFonts w:cs="Calibri" w:ascii="Calibri" w:hAnsi="Calibri"/>
          <w:b/>
          <w:bCs/>
          <w:sz w:val="22"/>
        </w:rPr>
        <w:t>45</w:t>
      </w:r>
      <w:r>
        <w:rPr>
          <w:rFonts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חודשי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מאסר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בפועל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color w:val="000000"/>
          <w:sz w:val="22"/>
          <w:sz w:val="22"/>
          <w:rtl w:val="true"/>
        </w:rPr>
        <w:t>וקנס</w:t>
      </w:r>
      <w:r>
        <w:rPr>
          <w:rFonts w:ascii="Calibri" w:hAnsi="Calibri" w:cs="Calibri"/>
          <w:color w:val="000000"/>
          <w:sz w:val="22"/>
          <w:sz w:val="22"/>
          <w:rtl w:val="true"/>
        </w:rPr>
        <w:t xml:space="preserve"> </w:t>
      </w:r>
      <w:r>
        <w:rPr>
          <w:rFonts w:ascii="Calibri" w:hAnsi="Calibri" w:cs="Calibri"/>
          <w:color w:val="000000"/>
          <w:sz w:val="22"/>
          <w:sz w:val="22"/>
          <w:rtl w:val="true"/>
        </w:rPr>
        <w:t>בסך</w:t>
      </w:r>
      <w:r>
        <w:rPr>
          <w:rFonts w:ascii="Calibri" w:hAnsi="Calibri" w:cs="Calibri"/>
          <w:color w:val="000000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color w:val="000000"/>
          <w:sz w:val="22"/>
        </w:rPr>
        <w:t>30,000</w:t>
      </w:r>
      <w:r>
        <w:rPr>
          <w:rFonts w:cs="Calibri" w:ascii="Calibri" w:hAnsi="Calibri"/>
          <w:color w:val="000000"/>
          <w:sz w:val="22"/>
          <w:rtl w:val="true"/>
        </w:rPr>
        <w:t xml:space="preserve"> </w:t>
      </w:r>
      <w:r>
        <w:rPr>
          <w:rFonts w:cs="Times New Roman"/>
          <w:color w:val="000000"/>
          <w:sz w:val="22"/>
          <w:rtl w:val="true"/>
        </w:rPr>
        <w:t>₪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59971-01-17</w:t>
        </w:r>
      </w:hyperlink>
      <w:r>
        <w:rPr>
          <w:rtl w:val="true"/>
        </w:rPr>
        <w:t>‏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במעבדה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170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8224/17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21.6.18</w:t>
      </w:r>
      <w:r>
        <w:rPr>
          <w:rFonts w:cs="Calibri" w:ascii="Calibri" w:hAnsi="Calibri"/>
          <w:rtl w:val="true"/>
        </w:rPr>
        <w:t>)).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46662-04-15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3.2.16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78.8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וחילוט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13739-03-09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11.1.10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87.4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/>
        <w:t>224</w:t>
      </w:r>
      <w:r>
        <w:rPr>
          <w:rtl w:val="true"/>
        </w:rPr>
        <w:t xml:space="preserve"> </w:t>
      </w:r>
      <w:r>
        <w:rPr>
          <w:rtl w:val="true"/>
        </w:rPr>
        <w:t>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₪.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24323-04-13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גואטה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28.11.13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39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hyperlink r:id="rId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40227-06-17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טוויל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30.5.18</w:t>
      </w:r>
      <w:r>
        <w:rPr>
          <w:rtl w:val="true"/>
        </w:rPr>
        <w:t xml:space="preserve">),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8843-02-15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בוז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6.4.17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וחרג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4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27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50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49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המשותפת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להתגורר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בנורבגיה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ויחסיו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מושתתים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טלפון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לעיתים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רחוקות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בילדיו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בשנית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הקפיד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מעולמו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כחונך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כשתפקודו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כחיובי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בזמנים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מבוטלת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5.3.17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22.5.17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בתנאים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השחרור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16.11.17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אזרחי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שנגנב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להסכמת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לחילוט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לעיקרון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אחידות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עיקרון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ובאותן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נאשמת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נמחקה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3-4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מעניינם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בעניינם</w:t>
      </w:r>
      <w:r>
        <w:rPr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חלקם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מינורי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מחלוקת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רווחים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עבודתם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ונקודתי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133" w:leader="none"/>
        </w:tabs>
        <w:spacing w:lineRule="auto" w:line="360" w:before="0" w:after="120"/>
        <w:ind w:hanging="426" w:start="1133" w:end="0"/>
        <w:jc w:val="both"/>
        <w:rPr>
          <w:color w:val="000000"/>
        </w:rPr>
      </w:pP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שיוחסה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174.40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נטו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להשפיע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07" w:end="0"/>
        <w:jc w:val="both"/>
        <w:rPr>
          <w:color w:val="000000"/>
        </w:rPr>
      </w:pP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כמחצית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עיקרי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המסייעים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לזהות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שינוי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בהתנהלותו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16.11.17</w:t>
      </w:r>
      <w:r>
        <w:rPr>
          <w:rtl w:val="true"/>
        </w:rPr>
        <w:t xml:space="preserve">, </w:t>
      </w:r>
      <w:r>
        <w:rPr>
          <w:rtl w:val="true"/>
        </w:rPr>
        <w:t>ומהם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5.3.17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22.5.17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50,000</w:t>
      </w:r>
      <w:r>
        <w:rPr>
          <w:b/>
          <w:bCs/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1.9.19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30876-03-17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אברהם בן אדיבה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384a.a.1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c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6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/9.d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/6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4216/7.c" TargetMode="External"/><Relationship Id="rId19" Type="http://schemas.openxmlformats.org/officeDocument/2006/relationships/hyperlink" Target="http://www.nevo.co.il/law/70301/384a.a.1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4216/9.d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/384a.a.1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/40jc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4216/6" TargetMode="External"/><Relationship Id="rId31" Type="http://schemas.openxmlformats.org/officeDocument/2006/relationships/hyperlink" Target="http://www.nevo.co.il/law/4216/7.c" TargetMode="External"/><Relationship Id="rId32" Type="http://schemas.openxmlformats.org/officeDocument/2006/relationships/hyperlink" Target="http://www.nevo.co.il/law/4216/9.d" TargetMode="External"/><Relationship Id="rId33" Type="http://schemas.openxmlformats.org/officeDocument/2006/relationships/hyperlink" Target="http://www.nevo.co.il/case/23827604" TargetMode="External"/><Relationship Id="rId34" Type="http://schemas.openxmlformats.org/officeDocument/2006/relationships/hyperlink" Target="http://www.nevo.co.il/law/70301/40i" TargetMode="External"/><Relationship Id="rId35" Type="http://schemas.openxmlformats.org/officeDocument/2006/relationships/hyperlink" Target="http://www.nevo.co.il/case/21644133" TargetMode="External"/><Relationship Id="rId36" Type="http://schemas.openxmlformats.org/officeDocument/2006/relationships/hyperlink" Target="http://www.nevo.co.il/case/22791245" TargetMode="External"/><Relationship Id="rId37" Type="http://schemas.openxmlformats.org/officeDocument/2006/relationships/hyperlink" Target="http://www.nevo.co.il/case/23827604" TargetMode="External"/><Relationship Id="rId38" Type="http://schemas.openxmlformats.org/officeDocument/2006/relationships/hyperlink" Target="http://www.nevo.co.il/case/22695050" TargetMode="External"/><Relationship Id="rId39" Type="http://schemas.openxmlformats.org/officeDocument/2006/relationships/hyperlink" Target="http://www.nevo.co.il/case/22558068" TargetMode="External"/><Relationship Id="rId40" Type="http://schemas.openxmlformats.org/officeDocument/2006/relationships/hyperlink" Target="http://www.nevo.co.il/case/22199206" TargetMode="External"/><Relationship Id="rId41" Type="http://schemas.openxmlformats.org/officeDocument/2006/relationships/hyperlink" Target="http://www.nevo.co.il/case/24344644" TargetMode="External"/><Relationship Id="rId42" Type="http://schemas.openxmlformats.org/officeDocument/2006/relationships/hyperlink" Target="http://www.nevo.co.il/case/20235191" TargetMode="External"/><Relationship Id="rId43" Type="http://schemas.openxmlformats.org/officeDocument/2006/relationships/hyperlink" Target="http://www.nevo.co.il/case/4727560" TargetMode="External"/><Relationship Id="rId44" Type="http://schemas.openxmlformats.org/officeDocument/2006/relationships/hyperlink" Target="http://www.nevo.co.il/case/6888422" TargetMode="External"/><Relationship Id="rId45" Type="http://schemas.openxmlformats.org/officeDocument/2006/relationships/hyperlink" Target="http://www.nevo.co.il/case/22745354" TargetMode="External"/><Relationship Id="rId46" Type="http://schemas.openxmlformats.org/officeDocument/2006/relationships/hyperlink" Target="http://www.nevo.co.il/case/20008867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jc" TargetMode="External"/><Relationship Id="rId49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15</Pages>
  <Words>4058</Words>
  <Characters>18497</Characters>
  <CharactersWithSpaces>22500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2019-03-24T14:18:00Z</dcterms:created>
  <dc:creator> </dc:creator>
  <dc:description/>
  <cp:keywords/>
  <dc:language>en-IL</dc:language>
  <cp:lastModifiedBy>run</cp:lastModifiedBy>
  <dcterms:modified xsi:type="dcterms:W3CDTF">2019-03-24T14:18:00Z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אברהם בן אדיבה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23827604:2;21644133;22791245;22695050;22558068;22199206;24344644;20235191;4727560;6888422;22745354;20008867</vt:lpwstr>
  </property>
  <property fmtid="{D5CDD505-2E9C-101B-9397-08002B2CF9AE}" pid="9" name="CITY">
    <vt:lpwstr>מרכז</vt:lpwstr>
  </property>
  <property fmtid="{D5CDD505-2E9C-101B-9397-08002B2CF9AE}" pid="10" name="DATE">
    <vt:lpwstr>20180920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70301/029:3;040i:2;384a.a.1:2;40ja:2;40jc:2;499.a.1:2</vt:lpwstr>
  </property>
  <property fmtid="{D5CDD505-2E9C-101B-9397-08002B2CF9AE}" pid="15" name="LAWLISTTMP2">
    <vt:lpwstr>4216/006:2;007.c:2;009.d:2</vt:lpwstr>
  </property>
  <property fmtid="{D5CDD505-2E9C-101B-9397-08002B2CF9AE}" pid="16" name="LAWYER">
    <vt:lpwstr>נעמה תור זאבי;עמית לוין;שרון קינן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30876</vt:lpwstr>
  </property>
  <property fmtid="{D5CDD505-2E9C-101B-9397-08002B2CF9AE}" pid="23" name="NEWPARTB">
    <vt:lpwstr>03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390020180920</vt:lpwstr>
  </property>
  <property fmtid="{D5CDD505-2E9C-101B-9397-08002B2CF9AE}" pid="35" name="TYPE_N_DATE">
    <vt:lpwstr>39020180920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