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14488-04-19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וקנין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אבירן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וקנין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אסרף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קליין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10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 הורשע בהתאם להודאתו בעובדות כתב האישום המתוקן בעבירות כדלקמן</w:t>
      </w:r>
      <w:r>
        <w:rPr>
          <w:rtl w:val="true"/>
        </w:rPr>
        <w:t>: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ייצור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הכנה והפקת סם מסוכן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הפקודה</w:t>
      </w:r>
      <w:r>
        <w:rPr>
          <w:rtl w:val="true"/>
        </w:rPr>
        <w:t xml:space="preserve">").  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rFonts w:eastAsia="David"/>
          <w:rtl w:val="true"/>
        </w:rPr>
        <w:t xml:space="preserve"> </w:t>
      </w:r>
      <w:r>
        <w:rPr>
          <w:b/>
          <w:b/>
          <w:bCs/>
          <w:rtl w:val="true"/>
        </w:rPr>
        <w:t>החזקת סם שלא לצריכת עצמית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בפקודה</w:t>
      </w:r>
      <w:r>
        <w:rPr>
          <w:rtl w:val="true"/>
        </w:rPr>
        <w:t>.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החזקת כלים המשמשים להכנת סם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רישא בפקודה</w:t>
      </w:r>
      <w:r>
        <w:rPr>
          <w:rtl w:val="true"/>
        </w:rPr>
        <w:t>.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החזקת חצרים לשם גידול סמים מסוכנים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בפקודה</w:t>
      </w:r>
      <w:r>
        <w:rPr>
          <w:rtl w:val="true"/>
        </w:rPr>
        <w:t xml:space="preserve">. 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נטילת חשמל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400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החזקת נשק שלא כדין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בחוק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9" w:name="ABSTRACT_END"/>
      <w:bookmarkEnd w:id="9"/>
      <w:r>
        <w:rPr>
          <w:rtl w:val="true"/>
        </w:rPr>
        <w:t>על פי המתואר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13.1.19</w:t>
      </w:r>
      <w:r>
        <w:rPr>
          <w:rtl w:val="true"/>
        </w:rPr>
        <w:t xml:space="preserve"> </w:t>
      </w:r>
      <w:r>
        <w:rPr>
          <w:rtl w:val="true"/>
        </w:rPr>
        <w:t>גמלה בליבו של הנאשם החלטה להקים מעבדה לגידול סם מסוג קנאביס</w:t>
      </w:r>
      <w:r>
        <w:rPr>
          <w:rtl w:val="true"/>
        </w:rPr>
        <w:t xml:space="preserve">. </w:t>
      </w:r>
      <w:r>
        <w:rPr>
          <w:rtl w:val="true"/>
        </w:rPr>
        <w:t>לשם כך במועד זה שכר בית בעיר פתח תקווה</w:t>
      </w:r>
      <w:r>
        <w:rPr>
          <w:rtl w:val="true"/>
        </w:rPr>
        <w:t xml:space="preserve">. </w:t>
      </w:r>
      <w:r>
        <w:rPr>
          <w:rtl w:val="true"/>
        </w:rPr>
        <w:t>לצורך הפחתת צריכת החשמל בבית</w:t>
      </w:r>
      <w:r>
        <w:rPr>
          <w:rtl w:val="true"/>
        </w:rPr>
        <w:t xml:space="preserve">, </w:t>
      </w:r>
      <w:r>
        <w:rPr>
          <w:rtl w:val="true"/>
        </w:rPr>
        <w:t xml:space="preserve">סמוך ליום </w:t>
      </w:r>
      <w:r>
        <w:rPr/>
        <w:t>12.2.19</w:t>
      </w:r>
      <w:r>
        <w:rPr>
          <w:rtl w:val="true"/>
        </w:rPr>
        <w:t xml:space="preserve"> </w:t>
      </w:r>
      <w:r>
        <w:rPr>
          <w:rtl w:val="true"/>
        </w:rPr>
        <w:t>התחבר הנאשם לקו הזנה ראשי של הולכת חשמל לפני עמדת המונה בבית</w:t>
      </w:r>
      <w:r>
        <w:rPr>
          <w:rtl w:val="true"/>
        </w:rPr>
        <w:t xml:space="preserve">, </w:t>
      </w:r>
      <w:r>
        <w:rPr>
          <w:rtl w:val="true"/>
        </w:rPr>
        <w:t>כך שצריכת החשמל בבית לא נמדדה</w:t>
      </w:r>
      <w:r>
        <w:rPr>
          <w:rtl w:val="true"/>
        </w:rPr>
        <w:t xml:space="preserve">. </w:t>
      </w:r>
      <w:r>
        <w:rPr>
          <w:rtl w:val="true"/>
        </w:rPr>
        <w:t>באופן זה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12.2.19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27.3.19</w:t>
      </w:r>
      <w:r>
        <w:rPr>
          <w:rtl w:val="true"/>
        </w:rPr>
        <w:t xml:space="preserve"> </w:t>
      </w:r>
      <w:r>
        <w:rPr>
          <w:rtl w:val="true"/>
        </w:rPr>
        <w:t xml:space="preserve">לא שילם הנאשם את התמורה עבור צריכת החשמל בבית בשווי של </w:t>
      </w:r>
      <w:r>
        <w:rPr/>
        <w:t>14,283</w:t>
      </w:r>
      <w:r>
        <w:rPr>
          <w:rtl w:val="true"/>
        </w:rPr>
        <w:t xml:space="preserve"> ₪. </w:t>
      </w:r>
      <w:r>
        <w:rPr>
          <w:rtl w:val="true"/>
        </w:rPr>
        <w:t xml:space="preserve">לשם גידול סם הקנאביס החזיק הנאשם ביום </w:t>
      </w:r>
      <w:r>
        <w:rPr/>
        <w:t>27.3.19</w:t>
      </w:r>
      <w:r>
        <w:rPr>
          <w:rtl w:val="true"/>
        </w:rPr>
        <w:t xml:space="preserve"> </w:t>
      </w:r>
      <w:r>
        <w:rPr>
          <w:rtl w:val="true"/>
        </w:rPr>
        <w:t>בציוד הכולל מדי לחות וטמפרטורה</w:t>
      </w:r>
      <w:r>
        <w:rPr>
          <w:rtl w:val="true"/>
        </w:rPr>
        <w:t xml:space="preserve">, </w:t>
      </w:r>
      <w:r>
        <w:rPr>
          <w:rtl w:val="true"/>
        </w:rPr>
        <w:t>משאבות מים</w:t>
      </w:r>
      <w:r>
        <w:rPr>
          <w:rtl w:val="true"/>
        </w:rPr>
        <w:t xml:space="preserve">, </w:t>
      </w:r>
      <w:r>
        <w:rPr>
          <w:rtl w:val="true"/>
        </w:rPr>
        <w:t>שנאים</w:t>
      </w:r>
      <w:r>
        <w:rPr>
          <w:rtl w:val="true"/>
        </w:rPr>
        <w:t xml:space="preserve">, </w:t>
      </w:r>
      <w:r>
        <w:rPr>
          <w:rtl w:val="true"/>
        </w:rPr>
        <w:t>מזגנים</w:t>
      </w:r>
      <w:r>
        <w:rPr>
          <w:rtl w:val="true"/>
        </w:rPr>
        <w:t xml:space="preserve">, </w:t>
      </w:r>
      <w:r>
        <w:rPr>
          <w:rtl w:val="true"/>
        </w:rPr>
        <w:t>אדניות</w:t>
      </w:r>
      <w:r>
        <w:rPr>
          <w:rtl w:val="true"/>
        </w:rPr>
        <w:t xml:space="preserve">, </w:t>
      </w:r>
      <w:r>
        <w:rPr>
          <w:rtl w:val="true"/>
        </w:rPr>
        <w:t>מפוחים</w:t>
      </w:r>
      <w:r>
        <w:rPr>
          <w:rtl w:val="true"/>
        </w:rPr>
        <w:t xml:space="preserve">, </w:t>
      </w:r>
      <w:r>
        <w:rPr>
          <w:rtl w:val="true"/>
        </w:rPr>
        <w:t>מנורות</w:t>
      </w:r>
      <w:r>
        <w:rPr>
          <w:rtl w:val="true"/>
        </w:rPr>
        <w:t xml:space="preserve">, </w:t>
      </w:r>
      <w:r>
        <w:rPr>
          <w:rtl w:val="true"/>
        </w:rPr>
        <w:t>מאווררים</w:t>
      </w:r>
      <w:r>
        <w:rPr>
          <w:rtl w:val="true"/>
        </w:rPr>
        <w:t xml:space="preserve">, </w:t>
      </w:r>
      <w:r>
        <w:rPr>
          <w:rtl w:val="true"/>
        </w:rPr>
        <w:t>דשנים</w:t>
      </w:r>
      <w:r>
        <w:rPr>
          <w:rtl w:val="true"/>
        </w:rPr>
        <w:t xml:space="preserve">, </w:t>
      </w:r>
      <w:r>
        <w:rPr>
          <w:rtl w:val="true"/>
        </w:rPr>
        <w:t>מיכל ריסוס חשמלי ועוד</w:t>
      </w:r>
      <w:r>
        <w:rPr>
          <w:rtl w:val="true"/>
        </w:rPr>
        <w:t xml:space="preserve">. </w:t>
      </w:r>
      <w:r>
        <w:rPr>
          <w:rtl w:val="true"/>
        </w:rPr>
        <w:t xml:space="preserve">החל מיום </w:t>
      </w:r>
      <w:r>
        <w:rPr/>
        <w:t>13.1.19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27.3.19</w:t>
      </w:r>
      <w:r>
        <w:rPr>
          <w:rtl w:val="true"/>
        </w:rPr>
        <w:t xml:space="preserve"> </w:t>
      </w:r>
      <w:r>
        <w:rPr>
          <w:rtl w:val="true"/>
        </w:rPr>
        <w:t>גידל הנאשם סם מסוג קנאביס במעבדה שהקים בכמות גדולה שאינה ידועה למאשימה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ביום </w:t>
      </w:r>
      <w:r>
        <w:rPr>
          <w:b/>
          <w:bCs/>
        </w:rPr>
        <w:t>27.3.19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החזיק הנאשם במעבדה בשלבי גידול שונים סם מסוג קנאביס במשקל כולל של </w:t>
      </w:r>
      <w:r>
        <w:rPr>
          <w:b/>
          <w:bCs/>
        </w:rPr>
        <w:t>51.15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ג נטו בשווי של </w:t>
      </w:r>
      <w:r>
        <w:rPr>
          <w:b/>
          <w:bCs/>
        </w:rPr>
        <w:t>663,000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לכל הפחות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 החזיק במקום אקדח חצי אוטומטי אשר חסר בו נוקר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הצדדים הגיעו להסדר דיוני</w:t>
      </w:r>
      <w:r>
        <w:rPr>
          <w:rtl w:val="true"/>
        </w:rPr>
        <w:t xml:space="preserve">, </w:t>
      </w:r>
      <w:r>
        <w:rPr>
          <w:rtl w:val="true"/>
        </w:rPr>
        <w:t>לפיו הנאשם הודה והורשע בכתב האישום המתוקן והופנה לקבלת תסקיר שירות המבחן</w:t>
      </w:r>
      <w:r>
        <w:rPr>
          <w:rtl w:val="true"/>
        </w:rPr>
        <w:t xml:space="preserve">. </w:t>
      </w:r>
      <w:r>
        <w:rPr>
          <w:rtl w:val="true"/>
        </w:rPr>
        <w:t>בין הצדדים לא הייתה הסכמה לעניין העונש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 פי 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הנאשם בן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 xml:space="preserve">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ושירת שירות צבאי מלא</w:t>
      </w:r>
      <w:r>
        <w:rPr>
          <w:rtl w:val="true"/>
        </w:rPr>
        <w:t xml:space="preserve">. </w:t>
      </w:r>
      <w:r>
        <w:rPr>
          <w:rtl w:val="true"/>
        </w:rPr>
        <w:t>בהמשך החל בלימודי חשמל מטעם משרד העבודה אולם לא סיים ומאז תאר רצף תעסוקתי במוסך ובחברה לפינוי מכלי מחזור</w:t>
      </w:r>
      <w:r>
        <w:rPr>
          <w:rtl w:val="true"/>
        </w:rPr>
        <w:t xml:space="preserve">. </w:t>
      </w:r>
      <w:r>
        <w:rPr>
          <w:rtl w:val="true"/>
        </w:rPr>
        <w:t>הנאשם נעדר עבר פלילי</w:t>
      </w:r>
      <w:r>
        <w:rPr>
          <w:rtl w:val="true"/>
        </w:rPr>
        <w:t xml:space="preserve">. </w:t>
      </w:r>
      <w:r>
        <w:rPr>
          <w:rtl w:val="true"/>
        </w:rPr>
        <w:t>בהליך המעצר התרשם שירות המבחן מאדם שהתנהל באופן נורמטיבי לאורך השנים ואולם עלתה התרשמות מאישיות בלתי בשלה והיעדר תחושת סיפוק ומשמעות בחייו</w:t>
      </w:r>
      <w:r>
        <w:rPr>
          <w:rtl w:val="true"/>
        </w:rPr>
        <w:t xml:space="preserve">. </w:t>
      </w:r>
      <w:r>
        <w:rPr>
          <w:rtl w:val="true"/>
        </w:rPr>
        <w:t>בהיעדר גבולות יציבים ותוך חיפוש אחר סיפוק</w:t>
      </w:r>
      <w:r>
        <w:rPr>
          <w:rtl w:val="true"/>
        </w:rPr>
        <w:t xml:space="preserve">, </w:t>
      </w:r>
      <w:r>
        <w:rPr>
          <w:rtl w:val="true"/>
        </w:rPr>
        <w:t>חבר לחברה שולית והתנהל באופן שולי</w:t>
      </w:r>
      <w:r>
        <w:rPr>
          <w:rtl w:val="true"/>
        </w:rPr>
        <w:t xml:space="preserve">. </w:t>
      </w:r>
      <w:r>
        <w:rPr>
          <w:rtl w:val="true"/>
        </w:rPr>
        <w:t>במהלך צו הפיקוח הנאשם שולב בקבוצת עצורי בית</w:t>
      </w:r>
      <w:r>
        <w:rPr>
          <w:rtl w:val="true"/>
        </w:rPr>
        <w:t xml:space="preserve">, </w:t>
      </w:r>
      <w:r>
        <w:rPr>
          <w:rtl w:val="true"/>
        </w:rPr>
        <w:t>הגיע ברציפות ושיתף פעולה</w:t>
      </w:r>
      <w:r>
        <w:rPr>
          <w:rtl w:val="true"/>
        </w:rPr>
        <w:t xml:space="preserve">. </w:t>
      </w:r>
      <w:r>
        <w:rPr>
          <w:rtl w:val="true"/>
        </w:rPr>
        <w:t>ביחסו לעבירות</w:t>
      </w:r>
      <w:r>
        <w:rPr>
          <w:rtl w:val="true"/>
        </w:rPr>
        <w:t xml:space="preserve">, </w:t>
      </w:r>
      <w:r>
        <w:rPr>
          <w:rtl w:val="true"/>
        </w:rPr>
        <w:t>הסביר שלצד תפקודו התעסוקתי</w:t>
      </w:r>
      <w:r>
        <w:rPr>
          <w:rtl w:val="true"/>
        </w:rPr>
        <w:t xml:space="preserve">, </w:t>
      </w:r>
      <w:r>
        <w:rPr>
          <w:rtl w:val="true"/>
        </w:rPr>
        <w:t>יצר קשר עם גורמים עברייניים שהכיר בסביבתו</w:t>
      </w:r>
      <w:r>
        <w:rPr>
          <w:rtl w:val="true"/>
        </w:rPr>
        <w:t xml:space="preserve">. </w:t>
      </w:r>
      <w:r>
        <w:rPr>
          <w:rtl w:val="true"/>
        </w:rPr>
        <w:t>בנוסף תאר תחושות של ריקנות ושעמום שהובילו לקיום אורח חיים חסר גבולות וכלל בילויים מרובים וצריכה מזדמנת של אלכוהול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 הרחיק את עצמו מהאישומים והתקשה לקחת אחריות על מעשיו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התקשה למסור פרטים אודות מידת מעורבותו בעבירות ותפס עצמו כגורם שולי בכל הקשור בגידול הסמים</w:t>
      </w:r>
      <w:r>
        <w:rPr>
          <w:rtl w:val="true"/>
        </w:rPr>
        <w:t xml:space="preserve">. </w:t>
      </w:r>
      <w:r>
        <w:rPr>
          <w:rtl w:val="true"/>
        </w:rPr>
        <w:t>הציג מעורבות פסיבית ותיאר רק את נוכחותו במקום</w:t>
      </w:r>
      <w:r>
        <w:rPr>
          <w:rtl w:val="true"/>
        </w:rPr>
        <w:t xml:space="preserve">, </w:t>
      </w:r>
      <w:r>
        <w:rPr>
          <w:rtl w:val="true"/>
        </w:rPr>
        <w:t>לדבריו היה ער לקיומם של הסמים אך לא ידע על הימצאותו של הנשק</w:t>
      </w:r>
      <w:r>
        <w:rPr>
          <w:rtl w:val="true"/>
        </w:rPr>
        <w:t xml:space="preserve">. </w:t>
      </w:r>
      <w:r>
        <w:rPr>
          <w:rtl w:val="true"/>
        </w:rPr>
        <w:t>הנאשם שלל שימוש בסמים בעבר ובהווה ובדיקת שתן שמסר בעת צו פיקוח המעצר נמצאה ללא שרידי סם</w:t>
      </w:r>
      <w:r>
        <w:rPr>
          <w:rtl w:val="true"/>
        </w:rPr>
        <w:t xml:space="preserve">. </w:t>
      </w:r>
      <w:r>
        <w:rPr>
          <w:rtl w:val="true"/>
        </w:rPr>
        <w:t>מאז לא ביצע בדיקות לאיתור שרידי סם מסיבות שאינן תלויות בו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בסיכום התרשם שירות המבחן שהנאשם בעל יכולות וכוחות</w:t>
      </w:r>
      <w:r>
        <w:rPr>
          <w:rtl w:val="true"/>
        </w:rPr>
        <w:t xml:space="preserve">, </w:t>
      </w:r>
      <w:r>
        <w:rPr>
          <w:rtl w:val="true"/>
        </w:rPr>
        <w:t>גדל בסביבה נורמטיבית ותפקד באופן יציב</w:t>
      </w:r>
      <w:r>
        <w:rPr>
          <w:rtl w:val="true"/>
        </w:rPr>
        <w:t xml:space="preserve">. </w:t>
      </w:r>
      <w:r>
        <w:rPr>
          <w:rtl w:val="true"/>
        </w:rPr>
        <w:t>בתקופה שקדמה לעבירות</w:t>
      </w:r>
      <w:r>
        <w:rPr>
          <w:rtl w:val="true"/>
        </w:rPr>
        <w:t xml:space="preserve">, </w:t>
      </w:r>
      <w:r>
        <w:rPr>
          <w:rtl w:val="true"/>
        </w:rPr>
        <w:t>היה בשלב גיבוש זהות ועצמאות</w:t>
      </w:r>
      <w:r>
        <w:rPr>
          <w:rtl w:val="true"/>
        </w:rPr>
        <w:t xml:space="preserve">, </w:t>
      </w:r>
      <w:r>
        <w:rPr>
          <w:rtl w:val="true"/>
        </w:rPr>
        <w:t>תוך טשטוש גבולות פנימיים ורצון בשייכות</w:t>
      </w:r>
      <w:r>
        <w:rPr>
          <w:rtl w:val="true"/>
        </w:rPr>
        <w:t xml:space="preserve">, </w:t>
      </w:r>
      <w:r>
        <w:rPr>
          <w:rtl w:val="true"/>
        </w:rPr>
        <w:t>חבר לגורמים שוליים והפנים דפוסי עבריינות</w:t>
      </w:r>
      <w:r>
        <w:rPr>
          <w:rtl w:val="true"/>
        </w:rPr>
        <w:t xml:space="preserve">. </w:t>
      </w:r>
      <w:r>
        <w:rPr>
          <w:rtl w:val="true"/>
        </w:rPr>
        <w:t>להערכת שירות המבחן הנאשם חיפש מענה לקוי ואימץ אורח חיים שולי שהוביל להסתבכותו</w:t>
      </w:r>
      <w:r>
        <w:rPr>
          <w:rtl w:val="true"/>
        </w:rPr>
        <w:t xml:space="preserve">, </w:t>
      </w:r>
      <w:r>
        <w:rPr>
          <w:rtl w:val="true"/>
        </w:rPr>
        <w:t>על רקע תחושות ריקנות והיעדר סיפוק בחייו</w:t>
      </w:r>
      <w:r>
        <w:rPr>
          <w:rtl w:val="true"/>
        </w:rPr>
        <w:t xml:space="preserve">. </w:t>
      </w:r>
      <w:r>
        <w:rPr>
          <w:rtl w:val="true"/>
        </w:rPr>
        <w:t>בנוסף התרשם שירות המבחן מדפוסי אישיות בלתי בשלה</w:t>
      </w:r>
      <w:r>
        <w:rPr>
          <w:rtl w:val="true"/>
        </w:rPr>
        <w:t xml:space="preserve">, </w:t>
      </w:r>
      <w:r>
        <w:rPr>
          <w:rtl w:val="true"/>
        </w:rPr>
        <w:t>כאשר גם כיום הוא מתקשה להעריך את השלכות התנהלותו אך מכיר באופן מפוכח יותר במחירים הכרוכים בהתנהלותו והוא מבטא רצון לשוב לשגרת חייו</w:t>
      </w:r>
      <w:r>
        <w:rPr>
          <w:rtl w:val="true"/>
        </w:rPr>
        <w:t xml:space="preserve">. </w:t>
      </w:r>
      <w:r>
        <w:rPr>
          <w:rtl w:val="true"/>
        </w:rPr>
        <w:t>שירות המבחן העריך קיומו של סיכון נמוך להתנהגות אלימה וכי אם תתרחש תוצאותיה צפויות להיות ברמה נמוכה</w:t>
      </w:r>
      <w:r>
        <w:rPr>
          <w:rtl w:val="true"/>
        </w:rPr>
        <w:t xml:space="preserve">. </w:t>
      </w:r>
      <w:r>
        <w:rPr>
          <w:rtl w:val="true"/>
        </w:rPr>
        <w:t>כגורמי סיכון לעבריינות מנה שירות המבחן את מעורבותו בחברה שולית</w:t>
      </w:r>
      <w:r>
        <w:rPr>
          <w:rtl w:val="true"/>
        </w:rPr>
        <w:t xml:space="preserve">, </w:t>
      </w:r>
      <w:r>
        <w:rPr>
          <w:rtl w:val="true"/>
        </w:rPr>
        <w:t>אורח חיים חסר גבולות</w:t>
      </w:r>
      <w:r>
        <w:rPr>
          <w:rtl w:val="true"/>
        </w:rPr>
        <w:t xml:space="preserve">, </w:t>
      </w:r>
      <w:r>
        <w:rPr>
          <w:rtl w:val="true"/>
        </w:rPr>
        <w:t>הסתרת מעורבות השולית מסביבתו</w:t>
      </w:r>
      <w:r>
        <w:rPr>
          <w:rtl w:val="true"/>
        </w:rPr>
        <w:t xml:space="preserve">, </w:t>
      </w:r>
      <w:r>
        <w:rPr>
          <w:rtl w:val="true"/>
        </w:rPr>
        <w:t>תוך שהתקשה להיעזר בה ולהציב גבול פנימי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ביחסו לעבירות נקט בצמצום והתייחסות חלקית 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כשתופס את התנהלותו כפסיבית והוא שולל כל בעייתיות בהתנהלותו או צורך בהתערבות טיפולית</w:t>
      </w:r>
      <w:r>
        <w:rPr>
          <w:rtl w:val="true"/>
        </w:rPr>
        <w:t xml:space="preserve">. </w:t>
      </w:r>
      <w:r>
        <w:rPr>
          <w:rtl w:val="true"/>
        </w:rPr>
        <w:t>כגורמי סיכוי לשיקום מנה שירות המבחן את מאמציו לתפקוד תעסוקתי</w:t>
      </w:r>
      <w:r>
        <w:rPr>
          <w:rtl w:val="true"/>
        </w:rPr>
        <w:t xml:space="preserve">, </w:t>
      </w:r>
      <w:r>
        <w:rPr>
          <w:rtl w:val="true"/>
        </w:rPr>
        <w:t>דווחו שבעבר הסתגל למסגרות לימודים ושירות צבאי</w:t>
      </w:r>
      <w:r>
        <w:rPr>
          <w:rtl w:val="true"/>
        </w:rPr>
        <w:t xml:space="preserve">, </w:t>
      </w:r>
      <w:r>
        <w:rPr>
          <w:rtl w:val="true"/>
        </w:rPr>
        <w:t>לדבריו התנתק מהחברה השולית</w:t>
      </w:r>
      <w:r>
        <w:rPr>
          <w:rtl w:val="true"/>
        </w:rPr>
        <w:t xml:space="preserve">, </w:t>
      </w:r>
      <w:r>
        <w:rPr>
          <w:rtl w:val="true"/>
        </w:rPr>
        <w:t>נעזר בבני משפחתו ואינו צורך סמים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שירות המבחן התרשם שמעצרו בלם את המשך הידרדרותו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לנוכח היעדר בשלות לטיפול והתייחסותו המצמצמת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נמנע שירות המבחן מהמלצה טיפולית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והמליץ על ענישה שתחדד את חומרת העבירות ותציב גבול ברור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 שיילקחו בחשבון ניקיונו מסמים והיעדר עבר פלילי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-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 xml:space="preserve">אסופת מכתבי המלצה בעניינו של הנאשם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 xml:space="preserve">מכתב מטעם מרכז לגמילות חסדים מיום </w:t>
      </w:r>
      <w:r>
        <w:rPr>
          <w:lang w:eastAsia="he-IL"/>
        </w:rPr>
        <w:t>1.12.20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בו מודים לנאשם על תרומתו בהתקנת מזגן למרכז החסד של מורשת יהדות בוכרה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מכתב המלצה ממעסיק 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תגלית הגבס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 xml:space="preserve">ממנו עולה שהנאשם עבד לשביעות רצונו בעסק החל מיום </w:t>
      </w:r>
      <w:r>
        <w:rPr>
          <w:lang w:eastAsia="he-IL"/>
        </w:rPr>
        <w:t>6.10.19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וציין שהנאשם עובד מסור וחרוץ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אישור התנדבות מיום </w:t>
      </w:r>
      <w:r>
        <w:rPr>
          <w:lang w:eastAsia="he-IL"/>
        </w:rPr>
        <w:t>15.6.20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בעמותת קורת גג בתל אביב המאשר שהנאשם מתנדב במקום מזה חודש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פעמיים בשבוע למספר שעות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ומחלק מזון וביגוד לנזקקים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אישור נוסף מעמותת קורת גג מיום </w:t>
      </w:r>
      <w:r>
        <w:rPr>
          <w:lang w:eastAsia="he-IL"/>
        </w:rPr>
        <w:t>14.12.20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המאשר שהנאשם מתנדב במסגרתם באופן קבוע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מדי שבוע לחלוקת מצרכים לנזקקים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תיקן על חשבונו מוצרי חשמל לנזקקים ותרם מזמנו ומכספו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 xml:space="preserve">כתב תביעה כנגד הנאשם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 xml:space="preserve">תביעה על סך </w:t>
      </w:r>
      <w:r>
        <w:rPr>
          <w:lang w:eastAsia="he-IL"/>
        </w:rPr>
        <w:t>232,680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שהגישו משכירי הבית בו הוקמה מעבדת הסמים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בגין הפרת חוזה השכירות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והנזקים שגרם לבית והפסקת תשלום דמי השכירות</w:t>
      </w:r>
      <w:r>
        <w:rPr>
          <w:rtl w:val="true"/>
          <w:lang w:eastAsia="he-IL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 איריס פיקר ואלעד אסרף</w:t>
      </w:r>
      <w:r>
        <w:rPr>
          <w:rtl w:val="true"/>
        </w:rPr>
        <w:t xml:space="preserve">, </w:t>
      </w:r>
      <w:r>
        <w:rPr>
          <w:rtl w:val="true"/>
        </w:rPr>
        <w:t>הערך המוגן שנפגע בעבירת ייצור הסם הוא הגנה על הציבור מפני נזקי הסמים – נזקים ישירים של מכורים הנופלים כנטל על החברה ונזקים עקיפים שנגרמים כתוצאה מביצוע עבירות אלימות ורכוש על</w:t>
      </w:r>
      <w:r>
        <w:rPr>
          <w:rtl w:val="true"/>
        </w:rPr>
        <w:t>-</w:t>
      </w:r>
      <w:r>
        <w:rPr>
          <w:rtl w:val="true"/>
        </w:rPr>
        <w:t>ידי מכורים לסמים</w:t>
      </w:r>
      <w:r>
        <w:rPr>
          <w:rtl w:val="true"/>
        </w:rPr>
        <w:t xml:space="preserve">, </w:t>
      </w:r>
      <w:r>
        <w:rPr>
          <w:rtl w:val="true"/>
        </w:rPr>
        <w:t>במטרה להשיג את הסם</w:t>
      </w:r>
      <w:r>
        <w:rPr>
          <w:rtl w:val="true"/>
        </w:rPr>
        <w:t xml:space="preserve">. </w:t>
      </w:r>
      <w:r>
        <w:rPr>
          <w:rtl w:val="true"/>
        </w:rPr>
        <w:t>בעבירות הנשק הערך החברתי שנפגע הוא הגנה על ביטחון הציבור</w:t>
      </w:r>
      <w:r>
        <w:rPr>
          <w:rtl w:val="true"/>
        </w:rPr>
        <w:t xml:space="preserve">. </w:t>
      </w:r>
      <w:r>
        <w:rPr>
          <w:rtl w:val="true"/>
        </w:rPr>
        <w:t>החזקת נשק חם יוצרת סיכון שהנשק יגיע לגורמים שיעשו בו שימוש למטרות פסולות</w:t>
      </w:r>
      <w:r>
        <w:rPr>
          <w:rtl w:val="true"/>
        </w:rPr>
        <w:t xml:space="preserve">. </w:t>
      </w:r>
      <w:r>
        <w:rPr>
          <w:rtl w:val="true"/>
        </w:rPr>
        <w:t>הזמינות של כלי נשק חם בידי מי שאינו מורשה לכך יכולה להביא לפגיעה בחיי אדם</w:t>
      </w:r>
      <w:r>
        <w:rPr>
          <w:rtl w:val="true"/>
        </w:rPr>
        <w:t xml:space="preserve">. </w:t>
      </w:r>
      <w:r>
        <w:rPr>
          <w:rtl w:val="true"/>
        </w:rPr>
        <w:t xml:space="preserve">מתחם העונש בעבירה של גידול סם בהיקף של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 xml:space="preserve">ג הוא בין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מרבית התיקים בעבירות אלה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 המחוזי</w:t>
      </w:r>
      <w:r>
        <w:rPr>
          <w:rtl w:val="true"/>
        </w:rPr>
        <w:t xml:space="preserve">, </w:t>
      </w:r>
      <w:r>
        <w:rPr>
          <w:rtl w:val="true"/>
        </w:rPr>
        <w:t>עוסקים בהיקף רב יותר של סמים ונתון זה עומד לזכותו של הנאשם</w:t>
      </w:r>
      <w:r>
        <w:rPr>
          <w:rtl w:val="true"/>
        </w:rPr>
        <w:t xml:space="preserve">. </w:t>
      </w:r>
      <w:r>
        <w:rPr>
          <w:rtl w:val="true"/>
        </w:rPr>
        <w:t>בעבירת החזקת הנשק מדובר באקדח ללא נוקר</w:t>
      </w:r>
      <w:r>
        <w:rPr>
          <w:rtl w:val="true"/>
        </w:rPr>
        <w:t xml:space="preserve">, </w:t>
      </w:r>
      <w:r>
        <w:rPr>
          <w:rtl w:val="true"/>
        </w:rPr>
        <w:t>ובהתאם להנחיית פרקליט המדינה מתחם העונש נע בין שנה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בין אם הנשק היה תקין ובין אם לאו</w:t>
      </w:r>
      <w:r>
        <w:rPr>
          <w:rtl w:val="true"/>
        </w:rPr>
        <w:t xml:space="preserve">. </w:t>
      </w:r>
      <w:r>
        <w:rPr>
          <w:rtl w:val="true"/>
        </w:rPr>
        <w:t>יש לקחת בחשבון לקולא את הודאת הנאשם והיותו נעדר עבר פלילי</w:t>
      </w:r>
      <w:r>
        <w:rPr>
          <w:rtl w:val="true"/>
        </w:rPr>
        <w:t xml:space="preserve">. </w:t>
      </w:r>
      <w:r>
        <w:rPr>
          <w:rtl w:val="true"/>
        </w:rPr>
        <w:t>תסקיר שירות המבחן מלמד שהנאשם גדל בחברה נורמטיבית</w:t>
      </w:r>
      <w:r>
        <w:rPr>
          <w:rtl w:val="true"/>
        </w:rPr>
        <w:t xml:space="preserve">, </w:t>
      </w:r>
      <w:r>
        <w:rPr>
          <w:rtl w:val="true"/>
        </w:rPr>
        <w:t>אך בתקופה שקדמה לביצוע העבירות הוא חבר לחברה שולית ואימץ אורח חיים שולי</w:t>
      </w:r>
      <w:r>
        <w:rPr>
          <w:rtl w:val="true"/>
        </w:rPr>
        <w:t xml:space="preserve">. </w:t>
      </w:r>
      <w:r>
        <w:rPr>
          <w:rtl w:val="true"/>
        </w:rPr>
        <w:t>שירות המבחן התרשם שנאשם אינו אלים ולא מסוכן מבחינת עבירות אלימות</w:t>
      </w:r>
      <w:r>
        <w:rPr>
          <w:rtl w:val="true"/>
        </w:rPr>
        <w:t xml:space="preserve">. </w:t>
      </w:r>
      <w:r>
        <w:rPr>
          <w:rtl w:val="true"/>
        </w:rPr>
        <w:t>בהערכת גורמי הסיכון להתנהלות עבריינית עלו מעורבותו השולית והסתרתה מבני משפחתו</w:t>
      </w:r>
      <w:r>
        <w:rPr>
          <w:rtl w:val="true"/>
        </w:rPr>
        <w:t xml:space="preserve">, </w:t>
      </w:r>
      <w:r>
        <w:rPr>
          <w:rtl w:val="true"/>
        </w:rPr>
        <w:t>לא פנה לעזרה ושולל כל צורך בטיפול</w:t>
      </w:r>
      <w:r>
        <w:rPr>
          <w:rtl w:val="true"/>
        </w:rPr>
        <w:t xml:space="preserve">. </w:t>
      </w:r>
      <w:r>
        <w:rPr>
          <w:rtl w:val="true"/>
        </w:rPr>
        <w:t>שירות המבחן ציין שההידרדרות במצבו נבלמה</w:t>
      </w:r>
      <w:r>
        <w:rPr>
          <w:rtl w:val="true"/>
        </w:rPr>
        <w:t xml:space="preserve">, </w:t>
      </w:r>
      <w:r>
        <w:rPr>
          <w:rtl w:val="true"/>
        </w:rPr>
        <w:t>אך הנאשם אינו רואה צורך בטיפול ולכן שירות המבחן המליץ על ענישה שתציב לו גבול ברור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עתרה לעונש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קנס והכרזה על הנאשם כסוחר סמים וחילוט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שנמצאו ברשותו וציוד המעבדה</w:t>
      </w:r>
      <w:r>
        <w:rPr>
          <w:rtl w:val="true"/>
        </w:rPr>
        <w:t xml:space="preserve">, </w:t>
      </w:r>
      <w:r>
        <w:rPr>
          <w:rtl w:val="true"/>
        </w:rPr>
        <w:t>וחילוט או השמדת שני כלי הנשק שנתפסו ומחסנית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ישראל קליין</w:t>
      </w:r>
      <w:r>
        <w:rPr>
          <w:rtl w:val="true"/>
        </w:rPr>
        <w:t xml:space="preserve">, </w:t>
      </w:r>
      <w:r>
        <w:rPr>
          <w:rtl w:val="true"/>
        </w:rPr>
        <w:t>באשר לשאלת נטילת האחריות של הנאשם בנוגע לנשק אשר התעוררה בתסקיר שירות המבחן</w:t>
      </w:r>
      <w:r>
        <w:rPr>
          <w:rtl w:val="true"/>
        </w:rPr>
        <w:t xml:space="preserve">, </w:t>
      </w:r>
      <w:r>
        <w:rPr>
          <w:rtl w:val="true"/>
        </w:rPr>
        <w:t>הרי שהנאשם נוטל אחריות מכוח השליטה שלו במקום</w:t>
      </w:r>
      <w:r>
        <w:rPr>
          <w:rtl w:val="true"/>
        </w:rPr>
        <w:t xml:space="preserve">, </w:t>
      </w:r>
      <w:r>
        <w:rPr>
          <w:rtl w:val="true"/>
        </w:rPr>
        <w:t>והוא מכיר באחריותו</w:t>
      </w:r>
      <w:r>
        <w:rPr>
          <w:rtl w:val="true"/>
        </w:rPr>
        <w:t xml:space="preserve">. </w:t>
      </w:r>
      <w:r>
        <w:rPr>
          <w:rtl w:val="true"/>
        </w:rPr>
        <w:t>מדובר בנאשם ללא עבר פלילי אשר ניהל חיים נורמטיביים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אשר שירת שירות צבאי מלא ושמר על רצף תעסוקתי עד למעצרו ולאחריו</w:t>
      </w:r>
      <w:r>
        <w:rPr>
          <w:rtl w:val="true"/>
        </w:rPr>
        <w:t xml:space="preserve">. </w:t>
      </w:r>
      <w:r>
        <w:rPr>
          <w:rtl w:val="true"/>
        </w:rPr>
        <w:t>אף אם הסברו לשירות המבחן שאחריותו לעבירה היא בעצם נוכחותו באופן פאסיבי</w:t>
      </w:r>
      <w:r>
        <w:rPr>
          <w:rtl w:val="true"/>
        </w:rPr>
        <w:t xml:space="preserve">, </w:t>
      </w:r>
      <w:r>
        <w:rPr>
          <w:rtl w:val="true"/>
        </w:rPr>
        <w:t>זו עדיין נטילת אחריות</w:t>
      </w:r>
      <w:r>
        <w:rPr>
          <w:rtl w:val="true"/>
        </w:rPr>
        <w:t xml:space="preserve">. </w:t>
      </w:r>
      <w:r>
        <w:rPr>
          <w:rtl w:val="true"/>
        </w:rPr>
        <w:t>לאחר שחרורו ממעצר הוא שולב בקבוצת עצורי בית בשירות המבחן והוא התקדם היטב</w:t>
      </w:r>
      <w:r>
        <w:rPr>
          <w:rtl w:val="true"/>
        </w:rPr>
        <w:t xml:space="preserve">, </w:t>
      </w:r>
      <w:r>
        <w:rPr>
          <w:rtl w:val="true"/>
        </w:rPr>
        <w:t>ותוך תקופה קצרה ביטלו את כל תנאיו המגבילים</w:t>
      </w:r>
      <w:r>
        <w:rPr>
          <w:rtl w:val="true"/>
        </w:rPr>
        <w:t xml:space="preserve">. </w:t>
      </w:r>
      <w:r>
        <w:rPr>
          <w:rtl w:val="true"/>
        </w:rPr>
        <w:t>בכל התקופה מאז מעצרו</w:t>
      </w:r>
      <w:r>
        <w:rPr>
          <w:rtl w:val="true"/>
        </w:rPr>
        <w:t xml:space="preserve">, </w:t>
      </w:r>
      <w:r>
        <w:rPr>
          <w:rtl w:val="true"/>
        </w:rPr>
        <w:t>הנאשם לא הפר את האמון שניתן בו</w:t>
      </w:r>
      <w:r>
        <w:rPr>
          <w:rtl w:val="true"/>
        </w:rPr>
        <w:t xml:space="preserve">, </w:t>
      </w:r>
      <w:r>
        <w:rPr>
          <w:rtl w:val="true"/>
        </w:rPr>
        <w:t>הוא לא הסתבך בפלילים</w:t>
      </w:r>
      <w:r>
        <w:rPr>
          <w:rtl w:val="true"/>
        </w:rPr>
        <w:t xml:space="preserve">, </w:t>
      </w:r>
      <w:r>
        <w:rPr>
          <w:rtl w:val="true"/>
        </w:rPr>
        <w:t>מקיים חיים נורמטיביים</w:t>
      </w:r>
      <w:r>
        <w:rPr>
          <w:rtl w:val="true"/>
        </w:rPr>
        <w:t xml:space="preserve">, </w:t>
      </w:r>
      <w:r>
        <w:rPr>
          <w:rtl w:val="true"/>
        </w:rPr>
        <w:t>עובד בצורה מסודרת ותורם לקהילה</w:t>
      </w:r>
      <w:r>
        <w:rPr>
          <w:rtl w:val="true"/>
        </w:rPr>
        <w:t xml:space="preserve">. </w:t>
      </w:r>
      <w:r>
        <w:rPr>
          <w:rtl w:val="true"/>
        </w:rPr>
        <w:t>המסר שהנאשם קיבל משירות המבחן הוא שהם יבואו בהמלצה שיקומית</w:t>
      </w:r>
      <w:r>
        <w:rPr>
          <w:rtl w:val="true"/>
        </w:rPr>
        <w:t xml:space="preserve">, </w:t>
      </w:r>
      <w:r>
        <w:rPr>
          <w:rtl w:val="true"/>
        </w:rPr>
        <w:t>וכי אינו זקוק לשיקום נוסף שכן ערך כבר שינוי</w:t>
      </w:r>
      <w:r>
        <w:rPr>
          <w:rtl w:val="true"/>
        </w:rPr>
        <w:t xml:space="preserve">. </w:t>
      </w:r>
      <w:r>
        <w:rPr>
          <w:rtl w:val="true"/>
        </w:rPr>
        <w:t>נוצר מצב אבסורדי שבו אם הנאשם מגיע כשהוא עבריין או מכור ניתן לשקמו והוא יזכה לעונש מקל</w:t>
      </w:r>
      <w:r>
        <w:rPr>
          <w:rtl w:val="true"/>
        </w:rPr>
        <w:t xml:space="preserve">, </w:t>
      </w:r>
      <w:r>
        <w:rPr>
          <w:rtl w:val="true"/>
        </w:rPr>
        <w:t>אולם אם מגיע נאשם שמעד באופן חד פעמי ולאחר מכן המשיך בחייו הנורמטיביים אז לא מציעים לו שיקום</w:t>
      </w:r>
      <w:r>
        <w:rPr>
          <w:rtl w:val="true"/>
        </w:rPr>
        <w:t xml:space="preserve">. </w:t>
      </w:r>
      <w:r>
        <w:rPr>
          <w:rtl w:val="true"/>
        </w:rPr>
        <w:t>הנאשם אינו צורך סמים ובדיקותיו נמצאו נקיות</w:t>
      </w:r>
      <w:r>
        <w:rPr>
          <w:rtl w:val="true"/>
        </w:rPr>
        <w:t xml:space="preserve">, </w:t>
      </w:r>
      <w:r>
        <w:rPr>
          <w:rtl w:val="true"/>
        </w:rPr>
        <w:t>כך שלא ניתן היה להציע טיפול</w:t>
      </w:r>
      <w:r>
        <w:rPr>
          <w:rtl w:val="true"/>
        </w:rPr>
        <w:t xml:space="preserve">. </w:t>
      </w:r>
      <w:r>
        <w:rPr>
          <w:rtl w:val="true"/>
        </w:rPr>
        <w:t>נכתב שהוא מתקשה לקחת אחריות על ביצוע העבירות</w:t>
      </w:r>
      <w:r>
        <w:rPr>
          <w:rtl w:val="true"/>
        </w:rPr>
        <w:t xml:space="preserve">, </w:t>
      </w:r>
      <w:r>
        <w:rPr>
          <w:rtl w:val="true"/>
        </w:rPr>
        <w:t>משום שתפס את עצמו כמשני וכי מעורבותו פסיבית וקשורה בנוכחות וידיעה על קיום הסמים</w:t>
      </w:r>
      <w:r>
        <w:rPr>
          <w:rtl w:val="true"/>
        </w:rPr>
        <w:t xml:space="preserve">, </w:t>
      </w:r>
      <w:r>
        <w:rPr>
          <w:rtl w:val="true"/>
        </w:rPr>
        <w:t>אך זהו באמת המצב שהיה ואין מדובר בהתחמקות מאחריות</w:t>
      </w:r>
      <w:r>
        <w:rPr>
          <w:rtl w:val="true"/>
        </w:rPr>
        <w:t xml:space="preserve">. </w:t>
      </w:r>
      <w:r>
        <w:rPr>
          <w:rtl w:val="true"/>
        </w:rPr>
        <w:t>בנוגע לנשק</w:t>
      </w:r>
      <w:r>
        <w:rPr>
          <w:rtl w:val="true"/>
        </w:rPr>
        <w:t xml:space="preserve">, </w:t>
      </w:r>
      <w:r>
        <w:rPr>
          <w:rtl w:val="true"/>
        </w:rPr>
        <w:t>הנאשם לוקח אחריות אשר נובעת מכך שהמקום היה בשליטתו</w:t>
      </w:r>
      <w:r>
        <w:rPr>
          <w:rtl w:val="true"/>
        </w:rPr>
        <w:t xml:space="preserve">. </w:t>
      </w:r>
      <w:r>
        <w:rPr>
          <w:rtl w:val="true"/>
        </w:rPr>
        <w:t>מדובר בנשק ללא נוקר</w:t>
      </w:r>
      <w:r>
        <w:rPr>
          <w:rtl w:val="true"/>
        </w:rPr>
        <w:t xml:space="preserve">, </w:t>
      </w:r>
      <w:r>
        <w:rPr>
          <w:rtl w:val="true"/>
        </w:rPr>
        <w:t>שבו לא בהכרח קיים פוטנציאל לנזק</w:t>
      </w:r>
      <w:r>
        <w:rPr>
          <w:rtl w:val="true"/>
        </w:rPr>
        <w:t xml:space="preserve">. </w:t>
      </w:r>
      <w:r>
        <w:rPr>
          <w:rtl w:val="true"/>
        </w:rPr>
        <w:t>הנאשם מבין את משמעות הודאתו ומכיר במחירים האישיים שלו ושל משפחתו בעקבות התנהגותו השולית וזו נטילת אחריות</w:t>
      </w:r>
      <w:r>
        <w:rPr>
          <w:rtl w:val="true"/>
        </w:rPr>
        <w:t xml:space="preserve">. </w:t>
      </w:r>
      <w:r>
        <w:rPr>
          <w:rtl w:val="true"/>
        </w:rPr>
        <w:t>הערכת הסיכון לאלימות היא נמוכה</w:t>
      </w:r>
      <w:r>
        <w:rPr>
          <w:rtl w:val="true"/>
        </w:rPr>
        <w:t xml:space="preserve">. </w:t>
      </w:r>
      <w:r>
        <w:rPr>
          <w:rtl w:val="true"/>
        </w:rPr>
        <w:t>הנאשם נעזר במשפחתו אשר מסייעת לו לחזור לחייו הנורמטיביים</w:t>
      </w:r>
      <w:r>
        <w:rPr>
          <w:rtl w:val="true"/>
        </w:rPr>
        <w:t xml:space="preserve">.  </w:t>
      </w:r>
      <w:r>
        <w:rPr>
          <w:rtl w:val="true"/>
        </w:rPr>
        <w:t>הוא התנתק ממקום עבודתו הקודם</w:t>
      </w:r>
      <w:r>
        <w:rPr>
          <w:rtl w:val="true"/>
        </w:rPr>
        <w:t xml:space="preserve">, </w:t>
      </w:r>
      <w:r>
        <w:rPr>
          <w:rtl w:val="true"/>
        </w:rPr>
        <w:t>ששם היה נתון להשפעה שולית</w:t>
      </w:r>
      <w:r>
        <w:rPr>
          <w:rtl w:val="true"/>
        </w:rPr>
        <w:t xml:space="preserve">. </w:t>
      </w:r>
      <w:r>
        <w:rPr>
          <w:rtl w:val="true"/>
        </w:rPr>
        <w:t>מבחינת הפסיקה בכמויות גדולות יותר של סם</w:t>
      </w:r>
      <w:r>
        <w:rPr>
          <w:rtl w:val="true"/>
        </w:rPr>
        <w:t xml:space="preserve">, </w:t>
      </w:r>
      <w:r>
        <w:rPr>
          <w:rtl w:val="true"/>
        </w:rPr>
        <w:t>מתחם העונש המתאים לכמות שנמצאה בתיק הנוכחי נע בין עבודות שירות לשנת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הנאשם נתבע על ידי בעלי המושכר בסך של </w:t>
      </w:r>
      <w:r>
        <w:rPr/>
        <w:t>250,000</w:t>
      </w:r>
      <w:r>
        <w:rPr>
          <w:rtl w:val="true"/>
        </w:rPr>
        <w:t xml:space="preserve"> ₪ </w:t>
      </w:r>
      <w:r>
        <w:rPr>
          <w:rtl w:val="true"/>
        </w:rPr>
        <w:t>וצפויה לו התמודדות אזרחית מבחינת יכולתו להחזיר חובות</w:t>
      </w:r>
      <w:r>
        <w:rPr>
          <w:rtl w:val="true"/>
        </w:rPr>
        <w:t xml:space="preserve">. </w:t>
      </w:r>
      <w:r>
        <w:rPr>
          <w:rtl w:val="true"/>
        </w:rPr>
        <w:t>ניתן לראות את שיקום הנאשם במישור התעסוקתי</w:t>
      </w:r>
      <w:r>
        <w:rPr>
          <w:rtl w:val="true"/>
        </w:rPr>
        <w:t xml:space="preserve">, </w:t>
      </w:r>
      <w:r>
        <w:rPr>
          <w:rtl w:val="true"/>
        </w:rPr>
        <w:t>הדרך שעשה והפוטנציאל שיותר לא יסתבך בפלילים</w:t>
      </w:r>
      <w:r>
        <w:rPr>
          <w:rtl w:val="true"/>
        </w:rPr>
        <w:t xml:space="preserve">, </w:t>
      </w:r>
      <w:r>
        <w:rPr>
          <w:rtl w:val="true"/>
        </w:rPr>
        <w:t>ומשכך ניתן לחרוג ממתחם העונש משיקולי שיקום</w:t>
      </w:r>
      <w:r>
        <w:rPr>
          <w:rtl w:val="true"/>
        </w:rPr>
        <w:t xml:space="preserve">, </w:t>
      </w:r>
      <w:r>
        <w:rPr>
          <w:rtl w:val="true"/>
        </w:rPr>
        <w:t>ולחילופין למקמו ברף התחתון</w:t>
      </w:r>
      <w:r>
        <w:rPr>
          <w:rtl w:val="true"/>
        </w:rPr>
        <w:t xml:space="preserve">. </w:t>
      </w:r>
      <w:r>
        <w:rPr>
          <w:rtl w:val="true"/>
        </w:rPr>
        <w:t>יש לקחת בחשבון את דוח ועדת דורנר בכל הקשור לעונשי מאסר לנאשמים משוקמים ולהימנע משליחתם למאסר מאחורי סורג ובריח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 טען שלא האמין שיגיע למצב הזה</w:t>
      </w:r>
      <w:r>
        <w:rPr>
          <w:rtl w:val="true"/>
        </w:rPr>
        <w:t xml:space="preserve">, </w:t>
      </w:r>
      <w:r>
        <w:rPr>
          <w:rtl w:val="true"/>
        </w:rPr>
        <w:t>וכי הוא מודה באשמה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הערכים החברתיים</w:t>
      </w:r>
      <w:r>
        <w:rPr>
          <w:rtl w:val="true"/>
        </w:rPr>
        <w:t xml:space="preserve"> שנפגעו מביצוע העבירה של גידול והפקת הסם הם הגנה על הציבור מפני הנזקים הישירים והעקיפים הנגרמים עקב השימוש בסמים</w:t>
      </w:r>
      <w:r>
        <w:rPr>
          <w:rtl w:val="true"/>
        </w:rPr>
        <w:t xml:space="preserve">. </w:t>
      </w:r>
      <w:r>
        <w:rPr>
          <w:rtl w:val="true"/>
        </w:rPr>
        <w:t>לעבירות הסמים פוטנציאל נזק רב</w:t>
      </w:r>
      <w:r>
        <w:rPr>
          <w:rtl w:val="true"/>
        </w:rPr>
        <w:t xml:space="preserve">, </w:t>
      </w:r>
      <w:r>
        <w:rPr>
          <w:rtl w:val="true"/>
        </w:rPr>
        <w:t>שכן השימוש בסמים גורר במקרים רבים אף ביצוע עבירות נלוות</w:t>
      </w:r>
      <w:r>
        <w:rPr>
          <w:rtl w:val="true"/>
        </w:rPr>
        <w:t xml:space="preserve">, </w:t>
      </w:r>
      <w:r>
        <w:rPr>
          <w:rtl w:val="true"/>
        </w:rPr>
        <w:t>אם כי במקרה דנן מדובר בסם מסוג קנבוס</w:t>
      </w:r>
      <w:r>
        <w:rPr>
          <w:rtl w:val="true"/>
        </w:rPr>
        <w:t xml:space="preserve">, </w:t>
      </w:r>
      <w:r>
        <w:rPr>
          <w:rtl w:val="true"/>
        </w:rPr>
        <w:t>אשר חומרתו פחותה בהשוואה לסוגי סמים אחרים</w:t>
      </w:r>
      <w:r>
        <w:rPr>
          <w:rtl w:val="true"/>
        </w:rPr>
        <w:t xml:space="preserve">. </w:t>
      </w:r>
      <w:r>
        <w:rPr>
          <w:rtl w:val="true"/>
        </w:rPr>
        <w:t>לא בכדי קבע המחוקק לצד העבירה של גידול</w:t>
      </w:r>
      <w:r>
        <w:rPr>
          <w:rtl w:val="true"/>
        </w:rPr>
        <w:t xml:space="preserve">, </w:t>
      </w:r>
      <w:r>
        <w:rPr>
          <w:rtl w:val="true"/>
        </w:rPr>
        <w:t>הפקת והכנת סמים</w:t>
      </w:r>
      <w:r>
        <w:rPr>
          <w:rtl w:val="true"/>
        </w:rPr>
        <w:t xml:space="preserve">, </w:t>
      </w:r>
      <w:r>
        <w:rPr>
          <w:rtl w:val="true"/>
        </w:rPr>
        <w:t>עונש מרבי של עד עשרים שנות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0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תופעת המעבדות והמשתלות לגידול סמים הפכה בשנים האחרונות לתופעה נפוצה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טמון בחובה פוטנציאל נזק 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 החשש שהסם אשר מגודל במקום יתגלגל לשוק 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לגורמים עבריינים ומשם לציבור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 שוני משמעותי בין תיקים שונים של מעבדות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בהתאם למספרן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לגודלן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לכמות הסמים שנתפסה בהם ולפרמטרים נוספים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07" w:end="0"/>
        <w:jc w:val="both"/>
        <w:rPr/>
      </w:pPr>
      <w:r>
        <w:rPr>
          <w:rFonts w:ascii="David" w:hAnsi="David"/>
          <w:color w:val="000000"/>
          <w:rtl w:val="true"/>
        </w:rPr>
        <w:t>במישור העקרוני ראוי להדגיש כי מדיניות האכיפה והענישה המקלה אשר ננקטת בשנים אחרונות כלפי המשתמשים בסמים מסוג קנבוס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כפי שהיא באה לידי ביטוי </w:t>
      </w:r>
      <w:hyperlink r:id="rId25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לפקודת הסמים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תיקון מס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[</w:t>
      </w:r>
      <w:r>
        <w:rPr>
          <w:rFonts w:ascii="David" w:hAnsi="David"/>
          <w:color w:val="000000"/>
          <w:rtl w:val="true"/>
        </w:rPr>
        <w:t>הוראת שעה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תשע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2018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אינה חלה בהתאמה על מי שמגדל לשם הפצה או סוחר בסמים מסוג 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דרגת חומרתו של הסם מסוג קנבוס היא פחותה בהשוואה לסמים 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ויש לנקוט בגישה שמאבחנת בין סוגי הסמים השונים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בהתאם למידת חומרתו של כל סם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דברי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גרוסקופף 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8640/20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אבו קרינאת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23.12.20</w:t>
      </w:r>
      <w:r>
        <w:rPr>
          <w:rFonts w:cs="David" w:ascii="David" w:hAnsi="David"/>
          <w:color w:val="000000"/>
          <w:rtl w:val="true"/>
        </w:rPr>
        <w:t xml:space="preserve">]).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מדיניות הענישה הנוהגת לגבי מגדלי המעבדות והסוחרים בסם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נועדה להקל מי שנמצא בשלבי הייצור או ההספקה של 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אלא נותרה משמעותית ומרתיעה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דברי של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עמית 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2596/18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זנזורי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12.8.18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ודברי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הנדל 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5807/17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דרחי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18.6.18</w:t>
      </w:r>
      <w:r>
        <w:rPr>
          <w:rFonts w:cs="David" w:ascii="David" w:hAnsi="David"/>
          <w:color w:val="000000"/>
          <w:rtl w:val="true"/>
        </w:rPr>
        <w:t>]).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 xml:space="preserve">הערך החברתי </w:t>
      </w:r>
      <w:r>
        <w:rPr>
          <w:rtl w:val="true"/>
        </w:rPr>
        <w:t>אשר נפגע בעבירת החזקת נשק הוא הגנה על בטחון הציבור ושלומו</w:t>
      </w:r>
      <w:r>
        <w:rPr>
          <w:rtl w:val="true"/>
        </w:rPr>
        <w:t xml:space="preserve">. </w:t>
      </w:r>
      <w:r>
        <w:rPr>
          <w:rtl w:val="true"/>
        </w:rPr>
        <w:t>החזקת נשק חם</w:t>
      </w:r>
      <w:r>
        <w:rPr>
          <w:rtl w:val="true"/>
        </w:rPr>
        <w:t xml:space="preserve">, </w:t>
      </w:r>
      <w:r>
        <w:rPr>
          <w:rtl w:val="true"/>
        </w:rPr>
        <w:t>מסוג אקדח חצי אוטומטי יוצרת סיכון שהנשק יגיע בסופו של דבר לגורמים אשר יעשו בו שימוש למטרות פסולות</w:t>
      </w:r>
      <w:r>
        <w:rPr>
          <w:rtl w:val="true"/>
        </w:rPr>
        <w:t xml:space="preserve">, </w:t>
      </w:r>
      <w:r>
        <w:rPr>
          <w:rtl w:val="true"/>
        </w:rPr>
        <w:t>פליליות או ביטחוניות</w:t>
      </w:r>
      <w:r>
        <w:rPr>
          <w:rtl w:val="true"/>
        </w:rPr>
        <w:t xml:space="preserve">, </w:t>
      </w:r>
      <w:r>
        <w:rPr>
          <w:rtl w:val="true"/>
        </w:rPr>
        <w:t>לרבות פגיעה בגוף או בנפש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בית המשפט העליון חזר והדגיש את מגמת ההחמרה בעבירות נשק השונות</w:t>
      </w:r>
      <w:r>
        <w:rPr>
          <w:rtl w:val="true"/>
        </w:rPr>
        <w:t xml:space="preserve">, </w:t>
      </w:r>
      <w:r>
        <w:rPr>
          <w:rtl w:val="true"/>
        </w:rPr>
        <w:t>ואת החומרה היתרה שבביצוע עבירות נשק</w:t>
      </w:r>
      <w:r>
        <w:rPr>
          <w:rtl w:val="true"/>
        </w:rPr>
        <w:t xml:space="preserve">. </w:t>
      </w:r>
      <w:r>
        <w:rPr>
          <w:rtl w:val="true"/>
        </w:rPr>
        <w:t>זאת בשל הסיכון הממשי לביטחון הציבור והפגיעה בערכים המוגנים של שלמות הגוף וחיי אדם</w:t>
      </w:r>
      <w:r>
        <w:rPr>
          <w:rtl w:val="true"/>
        </w:rPr>
        <w:t xml:space="preserve">. </w:t>
      </w:r>
      <w:r>
        <w:rPr>
          <w:rtl w:val="true"/>
        </w:rPr>
        <w:t>לאור כך</w:t>
      </w:r>
      <w:r>
        <w:rPr>
          <w:rtl w:val="true"/>
        </w:rPr>
        <w:t xml:space="preserve">, </w:t>
      </w:r>
      <w:r>
        <w:rPr>
          <w:rtl w:val="true"/>
        </w:rPr>
        <w:t>ננקטת מגמת החמרה בענישה בעבירות נשק</w:t>
      </w:r>
      <w:r>
        <w:rPr>
          <w:rtl w:val="true"/>
        </w:rPr>
        <w:t xml:space="preserve">, </w:t>
      </w:r>
      <w:r>
        <w:rPr>
          <w:rtl w:val="true"/>
        </w:rPr>
        <w:t>כך שזו תבטא באופן הולם את פוטנציאל ההרס הרב הגלום בהן</w:t>
      </w:r>
      <w:r>
        <w:rPr>
          <w:rtl w:val="true"/>
        </w:rPr>
        <w:t xml:space="preserve">. </w:t>
      </w:r>
      <w:r>
        <w:rPr>
          <w:rtl w:val="true"/>
        </w:rPr>
        <w:t>עוד נקבע כי ראוי ונכון להחמיר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זאת בין היתר כדי להיאבק בתופעה של שימוש גובר בנשק חם כאמצעי ליישוב סכסוכים</w:t>
      </w:r>
      <w:r>
        <w:rPr>
          <w:rtl w:val="true"/>
        </w:rPr>
        <w:t xml:space="preserve">. </w:t>
      </w:r>
      <w:r>
        <w:rPr>
          <w:rtl w:val="true"/>
        </w:rPr>
        <w:t>מיגור תופעת נשיאת והחזקת כלי נשק בלתי חוקיים הוא אפוא אינטרס ציבורי חשוב ותנאי הכרחי למאבק בתופעות הפשיעה האלימה לסוגיה</w:t>
      </w:r>
      <w:r>
        <w:rPr>
          <w:rtl w:val="true"/>
        </w:rPr>
        <w:t xml:space="preserve">, </w:t>
      </w:r>
      <w:r>
        <w:rPr>
          <w:rtl w:val="true"/>
        </w:rPr>
        <w:t>ויש לעשות 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ענישה מחמירה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ע</w:t>
      </w:r>
      <w:r>
        <w:rPr>
          <w:rtl w:val="true"/>
        </w:rPr>
        <w:t xml:space="preserve">' </w:t>
      </w:r>
      <w:r>
        <w:rPr>
          <w:rtl w:val="true"/>
        </w:rPr>
        <w:t>גרוסקופף 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 י</w:t>
      </w:r>
      <w:r>
        <w:rPr>
          <w:rtl w:val="true"/>
        </w:rPr>
        <w:t xml:space="preserve">' </w:t>
      </w:r>
      <w:r>
        <w:rPr>
          <w:rtl w:val="true"/>
        </w:rPr>
        <w:t>אלרון ומ</w:t>
      </w:r>
      <w:r>
        <w:rPr>
          <w:rtl w:val="true"/>
        </w:rPr>
        <w:t xml:space="preserve">' </w:t>
      </w:r>
      <w:r>
        <w:rPr>
          <w:rtl w:val="true"/>
        </w:rPr>
        <w:t>מזוז 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סובח </w:t>
      </w:r>
      <w:r>
        <w:rPr>
          <w:rtl w:val="true"/>
        </w:rPr>
        <w:t>[</w:t>
      </w:r>
      <w:r>
        <w:rPr/>
        <w:t>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שטיין 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[</w:t>
      </w:r>
      <w:r>
        <w:rPr/>
        <w:t>2.7.20</w:t>
      </w:r>
      <w:r>
        <w:rPr>
          <w:rtl w:val="true"/>
        </w:rPr>
        <w:t xml:space="preserve">]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 xml:space="preserve">' </w:t>
      </w:r>
      <w:r>
        <w:rPr>
          <w:rtl w:val="true"/>
        </w:rPr>
        <w:t>קרא 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22.11.20</w:t>
      </w:r>
      <w:r>
        <w:rPr>
          <w:rtl w:val="true"/>
        </w:rPr>
        <w:t xml:space="preserve">]).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>מובילה למסקנה כי הפגיעה היא ברף בינוני</w:t>
      </w:r>
      <w:r>
        <w:rPr>
          <w:rtl w:val="true"/>
        </w:rPr>
        <w:t>-</w:t>
      </w:r>
      <w:r>
        <w:rPr>
          <w:rtl w:val="true"/>
        </w:rPr>
        <w:t>נמוך וזאת בהתייחס לכמות הסם שנתפס במעבדה</w:t>
      </w:r>
      <w:r>
        <w:rPr>
          <w:rtl w:val="true"/>
        </w:rPr>
        <w:t xml:space="preserve">, </w:t>
      </w:r>
      <w:r>
        <w:rPr>
          <w:rtl w:val="true"/>
        </w:rPr>
        <w:t>בהיקף של 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אשר אינה גבוהה באופן יחסי לתיקים דומים אשר נדונים בבית</w:t>
      </w:r>
      <w:r>
        <w:rPr>
          <w:rtl w:val="true"/>
        </w:rPr>
        <w:t>-</w:t>
      </w:r>
      <w:r>
        <w:rPr>
          <w:rtl w:val="true"/>
        </w:rPr>
        <w:t>המשפט המחוזי</w:t>
      </w:r>
      <w:r>
        <w:rPr>
          <w:rtl w:val="true"/>
        </w:rPr>
        <w:t xml:space="preserve">, </w:t>
      </w:r>
      <w:r>
        <w:rPr>
          <w:rtl w:val="true"/>
        </w:rPr>
        <w:t>וכן בהתייחס לכך שהאקדח שהנאשם החזיק במקום היה ללא נוקר</w:t>
      </w:r>
      <w:r>
        <w:rPr>
          <w:rtl w:val="true"/>
        </w:rPr>
        <w:t xml:space="preserve">, </w:t>
      </w:r>
      <w:r>
        <w:rPr>
          <w:rtl w:val="true"/>
        </w:rPr>
        <w:t>כך שלא ניתן היה לעשות בו שימוש באופן מידי</w:t>
      </w:r>
      <w:r>
        <w:rPr>
          <w:rtl w:val="true"/>
        </w:rPr>
        <w:t xml:space="preserve">. </w:t>
      </w:r>
      <w:r>
        <w:rPr>
          <w:rtl w:val="true"/>
        </w:rPr>
        <w:t>בהקשר זה סבורני שיש להבחין בין החזקת אקדח תקין וכשיר לשימוש</w:t>
      </w:r>
      <w:r>
        <w:rPr>
          <w:rtl w:val="true"/>
        </w:rPr>
        <w:t xml:space="preserve">, </w:t>
      </w:r>
      <w:r>
        <w:rPr>
          <w:rtl w:val="true"/>
        </w:rPr>
        <w:t>לבין אקדח אשר חסר בו רכיב חיוני</w:t>
      </w:r>
      <w:r>
        <w:rPr>
          <w:rtl w:val="true"/>
        </w:rPr>
        <w:t xml:space="preserve">, </w:t>
      </w:r>
      <w:r>
        <w:rPr>
          <w:rtl w:val="true"/>
        </w:rPr>
        <w:t>כגון נוקר</w:t>
      </w:r>
      <w:r>
        <w:rPr>
          <w:rtl w:val="true"/>
        </w:rPr>
        <w:t xml:space="preserve">, </w:t>
      </w:r>
      <w:r>
        <w:rPr>
          <w:rtl w:val="true"/>
        </w:rPr>
        <w:t>אשר בהעדר הרכיב האמור</w:t>
      </w:r>
      <w:r>
        <w:rPr>
          <w:rtl w:val="true"/>
        </w:rPr>
        <w:t xml:space="preserve">, </w:t>
      </w:r>
      <w:r>
        <w:rPr>
          <w:rtl w:val="true"/>
        </w:rPr>
        <w:t>לא ניתן לעשות בו שימוש</w:t>
      </w:r>
      <w:r>
        <w:rPr>
          <w:rtl w:val="true"/>
        </w:rPr>
        <w:t xml:space="preserve">. </w:t>
      </w:r>
      <w:r>
        <w:rPr>
          <w:rtl w:val="true"/>
        </w:rPr>
        <w:t>עוד יש לציין בעניין החזקת הנשק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עבירה שדינה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במובחן מנשיאת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שדינה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וכי מדובר בנשק מסוג אקדח</w:t>
      </w:r>
      <w:r>
        <w:rPr>
          <w:rtl w:val="true"/>
        </w:rPr>
        <w:t xml:space="preserve">, </w:t>
      </w:r>
      <w:r>
        <w:rPr>
          <w:rtl w:val="true"/>
        </w:rPr>
        <w:t>אשר החזקתו חמורה פחות מהחזקת רובה</w:t>
      </w:r>
      <w:r>
        <w:rPr>
          <w:rtl w:val="true"/>
        </w:rPr>
        <w:t xml:space="preserve">, </w:t>
      </w:r>
      <w:r>
        <w:rPr>
          <w:rtl w:val="true"/>
        </w:rPr>
        <w:t>וזאת בשל פוטנציאל הקטילה הרב יותר של רובה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>לכך שהנאשם שכר בית לשם הקמת מעבדה לגידול סם מסוג קנבוס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החזיק בציוד רב הכולל מדי לחות וטמפרטורה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משאבות 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שנאים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מזגנים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מפוחים ועוד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וכן התחבר לקו הזנה ראשי של הולכת חשמל באופן שצריכת החשמל לא נמדדה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מכאן מובן שקדם תכנון לעבירות של הכנת והפקת סם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החזקתו והחזקת כלים לייצורו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במעבדה נמצאו סמים במשקל של </w:t>
      </w:r>
      <w:r>
        <w:rPr>
          <w:rStyle w:val="default"/>
        </w:rPr>
        <w:t>51.15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ק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ג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בנוסף הנאשם החזיק אקדח חצי אוטומטי ללא נוקר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הנזקים שצפויים היו להיגרם מביצוע עבירת גידול והפקת סם נוגעים לחשש שהסמים יופצו בציבור 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ידי גורמים עבריינים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עבירות סמים מסוג זה הן בגדר מחולל פשיעה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 הפוטנציאלי העולה מעבירת החזקת הנשק אינו מידי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כיוון שמדובר בנשק תקול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ללא נוקר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>אשר לא ניתן לעשות בו שימוש באופן מידי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עם זאת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בעבירות מסוג זה קיים חשש מפני הגעת הנשק לידי אחרים שעלולים להשמיש את הנשק ולעשות בו שימוש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בפועל לא נעשה שימוש בנשק ולא נגרם נזק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הנזק שנגרם מגניבת החשמל הוא בסך של </w:t>
      </w:r>
      <w:r>
        <w:rPr>
          <w:rStyle w:val="default"/>
        </w:rPr>
        <w:t>14,283</w:t>
      </w:r>
      <w:r>
        <w:rPr>
          <w:rStyle w:val="default"/>
          <w:rtl w:val="true"/>
        </w:rPr>
        <w:t xml:space="preserve"> ₪. </w:t>
      </w:r>
      <w:r>
        <w:rPr>
          <w:rStyle w:val="default"/>
          <w:rtl w:val="true"/>
        </w:rPr>
        <w:t>הסיבות שהביאו את הנאשם לבצע את העבירות קשורות בחבירתו לגורמים שוליים בתקופה שקדמה לעבירה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בעבירות ייצור והפקת סם מעלה כי במקרים דומים הוטלו על נאשמים עונשי מאסר במנעד רחב כמפורט להלן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3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2194/14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בן שמעון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10.9.14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התקבל ערעור נאשם אשר הורשע בהתאם להודאתו בעבירות של גידול סמים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גידל בדירה שכורה סם מסוג קנבוס במשקל של </w:t>
      </w:r>
      <w:r>
        <w:rPr>
          <w:rStyle w:val="default"/>
          <w:rFonts w:cs="David" w:ascii="David" w:hAnsi="David"/>
          <w:b/>
          <w:bCs/>
        </w:rPr>
        <w:t>33.5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והשית על הנאשם </w:t>
      </w:r>
      <w:r>
        <w:rPr>
          <w:rStyle w:val="default"/>
          <w:rFonts w:cs="David" w:ascii="David" w:hAnsi="David"/>
        </w:rPr>
        <w:t>23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חודשי מאסר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27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כולל הפעלת מאסר על תנאי</w:t>
      </w:r>
      <w:r>
        <w:rPr>
          <w:rStyle w:val="default"/>
          <w:rFonts w:cs="David" w:ascii="David" w:hAnsi="David"/>
          <w:rtl w:val="true"/>
        </w:rPr>
        <w:t xml:space="preserve">). </w:t>
      </w:r>
      <w:r>
        <w:rPr>
          <w:rStyle w:val="default"/>
          <w:rFonts w:ascii="David" w:hAnsi="David"/>
          <w:rtl w:val="true"/>
        </w:rPr>
        <w:t>בית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ascii="David" w:hAnsi="David"/>
          <w:rtl w:val="true"/>
        </w:rPr>
        <w:t xml:space="preserve">המשפט העליון הקל בעונש לעונש של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 xml:space="preserve">והפעלת התנאי בן </w:t>
      </w:r>
      <w:r>
        <w:rPr>
          <w:rStyle w:val="default"/>
          <w:rFonts w:cs="David" w:ascii="David" w:hAnsi="David"/>
        </w:rPr>
        <w:t>8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בחופף</w:t>
      </w:r>
      <w:r>
        <w:rPr>
          <w:rStyle w:val="default"/>
          <w:rFonts w:cs="David" w:ascii="David" w:hAnsi="David"/>
          <w:rtl w:val="true"/>
        </w:rPr>
        <w:t xml:space="preserve">).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4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6041/18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כהן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2.10.18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נדחתה בקשת רשות ערעור של נאשם שהורשע על פי הודאתו בעבירות של ייצור והפקת סם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וגניבת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הקים מעבדה לגידול סם מסוג קנאביס וביצע שינויים במערכת החשמל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במעבדה נתפסו סמים מסוג קנאביס במשקל של </w:t>
      </w:r>
      <w:r>
        <w:rPr>
          <w:rStyle w:val="default"/>
          <w:rFonts w:ascii="David" w:hAnsi="David"/>
          <w:b/>
          <w:b/>
          <w:bCs/>
          <w:rtl w:val="true"/>
        </w:rPr>
        <w:t>כ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צעיר 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אשר שולב בטיפול ושירות המבחן המליץ על עבודות שירות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5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8095/17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סטרוסטה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26.10.17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נדחתה בקשת רשות ערעור של נאשם שהורשע על פי הודאתו בעבירות של ייצור סם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החזיק במספר רב של עציצים ובהם סם מסוג קנאביס במשקל של </w:t>
      </w:r>
      <w:r>
        <w:rPr>
          <w:rStyle w:val="default"/>
          <w:rFonts w:cs="David" w:ascii="David" w:hAnsi="David"/>
          <w:b/>
          <w:bCs/>
        </w:rPr>
        <w:t>52.3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ascii="David" w:hAnsi="David"/>
          <w:rtl w:val="true"/>
        </w:rPr>
        <w:t xml:space="preserve"> וכן מספר עציצים קטנים ובהם קנאביס במשקל של </w:t>
      </w:r>
      <w:r>
        <w:rPr>
          <w:rStyle w:val="default"/>
          <w:rFonts w:cs="David" w:ascii="David" w:hAnsi="David"/>
        </w:rPr>
        <w:t>611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גרם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ללא עבר פלילי ונסיבות חייו קשות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חרג ממתחם העונש משיקולי שיקום והשית עליו עונש של 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6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5293/18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חכים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12.7.18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 xml:space="preserve">נדחתה בקשת רשות ערעור של נאשם אשר הורשע בגידול סם מסוג קנאבוס במשקל של </w:t>
      </w:r>
      <w:r>
        <w:rPr>
          <w:rStyle w:val="default"/>
          <w:rFonts w:cs="David" w:ascii="David" w:hAnsi="David"/>
          <w:b/>
          <w:bCs/>
        </w:rPr>
        <w:t>33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b/>
          <w:bCs/>
          <w:rtl w:val="true"/>
        </w:rPr>
        <w:t>.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בית המשפט קבע 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וחרג לקולה מהמתחם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משיקולי שיקום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והטיל על הנאשם </w:t>
      </w:r>
      <w:r>
        <w:rPr>
          <w:rStyle w:val="default"/>
          <w:rFonts w:cs="David" w:ascii="David" w:hAnsi="David"/>
          <w:b/>
          <w:bCs/>
        </w:rPr>
        <w:t>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עבודות שירות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37903-03-15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מאירוב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9.11.15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הורשע נאשם בהתאם להודאתו בעבירה של גידול סם ונטילת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גידל במעבדה סם מסוג קנבוס במשקל של </w:t>
      </w:r>
      <w:r>
        <w:rPr>
          <w:rStyle w:val="default"/>
          <w:rFonts w:cs="David" w:ascii="David" w:hAnsi="David"/>
          <w:b/>
          <w:bCs/>
        </w:rPr>
        <w:t>60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קבע מ</w:t>
      </w:r>
      <w:r>
        <w:rPr>
          <w:rStyle w:val="default"/>
          <w:rFonts w:ascii="David" w:hAnsi="David"/>
          <w:b/>
          <w:b/>
          <w:bCs/>
          <w:rtl w:val="true"/>
        </w:rPr>
        <w:t xml:space="preserve">תחם שבין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וגזר על 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8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16958-01-14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חייק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30.4.14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בעבירה של יצור סמים ועבירות נלוות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גידל סמים מסוג קנבוס במשקל של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60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קבע מתחם שבין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והשית על 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שעברו הפלילי אינו משמעותי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עונש של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9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45104-03-20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מעידי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20.7.20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 נאשם אשר הורשע על פי הודאתו בעבירות של גידול סמים ונטילת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הקים מעבדה לייצור סם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צייד אותה בציוד רב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וגנב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במעבדה נמצאו סמים מסוג קנאביס במשקל של 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b/>
          <w:bCs/>
          <w:rtl w:val="true"/>
        </w:rPr>
        <w:t>.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ascii="David" w:hAnsi="David"/>
          <w:rtl w:val="true"/>
        </w:rPr>
        <w:t xml:space="preserve">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וחרג מהמתחם משיקולי שיקום לעונש של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40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33120-05-19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שחר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28.1.20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קיבל בית המשפט את ערעור המדינה על קולת עונשו של נאשם אשר הורשע על פי הודאתו בעבירות של גידול סם וגניבת 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הקים מעבדה לגידול סם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וביצע שינויים במערכת החשמל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במעבדה נתפסו סמים מסוג קנאביס במשקל של </w:t>
      </w:r>
      <w:r>
        <w:rPr>
          <w:rStyle w:val="default"/>
          <w:rFonts w:cs="David" w:ascii="David" w:hAnsi="David"/>
          <w:b/>
          <w:bCs/>
        </w:rPr>
        <w:t>45.8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ק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משפט השלום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חרג מהמתחם משיקולי שיקום והשית על הנאשם </w:t>
      </w:r>
      <w:r>
        <w:rPr>
          <w:rStyle w:val="default"/>
          <w:rFonts w:cs="David" w:ascii="David" w:hAnsi="David"/>
        </w:rPr>
        <w:t>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עבודות שירות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המחוזי קבע כי מתחם העונש נכון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ואולם השיקום אינו מצדיק חריגה משמעותית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וקבע את עונשו על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41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27388-03-20</w:t>
        </w:r>
      </w:hyperlink>
      <w:r>
        <w:rPr>
          <w:rStyle w:val="default"/>
          <w:rFonts w:cs="David" w:ascii="David" w:hAnsi="David"/>
          <w:rtl w:val="true"/>
        </w:rPr>
        <w:t xml:space="preserve"> (</w:t>
      </w:r>
      <w:r>
        <w:rPr>
          <w:rStyle w:val="default"/>
          <w:rFonts w:ascii="David" w:hAnsi="David"/>
          <w:rtl w:val="true"/>
        </w:rPr>
        <w:t>מח</w:t>
      </w:r>
      <w:r>
        <w:rPr>
          <w:rStyle w:val="default"/>
          <w:rFonts w:cs="David" w:ascii="David" w:hAnsi="David"/>
          <w:rtl w:val="true"/>
        </w:rPr>
        <w:t xml:space="preserve">' </w:t>
      </w:r>
      <w:r>
        <w:rPr>
          <w:rStyle w:val="default"/>
          <w:rFonts w:ascii="David" w:hAnsi="David"/>
          <w:rtl w:val="true"/>
        </w:rPr>
        <w:t>מר</w:t>
      </w:r>
      <w:r>
        <w:rPr>
          <w:rStyle w:val="default"/>
          <w:rFonts w:cs="David" w:ascii="David" w:hAnsi="David"/>
          <w:rtl w:val="true"/>
        </w:rPr>
        <w:t xml:space="preserve">') </w:t>
      </w:r>
      <w:r>
        <w:rPr>
          <w:rStyle w:val="default"/>
          <w:rFonts w:cs="David" w:ascii="David" w:hAnsi="David"/>
        </w:rPr>
        <w:t>14.12.20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סויסה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14.12.20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קיבל בית המשפט המחוזי ערעור על קולת עונשו של נאשם שהורשע על פי הודאתו בעבירת ייצור סם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הקים מעבדה לגידול סם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ובמקום נמצא סם מסוג קנאביס במשקל של </w:t>
      </w:r>
      <w:r>
        <w:rPr>
          <w:rStyle w:val="default"/>
          <w:rFonts w:ascii="David" w:hAnsi="David"/>
          <w:b/>
          <w:b/>
          <w:bCs/>
          <w:rtl w:val="true"/>
        </w:rPr>
        <w:t>כ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משפט השלום קבע מתחם עונש שבין </w:t>
      </w: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28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חרג מהמתחם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והשית על הנאשם </w:t>
      </w:r>
      <w:r>
        <w:rPr>
          <w:rStyle w:val="default"/>
          <w:rFonts w:cs="David" w:ascii="David" w:hAnsi="David"/>
        </w:rPr>
        <w:t>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עבודות שירות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כי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נע בין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והעמיד את עונשו של 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משיקולי שיקום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על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42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66585-03-19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אבו עלאן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18.6.19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 xml:space="preserve">קיבל בית המשפט המחוזי את ערעור המדינה בעניינו של נאשם אשר גידל במעבדה סמים מסוג קנבוס במשקל של </w:t>
      </w:r>
      <w:r>
        <w:rPr>
          <w:rStyle w:val="default"/>
          <w:rFonts w:cs="David" w:ascii="David" w:hAnsi="David"/>
          <w:b/>
          <w:bCs/>
        </w:rPr>
        <w:t>42.5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ק</w:t>
      </w: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ascii="David" w:hAnsi="David"/>
          <w:rtl w:val="true"/>
        </w:rPr>
        <w:t xml:space="preserve">משפט השלום קבע מתחם שבין </w:t>
      </w: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36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וגזר על הנאשם </w:t>
      </w:r>
      <w:r>
        <w:rPr>
          <w:rStyle w:val="default"/>
          <w:rFonts w:cs="David" w:ascii="David" w:hAnsi="David"/>
        </w:rPr>
        <w:t>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עבודות שירות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כי </w:t>
      </w:r>
      <w:r>
        <w:rPr>
          <w:rStyle w:val="default"/>
          <w:rFonts w:ascii="David" w:hAnsi="David"/>
          <w:b/>
          <w:b/>
          <w:bCs/>
          <w:rtl w:val="true"/>
        </w:rPr>
        <w:t>המתחם אינו נופל מ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 xml:space="preserve">עד 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והעמיד את עונשו של הנאשם על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10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rtl w:val="true"/>
        </w:rPr>
        <w:t>בנסיבות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מתחם העונש ההולם בגין עבירות הסמים וגניבת החשמל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אילו היו עומדות לבדן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הוא החל מ</w:t>
      </w:r>
      <w:r>
        <w:rPr>
          <w:b/>
          <w:bCs/>
          <w:rtl w:val="true"/>
        </w:rPr>
        <w:t>-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 בעבירת בעברה של החזקת נשק מסוג אקדח</w:t>
      </w:r>
      <w:r>
        <w:rPr>
          <w:rtl w:val="true"/>
        </w:rPr>
        <w:t xml:space="preserve"> מעלה כי הוטלו על נאשמים עונשי מאסר במנעד רחב כמפורט להלן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5646/15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תיהאווי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14.2.16</w:t>
      </w:r>
      <w:r>
        <w:rPr>
          <w:rtl w:val="true"/>
        </w:rPr>
        <w:t xml:space="preserve">) </w:t>
      </w:r>
      <w:r>
        <w:rPr>
          <w:rtl w:val="true"/>
        </w:rPr>
        <w:t xml:space="preserve">נקבע מתחם עונש הנע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ועד 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והוטל על הנאשם 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2826/19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מרענה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11.7.19</w:t>
      </w:r>
      <w:r>
        <w:rPr>
          <w:rtl w:val="true"/>
        </w:rPr>
        <w:t xml:space="preserve">) </w:t>
      </w:r>
      <w:r>
        <w:rPr>
          <w:rtl w:val="true"/>
        </w:rPr>
        <w:t xml:space="preserve">נקבע מתחם עונש הנע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ועד 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הוטל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נוסיראת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22.6.16</w:t>
      </w:r>
      <w:r>
        <w:rPr>
          <w:rtl w:val="true"/>
        </w:rPr>
        <w:t xml:space="preserve">) </w:t>
      </w:r>
      <w:r>
        <w:rPr>
          <w:rtl w:val="true"/>
        </w:rPr>
        <w:t xml:space="preserve">נקבע מתחם עונש הנע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והוטל על הנאשם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52602-12-19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ריזק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27.1.29</w:t>
      </w:r>
      <w:r>
        <w:rPr>
          <w:rtl w:val="true"/>
        </w:rPr>
        <w:t xml:space="preserve">) </w:t>
      </w:r>
      <w:r>
        <w:rPr>
          <w:rtl w:val="true"/>
        </w:rPr>
        <w:t>נקבע מתחם</w:t>
      </w:r>
      <w:r>
        <w:rPr>
          <w:rtl w:val="true"/>
        </w:rPr>
        <w:t xml:space="preserve"> עונש הנע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והוטל על הנאשם 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נתתי דעתי לכך שהנאשם החזיק בנשק מסוג אקדח שחסר בו הנוקר ומשכך מדובר בנשק תקול</w:t>
      </w:r>
      <w:r>
        <w:rPr>
          <w:rtl w:val="true"/>
        </w:rPr>
        <w:t xml:space="preserve">, </w:t>
      </w:r>
      <w:r>
        <w:rPr>
          <w:rtl w:val="true"/>
        </w:rPr>
        <w:t xml:space="preserve">ואף שלעניין האחריות הפלילית בעבירת נשק קבע המחוקק </w:t>
      </w:r>
      <w:hyperlink r:id="rId47">
        <w:r>
          <w:rPr>
            <w:rStyle w:val="Hyperlink"/>
            <w:rtl w:val="true"/>
          </w:rPr>
          <w:t xml:space="preserve">בסעיף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בחוק כי </w:t>
      </w:r>
      <w:r>
        <w:rPr>
          <w:rtl w:val="true"/>
        </w:rPr>
        <w:t>"</w:t>
      </w:r>
      <w:r>
        <w:rPr>
          <w:rtl w:val="true"/>
        </w:rPr>
        <w:t>אחת היא אם בעת שנעברה העבירה היה נשק תקין לשימוש או לא</w:t>
      </w:r>
      <w:r>
        <w:rPr>
          <w:rtl w:val="true"/>
        </w:rPr>
        <w:t xml:space="preserve">", </w:t>
      </w:r>
      <w:r>
        <w:rPr>
          <w:rtl w:val="true"/>
        </w:rPr>
        <w:t>סבורני כי נסיבה זו מפחיתה בחומרת העבירה</w:t>
      </w:r>
      <w:r>
        <w:rPr>
          <w:rtl w:val="true"/>
        </w:rPr>
        <w:t xml:space="preserve">. </w:t>
      </w:r>
      <w:r>
        <w:rPr>
          <w:rtl w:val="true"/>
        </w:rPr>
        <w:t>כפי שנקבע 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4982/15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שחיטה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3.9.15</w:t>
      </w:r>
      <w:r>
        <w:rPr>
          <w:rtl w:val="true"/>
        </w:rPr>
        <w:t>)</w:t>
      </w:r>
      <w:r>
        <w:rPr>
          <w:rtl w:val="true"/>
        </w:rPr>
        <w:t>:</w:t>
      </w:r>
      <w:r>
        <w:rPr>
          <w:rtl w:val="true"/>
        </w:rPr>
        <w:t xml:space="preserve"> "</w:t>
      </w:r>
      <w:r>
        <w:rPr>
          <w:rtl w:val="true"/>
        </w:rPr>
        <w:t>גם אם המחוקק אינו מבחין בין נשק תקין לשאינ</w:t>
      </w:r>
      <w:r>
        <w:rPr>
          <w:rtl w:val="true"/>
        </w:rPr>
        <w:t>ו</w:t>
      </w:r>
      <w:r>
        <w:rPr>
          <w:rtl w:val="true"/>
        </w:rPr>
        <w:t xml:space="preserve"> תקין</w:t>
      </w:r>
      <w:r>
        <w:rPr>
          <w:rtl w:val="true"/>
        </w:rPr>
        <w:t xml:space="preserve">, </w:t>
      </w:r>
      <w:r>
        <w:rPr>
          <w:rtl w:val="true"/>
        </w:rPr>
        <w:t>תיתכן לכך רלב</w:t>
      </w:r>
      <w:r>
        <w:rPr>
          <w:rtl w:val="true"/>
        </w:rPr>
        <w:t>נ</w:t>
      </w:r>
      <w:r>
        <w:rPr>
          <w:rtl w:val="true"/>
        </w:rPr>
        <w:t>טיות מסוימת לענין העונש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מתחם העונש ההולם בעבירת החזקת נשק בנסיבות אלה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אילו הייתה עומדת לבדה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הוא החל מ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50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 xml:space="preserve">מתחם העונש ההולם בגין האירוע כולו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סמים ונשק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הוא החל מ</w:t>
      </w:r>
      <w:r>
        <w:rPr>
          <w:b/>
          <w:bCs/>
          <w:rtl w:val="true"/>
        </w:rPr>
        <w:t>-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קיימים שיקולים אשר מצדיקים חריגה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שמדובר בנאשם בן </w:t>
      </w:r>
      <w:r>
        <w:rPr>
          <w:rStyle w:val="default"/>
        </w:rPr>
        <w:t>27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ללא עבר פלילי אשר גדל במסגרת משפחתית נורמטיבית ולאורך השנים תפקד במסגרות חייו באופן תקין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בתקופה שקדמה לביצוע העבירות החל לקיים קשרים עם גורמים עברייניים ופיתח דפוסים שוליים וזאת על רקע תחושת ריקנות וצורך בריגוש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שעונש מאסר ממושך יקשה על הנאשם בהיותו מאסר ראשון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ויש במאסר אף כדי לפגוע בעתידו התעסוקתי והאישי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הודה בביצוע העבירות ואולם בפני שירות המבחן התקשה ליטול אחריות על ביצוען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תיאר עצמו כפסיבי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ונמנע ממסירת פרטים אודות מידת מעורבותו בעבירות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בתקופת צו פיקוח המעצר הנאשם שולב בקבוצת עצורי בית ושיתף פעולה כנדרש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בהמשך שלל בעייתיות בהתנהלותו וצורך בטיפול ולכן לא שולב בטיפול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שירות המבחן נמנע מהמלצה שיקומית והמליץ על ענישה שתחדד את חומרת העבירות ותציב לו גבול ברור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נתתי דעתי לכך שבחודשים האחרונים הנאשם מתנדב ותורם לחברה בדרך של פעילותו בעמותת קורת גג ותרומה למרכז גמילות חסדים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בנוסף נתתי דעתי לחלוף הזמן בן כשנתיים מאז ביצוע העבירה ולתקופה בת החודשיים שבה שהה הנאשם במעצר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עוד יש לתת את הדעת לשיקול </w:t>
      </w:r>
      <w:r>
        <w:rPr>
          <w:b/>
          <w:b/>
          <w:bCs/>
          <w:rtl w:val="true"/>
        </w:rPr>
        <w:t>הרתעת היחיד</w:t>
      </w:r>
      <w:r>
        <w:rPr>
          <w:rtl w:val="true"/>
        </w:rPr>
        <w:t xml:space="preserve"> בגדרו של המתחם</w:t>
      </w:r>
      <w:r>
        <w:rPr>
          <w:rtl w:val="true"/>
        </w:rPr>
        <w:t xml:space="preserve">, </w:t>
      </w:r>
      <w:r>
        <w:rPr>
          <w:rtl w:val="true"/>
        </w:rPr>
        <w:t>וזאת בשים לב לכך שהנאשם התקשה לקחת אחריות לביצוע העבירות ולהעריך את השלכות התנהגותו עוברת החוק</w:t>
      </w:r>
      <w:r>
        <w:rPr>
          <w:rtl w:val="true"/>
        </w:rPr>
        <w:t xml:space="preserve">, </w:t>
      </w:r>
      <w:r>
        <w:rPr>
          <w:rtl w:val="true"/>
        </w:rPr>
        <w:t>וכן לכך שהנאשם לא שולב בטיפול בנושא גורמי הסיכון במצבו שבכללם מעורבות חברתית שולית</w:t>
      </w:r>
      <w:r>
        <w:rPr>
          <w:rtl w:val="true"/>
        </w:rPr>
        <w:t xml:space="preserve">, </w:t>
      </w:r>
      <w:r>
        <w:rPr>
          <w:rtl w:val="true"/>
        </w:rPr>
        <w:t>הפנמת נורמות עברייניות וקושי להציב גבול פנימי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בחלקו התחתון של מתחם העונש</w:t>
      </w:r>
      <w:r>
        <w:rPr>
          <w:rStyle w:val="default"/>
          <w:rtl w:val="true"/>
        </w:rPr>
        <w:t xml:space="preserve">, </w:t>
      </w:r>
      <w:r>
        <w:rPr>
          <w:rtl w:val="true"/>
        </w:rPr>
        <w:t>לצד עונש מאסר מותנה</w:t>
      </w:r>
      <w:r>
        <w:rPr>
          <w:rtl w:val="true"/>
        </w:rPr>
        <w:t xml:space="preserve">, </w:t>
      </w:r>
      <w:r>
        <w:rPr>
          <w:rtl w:val="true"/>
        </w:rPr>
        <w:t>קנס וחילוט הרכוש שנתפס</w:t>
      </w:r>
      <w:r>
        <w:rPr>
          <w:rtl w:val="true"/>
        </w:rPr>
        <w:t xml:space="preserve">. </w:t>
      </w:r>
      <w:r>
        <w:rPr>
          <w:rtl w:val="true"/>
        </w:rPr>
        <w:t>בנוגע לסכום הקנס</w:t>
      </w:r>
      <w:r>
        <w:rPr>
          <w:rtl w:val="true"/>
        </w:rPr>
        <w:t xml:space="preserve">, </w:t>
      </w:r>
      <w:r>
        <w:rPr>
          <w:rtl w:val="true"/>
        </w:rPr>
        <w:t>נתתי דעתי למצבו הכלכלי של הנאשם</w:t>
      </w:r>
      <w:r>
        <w:rPr>
          <w:rtl w:val="true"/>
        </w:rPr>
        <w:t xml:space="preserve">, </w:t>
      </w:r>
      <w:r>
        <w:rPr>
          <w:rtl w:val="true"/>
        </w:rPr>
        <w:t>לרבות לתביעה האזרחית אשר תלויה ועומדת נגדו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בניכוי ימי מעצרו </w:t>
      </w:r>
      <w:r>
        <w:rPr>
          <w:rStyle w:val="default"/>
          <w:rFonts w:cs="David" w:ascii="David" w:hAnsi="David"/>
        </w:rPr>
        <w:t>27.3.19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ועד ליום </w:t>
      </w:r>
      <w:r>
        <w:rPr>
          <w:rStyle w:val="default"/>
          <w:rFonts w:cs="David" w:ascii="David" w:hAnsi="David"/>
        </w:rPr>
        <w:t>29.5.19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כל עבירת סמים מסוג פשע או עבירת נשק מסוג פשע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Fonts w:ascii="David" w:hAnsi="David" w:cs="David"/>
          <w:lang w:eastAsia="he-IL"/>
        </w:rPr>
      </w:pPr>
      <w:r>
        <w:rPr>
          <w:rStyle w:val="default"/>
          <w:rFonts w:ascii="David" w:hAnsi="David"/>
          <w:rtl w:val="true"/>
        </w:rPr>
        <w:t xml:space="preserve">קנס כספי בסך של </w:t>
      </w:r>
      <w:r>
        <w:rPr>
          <w:rStyle w:val="default"/>
          <w:rFonts w:cs="David" w:ascii="David" w:hAnsi="David"/>
        </w:rPr>
        <w:t>10,000</w:t>
      </w:r>
      <w:r>
        <w:rPr>
          <w:rStyle w:val="default"/>
          <w:rFonts w:cs="David" w:ascii="David" w:hAnsi="David"/>
          <w:rtl w:val="true"/>
        </w:rPr>
        <w:t xml:space="preserve"> ₪ </w:t>
      </w:r>
      <w:r>
        <w:rPr>
          <w:rStyle w:val="default"/>
          <w:rFonts w:ascii="David" w:hAnsi="David"/>
          <w:rtl w:val="true"/>
        </w:rPr>
        <w:t xml:space="preserve">או </w:t>
      </w:r>
      <w:r>
        <w:rPr>
          <w:rStyle w:val="default"/>
          <w:rFonts w:cs="David" w:ascii="David" w:hAnsi="David"/>
        </w:rPr>
        <w:t>100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ימי מאסר תמורתו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הקנס ישולם תוך </w:t>
      </w:r>
      <w:r>
        <w:rPr>
          <w:rFonts w:cs="David" w:ascii="David" w:hAnsi="David"/>
          <w:lang w:eastAsia="he-IL"/>
        </w:rPr>
        <w:t>30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ימים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ככל שקיימת הפקדה בהליך המ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ישולם הקנס מתוך ההפקדה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ככל שתיוותר יתרה בהפקדה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תושב למפקיד בכפוף לכל הוראה חוקית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 xml:space="preserve">אני מכריז על הנאשם סוחר סמים ומורה על חילוט הכסף שנתפס בסך של </w:t>
      </w:r>
      <w:r>
        <w:rPr>
          <w:rFonts w:cs="David" w:ascii="David" w:hAnsi="David"/>
          <w:lang w:eastAsia="he-IL"/>
        </w:rPr>
        <w:t>3,000</w:t>
      </w:r>
      <w:r>
        <w:rPr>
          <w:rFonts w:cs="David" w:ascii="David" w:hAnsi="David"/>
          <w:rtl w:val="true"/>
          <w:lang w:eastAsia="he-IL"/>
        </w:rPr>
        <w:t xml:space="preserve"> ₪, </w:t>
      </w:r>
      <w:r>
        <w:rPr>
          <w:rFonts w:ascii="David" w:hAnsi="David"/>
          <w:rtl w:val="true"/>
          <w:lang w:eastAsia="he-IL"/>
        </w:rPr>
        <w:t>וציוד המעבדה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1287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יושמדו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יושמדו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ציוד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יחולט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  <w:lang w:eastAsia="he-IL"/>
        </w:rPr>
      </w:pPr>
      <w:r>
        <w:rPr>
          <w:rtl w:val="true"/>
          <w:lang w:eastAsia="he-IL"/>
        </w:rPr>
        <w:t xml:space="preserve">הנאשם יתייצב לריצוי מאסרו בבית הסוהר הדרים ביום </w:t>
      </w:r>
      <w:r>
        <w:rPr>
          <w:lang w:eastAsia="he-IL"/>
        </w:rPr>
        <w:t>5.4.21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עד השעה </w:t>
      </w:r>
      <w:r>
        <w:rPr>
          <w:lang w:eastAsia="he-IL"/>
        </w:rPr>
        <w:t>10:00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כשברשותו תעודת זהות או דרכון וגזר 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הנאשם לתאם את הכניסה 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 האפשרות למיון 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ענף אבחון ומיון של 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טלפון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08-9787377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08-9787336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מזכירות בית המשפט תמציא העתק גזר דין לשירות המבחן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אדר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14488-04-19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אבירן וקנין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  <w:lang w:val="en-US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lang w:val="en-US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7.c1" TargetMode="External"/><Relationship Id="rId7" Type="http://schemas.openxmlformats.org/officeDocument/2006/relationships/hyperlink" Target="http://www.nevo.co.il/law/4216/9.a" TargetMode="External"/><Relationship Id="rId8" Type="http://schemas.openxmlformats.org/officeDocument/2006/relationships/hyperlink" Target="http://www.nevo.co.il/law/4216/9.d" TargetMode="External"/><Relationship Id="rId9" Type="http://schemas.openxmlformats.org/officeDocument/2006/relationships/hyperlink" Target="http://www.nevo.co.il/law/4216/10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c1.1" TargetMode="External"/><Relationship Id="rId13" Type="http://schemas.openxmlformats.org/officeDocument/2006/relationships/hyperlink" Target="http://www.nevo.co.il/law/70301/400" TargetMode="External"/><Relationship Id="rId14" Type="http://schemas.openxmlformats.org/officeDocument/2006/relationships/hyperlink" Target="http://www.nevo.co.il/law/70301/40jc" TargetMode="External"/><Relationship Id="rId15" Type="http://schemas.openxmlformats.org/officeDocument/2006/relationships/hyperlink" Target="http://www.nevo.co.il/law/4216/6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/10" TargetMode="External"/><Relationship Id="rId20" Type="http://schemas.openxmlformats.org/officeDocument/2006/relationships/hyperlink" Target="http://www.nevo.co.il/law/4216/9.a" TargetMode="External"/><Relationship Id="rId21" Type="http://schemas.openxmlformats.org/officeDocument/2006/relationships/hyperlink" Target="http://www.nevo.co.il/law/4216/9.d" TargetMode="External"/><Relationship Id="rId22" Type="http://schemas.openxmlformats.org/officeDocument/2006/relationships/hyperlink" Target="http://www.nevo.co.il/law/70301/400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4216/7.c1" TargetMode="External"/><Relationship Id="rId26" Type="http://schemas.openxmlformats.org/officeDocument/2006/relationships/hyperlink" Target="http://www.nevo.co.il/case/27229615" TargetMode="External"/><Relationship Id="rId27" Type="http://schemas.openxmlformats.org/officeDocument/2006/relationships/hyperlink" Target="http://www.nevo.co.il/case/23827604" TargetMode="External"/><Relationship Id="rId28" Type="http://schemas.openxmlformats.org/officeDocument/2006/relationships/hyperlink" Target="http://www.nevo.co.il/case/22841413" TargetMode="External"/><Relationship Id="rId29" Type="http://schemas.openxmlformats.org/officeDocument/2006/relationships/hyperlink" Target="http://www.nevo.co.il/case/25940943" TargetMode="External"/><Relationship Id="rId30" Type="http://schemas.openxmlformats.org/officeDocument/2006/relationships/hyperlink" Target="http://www.nevo.co.il/case/25824863" TargetMode="External"/><Relationship Id="rId31" Type="http://schemas.openxmlformats.org/officeDocument/2006/relationships/hyperlink" Target="http://www.nevo.co.il/case/26492590" TargetMode="External"/><Relationship Id="rId32" Type="http://schemas.openxmlformats.org/officeDocument/2006/relationships/hyperlink" Target="http://www.nevo.co.il/case/26888657" TargetMode="External"/><Relationship Id="rId33" Type="http://schemas.openxmlformats.org/officeDocument/2006/relationships/hyperlink" Target="http://www.nevo.co.il/case/13070717" TargetMode="External"/><Relationship Id="rId34" Type="http://schemas.openxmlformats.org/officeDocument/2006/relationships/hyperlink" Target="http://www.nevo.co.il/case/24929127" TargetMode="External"/><Relationship Id="rId35" Type="http://schemas.openxmlformats.org/officeDocument/2006/relationships/hyperlink" Target="http://www.nevo.co.il/case/23226235" TargetMode="External"/><Relationship Id="rId36" Type="http://schemas.openxmlformats.org/officeDocument/2006/relationships/hyperlink" Target="http://www.nevo.co.il/case/24492983" TargetMode="External"/><Relationship Id="rId37" Type="http://schemas.openxmlformats.org/officeDocument/2006/relationships/hyperlink" Target="http://www.nevo.co.il/case/20126486" TargetMode="External"/><Relationship Id="rId38" Type="http://schemas.openxmlformats.org/officeDocument/2006/relationships/hyperlink" Target="http://www.nevo.co.il/case/11237056" TargetMode="External"/><Relationship Id="rId39" Type="http://schemas.openxmlformats.org/officeDocument/2006/relationships/hyperlink" Target="http://www.nevo.co.il/case/26559623" TargetMode="External"/><Relationship Id="rId40" Type="http://schemas.openxmlformats.org/officeDocument/2006/relationships/hyperlink" Target="http://www.nevo.co.il/case/25695748" TargetMode="External"/><Relationship Id="rId41" Type="http://schemas.openxmlformats.org/officeDocument/2006/relationships/hyperlink" Target="http://www.nevo.co.il/case/26535850" TargetMode="External"/><Relationship Id="rId42" Type="http://schemas.openxmlformats.org/officeDocument/2006/relationships/hyperlink" Target="http://www.nevo.co.il/case/25578635" TargetMode="External"/><Relationship Id="rId43" Type="http://schemas.openxmlformats.org/officeDocument/2006/relationships/hyperlink" Target="http://www.nevo.co.il/case/20531134" TargetMode="External"/><Relationship Id="rId44" Type="http://schemas.openxmlformats.org/officeDocument/2006/relationships/hyperlink" Target="http://www.nevo.co.il/case/25637368" TargetMode="External"/><Relationship Id="rId45" Type="http://schemas.openxmlformats.org/officeDocument/2006/relationships/hyperlink" Target="http://www.nevo.co.il/case/21475135" TargetMode="External"/><Relationship Id="rId46" Type="http://schemas.openxmlformats.org/officeDocument/2006/relationships/hyperlink" Target="http://www.nevo.co.il/case/26294158" TargetMode="External"/><Relationship Id="rId47" Type="http://schemas.openxmlformats.org/officeDocument/2006/relationships/hyperlink" Target="http://www.nevo.co.il/law/70301/144.c1.1" TargetMode="External"/><Relationship Id="rId48" Type="http://schemas.openxmlformats.org/officeDocument/2006/relationships/hyperlink" Target="http://www.nevo.co.il/case/20446658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0jc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2021-10-03T12:17:00Z</dcterms:created>
  <dc:creator> </dc:creator>
  <dc:description/>
  <cp:keywords/>
  <dc:language>en-IL</dc:language>
  <cp:lastModifiedBy>h1</cp:lastModifiedBy>
  <dcterms:modified xsi:type="dcterms:W3CDTF">2021-10-03T12:17:00Z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אבירן וקנין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27229615;23827604;22841413;25940943;25824863;26492590;26888657;13070717;24929127;23226235;24492983;20126486;11237056;26559623;25695748;26535850;25578635;20531134;25637368;21475135;26294158;20446658</vt:lpwstr>
  </property>
  <property fmtid="{D5CDD505-2E9C-101B-9397-08002B2CF9AE}" pid="9" name="CITY">
    <vt:lpwstr>מרכז</vt:lpwstr>
  </property>
  <property fmtid="{D5CDD505-2E9C-101B-9397-08002B2CF9AE}" pid="10" name="DATE">
    <vt:lpwstr>20210223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4216/006;007.a;007.c;010;009.a;009.d;007.c1</vt:lpwstr>
  </property>
  <property fmtid="{D5CDD505-2E9C-101B-9397-08002B2CF9AE}" pid="15" name="LAWLISTTMP2">
    <vt:lpwstr>70301/400;144.a;144.c1.1;40jc</vt:lpwstr>
  </property>
  <property fmtid="{D5CDD505-2E9C-101B-9397-08002B2CF9AE}" pid="16" name="LAWYER">
    <vt:lpwstr>איריס פיקר;אלעד אסרף;ישראל קליין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14488</vt:lpwstr>
  </property>
  <property fmtid="{D5CDD505-2E9C-101B-9397-08002B2CF9AE}" pid="23" name="NEWPARTB">
    <vt:lpwstr>04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390020210223</vt:lpwstr>
  </property>
  <property fmtid="{D5CDD505-2E9C-101B-9397-08002B2CF9AE}" pid="35" name="TYPE_N_DATE">
    <vt:lpwstr>39020210223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