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33338-02-20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מזרחי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28"/>
        <w:gridCol w:w="6092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_GoBack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 סארי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</w:tc>
      </w:tr>
      <w:tr>
        <w:trPr>
          <w:trHeight w:val="355" w:hRule="atLeast"/>
        </w:trPr>
        <w:tc>
          <w:tcPr>
            <w:tcW w:w="272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09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72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09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יהודה מזרחי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כרמל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36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u w:val="none"/>
          </w:rPr>
          <w:t>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u w:val="none"/>
          </w:rPr>
          <w:t>32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39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FF"/>
          <w:sz w:val="26"/>
          <w:szCs w:val="26"/>
        </w:rPr>
      </w:pPr>
      <w:r>
        <w:rPr>
          <w:rFonts w:cs="David" w:ascii="David" w:hAnsi="David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מבחן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חשמל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פסיקת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להתמודד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ומרתיעה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כסף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הסתפקו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14-36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הצריכות לעניין הן בתמצית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20.03.1991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ביום </w:t>
      </w:r>
      <w:r>
        <w:rPr>
          <w:rFonts w:cs="David" w:ascii="David" w:hAnsi="David"/>
          <w:sz w:val="24"/>
          <w:szCs w:val="24"/>
        </w:rPr>
        <w:t>17.08.2020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סמך הודאתו בעובדות שני האישומים שבכתב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אליו הגיעו הצדדים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החזקת סם מסוכן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– 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פקודת הסמים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ייצור הכנה והפקה של סם מסוכן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לפקודת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לפקודת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בעבירה של נטילת 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בעניינו של הנאשם כולל שני 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בבעלותו של הנאשם רכב מסוג טויוטה 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2242570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31.01.2020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01:00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נהג הנאשם ברכב על כביש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מכיוון צפון לכיוון דרום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 הוא מחזיק ברכב סם מסוכן מסוג קנבוס במשקל כולל של </w:t>
      </w:r>
      <w:r>
        <w:rPr>
          <w:rFonts w:cs="David" w:ascii="David" w:hAnsi="David"/>
          <w:sz w:val="24"/>
          <w:szCs w:val="24"/>
        </w:rPr>
        <w:t>4.2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09.09.2019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שכר הנאשם דירת קוטג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ברחוב לואי פסטר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הדירה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למשך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לצורך גידול סם מסוכן מסוג קנבוס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לאחר שכירת הדירה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אינו ידוע למשיבה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צייד הנאשם את המחסן בציוד רב לגידול סם מסוכן מסוג קנבוס ובכלל זה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מזגנים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מאווררים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מנורות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אדניות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מסנני פחם וציוד נוסף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הכלים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גידול סם מסוכן מסוג קנבוס ללא היתר וללא רישיון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ועד ליום </w:t>
      </w:r>
      <w:r>
        <w:rPr>
          <w:rFonts w:cs="David" w:ascii="David" w:hAnsi="David"/>
          <w:sz w:val="24"/>
          <w:szCs w:val="24"/>
        </w:rPr>
        <w:t>05.02.2020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כולל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גידל הנאשם בדירה סם מסוכן מסוג קנבוס והחזיק בו ובכלים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05.02.2020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במחסן </w:t>
      </w:r>
      <w:r>
        <w:rPr>
          <w:rFonts w:cs="David" w:ascii="David" w:hAnsi="David"/>
          <w:sz w:val="24"/>
          <w:szCs w:val="24"/>
        </w:rPr>
        <w:t>435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שתילים של סם מסוכן מסוג קנבוס במשקל כולל נטו של </w:t>
      </w:r>
      <w:r>
        <w:rPr>
          <w:rFonts w:cs="David" w:ascii="David" w:hAnsi="David"/>
          <w:sz w:val="24"/>
          <w:szCs w:val="24"/>
        </w:rPr>
        <w:t>66.55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 מאת המנהל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במועד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אינו ידוע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חיבר הנאשם את הדירה למתקני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בחיבור ישיר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דרך מונה 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שעקף את החיבור התקני של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גרם להטיית חשמל במרמה אל הדירה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וצרך חשמל מבלי שיהיה זכאי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הנזק שנגרם ממעשיו לארון החשמל ורכיביו וצריכת החשמל מוערך בסך של </w:t>
      </w:r>
      <w:r>
        <w:rPr>
          <w:rFonts w:cs="David" w:ascii="David" w:hAnsi="David"/>
          <w:sz w:val="24"/>
          <w:szCs w:val="24"/>
        </w:rPr>
        <w:t>25,111.62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הצדדים ביום </w:t>
      </w:r>
      <w:r>
        <w:rPr>
          <w:rFonts w:cs="David" w:ascii="David" w:hAnsi="David"/>
          <w:sz w:val="24"/>
          <w:szCs w:val="24"/>
        </w:rPr>
        <w:t>17.08.2020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יודה הנאשם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ויקבע מתחם ענישה אחד לכלל האישומים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 הסכימו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ייערך תסקיר של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בעניינו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15.11.2020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התקבל תסקיר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ממנה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שוהה בבית אימו במעצר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בית באיזוק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אלקטרוני החל מיום </w:t>
      </w:r>
      <w:r>
        <w:rPr>
          <w:rFonts w:cs="David" w:ascii="David" w:hAnsi="David"/>
          <w:sz w:val="24"/>
          <w:szCs w:val="24"/>
        </w:rPr>
        <w:t>12.03.2020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טרם מעצרו הוא ניהל חנות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דראגסטור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בחיפה במשך שלוש שנים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משפחת מוצאו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צוין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כוללת את אימו האלמנה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ושלושה אחים בגילאי </w:t>
      </w:r>
      <w:r>
        <w:rPr>
          <w:rFonts w:cs="David" w:ascii="David" w:hAnsi="David"/>
          <w:sz w:val="24"/>
          <w:szCs w:val="24"/>
        </w:rPr>
        <w:t>25-28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הנאשם הוא הבכור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נכתב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נפטר מהתקף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 בהיותו של הנאשם נער כבן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לדבריו של הנאשם מות אביו היווה עבורו אירוע טראומטי והשפיע על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היחסים בינו הנאשם לבין משפחתו תוארו כחיוביים וקרובים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לדברי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מעצרו בגין העבירות האמורות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יצר כעס רב מצד בני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ויצר קרע בינו לבין אחיו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עולה מן התסקיר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סיים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לימוד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תעודת בגרות מלאה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נוכח לקויות למידה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הובילו אותו להישגים לימודיים נמוכים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מצבו המשפחתי המורכב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גרם לפגיעה במוטיבציה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מבחינה חברתית סבל הנאשם מהסתגרות ובדידות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צוין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שירת שירות צבאי מלא במשמר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הגבול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וזכה להערכת מפקדיו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להערכת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שואף להתקדם ומבטא מוטיבציה לעשות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נוכח קשייו האובייקטיביים לצד תפיסת תפקיד נוקשה אותה אימץ במהלך שנות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מתקשה בסוגיית יציבות תעסוקתית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ובנוסף עולה מן התסקיר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לחובתו של הנאשם הרשעות פליליות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במהלך תקופת הפיקוח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נרשמה לחובתו הפרה חד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פעמית של התנאים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איחור בחזרה לביתו לאחר יציאה לחלון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צוין בתסקיר נשא באחריות להפרה זו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לאישומים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מבטא צמצום של חומרת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מתקשה לנתח במלואן את הסיבות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הובילו אותו לביצוע העבירות האמורות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ומבטא קושי לשאת באחריות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 הנאשם הוא משתמש בסמים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חשיש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מאז היותו כבן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באופן יומיומי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ואליבא דשירות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השימוש בסמים גבר במהלך השנים כדרך להפגת מתחים ולהתמודדות עם מצוקות רגשיות שחווה הנאשם במהלך שנים אלו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מכלול נתונים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פורטו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חומרת העבירות המיוחסות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דפוסים התמכרותיים לסמים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קשיים רגשיים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נטייה להפחתה בהפעלת שיקול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הדעת מתוך נגררות חברתית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ונשיאה חלקית באחריות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הנקי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ההתרשמות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אינו מחזיק בתפיסות אנטי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סוציאליות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ואינו קשור לחברה פורצת 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שאיפה ורצון ליציבות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והבעת נכונות להשתלב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נדרשת התערבות טיפולית בתחום ההתמכרויות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לסייע בהפחתת הסיכון מן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המליץ על דחיית הדיון בעניינו של הנאשם לתקופה של שלושה חודשים לצורך שילובו של הנאשם בהליך אבחון ביחידה להתמכרויות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וגיבוש המלצה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בעקבות המלצות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ביום </w:t>
      </w:r>
      <w:r>
        <w:rPr>
          <w:rFonts w:cs="David" w:ascii="David" w:hAnsi="David"/>
          <w:sz w:val="24"/>
          <w:szCs w:val="24"/>
        </w:rPr>
        <w:t>23.11.2020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לדחות את המשך הדיונים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סירב לבקשה האמורה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25.11.2020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נערתי לבקשת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וקבעתי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בשלב זה טרם הונחה לפני תמונה מלאה לגבי האפשרויות השיקומיות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 הוריתי לשירות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החלטה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לפעול כפי המלצתו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להגיש לעיוני מידי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 דו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עדכון אודות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24.12.2020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הגיש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עדכון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במהלך תקופת הדחייה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השתלב הנאשם בהליך אבחון ביחידה להתמכרויות בחיפה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משתף פעולה כנדרש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עלה מן העדכון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הבהיר לנאשם את האחריות הנדרשת ממנו בשמירה על שעות חלונות ההתאווררות גם בעת מפגשים ביחידה הואיל ונרשם איחור בחזרתו למקום הפיקוח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מפגש ביחידה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25.02.2021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בעניינו של הנאשם תסקיר משלים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שולב בתהליך אבחון במסגרת היחידה להתמכרויות בחיפה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מגיע באופן סדיר ומשתף פעולה כנדרש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קצינת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התרשמה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הצליח ליצור קשר חיובי עם גורמי הטיפול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הטיפול יעיל עבור הנאשם ומסייע לו לערוך שינויים בדפוסי חשיבתו והתנהלותו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אליבא דקצינת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סיום הטיפול כנדרש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יתרום להפחתה מרמת הסיכון במצבו של הנאשם להישנות ביצוע עבירות דומות בעתיד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על העמדתו של הנאשם בצו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מבחן למשך 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להטיל על הנאשם עבודות שירות 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המליץ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הקשר שנרקם בין הנאשם לבין הסטודנטית המטפלת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המטפלת עתידה לסיים את הכשרתה בסוף חודש יולי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תחילת ריצוי עבודות השירות יחל לאחר מועד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02.03.2021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נשמעו בפניי טיעוני הצדדים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נשמעו דבריהם של הנאשם ושל אימו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עליזה מזרחי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מעדותה של האם 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היא שילמה עבור כל הנזקים שנגרמו לדירה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היא עשתה כן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לשקם את בנה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 האם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הטיפול שמקבל הנאשם ביחידה להתמכרויות מסייע לו באופן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וביקשה להקל במקצת על תנאי הפיקוח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לאפשר לה ולבני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משפחתה לחזור לעבודה מלאה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הגיש אסמכתאות בדבר הנזקים שנגרמו לדירה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הנזק שנגרם לחברת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אימו של הנאשם שילמה את כל החובות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הדירה הוחזרה ללא כל 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 הוגשה במסגרת טיעוני המאשימה לעונש אסופת פסיקה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האישומים המפורטים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בהם הודה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לקביעת מתחם ענישה שינוע בין </w:t>
      </w:r>
      <w:r>
        <w:rPr>
          <w:rFonts w:cs="David" w:ascii="David" w:hAnsi="David"/>
          <w:sz w:val="24"/>
          <w:szCs w:val="24"/>
        </w:rPr>
        <w:t>2-4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להכרזת הנאשם כסוחר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והטלת עונשי מאסר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כספי ופסילת רישיון הנהיגה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שנפגעו מביצוע העבירות האמורות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בריאות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מניעת רווח כלכלי פסול מהחזקת סם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לחירות מן הסיכון שבהחזקת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והחומר הפעיל בסם יכול לגרום להתמכרות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לשלול את חירותו של מאן –דהוא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לכמות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כוללת יותר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בגידול שיטתי במשך חמישה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בעבירה מתוכננת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לכמות הציוד בה השתמש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ההחזקה בוצעה 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ברכב והן בדירה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את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שהמעבדה הוקמה בלב אזור עירוני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רחוב לואי פסטר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הצריכה הפירטית של החשמל גרמה לנזק ממוני בסך יותר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אף הפנה לפסיקה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46662-04-15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סגל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03.02.2016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דובר בעבירות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הוגש כל 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33001-11-14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אוחנה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19.03.2015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נאשם מספר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שנע בין </w:t>
      </w:r>
      <w:r>
        <w:rPr>
          <w:rFonts w:cs="David" w:ascii="David" w:hAnsi="David"/>
        </w:rPr>
        <w:t>30-40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בעניין זה לא הוגש 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8988/16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סימון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08.03.2017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בן סימון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אישר בית המשפט העליון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 בין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ענישה שנע בין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משקפים את מדיניות הענישה שהתווה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לקביעת עונש קרוב לרף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הודה במיוחס לו כבר בחקירה במשטרת ישראל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לצד זאת סברה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ליתן את הדעת לכך שהנאשם  מסרב לספק פרטים נוספים הקשורים לעבירות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מניעיו של הנאשם נסתרים עד העת הזו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המוטיבציה הטיפולית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שזו באה לידי ביטוי בתסקיר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מצדיקה סטייה לקולא מן המתחם המבוקש הואיל ומדובר בהתגייסות מאוחרת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אימת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מרחפת מעל ראשו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העתירה לפסילת הרישיון נובעת מן השימוש ברכב תוך כדי נשיאה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אף עתרה לחילוט כל הכלים שנתפסו בדירה והוזכרו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מעיון בפסיקה עכשווית עולה תמונה שונה לחלוטין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 לעיוני אסופת פסיקה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65264-01-20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מנחם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05.01.2021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מנחם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דובר בנאשמת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גידלה בביתהּ הפרטי באופן שיטתי כמויות גדולות של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בעניינה לא ניתנה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 מתחם 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נע בין מאסר בפועל לריצוי בדרך של עבודות שירות לבין מאסר בפועל לתקופה של שלוש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 הנאשמת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פסל את רישיון הנהיגה של הנאשמת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לא הטיל קנס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לכך שחברת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פוצתה בגין הנזק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הוגש ערעור לבית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20596-11-17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בטה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16.04.2019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דובר בעבירות שביצע 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סיוע לגידול של </w:t>
      </w:r>
      <w:r>
        <w:rPr>
          <w:rFonts w:cs="David" w:ascii="David" w:hAnsi="David"/>
          <w:sz w:val="24"/>
          <w:szCs w:val="24"/>
        </w:rPr>
        <w:t>228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 והחזקה של הסמים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הגם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שבית המשפט קבע מתחם 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נע בין </w:t>
      </w:r>
      <w:r>
        <w:rPr>
          <w:rFonts w:cs="David" w:ascii="David" w:hAnsi="David"/>
          <w:sz w:val="24"/>
          <w:szCs w:val="24"/>
        </w:rPr>
        <w:t>16-30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חרג ממתחם זה בשל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והטיל על הנאשם מאסר בפועל לריצוי בדרך של עבודות שירות וכן צו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עוד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ל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17503-09-18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פרנקל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05.06.2020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גם שם הוטלו על הנאשם מאסר בפועל לריצוי בדרך של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 וצו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פיקוח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עוד ובנוסף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ל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26985-08-19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ארטיום שטנפר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דובר בגידול של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קיבל את הערעור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והטיל על הנאשם 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</w:rPr>
        <w:t>240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שנקבעו בבית משפט קמא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סבר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בעניינו של הנאשם שבפנינו יש לקבוע מתחם ענישה זהה לזה שנקבע בעניין מנחם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לקבוע מתחם ענישה שנע בין </w:t>
      </w:r>
      <w:r>
        <w:rPr>
          <w:rFonts w:cs="David" w:ascii="David" w:hAnsi="David"/>
          <w:sz w:val="24"/>
          <w:szCs w:val="24"/>
        </w:rPr>
        <w:t>12-30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ולחרוג מן המתחם האמור נוכח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ולהטיל על הנאשם מאסר בפועל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הסניגור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היה עצור בין התאריכים </w:t>
      </w:r>
      <w:r>
        <w:rPr>
          <w:rFonts w:cs="David" w:ascii="David" w:hAnsi="David"/>
          <w:sz w:val="24"/>
          <w:szCs w:val="24"/>
        </w:rPr>
        <w:t>31.01.2020-02.02.2020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שלאחריהם שוחרר למעצר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בית בן שלושה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תנאי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פיקוח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ולמרות זאת שמר על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עשה דבר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מנת למנוע מן המשטרה להגיע לדירה ולמצוא את הראיות כפי שהושארו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עתר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לתסקיר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להתיר לנאשם להמשיך בטיפול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אף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היה במעצר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בית באיזוק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אלקטרוני למשך תקופה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אדם חסר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אין לו נכסים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בבית אימו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ורק בעקבות השימוש שלו בסמים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 לעולם הפשע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הפנה הסניגור ל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8640/20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קרינאת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23.12.2020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אבו קרינאת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פסילת רישיון הנהיגה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 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להסתפק בפסילה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 אישור פסילה מנהלי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פסילת הרישיון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אליבא דב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תמנע מן הנאשם להתפרנס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וכפועל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יוצא להשתקם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הסניגור הצהיר בשמו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מסכים הן לעונש של מאסר בפועל שירוצה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לצו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שהומלץ בתסקיר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אף הנאשם אמר את 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לפיהם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לוקח אחריות מלאה על כל המעשים שעשיתי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היום אני בתהליך משקם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עדיין בתהליך שהוא לא ביום או יומיים תהליך שעוזר לי להסתכל בראיה שונה מבעבר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 מעידה חמורה חד פעמית שאני שעשיתי ואני מאוד מצטער עליה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בטרם מתן גזר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קבעתי כי יש לקבל את חוות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דעתו של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 לגבי אפשרות שיבוצו של הנאשם בעבודות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שהדגשתי כך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רואה לנכון להבהיר ולהדגיש בפני הסנגור ובפני הנאשם שאין בהפניית הנאשם לממונה על עבודות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שירות כדי לפתח ציפייה או הסתמכות כלשהי באשר לתוצאות גזר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הדין שיינתן בתיק זה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19.04.2021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התקבלה חוות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דעת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מתאים לעבודות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 במגבלות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הנאשם הביע הסכמתו לריצוי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 המליץ להציב את הנאשם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יד עזר לחבר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23.06.2021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18.05.2021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ביטול הדיון שאמור היה להתקיים בו יתייחסו הצדדים לחוות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דעת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התרתי לצדדים להגיש את התייחסותם בכתב לחוות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הדעת האמורה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כוחם של הצדדים נמנעו מלעשות כן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פסיקת בית המשפט העליון קבעה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לראות בחומרה את מגוון סוגי עבירות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החזקת סם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ייצורו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הכנתו והפקתו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נוכח הסכנות הטמונות בביצוע עבירות אלו באופן ישיר ובאופן עקיף גם יחד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נ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הנדל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972/11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04.07.2012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יונה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start="21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נגע הסמים יש לעקור מן השורש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ייצור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הפצה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סחר וכמובן גם שימוש בסמים – כל אלו מסבים נזק עצום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הנזק נגרם לא רק למעגל הסגור של המעורבים הישירים בביצוע העבירות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גם לחברה בכללותה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72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במעשיו פגע הנאשם בערכים של בטחון הציבור ושלומו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הואיל וכאמור כבר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צורך להכביר מילים על הסכנות הטמונות בעבירות האמורות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הנזקים שעלולים להיגרם לחברה ולפרט כתוצאה ממעשים אלו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נהג הנאשם ברכב על כביש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מכיוון צפון לכיוון דרום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 הוא מחזיק ברכב סם קנבוס במשקל כולל של </w:t>
      </w:r>
      <w:r>
        <w:rPr>
          <w:rFonts w:cs="David" w:ascii="David" w:hAnsi="David"/>
          <w:sz w:val="24"/>
          <w:szCs w:val="24"/>
        </w:rPr>
        <w:t>4.2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09.09.2019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שכר הנאשם דירה למשך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לצורך גידול סם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צייד הנאשם את המחסן בציוד רב לגידול הסם מזגנים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מאווררים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מנורות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אדניות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מסנני פחם וכן ציוד נוסף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ועד ליום </w:t>
      </w:r>
      <w:r>
        <w:rPr>
          <w:rFonts w:cs="David" w:ascii="David" w:hAnsi="David"/>
          <w:sz w:val="24"/>
          <w:szCs w:val="24"/>
        </w:rPr>
        <w:t>05.02.2020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כולל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גידל הנאשם בדירה סם מסוג קנבוס והחזיק בו ובכלים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שביום </w:t>
      </w:r>
      <w:r>
        <w:rPr>
          <w:rFonts w:cs="David" w:ascii="David" w:hAnsi="David"/>
          <w:sz w:val="24"/>
          <w:szCs w:val="24"/>
        </w:rPr>
        <w:t>05.02.2020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במחסן </w:t>
      </w:r>
      <w:r>
        <w:rPr>
          <w:rFonts w:cs="David" w:ascii="David" w:hAnsi="David"/>
          <w:sz w:val="24"/>
          <w:szCs w:val="24"/>
        </w:rPr>
        <w:t>435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שתילים של סם מסוג קנבוס במשקל כולל נטו של </w:t>
      </w:r>
      <w:r>
        <w:rPr>
          <w:rFonts w:cs="David" w:ascii="David" w:hAnsi="David"/>
          <w:sz w:val="24"/>
          <w:szCs w:val="24"/>
        </w:rPr>
        <w:t>66.55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 מאת המנהל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אף חיבר את הדירה למתקני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בחיבור ישיר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דרך מונה 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שעקף את החיבור התקני של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גרם להטיית חשמל במרמה אל הדירה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וצרך חשמל מבלי שיהיה זכאי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הנזק שנגרם ממעשיו לארון החשמל ורכיביו וצריכת החשמל מוערך בסך של </w:t>
      </w:r>
      <w:r>
        <w:rPr>
          <w:rFonts w:cs="David" w:ascii="David" w:hAnsi="David"/>
          <w:sz w:val="24"/>
          <w:szCs w:val="24"/>
        </w:rPr>
        <w:t>25,111.62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72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והגישו לעיוני 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של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של בתי המשפט המחוזיים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2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מן החומר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קיים מנעד רחב ביותר של פסיקה באשר לענישה בעבירות האמורות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מחד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פסיקה שבה הסתפקו בתי המשפט בהטלת עונש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שבה עמדו בתי המשפט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כך שלא ניתן להימנע בעבירה מסוג זה מלהטיל על הנאשם עונש של מאסר בפועל לריצוי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2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קראתי את הפסיקה אליה הפנו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מן הפסיקה אליה הפנתה המאשימה עולות נסיבות חמורות מן הנסיבות אשר מתוארות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נאשמים בעלי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מן  הפסיקה אליה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גם בהן הנסיבות שונות בתכלית מאלו שבעניינו של הנאשם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חלקן נדונו בערכאות הערעור השונות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ערכאת הערעור אינה נוטה למצות את חומרת הדין עם הנאשמים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בפסיקה ארוכת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התוו שופטי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הראויה בעבירות 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אפנה לעניין בן סימון פסקה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2160" w:end="0"/>
        <w:jc w:val="both"/>
        <w:rPr/>
      </w:pPr>
      <w:r>
        <w:rPr>
          <w:rFonts w:cs="David" w:ascii="David" w:hAnsi="David"/>
          <w:spacing w:val="0"/>
          <w:szCs w:val="24"/>
          <w:rtl w:val="true"/>
        </w:rPr>
        <w:t>"</w:t>
      </w:r>
      <w:r>
        <w:rPr>
          <w:rFonts w:cs="David" w:ascii="David" w:hAnsi="David"/>
          <w:b/>
          <w:bCs/>
          <w:szCs w:val="24"/>
          <w:rtl w:val="true"/>
        </w:rPr>
        <w:t xml:space="preserve">....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ההלכה בעניין עבירות סמים קובעת כי נוכח חומרתן הרבה של אותן העבירות יש להתמודד מולן באמצעות ענישה משמעותית ומרתיעה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1654/16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שרר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9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27.2017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33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1932/15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בן סעדון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27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17.4.2016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2681/15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בן שטרית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70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14.2.2016</w:t>
      </w:r>
      <w:r>
        <w:rPr>
          <w:rFonts w:cs="David" w:ascii="David" w:hAnsi="David"/>
          <w:b/>
          <w:bCs/>
          <w:szCs w:val="24"/>
          <w:rtl w:val="true"/>
        </w:rPr>
        <w:t xml:space="preserve">)),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כי יש לבכר את שיקולי ההרתעה על השיקולים האישיים בעבירות מסוג זה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35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1274/16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עווד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10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6.10.2016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36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4592/15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פדידה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לז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8.2.2016</w:t>
      </w:r>
      <w:r>
        <w:rPr>
          <w:rFonts w:cs="David" w:ascii="David" w:hAnsi="David"/>
          <w:b/>
          <w:bCs/>
          <w:szCs w:val="24"/>
          <w:rtl w:val="true"/>
        </w:rPr>
        <w:t xml:space="preserve">)),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וכי יש חשיבות בענישה כלכלית בעבירות סמים שעיקרן הוא בצע כסף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37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3669/14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גולן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22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18.12.2016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38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7952/15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שץ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49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15.2.2016</w:t>
      </w:r>
      <w:r>
        <w:rPr>
          <w:rFonts w:cs="David" w:ascii="David" w:hAnsi="David"/>
          <w:b/>
          <w:bCs/>
          <w:szCs w:val="24"/>
          <w:rtl w:val="true"/>
        </w:rPr>
        <w:t>))...."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Cs w:val="24"/>
        </w:rPr>
      </w:pPr>
      <w:r>
        <w:rPr>
          <w:rFonts w:cs="David" w:ascii="David" w:hAnsi="David"/>
          <w:b/>
          <w:bCs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אזכיר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העיקרון הנוהג בפסיקה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שהענישה היא אינדיבידואלית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 לפי נסיבות ביצוע העבירה ונסיבותיו של מבצע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יפים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דבריו של המשנה לנשיאה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אלון ז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3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433/89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אטיאס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 מג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170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0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2160" w:end="0"/>
        <w:contextualSpacing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אחד השיקולים החשובים בשיקולי הענישה הוא מהותה של העבירה וחומרתה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שיקול זה קשור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בדרך כלל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בקשר הדוק עם שיקול ההרתעה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למען ישמעו וייראו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לשני שיקולים אלה מיתוסף שיקול נוסף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והוא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קיום מדיניות אחידה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ככל האפשר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שתשמש כקו מנחה וכמורה דרך בעולמה של 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ושיקול אחרון זה יפה הוא במיוחד לפסיקתו של בית המשפט העליון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שהמחוקק הפקידו על קביעת מדיניות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בנוסף לכל השיקולים האמורים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קיים ועומד השיקול החשוב והמהותי של תיקונו של הנאשם ושיקומו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ובהתקיים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במקרה מסוים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נסיבות מיוחדות ונכונות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ייתכן ששיקול אחרון זה יגבר על השיקולים האמורים האחרים ויקבע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באותו מקרה מסוים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מידת העונש וצורתו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ענישתנו היא ענישה אינדיווידואלית של כל עבריין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באשר הוא שם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'" (</w:t>
      </w:r>
      <w:hyperlink r:id="rId4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291/81</w:t>
        </w:r>
      </w:hyperlink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[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],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בעמ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4"/>
          <w:szCs w:val="24"/>
          <w:u w:val="single"/>
        </w:rPr>
        <w:t>442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זאת תורת הגישה האינדיווידואלית בתורת הענישה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המקובלת עלינו כקו מנחה בסוגיה קשה וסבוכה זו של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הענישה ומטרותיה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ואין אנו רשאים ל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הקל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על עצמנו ולהחמיר עם הנאשם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אינה במקור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ind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ind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אפנה בסוגיה זו לעניין יונה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start="21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למאבק בנגע הסמים יש שותפים רבים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חלקם מתמקדים בחינוך מניעתי ובהסברה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אחרים מסייעים בהליכי הגמילה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לצידם פועלים גם אנשי אכיפת החוק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שתפקידם לסכל את עבירות הסמים וללכוד את העבריינים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אף בית המשפט נוטל חלק חשוב במאבק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באמצעות הטלת עונש מרתיע על מי שהורשע בעבירות סמים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בכל זאת תוך מתן משקל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בין היתר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לכמות הסם ואיכותו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טיב עבירת הסמים שבוצעה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תרומתו של הנאשם להתגשמות העבירה ועברו הפלילי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hyperlink r:id="rId4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8031/10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אורוסקו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b/>
          <w:bCs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2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1.3.2012</w:t>
      </w:r>
      <w:r>
        <w:rPr>
          <w:rFonts w:cs="David" w:ascii="David" w:hAnsi="David"/>
          <w:b/>
          <w:bCs/>
          <w:sz w:val="24"/>
          <w:szCs w:val="24"/>
          <w:rtl w:val="true"/>
        </w:rPr>
        <w:t>))".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אינה במקור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Ruller42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  <w:tab/>
      </w:r>
      <w:r>
        <w:rPr>
          <w:rFonts w:ascii="David" w:hAnsi="David" w:cs="David"/>
          <w:sz w:val="24"/>
          <w:sz w:val="24"/>
          <w:szCs w:val="24"/>
          <w:rtl w:val="true"/>
        </w:rPr>
        <w:t>ובהמשך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ind w:start="2160" w:end="0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צו השעה הוא להחמיר בענישה בעבירות סמים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הואיל והעונש חייב להיות צודק והולם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מנוס מפירוק המקרה למרכיביו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בדרך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ענישה בעבירות הסמים תעמוד ביחס סביר לנסיבותיו של כל מקרה ומקרה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...."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אינה במקור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Ruller42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גיסא אין להמעיט מחומרת העבירות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הנסיבות המתוארות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הציוד הרב שהחזיק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התכנון המוקדם וההשקעה הכספית שנדרשה 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חיבר את הדירה למתקני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בחיבור ישיר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דרך מונה חשמל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שעקף את החיבור התקני של 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 בדירה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מאידך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ליתן את הדעת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שהעבירות בהן הורשע הנאשם אינן נמנות עם המקרים החמורים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לסוג הסם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וכמותו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אבו קרינאת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שהגם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נאמרו בהקשר 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שלא ליתן עליהם את הדעת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sz w:val="24"/>
          <w:szCs w:val="24"/>
        </w:rPr>
      </w:pPr>
      <w:r>
        <w:rPr>
          <w:rFonts w:cs="David" w:ascii="David" w:hAnsi="David"/>
          <w:b/>
          <w:sz w:val="24"/>
          <w:szCs w:val="24"/>
          <w:rtl w:val="true"/>
        </w:rPr>
      </w:r>
    </w:p>
    <w:p>
      <w:pPr>
        <w:pStyle w:val="ListParagraph"/>
        <w:spacing w:lineRule="auto" w:line="360"/>
        <w:ind w:start="2160" w:end="0"/>
        <w:jc w:val="both"/>
        <w:rPr/>
      </w:pPr>
      <w:r>
        <w:rPr>
          <w:rFonts w:cs="David" w:ascii="David" w:hAnsi="David"/>
          <w:b/>
          <w:sz w:val="24"/>
          <w:szCs w:val="24"/>
          <w:rtl w:val="true"/>
        </w:rPr>
        <w:t>"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שנית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הגם שכמצוות המחוקק קנאביס מוגדר עדיין כסם מסוכן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על כל המשתמע מכך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לא ניתן להתעלם מכך שהיחס החברתי והמשפטי לשימוש בקנאביס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ואף לייצורו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מצוי בתהליכי שינוי</w:t>
      </w:r>
      <w:r>
        <w:rPr>
          <w:rFonts w:cs="David" w:ascii="David" w:hAnsi="David"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האפשרות לבטל את ההפללה של השימוש בקנאביס מצויה מזה זמן על שולחן הממשלה והכנסת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ויש לה תמיכה ציבורית ופוליטית לא מבוטלת </w:t>
      </w:r>
      <w:r>
        <w:rPr>
          <w:rFonts w:cs="David" w:ascii="David" w:hAnsi="David"/>
          <w:bCs/>
          <w:sz w:val="24"/>
          <w:szCs w:val="24"/>
          <w:rtl w:val="true"/>
        </w:rPr>
        <w:t>(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ראו </w:t>
      </w:r>
      <w:hyperlink r:id="rId42">
        <w:r>
          <w:rPr>
            <w:rStyle w:val="Hyperlink"/>
            <w:rFonts w:ascii="David" w:hAnsi="David" w:cs="David"/>
            <w:bCs/>
            <w:color w:val="0000FF"/>
            <w:sz w:val="24"/>
            <w:sz w:val="24"/>
            <w:szCs w:val="24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bCs/>
            <w:color w:val="0000FF"/>
            <w:sz w:val="24"/>
            <w:szCs w:val="24"/>
            <w:u w:val="single"/>
          </w:rPr>
          <w:t>1589/19</w:t>
        </w:r>
      </w:hyperlink>
      <w:r>
        <w:rPr>
          <w:rFonts w:cs="David" w:ascii="David" w:hAnsi="David"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לבוביץ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כנסת ישראל </w:t>
      </w:r>
      <w:r>
        <w:rPr>
          <w:rFonts w:cs="David" w:ascii="David" w:hAnsi="David"/>
          <w:bCs/>
          <w:sz w:val="24"/>
          <w:szCs w:val="24"/>
          <w:rtl w:val="true"/>
        </w:rPr>
        <w:t>[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Cs/>
          <w:sz w:val="24"/>
          <w:szCs w:val="24"/>
          <w:rtl w:val="true"/>
        </w:rPr>
        <w:t>] (</w:t>
      </w:r>
      <w:r>
        <w:rPr>
          <w:rFonts w:cs="David" w:ascii="David" w:hAnsi="David"/>
          <w:bCs/>
          <w:sz w:val="24"/>
          <w:szCs w:val="24"/>
        </w:rPr>
        <w:t>17.6.2020</w:t>
      </w:r>
      <w:r>
        <w:rPr>
          <w:rFonts w:cs="David" w:ascii="David" w:hAnsi="David"/>
          <w:bCs/>
          <w:sz w:val="24"/>
          <w:szCs w:val="24"/>
          <w:rtl w:val="true"/>
        </w:rPr>
        <w:t xml:space="preserve">));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חברות העוסקות בייצור קנאביס ברישיון </w:t>
      </w:r>
      <w:r>
        <w:rPr>
          <w:rFonts w:cs="David" w:ascii="David" w:hAnsi="David"/>
          <w:bCs/>
          <w:sz w:val="24"/>
          <w:szCs w:val="24"/>
          <w:rtl w:val="true"/>
        </w:rPr>
        <w:t>("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קנאביס רפואי</w:t>
      </w:r>
      <w:r>
        <w:rPr>
          <w:rFonts w:cs="David" w:ascii="David" w:hAnsi="David"/>
          <w:bCs/>
          <w:sz w:val="24"/>
          <w:szCs w:val="24"/>
          <w:rtl w:val="true"/>
        </w:rPr>
        <w:t xml:space="preserve">")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מתרבות וצומחות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והיחס אליהן הוא כפעילות כלכלית לגיטימית ומבורכת </w:t>
      </w:r>
      <w:r>
        <w:rPr>
          <w:rFonts w:cs="David" w:ascii="David" w:hAnsi="David"/>
          <w:bCs/>
          <w:sz w:val="24"/>
          <w:szCs w:val="24"/>
          <w:rtl w:val="true"/>
        </w:rPr>
        <w:t>(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השוו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hyperlink r:id="rId43">
        <w:r>
          <w:rPr>
            <w:rStyle w:val="Hyperlink"/>
            <w:rFonts w:ascii="David" w:hAnsi="David" w:cs="David"/>
            <w:bCs/>
            <w:color w:val="0000FF"/>
            <w:sz w:val="24"/>
            <w:sz w:val="24"/>
            <w:szCs w:val="24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bCs/>
            <w:color w:val="0000FF"/>
            <w:sz w:val="24"/>
            <w:szCs w:val="24"/>
            <w:u w:val="single"/>
          </w:rPr>
          <w:t>4072/20</w:t>
        </w:r>
      </w:hyperlink>
      <w:r>
        <w:rPr>
          <w:rFonts w:cs="David" w:ascii="David" w:hAnsi="David"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בזלת נחושתן בע</w:t>
      </w:r>
      <w:r>
        <w:rPr>
          <w:rFonts w:cs="David" w:ascii="David" w:hAnsi="David"/>
          <w:bCs/>
          <w:sz w:val="24"/>
          <w:szCs w:val="24"/>
          <w:rtl w:val="true"/>
        </w:rPr>
        <w:t>"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 נ</w:t>
      </w:r>
      <w:r>
        <w:rPr>
          <w:rFonts w:cs="David" w:ascii="David" w:hAnsi="David"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שר הבריאות </w:t>
      </w:r>
      <w:r>
        <w:rPr>
          <w:rFonts w:cs="David" w:ascii="David" w:hAnsi="David"/>
          <w:bCs/>
          <w:sz w:val="24"/>
          <w:szCs w:val="24"/>
          <w:rtl w:val="true"/>
        </w:rPr>
        <w:t>(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טרם נידון</w:t>
      </w:r>
      <w:r>
        <w:rPr>
          <w:rFonts w:cs="David" w:ascii="David" w:hAnsi="David"/>
          <w:bCs/>
          <w:sz w:val="24"/>
          <w:szCs w:val="24"/>
          <w:rtl w:val="true"/>
        </w:rPr>
        <w:t>) [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Cs/>
          <w:sz w:val="24"/>
          <w:szCs w:val="24"/>
          <w:rtl w:val="true"/>
        </w:rPr>
        <w:t xml:space="preserve">]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 xml:space="preserve">בו מתבקש בית משפט זה להורות למשרד הבריאות להוציא אישור </w:t>
      </w:r>
      <w:r>
        <w:rPr>
          <w:rFonts w:cs="David" w:ascii="David" w:hAnsi="David"/>
          <w:bCs/>
          <w:sz w:val="24"/>
          <w:szCs w:val="24"/>
        </w:rPr>
        <w:t>GMP</w:t>
      </w:r>
      <w:r>
        <w:rPr>
          <w:rFonts w:cs="David" w:ascii="David" w:hAnsi="David"/>
          <w:bCs/>
          <w:sz w:val="24"/>
          <w:szCs w:val="24"/>
        </w:rPr>
        <w:t xml:space="preserve"> (</w:t>
      </w:r>
      <w:r>
        <w:rPr>
          <w:rFonts w:cs="David" w:ascii="David" w:hAnsi="David"/>
          <w:bCs/>
          <w:sz w:val="24"/>
          <w:szCs w:val="24"/>
        </w:rPr>
        <w:t>Good Manufacturing Practice</w:t>
      </w:r>
      <w:r>
        <w:rPr>
          <w:rFonts w:cs="David" w:ascii="David" w:hAnsi="David"/>
          <w:bCs/>
          <w:sz w:val="24"/>
          <w:szCs w:val="24"/>
        </w:rPr>
        <w:t>)</w:t>
      </w:r>
      <w:r>
        <w:rPr>
          <w:rFonts w:cs="David" w:ascii="David" w:hAnsi="David"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לחברה העוסקת בייצור קנאביס רפואי</w:t>
      </w:r>
      <w:r>
        <w:rPr>
          <w:rFonts w:cs="David" w:ascii="David" w:hAnsi="David"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במצב דברים זה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גם כאשר אנו יוצאים מנקודת מוצא לפיה גידול והפקה של קנאביס שלא ברישיון הן פעולות בלתי חוקיות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קשה להוסיף ולהתייחס אליהן כ</w:t>
      </w:r>
      <w:r>
        <w:rPr>
          <w:rFonts w:cs="David" w:ascii="David" w:hAnsi="David"/>
          <w:bCs/>
          <w:sz w:val="24"/>
          <w:szCs w:val="24"/>
          <w:rtl w:val="true"/>
        </w:rPr>
        <w:t>"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רעה חולה</w:t>
      </w:r>
      <w:r>
        <w:rPr>
          <w:rFonts w:cs="David" w:ascii="David" w:hAnsi="David"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מאותה דרגת חומרה כמו הכנה</w:t>
      </w:r>
      <w:r>
        <w:rPr>
          <w:rFonts w:cs="David" w:ascii="David" w:hAnsi="David"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Cs/>
          <w:sz w:val="24"/>
          <w:sz w:val="24"/>
          <w:szCs w:val="24"/>
          <w:rtl w:val="true"/>
        </w:rPr>
        <w:t>יצור והפקה של סמים מסוכנים אחרים</w:t>
      </w:r>
      <w:r>
        <w:rPr>
          <w:rFonts w:cs="David" w:ascii="David" w:hAnsi="David"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במכלול הנסיבות שמניתי לעיל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מתחם הענישה הראוי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לתקופה שנעה בין </w:t>
      </w:r>
      <w:r>
        <w:rPr>
          <w:rFonts w:cs="David" w:ascii="David" w:hAnsi="David"/>
          <w:sz w:val="24"/>
          <w:szCs w:val="24"/>
        </w:rPr>
        <w:t>14-36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נסיבותיו המיוחדות של הנאשם בענייננו מצדיקות להפעיל את הוראת </w:t>
      </w:r>
      <w:hyperlink r:id="rId4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ד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הקובעת כהאי לישנא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2160" w:end="0"/>
        <w:jc w:val="both"/>
        <w:rPr/>
      </w:pPr>
      <w:r>
        <w:rPr>
          <w:rStyle w:val="default"/>
          <w:rFonts w:cs="David" w:ascii="David" w:hAnsi="David"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רשאי הוא לחרוג ממתחם העונש ההולם ולקבוע את עונשו של הנאשם לפי שיקולי שיקומו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להורות על נקיטת אמצעי שיקומי כלפי הנאשם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לרבות העמדתו במבחן לפי סעיפים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82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86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לפי </w:t>
      </w:r>
      <w:hyperlink r:id="rId4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המבחן</w:t>
        </w:r>
      </w:hyperlink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נוסח חדש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],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התשכ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Style w:val="default"/>
          <w:rFonts w:cs="David" w:ascii="David" w:hAnsi="David"/>
          <w:b/>
          <w:bCs/>
          <w:sz w:val="24"/>
          <w:szCs w:val="24"/>
        </w:rPr>
        <w:t>1969</w:t>
      </w:r>
      <w:r>
        <w:rPr>
          <w:rStyle w:val="default"/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2160" w:end="0"/>
        <w:jc w:val="both"/>
        <w:rPr>
          <w:rStyle w:val="default"/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צורך לחזור על כל המתואר בתסקירי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שהוגשו לעיוני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מפורטים בפסקאות </w:t>
      </w:r>
      <w:r>
        <w:rPr>
          <w:rFonts w:cs="David" w:ascii="David" w:hAnsi="David"/>
        </w:rPr>
        <w:t>4-8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מן התסקירים השונים עולה ההצלחה הבולטת של התהליך השיקומי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שיתוף הפעולה המלא מצידו והגעתו הסדירה והעקבית למפגשים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בדיקות השתן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הצביעו על העדר ממצאי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 של אמון שנוצר בין הנאשם לבין הסטודנטית המטפלת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התרשמות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המשך הטיפול עשוי לתרום להפחתה מרמת הסיכון להישנות ביצוע עבירות דומות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יפים לענייננו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ארז ב</w:t>
      </w:r>
      <w:r>
        <w:rPr>
          <w:rFonts w:cs="David" w:ascii="David" w:hAnsi="David"/>
          <w:rtl w:val="true"/>
        </w:rPr>
        <w:t>-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12.04.2015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ind w:start="21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</w:t>
      </w:r>
      <w:hyperlink r:id="rId4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1977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מתווה את המסגרת להתחשבות בשיקול השיקום בענישה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לפי סעיף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קטן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הנאשם השתקם או יש סיכוי ממשי שישתקם רשאי בית המשפט לחרוג ממתחם העונש העולם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לפי סעיף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קטן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ההתחשבות בשיקול השיקומי תיעשה ביחס לעבירות בעלות חומרה יתרה רק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 מיוחדות ויוצאות דופן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שבית המשפט שוכנע שהן גוברות על הצורך לקבוע את העונש במתחם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תחושתנו היא שמילים אלה של החוק נכתבו כשמקרה כמו זה של המערער עומד נגד עיניו של המחוקק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תהליך השיקום של המערער תואר כיוצא דופן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פחות מכך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מהלך חיים מורכב וקשה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שבו לא הצליח להתרומם מעל לקשיי חייו – הוא אחז בהזדמנות שניתנה לו ולא הרפה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המערער הוא אדם צעיר הנמצא בראשית חייו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שיקומו ייטיב לא רק איתו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עם החברה כולה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אנו סבורים שיש בתהליך שעבר המערער כדי להצדיק סטייה ממתחם העונש ההולם בנסיבות העניין ולתת בכורה לשיקולי השיקום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ראו עוד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hyperlink r:id="rId4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7459/12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שיבר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20.6.2013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5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1903/13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עיאשה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14.7.2013</w:t>
      </w:r>
      <w:r>
        <w:rPr>
          <w:rFonts w:cs="David" w:ascii="David" w:hAnsi="David"/>
          <w:b/>
          <w:bCs/>
          <w:sz w:val="24"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עיאשה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5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5146/14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אורן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5.2.2015</w:t>
      </w:r>
      <w:r>
        <w:rPr>
          <w:rFonts w:cs="David" w:ascii="David" w:hAnsi="David"/>
          <w:b/>
          <w:bCs/>
          <w:sz w:val="24"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אורן</w:t>
      </w:r>
      <w:r>
        <w:rPr>
          <w:rFonts w:cs="David" w:ascii="David" w:hAnsi="David"/>
          <w:b/>
          <w:bCs/>
          <w:sz w:val="24"/>
          <w:szCs w:val="24"/>
          <w:rtl w:val="true"/>
        </w:rPr>
        <w:t>))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יש להתחשב גם בכך שהנאשם אדם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הודה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קיבל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נעדר דפוסי התנהגות 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בתסקירי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1076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לעניין זה 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המשנה לנשיאה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בדימוס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r>
        <w:rPr>
          <w:rFonts w:cs="David" w:ascii="David" w:hAnsi="David"/>
          <w:rtl w:val="true"/>
        </w:rPr>
        <w:t>-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1076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/>
        <w:ind w:start="21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יתר על כך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מחקרים רבים הראו כי קיים קשר סיבתי שלילי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פיו מאסר ראשון לא רק שאינו מביא להרתעת היחיד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אלא מביא בסבירות גבוהה למאסרים נוספים ורצידיביזם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חגית לרנאו וישי שרון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שמונה הכרעות ערכיות בחקיקת חוק הבניית שיקול הדעת השיפוטי בענישה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sz w:val="24"/>
          <w:szCs w:val="24"/>
        </w:rPr>
        <w:t>183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sz w:val="24"/>
          <w:szCs w:val="24"/>
        </w:rPr>
        <w:t>14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  <w:sz w:val="24"/>
          <w:szCs w:val="24"/>
        </w:rPr>
        <w:t>19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; </w:t>
      </w:r>
      <w:r>
        <w:rPr>
          <w:rFonts w:cs="David" w:ascii="David" w:hAnsi="David"/>
          <w:b/>
          <w:bCs/>
          <w:spacing w:val="10"/>
          <w:sz w:val="24"/>
          <w:szCs w:val="24"/>
        </w:rPr>
        <w:t xml:space="preserve">Francis T. Cullen at el, </w:t>
      </w:r>
      <w:r>
        <w:rPr>
          <w:rFonts w:cs="David" w:ascii="David" w:hAnsi="David"/>
          <w:b/>
          <w:bCs/>
          <w:i/>
          <w:iCs/>
          <w:spacing w:val="10"/>
          <w:sz w:val="24"/>
          <w:szCs w:val="24"/>
        </w:rPr>
        <w:t>Prisons do not Reduce Recidivism: The High Cost of Ignoring Science</w:t>
      </w:r>
      <w:r>
        <w:rPr>
          <w:rFonts w:cs="David" w:ascii="David" w:hAnsi="David"/>
          <w:b/>
          <w:bCs/>
          <w:spacing w:val="10"/>
          <w:sz w:val="24"/>
          <w:szCs w:val="24"/>
        </w:rPr>
        <w:t xml:space="preserve">, 91 The </w:t>
      </w:r>
      <w:r>
        <w:rPr>
          <w:rFonts w:cs="David" w:ascii="David" w:hAnsi="David"/>
          <w:b/>
          <w:bCs/>
          <w:smallCaps/>
          <w:spacing w:val="10"/>
          <w:sz w:val="24"/>
          <w:szCs w:val="24"/>
        </w:rPr>
        <w:t>Prison Journal</w:t>
      </w:r>
      <w:r>
        <w:rPr>
          <w:rFonts w:cs="David" w:ascii="David" w:hAnsi="David"/>
          <w:b/>
          <w:bCs/>
          <w:spacing w:val="10"/>
          <w:sz w:val="24"/>
          <w:szCs w:val="24"/>
        </w:rPr>
        <w:t xml:space="preserve"> 48 (2011)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הגם שאינני מפחית כהוא זה מחומרת העבירות בהן הורשע הנאשם ומן הצורך ההולך וגובר למגר את עבירות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בנסיבות המיוחדות שבענייננו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תהליך שיקומו של הנאשם נוחל הצלחה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עובדה המעידה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פיו וליבו שווים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לאמץ את המלצות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מאזנות כדבעי את האינטרסים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בראי טובתו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בראי טובתהּ של החברה כולה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היא זוכה באזרח שומר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חוק נוסף בין שורותיה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firstLine="4"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בשקלול הנסיבות והנתונים השונים אני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העונש הראוי בנסיבות הוא עונש של 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לצו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מבחן לתקופה של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שיוותר לנאשם זמן נוסף בהליך שיקום בשילובו בקהילה לאחר תקופת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שאפרט להלן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854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האישום להכריז על הנאשם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סוחר סמים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ולחלט את הרכב מסוג טויוטה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2242570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בוצעה העבירה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את כל הכלים והציוד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שימשו לגידול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21.05.2021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קבעתי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הנאשם רשאי עד יום 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23.05.2021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b/>
          <w:bCs/>
          <w:sz w:val="24"/>
          <w:szCs w:val="24"/>
        </w:rPr>
        <w:t>13:00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להוסיף ולהתייחס בכתב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ובהיקף שלא יעלה על עמוד אחד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לדרישת החילוט מצד המאשימה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בחר לא לעשות כן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hyperlink r:id="rId5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לפקודת הסמים מורנו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P22"/>
        <w:spacing w:lineRule="auto" w:line="360" w:before="72" w:after="0"/>
        <w:ind w:start="2160" w:end="426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קבע בית המשפט לפי 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36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שנידון הוא סוחר סמים –</w:t>
      </w:r>
    </w:p>
    <w:p>
      <w:pPr>
        <w:pStyle w:val="P33"/>
        <w:spacing w:lineRule="auto" w:line="360" w:before="72" w:after="0"/>
        <w:ind w:start="2160" w:end="14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 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כל רכוש של אדם כאמור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ורכוש של בן זוגו ושל ילדיו אשר טרם מלאו להם עשרים ואחת שנים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רכוש של אדם אחר שהנידון מימן את רכישתו או העבירו לאותו אדם ללא תמורה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ייראה כרכוש של הנידון שהושג בעבירה של עסקת סמים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אם כן הוכיח הנידון אחד מאלה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P44"/>
        <w:spacing w:lineRule="auto" w:line="360" w:before="72" w:after="0"/>
        <w:ind w:firstLine="232" w:start="1928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האמצעים להשגת הרכוש היו חוקיים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;</w:t>
      </w:r>
    </w:p>
    <w:p>
      <w:pPr>
        <w:pStyle w:val="P44"/>
        <w:tabs>
          <w:tab w:val="clear" w:pos="720"/>
          <w:tab w:val="left" w:pos="8164" w:leader="none"/>
        </w:tabs>
        <w:spacing w:lineRule="auto" w:line="360" w:before="72" w:after="0"/>
        <w:ind w:start="2160" w:end="14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בב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הרכוש הגיע לידיו או לידי בעליו לא מאוחר משמונה שנים שקדמו ליום הגשת כתב האישום בשל העבירה שעליה נדון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;</w:t>
      </w:r>
    </w:p>
    <w:p>
      <w:pPr>
        <w:pStyle w:val="P33"/>
        <w:spacing w:lineRule="auto" w:line="360" w:before="72" w:after="0"/>
        <w:ind w:start="2160" w:end="14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 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כל רכוש שנמצא בחזקתו או בחשבונו של הנידון ייראה כרכוש שלו אלא אם כן הוכיח שהרכוש הוא של זולתו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שאינו אחד האנשים המפורטים בפסקה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)".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ובהמשך קובע </w:t>
      </w:r>
      <w:hyperlink r:id="rId5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36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כך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2160" w:end="0"/>
        <w:jc w:val="both"/>
        <w:rPr>
          <w:rFonts w:ascii="FrankRuehl" w:hAnsi="FrankRuehl" w:cs="FrankRuehl"/>
          <w:sz w:val="26"/>
          <w:szCs w:val="26"/>
        </w:rPr>
      </w:pPr>
      <w:r>
        <w:rPr>
          <w:rStyle w:val="default"/>
          <w:rFonts w:cs="FrankRuehl" w:ascii="FrankRuehl" w:hAnsi="FrankRuehl"/>
          <w:sz w:val="26"/>
          <w:szCs w:val="26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הגיעו לידי המשטרה סמים מסוכנים או כלים שנועדו לשימוש בהם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רשאי בית המשפט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לאחר שהוגשה לו תעודה כאמור בסעיף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31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 w:ascii="David" w:hAnsi="David"/>
          <w:b/>
          <w:bCs/>
          <w:sz w:val="24"/>
          <w:szCs w:val="24"/>
        </w:rPr>
        <w:t>5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לצוות על חילוטם וכן על השמדתם בכל עת גם אם לא הורשע אדם לגביהם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ובלבד שאם הוגש כתב אישום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 יורה בית המשפט על השמדת הסמים אלא לאחר שהעתק תעודה לפי 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31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 w:ascii="David" w:hAnsi="David"/>
          <w:b/>
          <w:bCs/>
          <w:sz w:val="24"/>
          <w:szCs w:val="24"/>
        </w:rPr>
        <w:t>5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נמסר לנאשם או לסניגורו וניתנה להם הזדמנות לעשות בהם או לגביהם את הפעולות הנדרשות לפי דעתם כדי לסתור את ראיות התביעה לענינם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18" w:start="1080" w:end="0"/>
        <w:jc w:val="both"/>
        <w:rPr/>
      </w:pPr>
      <w:hyperlink r:id="rId5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     </w:t>
      </w:r>
      <w:r>
        <w:rPr>
          <w:rFonts w:ascii="David" w:hAnsi="David"/>
          <w:rtl w:val="true"/>
        </w:rPr>
        <w:t>מורנו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רשאי שוטר לתפוס חפץ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יש לו יסוד סביר להניח כי באותו חפץ נעברה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עומדים לעבור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שהוא עשוי לשמש ראיה בהליך משפטי בשל 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שניתן כשכר בעד ביצוע עבירה או כאמצעי לביצועה</w:t>
      </w:r>
      <w:r>
        <w:rPr>
          <w:rStyle w:val="default"/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04" w:end="0"/>
        <w:jc w:val="both"/>
        <w:rPr/>
      </w:pPr>
      <w:r>
        <w:rPr>
          <w:rFonts w:eastAsia="David" w:cs="David" w:ascii="David" w:hAnsi="David"/>
          <w:rtl w:val="true"/>
        </w:rPr>
        <w:t xml:space="preserve">    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hyperlink r:id="rId5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636"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  <w:b/>
          <w:bCs/>
        </w:rPr>
      </w:pP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על אף האמור בכל דין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רשאי בית המשפט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בנוסף על כל עונש שיטיל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Style w:val="default"/>
          <w:rFonts w:cs="David" w:ascii="David" w:hAnsi="David"/>
          <w:b/>
          <w:bCs/>
          <w:rtl w:val="true"/>
        </w:rPr>
        <w:t xml:space="preserve">; </w:t>
      </w:r>
      <w:r>
        <w:rPr>
          <w:rStyle w:val="default"/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Style w:val="default"/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825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8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 התנאים המצטברים הנדרשים לחילוט הרכב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ברכב בוצעה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– בעל הרכב הורשע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מתייחסת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16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6234/03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מראד זיתאווי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09.03.2005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זיתאווי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1"/>
        <w:ind w:start="21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השילוב שבין הסעיפים מלמד כי הפעלתה של סמכות החילוט מותנית בקיומם של תנאים מצטברים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בחפץ שנתפש בוצעה עבירה או עומדים לבצע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בעל החפץ הורשע בדינו והרשעתו מתייחסת למעשה שנעשה בחפץ או לגביו</w:t>
      </w:r>
      <w:r>
        <w:rPr>
          <w:rFonts w:cs="David" w:ascii="David" w:hAnsi="David"/>
          <w:b/>
          <w:bCs/>
          <w:sz w:val="24"/>
          <w:szCs w:val="24"/>
          <w:rtl w:val="true"/>
        </w:rPr>
        <w:t>. (</w:t>
      </w:r>
      <w:hyperlink r:id="rId5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623/78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סורני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לג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523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6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חוסין מועד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פורסם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 w:val="24"/>
          <w:szCs w:val="24"/>
        </w:rPr>
        <w:t>39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6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1982/93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בנק לאומי לישראל בע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מח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238</w:t>
      </w:r>
      <w:r>
        <w:rPr>
          <w:rFonts w:cs="David" w:ascii="David" w:hAnsi="David"/>
          <w:b/>
          <w:bCs/>
          <w:sz w:val="24"/>
          <w:szCs w:val="24"/>
          <w:rtl w:val="true"/>
        </w:rPr>
        <w:t>)".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825" w:end="0"/>
        <w:jc w:val="both"/>
        <w:rPr/>
      </w:pPr>
      <w:r>
        <w:rPr>
          <w:rFonts w:ascii="David" w:hAnsi="David"/>
          <w:rtl w:val="true"/>
        </w:rPr>
        <w:t>עוד ובנוסף 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המידה שקבעה פסיקת בית המשפט העליון למתן 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חילוט היא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מהותה ועוצמתה של הזיקה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הנשק לבין רכבו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אפנה ל</w:t>
      </w:r>
      <w:r>
        <w:rPr>
          <w:rFonts w:cs="David" w:ascii="David" w:hAnsi="David"/>
          <w:rtl w:val="true"/>
        </w:rPr>
        <w:t>-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4148/92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22.09.1994</w:t>
      </w:r>
      <w:r>
        <w:rPr>
          <w:rFonts w:cs="David" w:ascii="David" w:hAnsi="David"/>
          <w:rtl w:val="true"/>
        </w:rPr>
        <w:t xml:space="preserve">):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152" w:leader="none"/>
          <w:tab w:val="left" w:pos="1872" w:leader="none"/>
        </w:tabs>
        <w:autoSpaceDE w:val="false"/>
        <w:spacing w:lineRule="auto" w:line="360" w:before="0" w:after="80"/>
        <w:ind w:start="1872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צריך לומר כי בעבירות שבפנינו מן הראוי להחליט על חילוט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אמת המידה היא במהותה ובעוצמתה של הזיקה בין החפץ לבין העבירה ובחומרתה של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היינו במקרה כגון זה שבפנינו עולה השאלה באיזה מידה שימש הרכב באופן מהותי לביצוע העבירות שבוצעו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start="7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רכבו של הנאשם שימש כרכיב מהותי בביצוע העבירה מושא האישום הראשון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בלעדיו לא יכולה הייתה להתבצע העבירה האמורה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קבעה 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סמכות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נתונה לבית המשפט היא סמכות שברשות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להביא בחשבון את השלכותיה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אופן השתלבותה בענישה הכוללת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 לעניין זיתאווי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המכונית שימשה בידי המערער כלי בלעדיו היה מתקשה להפיל את המתלוננת ברשתו ולבצע בה את העבירות בהן הורשע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אולם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אותה סמכות חילוט היא סמכות שברשות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ובטרם יעשה בה בית המשפט שימוש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הוא מצווה לתת את דעתו גם על השלכותיה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וכיצד היא משתלבת במערך רכיביו האחרים של העונש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בנסיבות אחרות ראוי גם ראוי היה להורות על חילוט המכונית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אולם משנגזר למערער עונש מאסר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אותו אני מציע להאריך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סבורני כי בית המשפט המחוזי היה רשאי לקבוע כי בחילוט גלומה הכבדה מעבר לנדרש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ועל כן נכון להימנע ממנה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וכן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 ב</w:t>
      </w:r>
      <w:r>
        <w:rPr>
          <w:rFonts w:cs="David" w:ascii="David" w:hAnsi="David"/>
          <w:rtl w:val="true"/>
        </w:rPr>
        <w:t>-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04.03.2021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:</w:t>
      </w:r>
    </w:p>
    <w:p>
      <w:pPr>
        <w:pStyle w:val="Ruller41"/>
        <w:numPr>
          <w:ilvl w:val="0"/>
          <w:numId w:val="0"/>
        </w:numPr>
        <w:spacing w:before="240" w:after="240"/>
        <w:ind w:hanging="0" w:start="2160" w:end="0"/>
        <w:jc w:val="both"/>
        <w:rPr/>
      </w:pP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מנגד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>איני סבור כי עלינו להתערב בהחלטת בית המשפט המחוזי שלא להורות על חילוט רכבו של המשיב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זאת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 xml:space="preserve">בפרט בשים לב כי סמכותו של בית המשפט להורות על חילוט רכוש על פי 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 xml:space="preserve">סעיפים </w:t>
      </w:r>
      <w:r>
        <w:rPr>
          <w:rFonts w:cs="David" w:ascii="David" w:hAnsi="David"/>
          <w:b/>
          <w:bCs/>
          <w:color w:val="000000"/>
          <w:szCs w:val="24"/>
        </w:rPr>
        <w:t>32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ו</w:t>
      </w:r>
      <w:r>
        <w:rPr>
          <w:rFonts w:cs="David" w:ascii="David" w:hAnsi="David"/>
          <w:b/>
          <w:bCs/>
          <w:szCs w:val="24"/>
          <w:u w:val="single"/>
          <w:rtl w:val="true"/>
        </w:rPr>
        <w:t>-</w:t>
      </w:r>
      <w:r>
        <w:rPr>
          <w:rFonts w:cs="David" w:ascii="David" w:hAnsi="David"/>
          <w:b/>
          <w:bCs/>
          <w:color w:val="000000"/>
          <w:szCs w:val="24"/>
        </w:rPr>
        <w:t>39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ל</w:t>
      </w:r>
      <w:hyperlink r:id="rId64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szCs w:val="24"/>
          <w:u w:val="single"/>
          <w:rtl w:val="true"/>
        </w:rPr>
        <w:t xml:space="preserve"> [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נוסח חדש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],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התשכ</w:t>
      </w:r>
      <w:r>
        <w:rPr>
          <w:rFonts w:cs="David" w:ascii="David" w:hAnsi="David"/>
          <w:b/>
          <w:bCs/>
          <w:szCs w:val="24"/>
          <w:u w:val="single"/>
          <w:rtl w:val="true"/>
        </w:rPr>
        <w:t>"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ט–</w:t>
      </w:r>
      <w:r>
        <w:rPr>
          <w:rFonts w:cs="David" w:ascii="David" w:hAnsi="David"/>
          <w:b/>
          <w:bCs/>
          <w:szCs w:val="24"/>
          <w:u w:val="single"/>
        </w:rPr>
        <w:t>1969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היא סמכות שבשיקול דעת</w:t>
      </w:r>
      <w:r>
        <w:rPr>
          <w:rFonts w:cs="David" w:ascii="David" w:hAnsi="David"/>
          <w:b/>
          <w:bCs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u w:val="single"/>
          <w:rtl w:val="true"/>
        </w:rPr>
        <w:t>אשר הפעלתה תלויה בין היתר בהשלכות חילוט הרכוש ובהשתלבותו במערך הענישה הכולל שיושת על הנאשם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65">
        <w:r>
          <w:rPr>
            <w:rStyle w:val="Hyperlink"/>
            <w:rFonts w:ascii="David" w:hAnsi="David" w:cs="David"/>
            <w:b/>
            <w:b/>
            <w:bCs/>
            <w:szCs w:val="24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szCs w:val="24"/>
          </w:rPr>
          <w:t>4105/16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גאבר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>פסקה ט</w:t>
      </w:r>
      <w:r>
        <w:rPr>
          <w:rFonts w:cs="David" w:ascii="David" w:hAnsi="David"/>
          <w:b/>
          <w:bCs/>
          <w:szCs w:val="24"/>
          <w:rtl w:val="true"/>
        </w:rPr>
        <w:t>' (</w:t>
      </w:r>
      <w:r>
        <w:rPr>
          <w:rFonts w:cs="David" w:ascii="David" w:hAnsi="David"/>
          <w:b/>
          <w:bCs/>
          <w:szCs w:val="24"/>
        </w:rPr>
        <w:t>2.1.2007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66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6234/03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זיתאווי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2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Cs w:val="24"/>
        </w:rPr>
        <w:t>9.3.2005</w:t>
      </w:r>
      <w:r>
        <w:rPr>
          <w:rFonts w:cs="David" w:ascii="David" w:hAnsi="David"/>
          <w:b/>
          <w:bCs/>
          <w:szCs w:val="24"/>
          <w:rtl w:val="true"/>
        </w:rPr>
        <w:t xml:space="preserve">))".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ההדגשה אינה במקור</w:t>
      </w:r>
      <w:r>
        <w:rPr>
          <w:rFonts w:cs="David" w:ascii="David" w:hAnsi="David"/>
          <w:szCs w:val="24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המקרה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 מן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נהג ביום </w:t>
      </w:r>
      <w:r>
        <w:rPr>
          <w:rFonts w:cs="David" w:ascii="David" w:hAnsi="David"/>
          <w:sz w:val="24"/>
          <w:szCs w:val="24"/>
        </w:rPr>
        <w:t>31.01.2020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01:00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ברכב על כביש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מכיוון צפון לכיוון דרום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והחזיק ברכב סם מסוכן מסוג קנבוס במשקל כולל של </w:t>
      </w:r>
      <w:r>
        <w:rPr>
          <w:rFonts w:cs="David" w:ascii="David" w:hAnsi="David"/>
          <w:sz w:val="24"/>
          <w:szCs w:val="24"/>
        </w:rPr>
        <w:t>4.2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לשימוש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09.09.2019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שכר הנאשם דירה למשך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לצורך גידול סם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שכירת הדירה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צייד הנאשם את המחסן בציוד רב לצורך גידול הסם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וללא רישיון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ושעה שלא מצאתי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קיימות השלכות הרות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גורל מן החילוט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לחלט הן את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את הכלים כפי שאלו מפורטים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אני מורה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 אני גוזר על הנאשם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לאמור בחוות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דעתו של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19.04.2021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צו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מבחן לתקופה של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מיום מתן גזר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לאמור בתסקיר שירות המבחן מיום </w:t>
      </w:r>
      <w:r>
        <w:rPr>
          <w:rFonts w:cs="David" w:ascii="David" w:hAnsi="David"/>
          <w:sz w:val="24"/>
          <w:szCs w:val="24"/>
        </w:rPr>
        <w:t>25.02.2021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לתקופה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שיופעל במידה שהנאשם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עבירת סמים מכל סוג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לא מצאתי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להטיל על הנאשם קנס כספי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אף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אימו שילמה את סך הנזקים שנגרמו לדירה ולחברת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החשמל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חילוט כל הכלים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נמצאו בדירתו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חילוט הרכב מסוג טויוטה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2242570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לפנים משורת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הנסיבות המפורטות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בהרשעה 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לאופק השיקומי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איני פוסל את הנאשם מלנהוג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זאת מורה אני על פסילה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תנאי לתקופה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מלהחזיק או מלקבל רישיון נהיגה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מתן גזר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במידה שהנאשם יעבור עבירה על פקודת הסמים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 מוזהר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פי סעיף </w:t>
      </w:r>
      <w:hyperlink r:id="rId67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מס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6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המבחן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ט – </w:t>
      </w:r>
      <w:r>
        <w:rPr>
          <w:rFonts w:cs="David" w:ascii="David" w:hAnsi="David"/>
          <w:b/>
          <w:bCs/>
          <w:sz w:val="24"/>
          <w:szCs w:val="24"/>
        </w:rPr>
        <w:t>1969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אם לא ימלא אחר צו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הפיקוח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אחר הוראות שירות המבחן מכל בחינה שהיא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אם יעבור עבירה נוספת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יהיה צפוי לעונש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להרשעה ועונש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העבירות שבגללן ניתן צו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יתייצב לריצוי עונשו במשרדי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ביחידת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מפקדת מחוז צפון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לביס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מגידו ביום </w:t>
      </w:r>
      <w:r>
        <w:rPr>
          <w:rFonts w:cs="David" w:ascii="David" w:hAnsi="David"/>
          <w:sz w:val="24"/>
          <w:szCs w:val="24"/>
        </w:rPr>
        <w:t>23.06.2021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08:00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הובהר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שאם יפר את הוראות הממונה על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 או המעסיק או יבצע עבירה נוספת כלשהי בתקופת ריצוי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אז ניתן יהא להפקיע את עבודות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השירות באופן שבו יהיה על הנאשם לרצות את יתרת המאסר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תנאי השחרור או המעצר באיזוק בהם היה נתון הנאשם עד כה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ימשיכו לחול עד להתייצבותו לתחילת ריצוי עונשו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תשלח עותק מגזר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הדין לממונה על עבודות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השירות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לשירות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המבחן למבוגרים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וכן לפיקוח על האיזוק האלקטרוני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תשומת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ליבם של כלל הגורמים האמורים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הממונה על עבודות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ושירות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המבחן למבוגרים להוראות 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החפיפה החלקית בין תקופת עבודות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השירות לבין תקופת צו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Arial"/>
          <w:sz w:val="22"/>
          <w:szCs w:val="22"/>
        </w:rPr>
      </w:pPr>
      <w:r>
        <w:rPr>
          <w:rFonts w:cs="Arial" w:ascii="David" w:hAnsi="David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26"/>
          <w:u w:val="single"/>
        </w:rPr>
      </w:pPr>
      <w:hyperlink r:id="rId69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6"/>
          <w:u w:val="single"/>
        </w:rPr>
      </w:pPr>
      <w:r>
        <w:rPr>
          <w:rFonts w:ascii="David" w:hAnsi="David"/>
          <w:color w:val="000000"/>
          <w:sz w:val="26"/>
          <w:sz w:val="26"/>
          <w:u w:val="single"/>
          <w:rtl w:val="true"/>
        </w:rPr>
        <w:t>נוסח מסמך זה כפוף לשינויי ניסוח ועריכה</w:t>
      </w:r>
    </w:p>
    <w:sectPr>
      <w:headerReference w:type="default" r:id="rId70"/>
      <w:footerReference w:type="default" r:id="rId7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33338-02-20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מזרחי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  <w:rFonts w:ascii="FrankRuehl" w:hAnsi="FrankRuehl" w:cs="FrankRuehl"/>
        <w:color w:val="000000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FrankRuehl" w:hAnsi="FrankRuehl" w:cs="FrankRuehl"/>
      <w:color w:val="000000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LineNumber">
    <w:name w:val="line number"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3"/>
      </w:numPr>
      <w:tabs>
        <w:tab w:val="clear" w:pos="720"/>
        <w:tab w:val="left" w:pos="800" w:leader="none"/>
        <w:tab w:val="left" w:pos="907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Garamond" w:hAnsi="Garamond" w:cs="FrankRuehl"/>
      <w:spacing w:val="10"/>
      <w:szCs w:val="28"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Times New Roman"/>
      <w:spacing w:val="10"/>
      <w:sz w:val="20"/>
      <w:szCs w:val="28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22">
    <w:name w:val="P22"/>
    <w:basedOn w:val="Normal"/>
    <w:qFormat/>
    <w:pPr>
      <w:autoSpaceDE w:val="false"/>
      <w:spacing w:before="60" w:after="0"/>
      <w:ind w:hanging="0" w:start="2835" w:end="1021"/>
      <w:jc w:val="both"/>
    </w:pPr>
    <w:rPr>
      <w:rFonts w:cs="Times New Roman"/>
      <w:sz w:val="20"/>
      <w:szCs w:val="20"/>
    </w:rPr>
  </w:style>
  <w:style w:type="paragraph" w:styleId="P33">
    <w:name w:val="P33"/>
    <w:basedOn w:val="Normal"/>
    <w:qFormat/>
    <w:pPr>
      <w:autoSpaceDE w:val="false"/>
      <w:spacing w:before="60" w:after="0"/>
      <w:ind w:hanging="0" w:start="2835" w:end="1474"/>
      <w:jc w:val="both"/>
    </w:pPr>
    <w:rPr>
      <w:rFonts w:cs="Times New Roman"/>
      <w:sz w:val="20"/>
      <w:szCs w:val="20"/>
    </w:rPr>
  </w:style>
  <w:style w:type="paragraph" w:styleId="P44">
    <w:name w:val="P44"/>
    <w:basedOn w:val="Normal"/>
    <w:qFormat/>
    <w:pPr>
      <w:autoSpaceDE w:val="false"/>
      <w:spacing w:before="60" w:after="0"/>
      <w:ind w:hanging="0" w:start="2835" w:end="1928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31.6" TargetMode="External"/><Relationship Id="rId8" Type="http://schemas.openxmlformats.org/officeDocument/2006/relationships/hyperlink" Target="http://www.nevo.co.il/law/4216/36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d.a" TargetMode="External"/><Relationship Id="rId11" Type="http://schemas.openxmlformats.org/officeDocument/2006/relationships/hyperlink" Target="http://www.nevo.co.il/law/70301/400" TargetMode="External"/><Relationship Id="rId12" Type="http://schemas.openxmlformats.org/officeDocument/2006/relationships/hyperlink" Target="http://www.nevo.co.il/law/71553" TargetMode="External"/><Relationship Id="rId13" Type="http://schemas.openxmlformats.org/officeDocument/2006/relationships/hyperlink" Target="http://www.nevo.co.il/law/71553/3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4918/32.a" TargetMode="External"/><Relationship Id="rId16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4216/7.a.;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/10" TargetMode="External"/><Relationship Id="rId21" Type="http://schemas.openxmlformats.org/officeDocument/2006/relationships/hyperlink" Target="http://www.nevo.co.il/law/70301/40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0235191" TargetMode="External"/><Relationship Id="rId24" Type="http://schemas.openxmlformats.org/officeDocument/2006/relationships/hyperlink" Target="http://www.nevo.co.il/case/18159953" TargetMode="External"/><Relationship Id="rId25" Type="http://schemas.openxmlformats.org/officeDocument/2006/relationships/hyperlink" Target="http://www.nevo.co.il/case/21644133" TargetMode="External"/><Relationship Id="rId26" Type="http://schemas.openxmlformats.org/officeDocument/2006/relationships/hyperlink" Target="http://www.nevo.co.il/case/26401343" TargetMode="External"/><Relationship Id="rId27" Type="http://schemas.openxmlformats.org/officeDocument/2006/relationships/hyperlink" Target="http://www.nevo.co.il/case/23252143" TargetMode="External"/><Relationship Id="rId28" Type="http://schemas.openxmlformats.org/officeDocument/2006/relationships/hyperlink" Target="http://www.nevo.co.il/case/24978457" TargetMode="External"/><Relationship Id="rId29" Type="http://schemas.openxmlformats.org/officeDocument/2006/relationships/hyperlink" Target="http://www.nevo.co.il/case/25946245" TargetMode="External"/><Relationship Id="rId30" Type="http://schemas.openxmlformats.org/officeDocument/2006/relationships/hyperlink" Target="http://www.nevo.co.il/case/27229615" TargetMode="External"/><Relationship Id="rId31" Type="http://schemas.openxmlformats.org/officeDocument/2006/relationships/hyperlink" Target="http://www.nevo.co.il/case/5738608" TargetMode="External"/><Relationship Id="rId32" Type="http://schemas.openxmlformats.org/officeDocument/2006/relationships/hyperlink" Target="http://www.nevo.co.il/case/21015131" TargetMode="External"/><Relationship Id="rId33" Type="http://schemas.openxmlformats.org/officeDocument/2006/relationships/hyperlink" Target="http://www.nevo.co.il/case/20118363" TargetMode="External"/><Relationship Id="rId34" Type="http://schemas.openxmlformats.org/officeDocument/2006/relationships/hyperlink" Target="http://www.nevo.co.il/case/20205876" TargetMode="External"/><Relationship Id="rId35" Type="http://schemas.openxmlformats.org/officeDocument/2006/relationships/hyperlink" Target="http://www.nevo.co.il/case/21472796" TargetMode="External"/><Relationship Id="rId36" Type="http://schemas.openxmlformats.org/officeDocument/2006/relationships/hyperlink" Target="http://www.nevo.co.il/case/20412551" TargetMode="External"/><Relationship Id="rId37" Type="http://schemas.openxmlformats.org/officeDocument/2006/relationships/hyperlink" Target="http://www.nevo.co.il/case/16968058" TargetMode="External"/><Relationship Id="rId38" Type="http://schemas.openxmlformats.org/officeDocument/2006/relationships/hyperlink" Target="http://www.nevo.co.il/case/20683594" TargetMode="External"/><Relationship Id="rId39" Type="http://schemas.openxmlformats.org/officeDocument/2006/relationships/hyperlink" Target="http://www.nevo.co.il/case/17941073" TargetMode="External"/><Relationship Id="rId40" Type="http://schemas.openxmlformats.org/officeDocument/2006/relationships/hyperlink" Target="http://www.nevo.co.il/case/17938943" TargetMode="External"/><Relationship Id="rId41" Type="http://schemas.openxmlformats.org/officeDocument/2006/relationships/hyperlink" Target="http://www.nevo.co.il/case/6119015" TargetMode="External"/><Relationship Id="rId42" Type="http://schemas.openxmlformats.org/officeDocument/2006/relationships/hyperlink" Target="http://www.nevo.co.il/case/25503706" TargetMode="External"/><Relationship Id="rId43" Type="http://schemas.openxmlformats.org/officeDocument/2006/relationships/hyperlink" Target="http://www.nevo.co.il/case/26777791" TargetMode="External"/><Relationship Id="rId44" Type="http://schemas.openxmlformats.org/officeDocument/2006/relationships/hyperlink" Target="http://www.nevo.co.il/law/70301/40d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1553" TargetMode="External"/><Relationship Id="rId47" Type="http://schemas.openxmlformats.org/officeDocument/2006/relationships/hyperlink" Target="http://www.nevo.co.il/case/2000941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601394" TargetMode="External"/><Relationship Id="rId50" Type="http://schemas.openxmlformats.org/officeDocument/2006/relationships/hyperlink" Target="http://www.nevo.co.il/case/6824952" TargetMode="External"/><Relationship Id="rId51" Type="http://schemas.openxmlformats.org/officeDocument/2006/relationships/hyperlink" Target="http://www.nevo.co.il/case/17089471" TargetMode="External"/><Relationship Id="rId52" Type="http://schemas.openxmlformats.org/officeDocument/2006/relationships/hyperlink" Target="http://www.nevo.co.il/case/6248029" TargetMode="External"/><Relationship Id="rId53" Type="http://schemas.openxmlformats.org/officeDocument/2006/relationships/hyperlink" Target="http://www.nevo.co.il/law/4216/31.6" TargetMode="External"/><Relationship Id="rId54" Type="http://schemas.openxmlformats.org/officeDocument/2006/relationships/hyperlink" Target="http://www.nevo.co.il/law/4216/36a" TargetMode="External"/><Relationship Id="rId55" Type="http://schemas.openxmlformats.org/officeDocument/2006/relationships/hyperlink" Target="http://www.nevo.co.il/law/74918/32.a" TargetMode="External"/><Relationship Id="rId56" Type="http://schemas.openxmlformats.org/officeDocument/2006/relationships/hyperlink" Target="http://www.nevo.co.il/law/74918" TargetMode="External"/><Relationship Id="rId57" Type="http://schemas.openxmlformats.org/officeDocument/2006/relationships/hyperlink" Target="http://www.nevo.co.il/law/74918/39" TargetMode="External"/><Relationship Id="rId58" Type="http://schemas.openxmlformats.org/officeDocument/2006/relationships/hyperlink" Target="http://www.nevo.co.il/case/6055128" TargetMode="External"/><Relationship Id="rId59" Type="http://schemas.openxmlformats.org/officeDocument/2006/relationships/hyperlink" Target="http://www.nevo.co.il/case/17929014" TargetMode="External"/><Relationship Id="rId60" Type="http://schemas.openxmlformats.org/officeDocument/2006/relationships/hyperlink" Target="http://www.nevo.co.il/case/17922225" TargetMode="External"/><Relationship Id="rId61" Type="http://schemas.openxmlformats.org/officeDocument/2006/relationships/hyperlink" Target="http://www.nevo.co.il/case/17914099" TargetMode="External"/><Relationship Id="rId62" Type="http://schemas.openxmlformats.org/officeDocument/2006/relationships/hyperlink" Target="http://www.nevo.co.il/case/17922225" TargetMode="External"/><Relationship Id="rId63" Type="http://schemas.openxmlformats.org/officeDocument/2006/relationships/hyperlink" Target="http://www.nevo.co.il/case/27272576" TargetMode="External"/><Relationship Id="rId64" Type="http://schemas.openxmlformats.org/officeDocument/2006/relationships/hyperlink" Target="http://www.nevo.co.il/law/74918" TargetMode="External"/><Relationship Id="rId65" Type="http://schemas.openxmlformats.org/officeDocument/2006/relationships/hyperlink" Target="http://www.nevo.co.il/case/5937268" TargetMode="External"/><Relationship Id="rId66" Type="http://schemas.openxmlformats.org/officeDocument/2006/relationships/hyperlink" Target="http://www.nevo.co.il/case/6055128" TargetMode="External"/><Relationship Id="rId67" Type="http://schemas.openxmlformats.org/officeDocument/2006/relationships/hyperlink" Target="http://www.nevo.co.il/law/71553/3" TargetMode="External"/><Relationship Id="rId68" Type="http://schemas.openxmlformats.org/officeDocument/2006/relationships/hyperlink" Target="http://www.nevo.co.il/law/71553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2021-05-27T09:08:00Z</dcterms:created>
  <dc:creator> </dc:creator>
  <dc:description/>
  <cp:keywords/>
  <dc:language>en-IL</dc:language>
  <cp:lastModifiedBy>orly</cp:lastModifiedBy>
  <cp:lastPrinted>2021-05-24T12:08:00Z</cp:lastPrinted>
  <dcterms:modified xsi:type="dcterms:W3CDTF">2021-05-27T09:08:00Z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יהודה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20235191;18159953;21644133;26401343;23252143;24978457;25946245;27229615;5738608;21015131;20118363;20205876;21472796;20412551;16968058;20683594;17941073;17938943;6119015;25503706;26777791;20009419;5601394;6824952;17089471;6248029;6055128:2;17929014</vt:lpwstr>
  </property>
  <property fmtid="{D5CDD505-2E9C-101B-9397-08002B2CF9AE}" pid="9" name="CASESLISTTMP2">
    <vt:lpwstr>17922225:2;17914099;27272576;5937268</vt:lpwstr>
  </property>
  <property fmtid="{D5CDD505-2E9C-101B-9397-08002B2CF9AE}" pid="10" name="CITY">
    <vt:lpwstr>חי'</vt:lpwstr>
  </property>
  <property fmtid="{D5CDD505-2E9C-101B-9397-08002B2CF9AE}" pid="11" name="DATE">
    <vt:lpwstr>20210524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סארי ג'יוסי</vt:lpwstr>
  </property>
  <property fmtid="{D5CDD505-2E9C-101B-9397-08002B2CF9AE}" pid="15" name="LAWLISTTMP1">
    <vt:lpwstr>4216/007.a;007.c;006;010;031.6;036a</vt:lpwstr>
  </property>
  <property fmtid="{D5CDD505-2E9C-101B-9397-08002B2CF9AE}" pid="16" name="LAWLISTTMP2">
    <vt:lpwstr>70301/400;040d.a</vt:lpwstr>
  </property>
  <property fmtid="{D5CDD505-2E9C-101B-9397-08002B2CF9AE}" pid="17" name="LAWLISTTMP3">
    <vt:lpwstr>71553/003</vt:lpwstr>
  </property>
  <property fmtid="{D5CDD505-2E9C-101B-9397-08002B2CF9AE}" pid="18" name="LAWLISTTMP4">
    <vt:lpwstr>74918/032.a;039</vt:lpwstr>
  </property>
  <property fmtid="{D5CDD505-2E9C-101B-9397-08002B2CF9AE}" pid="19" name="LAWYER">
    <vt:lpwstr>מ. כרמל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מיכל</vt:lpwstr>
  </property>
  <property fmtid="{D5CDD505-2E9C-101B-9397-08002B2CF9AE}" pid="26" name="NEWPARTA">
    <vt:lpwstr>33338</vt:lpwstr>
  </property>
  <property fmtid="{D5CDD505-2E9C-101B-9397-08002B2CF9AE}" pid="27" name="NEWPARTB">
    <vt:lpwstr>02</vt:lpwstr>
  </property>
  <property fmtid="{D5CDD505-2E9C-101B-9397-08002B2CF9AE}" pid="28" name="NEWPARTC">
    <vt:lpwstr>20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</vt:lpwstr>
  </property>
  <property fmtid="{D5CDD505-2E9C-101B-9397-08002B2CF9AE}" pid="52" name="NOSE31">
    <vt:lpwstr>מדיניות ענישה: עבירות סמים</vt:lpwstr>
  </property>
  <property fmtid="{D5CDD505-2E9C-101B-9397-08002B2CF9AE}" pid="53" name="NOSE310">
    <vt:lpwstr/>
  </property>
  <property fmtid="{D5CDD505-2E9C-101B-9397-08002B2CF9AE}" pid="54" name="NOSE32">
    <vt:lpwstr>מדיניות ענישה: שיקום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8991;14346</vt:lpwstr>
  </property>
  <property fmtid="{D5CDD505-2E9C-101B-9397-08002B2CF9AE}" pid="63" name="PADIDATE">
    <vt:lpwstr>20210527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2</vt:lpwstr>
  </property>
  <property fmtid="{D5CDD505-2E9C-101B-9397-08002B2CF9AE}" pid="72" name="TYPE_ABS_DATE">
    <vt:lpwstr>390120210524</vt:lpwstr>
  </property>
  <property fmtid="{D5CDD505-2E9C-101B-9397-08002B2CF9AE}" pid="73" name="TYPE_N_DATE">
    <vt:lpwstr>39020210524</vt:lpwstr>
  </property>
  <property fmtid="{D5CDD505-2E9C-101B-9397-08002B2CF9AE}" pid="74" name="VOLUME">
    <vt:lpwstr/>
  </property>
  <property fmtid="{D5CDD505-2E9C-101B-9397-08002B2CF9AE}" pid="75" name="WORDNUMPAGES">
    <vt:lpwstr>20</vt:lpwstr>
  </property>
</Properties>
</file>