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706D43" w:rsidRPr="000B67D3" w14:paraId="1B9B1869" w14:textId="77777777" w:rsidTr="00E33BBA">
        <w:trPr>
          <w:trHeight w:hRule="exact" w:val="418"/>
          <w:jc w:val="center"/>
        </w:trPr>
        <w:tc>
          <w:tcPr>
            <w:tcW w:w="8721" w:type="dxa"/>
            <w:gridSpan w:val="2"/>
          </w:tcPr>
          <w:p w14:paraId="0E1375CE" w14:textId="77777777" w:rsidR="00706D43" w:rsidRPr="000B67D3" w:rsidRDefault="00706D43" w:rsidP="008B3931">
            <w:pPr>
              <w:pStyle w:val="Header"/>
              <w:jc w:val="center"/>
              <w:rPr>
                <w:rFonts w:ascii="Tahoma" w:hAnsi="Tahoma" w:cs="Tahoma"/>
                <w:color w:val="000080"/>
                <w:rtl/>
              </w:rPr>
            </w:pPr>
            <w:bookmarkStart w:id="0" w:name="LastJudge"/>
            <w:r w:rsidRPr="000B67D3">
              <w:rPr>
                <w:rFonts w:ascii="Tahoma" w:hAnsi="Tahoma" w:cs="Tahoma"/>
                <w:b/>
                <w:bCs/>
                <w:color w:val="000080"/>
                <w:rtl/>
              </w:rPr>
              <w:t>בית משפט השלום באשקלון</w:t>
            </w:r>
          </w:p>
        </w:tc>
      </w:tr>
      <w:tr w:rsidR="00706D43" w:rsidRPr="000B67D3" w14:paraId="128069F4" w14:textId="77777777" w:rsidTr="00E33BBA">
        <w:trPr>
          <w:trHeight w:val="337"/>
          <w:jc w:val="center"/>
        </w:trPr>
        <w:tc>
          <w:tcPr>
            <w:tcW w:w="5054" w:type="dxa"/>
          </w:tcPr>
          <w:p w14:paraId="28042CF1" w14:textId="77777777" w:rsidR="00706D43" w:rsidRPr="000B67D3" w:rsidRDefault="00706D43" w:rsidP="008B3931">
            <w:pPr>
              <w:rPr>
                <w:rFonts w:ascii="David" w:hAnsi="David"/>
                <w:b/>
                <w:bCs/>
                <w:sz w:val="28"/>
                <w:szCs w:val="28"/>
                <w:rtl/>
              </w:rPr>
            </w:pPr>
            <w:r w:rsidRPr="000B67D3">
              <w:rPr>
                <w:rFonts w:ascii="David" w:hAnsi="David"/>
                <w:b/>
                <w:bCs/>
                <w:sz w:val="26"/>
                <w:szCs w:val="26"/>
                <w:rtl/>
              </w:rPr>
              <w:t>ת"פ 66922-03-22 מדינת ישראל נ' זרגרי</w:t>
            </w:r>
          </w:p>
        </w:tc>
        <w:tc>
          <w:tcPr>
            <w:tcW w:w="3667" w:type="dxa"/>
          </w:tcPr>
          <w:p w14:paraId="433CE740" w14:textId="77777777" w:rsidR="00706D43" w:rsidRPr="000B67D3" w:rsidRDefault="00706D43" w:rsidP="008B3931">
            <w:pPr>
              <w:pStyle w:val="Header"/>
              <w:jc w:val="right"/>
              <w:rPr>
                <w:rFonts w:cs="FrankRuehl"/>
                <w:sz w:val="28"/>
                <w:szCs w:val="28"/>
                <w:rtl/>
              </w:rPr>
            </w:pPr>
          </w:p>
        </w:tc>
      </w:tr>
    </w:tbl>
    <w:p w14:paraId="636D781A" w14:textId="77777777" w:rsidR="00706D43" w:rsidRPr="000B67D3" w:rsidRDefault="00706D43" w:rsidP="00706D43">
      <w:pPr>
        <w:pStyle w:val="Header"/>
        <w:rPr>
          <w:rtl/>
        </w:rPr>
      </w:pPr>
      <w:r w:rsidRPr="000B67D3">
        <w:rPr>
          <w:rFonts w:hint="cs"/>
          <w:rtl/>
        </w:rPr>
        <w:t xml:space="preserve"> </w:t>
      </w:r>
    </w:p>
    <w:p w14:paraId="79A55BB4" w14:textId="77777777" w:rsidR="00706D43" w:rsidRPr="000B67D3" w:rsidRDefault="00706D43" w:rsidP="00706D43">
      <w:pPr>
        <w:rPr>
          <w:sz w:val="26"/>
          <w:szCs w:val="26"/>
          <w:rtl/>
        </w:rPr>
      </w:pPr>
    </w:p>
    <w:p w14:paraId="57BBF58F" w14:textId="77777777" w:rsidR="00706D43" w:rsidRPr="000B67D3" w:rsidRDefault="00706D43" w:rsidP="00706D43">
      <w:pPr>
        <w:rPr>
          <w:sz w:val="26"/>
          <w:szCs w:val="26"/>
          <w:rtl/>
        </w:rPr>
      </w:pPr>
    </w:p>
    <w:tbl>
      <w:tblPr>
        <w:bidiVisual/>
        <w:tblW w:w="8535" w:type="dxa"/>
        <w:tblInd w:w="289" w:type="dxa"/>
        <w:tblLook w:val="01E0" w:firstRow="1" w:lastRow="1" w:firstColumn="1" w:lastColumn="1" w:noHBand="0" w:noVBand="0"/>
      </w:tblPr>
      <w:tblGrid>
        <w:gridCol w:w="2752"/>
        <w:gridCol w:w="5783"/>
      </w:tblGrid>
      <w:tr w:rsidR="00706D43" w:rsidRPr="000B67D3" w14:paraId="025D53DD" w14:textId="77777777" w:rsidTr="00706D43">
        <w:tc>
          <w:tcPr>
            <w:tcW w:w="8535" w:type="dxa"/>
            <w:gridSpan w:val="2"/>
            <w:shd w:val="clear" w:color="auto" w:fill="auto"/>
          </w:tcPr>
          <w:p w14:paraId="60C861D0" w14:textId="77777777" w:rsidR="00706D43" w:rsidRPr="000B67D3" w:rsidRDefault="00706D43" w:rsidP="00706D43">
            <w:pPr>
              <w:spacing w:line="360" w:lineRule="auto"/>
              <w:jc w:val="both"/>
              <w:rPr>
                <w:b/>
                <w:bCs/>
                <w:sz w:val="26"/>
                <w:szCs w:val="26"/>
              </w:rPr>
            </w:pPr>
            <w:r w:rsidRPr="000B67D3">
              <w:rPr>
                <w:b/>
                <w:bCs/>
                <w:sz w:val="26"/>
                <w:szCs w:val="26"/>
                <w:rtl/>
              </w:rPr>
              <w:t>לפני כבוד השופטת זהר דולב להמן</w:t>
            </w:r>
            <w:r w:rsidRPr="000B67D3">
              <w:rPr>
                <w:rStyle w:val="TimesNewRomanTimesNewRoman"/>
                <w:rtl/>
              </w:rPr>
              <w:t xml:space="preserve"> </w:t>
            </w:r>
          </w:p>
        </w:tc>
      </w:tr>
      <w:tr w:rsidR="00706D43" w:rsidRPr="000B67D3" w14:paraId="3ACC468B" w14:textId="77777777" w:rsidTr="00706D43">
        <w:trPr>
          <w:cantSplit/>
          <w:trHeight w:val="724"/>
        </w:trPr>
        <w:tc>
          <w:tcPr>
            <w:tcW w:w="2752" w:type="dxa"/>
            <w:shd w:val="clear" w:color="auto" w:fill="auto"/>
          </w:tcPr>
          <w:p w14:paraId="5166FCF5" w14:textId="77777777" w:rsidR="00706D43" w:rsidRPr="000B67D3" w:rsidRDefault="00706D43" w:rsidP="00706D43">
            <w:pPr>
              <w:ind w:left="26"/>
              <w:rPr>
                <w:b/>
                <w:bCs/>
                <w:sz w:val="26"/>
                <w:szCs w:val="26"/>
                <w:rtl/>
              </w:rPr>
            </w:pPr>
            <w:bookmarkStart w:id="1" w:name="FirstAppellant"/>
            <w:bookmarkStart w:id="2" w:name="FirstLawyer"/>
          </w:p>
          <w:p w14:paraId="77031B45" w14:textId="77777777" w:rsidR="00706D43" w:rsidRPr="000B67D3" w:rsidRDefault="00706D43" w:rsidP="00706D43">
            <w:pPr>
              <w:ind w:left="26"/>
              <w:rPr>
                <w:b/>
                <w:bCs/>
                <w:sz w:val="26"/>
                <w:szCs w:val="26"/>
                <w:rtl/>
              </w:rPr>
            </w:pPr>
            <w:r w:rsidRPr="000B67D3">
              <w:rPr>
                <w:b/>
                <w:bCs/>
                <w:sz w:val="26"/>
                <w:szCs w:val="26"/>
                <w:rtl/>
              </w:rPr>
              <w:t>המאשימה</w:t>
            </w:r>
          </w:p>
        </w:tc>
        <w:tc>
          <w:tcPr>
            <w:tcW w:w="5783" w:type="dxa"/>
            <w:shd w:val="clear" w:color="auto" w:fill="auto"/>
          </w:tcPr>
          <w:p w14:paraId="4D3A15DC" w14:textId="77777777" w:rsidR="00706D43" w:rsidRPr="000B67D3" w:rsidRDefault="00706D43" w:rsidP="008B3931">
            <w:pPr>
              <w:rPr>
                <w:rFonts w:cs="Times New Roman"/>
                <w:rtl/>
              </w:rPr>
            </w:pPr>
          </w:p>
          <w:p w14:paraId="4865730F" w14:textId="77777777" w:rsidR="00706D43" w:rsidRPr="000B67D3" w:rsidRDefault="00706D43" w:rsidP="008B3931">
            <w:pPr>
              <w:rPr>
                <w:rtl/>
              </w:rPr>
            </w:pPr>
            <w:r w:rsidRPr="000B67D3">
              <w:rPr>
                <w:rtl/>
              </w:rPr>
              <w:t xml:space="preserve"> </w:t>
            </w:r>
            <w:r w:rsidRPr="000B67D3">
              <w:rPr>
                <w:b/>
                <w:bCs/>
                <w:sz w:val="26"/>
                <w:szCs w:val="26"/>
                <w:rtl/>
              </w:rPr>
              <w:t xml:space="preserve">מדינת ישראל </w:t>
            </w:r>
          </w:p>
          <w:p w14:paraId="76FBF3FE" w14:textId="77777777" w:rsidR="00706D43" w:rsidRPr="000B67D3" w:rsidRDefault="00706D43" w:rsidP="008B3931">
            <w:pPr>
              <w:rPr>
                <w:b/>
                <w:bCs/>
                <w:sz w:val="26"/>
                <w:szCs w:val="26"/>
                <w:rtl/>
              </w:rPr>
            </w:pPr>
            <w:r w:rsidRPr="000B67D3">
              <w:rPr>
                <w:rtl/>
              </w:rPr>
              <w:t>ע"י ב"כ עוה"ד אריאל סטרול</w:t>
            </w:r>
          </w:p>
        </w:tc>
      </w:tr>
      <w:bookmarkEnd w:id="1"/>
      <w:bookmarkEnd w:id="2"/>
      <w:tr w:rsidR="00706D43" w:rsidRPr="000B67D3" w14:paraId="1DE7FE1D" w14:textId="77777777" w:rsidTr="00706D43">
        <w:tc>
          <w:tcPr>
            <w:tcW w:w="8535" w:type="dxa"/>
            <w:gridSpan w:val="2"/>
            <w:shd w:val="clear" w:color="auto" w:fill="auto"/>
            <w:vAlign w:val="center"/>
          </w:tcPr>
          <w:p w14:paraId="49BB124B" w14:textId="77777777" w:rsidR="00706D43" w:rsidRPr="000B67D3" w:rsidRDefault="00706D43" w:rsidP="00706D43">
            <w:pPr>
              <w:jc w:val="center"/>
              <w:rPr>
                <w:rFonts w:ascii="Arial" w:hAnsi="Arial"/>
                <w:b/>
                <w:bCs/>
                <w:sz w:val="26"/>
                <w:szCs w:val="26"/>
                <w:rtl/>
              </w:rPr>
            </w:pPr>
          </w:p>
          <w:p w14:paraId="28B9B23F" w14:textId="77777777" w:rsidR="00706D43" w:rsidRPr="000B67D3" w:rsidRDefault="00706D43" w:rsidP="00706D43">
            <w:pPr>
              <w:jc w:val="center"/>
              <w:rPr>
                <w:rFonts w:ascii="Arial" w:hAnsi="Arial"/>
                <w:b/>
                <w:bCs/>
                <w:sz w:val="26"/>
                <w:szCs w:val="26"/>
                <w:rtl/>
              </w:rPr>
            </w:pPr>
            <w:r w:rsidRPr="000B67D3">
              <w:rPr>
                <w:rFonts w:ascii="Arial" w:hAnsi="Arial"/>
                <w:b/>
                <w:bCs/>
                <w:sz w:val="26"/>
                <w:szCs w:val="26"/>
                <w:rtl/>
              </w:rPr>
              <w:t>נגד</w:t>
            </w:r>
          </w:p>
          <w:p w14:paraId="76F7DD0C" w14:textId="77777777" w:rsidR="00706D43" w:rsidRPr="000B67D3" w:rsidRDefault="00706D43" w:rsidP="008B3931">
            <w:pPr>
              <w:rPr>
                <w:rFonts w:ascii="Arial" w:hAnsi="Arial"/>
                <w:b/>
                <w:bCs/>
                <w:sz w:val="26"/>
                <w:szCs w:val="26"/>
                <w:rtl/>
              </w:rPr>
            </w:pPr>
          </w:p>
        </w:tc>
      </w:tr>
      <w:tr w:rsidR="00706D43" w:rsidRPr="000B67D3" w14:paraId="3D278C57" w14:textId="77777777" w:rsidTr="00706D43">
        <w:tc>
          <w:tcPr>
            <w:tcW w:w="2752" w:type="dxa"/>
            <w:shd w:val="clear" w:color="auto" w:fill="auto"/>
          </w:tcPr>
          <w:p w14:paraId="680C4F9C" w14:textId="77777777" w:rsidR="00706D43" w:rsidRPr="000B67D3" w:rsidRDefault="00706D43" w:rsidP="00706D43">
            <w:pPr>
              <w:ind w:left="26"/>
              <w:rPr>
                <w:b/>
                <w:bCs/>
                <w:sz w:val="26"/>
                <w:szCs w:val="26"/>
                <w:rtl/>
              </w:rPr>
            </w:pPr>
            <w:r w:rsidRPr="000B67D3">
              <w:rPr>
                <w:b/>
                <w:bCs/>
                <w:sz w:val="26"/>
                <w:szCs w:val="26"/>
                <w:rtl/>
              </w:rPr>
              <w:t>הנאשם</w:t>
            </w:r>
          </w:p>
        </w:tc>
        <w:tc>
          <w:tcPr>
            <w:tcW w:w="5783" w:type="dxa"/>
            <w:shd w:val="clear" w:color="auto" w:fill="auto"/>
          </w:tcPr>
          <w:p w14:paraId="3B5712E7" w14:textId="77777777" w:rsidR="00706D43" w:rsidRPr="000B67D3" w:rsidRDefault="00706D43" w:rsidP="008B3931">
            <w:r w:rsidRPr="000B67D3">
              <w:rPr>
                <w:rtl/>
              </w:rPr>
              <w:t xml:space="preserve"> </w:t>
            </w:r>
            <w:r w:rsidRPr="000B67D3">
              <w:rPr>
                <w:rFonts w:hint="cs"/>
                <w:b/>
                <w:bCs/>
                <w:sz w:val="26"/>
                <w:szCs w:val="26"/>
                <w:rtl/>
              </w:rPr>
              <w:t>מאיר זרגרי</w:t>
            </w:r>
            <w:r w:rsidRPr="000B67D3">
              <w:rPr>
                <w:rFonts w:cs="Times New Roman" w:hint="cs"/>
                <w:sz w:val="22"/>
                <w:szCs w:val="22"/>
                <w:rtl/>
              </w:rPr>
              <w:t xml:space="preserve"> </w:t>
            </w:r>
            <w:r w:rsidRPr="000B67D3">
              <w:rPr>
                <w:rtl/>
              </w:rPr>
              <w:t xml:space="preserve">ת"ז  </w:t>
            </w:r>
            <w:r w:rsidR="000B67D3">
              <w:t>xxxxxxxxxx</w:t>
            </w:r>
            <w:r w:rsidRPr="000B67D3">
              <w:rPr>
                <w:rtl/>
              </w:rPr>
              <w:t>– בעצמו</w:t>
            </w:r>
          </w:p>
          <w:p w14:paraId="167CEBBB" w14:textId="77777777" w:rsidR="00706D43" w:rsidRPr="000B67D3" w:rsidRDefault="00706D43" w:rsidP="008B3931">
            <w:pPr>
              <w:rPr>
                <w:rtl/>
              </w:rPr>
            </w:pPr>
            <w:r w:rsidRPr="000B67D3">
              <w:rPr>
                <w:rtl/>
              </w:rPr>
              <w:t>ע"י ב"כ עוה"ד ירין סולאש</w:t>
            </w:r>
          </w:p>
          <w:p w14:paraId="516C272B" w14:textId="77777777" w:rsidR="00706D43" w:rsidRPr="000B67D3" w:rsidRDefault="00706D43" w:rsidP="008B3931">
            <w:pPr>
              <w:rPr>
                <w:b/>
                <w:bCs/>
                <w:sz w:val="26"/>
                <w:szCs w:val="26"/>
                <w:rtl/>
              </w:rPr>
            </w:pPr>
          </w:p>
        </w:tc>
      </w:tr>
    </w:tbl>
    <w:p w14:paraId="313FB8C7" w14:textId="77777777" w:rsidR="00706D43" w:rsidRPr="000B67D3" w:rsidRDefault="00706D43" w:rsidP="00706D43">
      <w:pPr>
        <w:rPr>
          <w:sz w:val="26"/>
          <w:szCs w:val="26"/>
          <w:rtl/>
        </w:rPr>
      </w:pPr>
    </w:p>
    <w:p w14:paraId="74A07598" w14:textId="77777777" w:rsidR="00E33BBA" w:rsidRPr="00E33BBA" w:rsidRDefault="00E33BBA" w:rsidP="00E33BBA">
      <w:pPr>
        <w:spacing w:before="120" w:after="120" w:line="240" w:lineRule="exact"/>
        <w:ind w:left="283" w:hanging="283"/>
        <w:jc w:val="both"/>
        <w:rPr>
          <w:rFonts w:ascii="FrankRuehl" w:hAnsi="FrankRuehl" w:cs="FrankRuehl"/>
          <w:rtl/>
        </w:rPr>
      </w:pPr>
      <w:bookmarkStart w:id="3" w:name="LawTable"/>
      <w:bookmarkEnd w:id="3"/>
      <w:r w:rsidRPr="00E33BBA">
        <w:rPr>
          <w:rFonts w:ascii="FrankRuehl" w:hAnsi="FrankRuehl" w:cs="FrankRuehl"/>
          <w:rtl/>
        </w:rPr>
        <w:t xml:space="preserve">חקיקה שאוזכרה: </w:t>
      </w:r>
    </w:p>
    <w:p w14:paraId="4ACC371D" w14:textId="77777777" w:rsidR="00E33BBA" w:rsidRPr="00E33BBA" w:rsidRDefault="00E33BBA" w:rsidP="00E33BBA">
      <w:pPr>
        <w:spacing w:before="120" w:after="120" w:line="240" w:lineRule="exact"/>
        <w:ind w:left="283" w:hanging="283"/>
        <w:jc w:val="both"/>
        <w:rPr>
          <w:rFonts w:ascii="FrankRuehl" w:hAnsi="FrankRuehl" w:cs="FrankRuehl"/>
          <w:color w:val="0000FF"/>
          <w:rtl/>
        </w:rPr>
      </w:pPr>
      <w:hyperlink r:id="rId7" w:history="1">
        <w:r w:rsidRPr="00E33BBA">
          <w:rPr>
            <w:rStyle w:val="Hyperlink"/>
            <w:rFonts w:ascii="FrankRuehl" w:hAnsi="FrankRuehl" w:cs="FrankRuehl"/>
            <w:u w:val="none"/>
            <w:rtl/>
          </w:rPr>
          <w:t>פקודת הסמים המסוכנים [נוסח חדש], תשל"ג-1973</w:t>
        </w:r>
      </w:hyperlink>
      <w:r w:rsidRPr="00E33BBA">
        <w:rPr>
          <w:rFonts w:ascii="FrankRuehl" w:hAnsi="FrankRuehl" w:cs="FrankRuehl"/>
          <w:color w:val="0000FF"/>
          <w:rtl/>
        </w:rPr>
        <w:t xml:space="preserve">: סע'  </w:t>
      </w:r>
      <w:hyperlink r:id="rId8" w:history="1">
        <w:r w:rsidRPr="00E33BBA">
          <w:rPr>
            <w:rStyle w:val="Hyperlink"/>
            <w:rFonts w:ascii="FrankRuehl" w:hAnsi="FrankRuehl" w:cs="FrankRuehl"/>
            <w:u w:val="none"/>
          </w:rPr>
          <w:t>14</w:t>
        </w:r>
      </w:hyperlink>
      <w:r w:rsidRPr="00E33BBA">
        <w:rPr>
          <w:rFonts w:ascii="FrankRuehl" w:hAnsi="FrankRuehl" w:cs="FrankRuehl"/>
          <w:color w:val="0000FF"/>
          <w:rtl/>
        </w:rPr>
        <w:t xml:space="preserve">, </w:t>
      </w:r>
      <w:hyperlink r:id="rId9" w:history="1">
        <w:r w:rsidRPr="00E33BBA">
          <w:rPr>
            <w:rStyle w:val="Hyperlink"/>
            <w:rFonts w:ascii="FrankRuehl" w:hAnsi="FrankRuehl" w:cs="FrankRuehl"/>
            <w:u w:val="none"/>
          </w:rPr>
          <w:t>19</w:t>
        </w:r>
        <w:r w:rsidRPr="00E33BBA">
          <w:rPr>
            <w:rStyle w:val="Hyperlink"/>
            <w:rFonts w:ascii="FrankRuehl" w:hAnsi="FrankRuehl" w:cs="FrankRuehl"/>
            <w:u w:val="none"/>
            <w:rtl/>
          </w:rPr>
          <w:t>א</w:t>
        </w:r>
      </w:hyperlink>
      <w:r w:rsidRPr="00E33BBA">
        <w:rPr>
          <w:rFonts w:ascii="FrankRuehl" w:hAnsi="FrankRuehl" w:cs="FrankRuehl"/>
          <w:color w:val="0000FF"/>
          <w:rtl/>
        </w:rPr>
        <w:t xml:space="preserve">, </w:t>
      </w:r>
      <w:hyperlink r:id="rId10" w:history="1">
        <w:r w:rsidRPr="00E33BBA">
          <w:rPr>
            <w:rStyle w:val="Hyperlink"/>
            <w:rFonts w:ascii="FrankRuehl" w:hAnsi="FrankRuehl" w:cs="FrankRuehl"/>
            <w:u w:val="none"/>
          </w:rPr>
          <w:t>37</w:t>
        </w:r>
        <w:r w:rsidRPr="00E33BBA">
          <w:rPr>
            <w:rStyle w:val="Hyperlink"/>
            <w:rFonts w:ascii="FrankRuehl" w:hAnsi="FrankRuehl" w:cs="FrankRuehl"/>
            <w:u w:val="none"/>
            <w:rtl/>
          </w:rPr>
          <w:t>א</w:t>
        </w:r>
      </w:hyperlink>
    </w:p>
    <w:p w14:paraId="176B26C9" w14:textId="77777777" w:rsidR="00E33BBA" w:rsidRPr="00E33BBA" w:rsidRDefault="00E33BBA" w:rsidP="00E33BBA">
      <w:pPr>
        <w:spacing w:before="120" w:after="120" w:line="240" w:lineRule="exact"/>
        <w:ind w:left="283" w:hanging="283"/>
        <w:jc w:val="both"/>
        <w:rPr>
          <w:rFonts w:ascii="FrankRuehl" w:hAnsi="FrankRuehl" w:cs="FrankRuehl"/>
          <w:color w:val="0000FF"/>
          <w:rtl/>
        </w:rPr>
      </w:pPr>
      <w:hyperlink r:id="rId11" w:history="1">
        <w:r w:rsidRPr="00E33BBA">
          <w:rPr>
            <w:rStyle w:val="Hyperlink"/>
            <w:rFonts w:ascii="FrankRuehl" w:hAnsi="FrankRuehl" w:cs="FrankRuehl"/>
            <w:u w:val="none"/>
            <w:rtl/>
          </w:rPr>
          <w:t>חוק העונשין, תשל"ז-1977</w:t>
        </w:r>
      </w:hyperlink>
      <w:r w:rsidRPr="00E33BBA">
        <w:rPr>
          <w:rFonts w:ascii="FrankRuehl" w:hAnsi="FrankRuehl" w:cs="FrankRuehl"/>
          <w:color w:val="0000FF"/>
          <w:rtl/>
        </w:rPr>
        <w:t xml:space="preserve">: סע'  </w:t>
      </w:r>
      <w:hyperlink r:id="rId12" w:history="1">
        <w:r w:rsidRPr="00E33BBA">
          <w:rPr>
            <w:rStyle w:val="Hyperlink"/>
            <w:rFonts w:ascii="FrankRuehl" w:hAnsi="FrankRuehl" w:cs="FrankRuehl"/>
            <w:u w:val="none"/>
          </w:rPr>
          <w:t>40</w:t>
        </w:r>
        <w:r w:rsidRPr="00E33BBA">
          <w:rPr>
            <w:rStyle w:val="Hyperlink"/>
            <w:rFonts w:ascii="FrankRuehl" w:hAnsi="FrankRuehl" w:cs="FrankRuehl"/>
            <w:u w:val="none"/>
            <w:rtl/>
          </w:rPr>
          <w:t>ג</w:t>
        </w:r>
      </w:hyperlink>
      <w:r w:rsidRPr="00E33BBA">
        <w:rPr>
          <w:rFonts w:ascii="FrankRuehl" w:hAnsi="FrankRuehl" w:cs="FrankRuehl"/>
          <w:color w:val="0000FF"/>
          <w:rtl/>
        </w:rPr>
        <w:t xml:space="preserve">(א), </w:t>
      </w:r>
      <w:hyperlink r:id="rId13" w:history="1">
        <w:r w:rsidRPr="00E33BBA">
          <w:rPr>
            <w:rStyle w:val="Hyperlink"/>
            <w:rFonts w:ascii="FrankRuehl" w:hAnsi="FrankRuehl" w:cs="FrankRuehl"/>
            <w:u w:val="none"/>
          </w:rPr>
          <w:t>40</w:t>
        </w:r>
        <w:r w:rsidRPr="00E33BBA">
          <w:rPr>
            <w:rStyle w:val="Hyperlink"/>
            <w:rFonts w:ascii="FrankRuehl" w:hAnsi="FrankRuehl" w:cs="FrankRuehl"/>
            <w:u w:val="none"/>
            <w:rtl/>
          </w:rPr>
          <w:t>ג</w:t>
        </w:r>
      </w:hyperlink>
      <w:r w:rsidRPr="00E33BBA">
        <w:rPr>
          <w:rFonts w:ascii="FrankRuehl" w:hAnsi="FrankRuehl" w:cs="FrankRuehl"/>
          <w:color w:val="0000FF"/>
          <w:rtl/>
        </w:rPr>
        <w:t xml:space="preserve">(ב), </w:t>
      </w:r>
      <w:hyperlink r:id="rId14" w:history="1">
        <w:r w:rsidRPr="00E33BBA">
          <w:rPr>
            <w:rStyle w:val="Hyperlink"/>
            <w:rFonts w:ascii="FrankRuehl" w:hAnsi="FrankRuehl" w:cs="FrankRuehl"/>
            <w:u w:val="none"/>
          </w:rPr>
          <w:t>40</w:t>
        </w:r>
        <w:r w:rsidRPr="00E33BBA">
          <w:rPr>
            <w:rStyle w:val="Hyperlink"/>
            <w:rFonts w:ascii="FrankRuehl" w:hAnsi="FrankRuehl" w:cs="FrankRuehl"/>
            <w:u w:val="none"/>
            <w:rtl/>
          </w:rPr>
          <w:t>ד</w:t>
        </w:r>
      </w:hyperlink>
      <w:r w:rsidRPr="00E33BBA">
        <w:rPr>
          <w:rFonts w:ascii="FrankRuehl" w:hAnsi="FrankRuehl" w:cs="FrankRuehl"/>
          <w:color w:val="0000FF"/>
          <w:rtl/>
        </w:rPr>
        <w:t xml:space="preserve">, </w:t>
      </w:r>
      <w:hyperlink r:id="rId15" w:history="1">
        <w:r w:rsidRPr="00E33BBA">
          <w:rPr>
            <w:rStyle w:val="Hyperlink"/>
            <w:rFonts w:ascii="FrankRuehl" w:hAnsi="FrankRuehl" w:cs="FrankRuehl"/>
            <w:u w:val="none"/>
          </w:rPr>
          <w:t>40</w:t>
        </w:r>
        <w:r w:rsidRPr="00E33BBA">
          <w:rPr>
            <w:rStyle w:val="Hyperlink"/>
            <w:rFonts w:ascii="FrankRuehl" w:hAnsi="FrankRuehl" w:cs="FrankRuehl"/>
            <w:u w:val="none"/>
            <w:rtl/>
          </w:rPr>
          <w:t>ה</w:t>
        </w:r>
      </w:hyperlink>
      <w:r w:rsidRPr="00E33BBA">
        <w:rPr>
          <w:rFonts w:ascii="FrankRuehl" w:hAnsi="FrankRuehl" w:cs="FrankRuehl"/>
          <w:color w:val="0000FF"/>
          <w:rtl/>
        </w:rPr>
        <w:t xml:space="preserve">, </w:t>
      </w:r>
      <w:hyperlink r:id="rId16" w:history="1">
        <w:r w:rsidRPr="00E33BBA">
          <w:rPr>
            <w:rStyle w:val="Hyperlink"/>
            <w:rFonts w:ascii="FrankRuehl" w:hAnsi="FrankRuehl" w:cs="FrankRuehl"/>
            <w:u w:val="none"/>
          </w:rPr>
          <w:t>40</w:t>
        </w:r>
        <w:r w:rsidRPr="00E33BBA">
          <w:rPr>
            <w:rStyle w:val="Hyperlink"/>
            <w:rFonts w:ascii="FrankRuehl" w:hAnsi="FrankRuehl" w:cs="FrankRuehl"/>
            <w:u w:val="none"/>
            <w:rtl/>
          </w:rPr>
          <w:t>ו</w:t>
        </w:r>
      </w:hyperlink>
      <w:r w:rsidRPr="00E33BBA">
        <w:rPr>
          <w:rFonts w:ascii="FrankRuehl" w:hAnsi="FrankRuehl" w:cs="FrankRuehl"/>
          <w:color w:val="0000FF"/>
          <w:rtl/>
        </w:rPr>
        <w:t xml:space="preserve">, </w:t>
      </w:r>
      <w:hyperlink r:id="rId17" w:history="1">
        <w:r w:rsidRPr="00E33BBA">
          <w:rPr>
            <w:rStyle w:val="Hyperlink"/>
            <w:rFonts w:ascii="FrankRuehl" w:hAnsi="FrankRuehl" w:cs="FrankRuehl"/>
            <w:u w:val="none"/>
          </w:rPr>
          <w:t>40</w:t>
        </w:r>
        <w:r w:rsidRPr="00E33BBA">
          <w:rPr>
            <w:rStyle w:val="Hyperlink"/>
            <w:rFonts w:ascii="FrankRuehl" w:hAnsi="FrankRuehl" w:cs="FrankRuehl"/>
            <w:u w:val="none"/>
            <w:rtl/>
          </w:rPr>
          <w:t>ז</w:t>
        </w:r>
      </w:hyperlink>
      <w:r w:rsidRPr="00E33BBA">
        <w:rPr>
          <w:rFonts w:ascii="FrankRuehl" w:hAnsi="FrankRuehl" w:cs="FrankRuehl"/>
          <w:color w:val="0000FF"/>
          <w:rtl/>
        </w:rPr>
        <w:t xml:space="preserve">, </w:t>
      </w:r>
      <w:hyperlink r:id="rId18" w:history="1">
        <w:r w:rsidRPr="00E33BBA">
          <w:rPr>
            <w:rStyle w:val="Hyperlink"/>
            <w:rFonts w:ascii="FrankRuehl" w:hAnsi="FrankRuehl" w:cs="FrankRuehl"/>
            <w:u w:val="none"/>
          </w:rPr>
          <w:t>40</w:t>
        </w:r>
        <w:r w:rsidRPr="00E33BBA">
          <w:rPr>
            <w:rStyle w:val="Hyperlink"/>
            <w:rFonts w:ascii="FrankRuehl" w:hAnsi="FrankRuehl" w:cs="FrankRuehl"/>
            <w:u w:val="none"/>
            <w:rtl/>
          </w:rPr>
          <w:t>ח</w:t>
        </w:r>
      </w:hyperlink>
      <w:r w:rsidRPr="00E33BBA">
        <w:rPr>
          <w:rFonts w:ascii="FrankRuehl" w:hAnsi="FrankRuehl" w:cs="FrankRuehl"/>
          <w:color w:val="0000FF"/>
          <w:rtl/>
        </w:rPr>
        <w:t xml:space="preserve">, </w:t>
      </w:r>
      <w:hyperlink r:id="rId19" w:history="1">
        <w:r w:rsidRPr="00E33BBA">
          <w:rPr>
            <w:rStyle w:val="Hyperlink"/>
            <w:rFonts w:ascii="FrankRuehl" w:hAnsi="FrankRuehl" w:cs="FrankRuehl"/>
            <w:u w:val="none"/>
          </w:rPr>
          <w:t>40</w:t>
        </w:r>
        <w:r w:rsidRPr="00E33BBA">
          <w:rPr>
            <w:rStyle w:val="Hyperlink"/>
            <w:rFonts w:ascii="FrankRuehl" w:hAnsi="FrankRuehl" w:cs="FrankRuehl"/>
            <w:u w:val="none"/>
            <w:rtl/>
          </w:rPr>
          <w:t>יא</w:t>
        </w:r>
      </w:hyperlink>
      <w:r w:rsidRPr="00E33BBA">
        <w:rPr>
          <w:rFonts w:ascii="FrankRuehl" w:hAnsi="FrankRuehl" w:cs="FrankRuehl"/>
          <w:color w:val="0000FF"/>
          <w:rtl/>
        </w:rPr>
        <w:t xml:space="preserve">, </w:t>
      </w:r>
      <w:hyperlink r:id="rId20" w:history="1">
        <w:r w:rsidRPr="00E33BBA">
          <w:rPr>
            <w:rStyle w:val="Hyperlink"/>
            <w:rFonts w:ascii="FrankRuehl" w:hAnsi="FrankRuehl" w:cs="FrankRuehl"/>
            <w:u w:val="none"/>
          </w:rPr>
          <w:t>40</w:t>
        </w:r>
        <w:r w:rsidRPr="00E33BBA">
          <w:rPr>
            <w:rStyle w:val="Hyperlink"/>
            <w:rFonts w:ascii="FrankRuehl" w:hAnsi="FrankRuehl" w:cs="FrankRuehl"/>
            <w:u w:val="none"/>
            <w:rtl/>
          </w:rPr>
          <w:t>יט</w:t>
        </w:r>
      </w:hyperlink>
    </w:p>
    <w:p w14:paraId="04BB98EE" w14:textId="77777777" w:rsidR="00706D43" w:rsidRDefault="00706D43" w:rsidP="00E33BBA">
      <w:pPr>
        <w:rPr>
          <w:rFonts w:ascii="Arial" w:hAnsi="Arial" w:hint="cs"/>
          <w:sz w:val="26"/>
          <w:szCs w:val="26"/>
          <w:rtl/>
        </w:rPr>
      </w:pPr>
      <w:bookmarkStart w:id="4" w:name="LawTable_End"/>
      <w:bookmarkEnd w:id="4"/>
    </w:p>
    <w:p w14:paraId="2BE6A6DF" w14:textId="77777777" w:rsidR="00E33BBA" w:rsidRPr="00E33BBA" w:rsidRDefault="00E33BBA" w:rsidP="00E33BBA">
      <w:pPr>
        <w:rPr>
          <w:rFonts w:ascii="Arial" w:hAnsi="Arial" w:hint="cs"/>
          <w:sz w:val="26"/>
          <w:szCs w:val="26"/>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706D43" w14:paraId="1500771E" w14:textId="77777777" w:rsidTr="00706D43">
        <w:trPr>
          <w:trHeight w:val="624"/>
          <w:jc w:val="center"/>
        </w:trPr>
        <w:tc>
          <w:tcPr>
            <w:tcW w:w="8364" w:type="dxa"/>
            <w:tcBorders>
              <w:top w:val="nil"/>
              <w:left w:val="nil"/>
              <w:bottom w:val="nil"/>
              <w:right w:val="nil"/>
            </w:tcBorders>
            <w:shd w:val="clear" w:color="auto" w:fill="auto"/>
            <w:vAlign w:val="center"/>
          </w:tcPr>
          <w:p w14:paraId="4A9C8CA2" w14:textId="77777777" w:rsidR="000B67D3" w:rsidRPr="000B67D3" w:rsidRDefault="000B67D3" w:rsidP="000B67D3">
            <w:pPr>
              <w:jc w:val="center"/>
              <w:rPr>
                <w:rFonts w:ascii="David" w:hAnsi="David"/>
                <w:b/>
                <w:bCs/>
                <w:sz w:val="32"/>
                <w:szCs w:val="32"/>
                <w:u w:val="single"/>
                <w:rtl/>
              </w:rPr>
            </w:pPr>
            <w:bookmarkStart w:id="5" w:name="PsakDin" w:colFirst="0" w:colLast="0"/>
            <w:bookmarkEnd w:id="0"/>
            <w:r w:rsidRPr="000B67D3">
              <w:rPr>
                <w:rFonts w:ascii="David" w:hAnsi="David"/>
                <w:b/>
                <w:bCs/>
                <w:sz w:val="32"/>
                <w:szCs w:val="32"/>
                <w:u w:val="single"/>
                <w:rtl/>
              </w:rPr>
              <w:t>גזר דין</w:t>
            </w:r>
          </w:p>
          <w:p w14:paraId="72CBF199" w14:textId="77777777" w:rsidR="00706D43" w:rsidRPr="000B67D3" w:rsidRDefault="00706D43" w:rsidP="000B67D3">
            <w:pPr>
              <w:jc w:val="center"/>
              <w:rPr>
                <w:rFonts w:ascii="David" w:hAnsi="David"/>
                <w:bCs/>
                <w:sz w:val="32"/>
                <w:szCs w:val="32"/>
                <w:u w:val="single"/>
              </w:rPr>
            </w:pPr>
          </w:p>
        </w:tc>
      </w:tr>
      <w:bookmarkEnd w:id="5"/>
    </w:tbl>
    <w:p w14:paraId="4DE6692D" w14:textId="77777777" w:rsidR="00706D43" w:rsidRDefault="00706D43" w:rsidP="00706D43">
      <w:pPr>
        <w:rPr>
          <w:rFonts w:ascii="Arial" w:hAnsi="Arial"/>
          <w:b/>
          <w:bCs/>
          <w:sz w:val="26"/>
          <w:szCs w:val="26"/>
          <w:rtl/>
        </w:rPr>
      </w:pPr>
    </w:p>
    <w:p w14:paraId="1B5DD4CB" w14:textId="77777777" w:rsidR="00706D43" w:rsidRDefault="00706D43" w:rsidP="00706D43">
      <w:pPr>
        <w:widowControl w:val="0"/>
        <w:spacing w:line="360" w:lineRule="auto"/>
        <w:jc w:val="both"/>
        <w:rPr>
          <w:rFonts w:ascii="David" w:hAnsi="David"/>
          <w:b/>
          <w:bCs/>
          <w:sz w:val="26"/>
          <w:szCs w:val="26"/>
          <w:rtl/>
        </w:rPr>
      </w:pPr>
      <w:r>
        <w:rPr>
          <w:rFonts w:ascii="David" w:hAnsi="David"/>
          <w:b/>
          <w:bCs/>
          <w:sz w:val="26"/>
          <w:szCs w:val="26"/>
          <w:rtl/>
        </w:rPr>
        <w:t>כתב האישום, הסדר הטיעון והשתלשלות העניינים בתיק</w:t>
      </w:r>
    </w:p>
    <w:p w14:paraId="79B9235E" w14:textId="77777777" w:rsidR="00706D43" w:rsidRDefault="00706D43" w:rsidP="00706D43">
      <w:pPr>
        <w:pStyle w:val="ListParagraph"/>
        <w:widowControl w:val="0"/>
        <w:numPr>
          <w:ilvl w:val="0"/>
          <w:numId w:val="1"/>
        </w:numPr>
        <w:spacing w:line="360" w:lineRule="auto"/>
        <w:ind w:left="360"/>
        <w:jc w:val="both"/>
        <w:rPr>
          <w:rFonts w:ascii="David" w:hAnsi="David"/>
          <w:sz w:val="24"/>
        </w:rPr>
      </w:pPr>
      <w:bookmarkStart w:id="6" w:name="ABSTRACT_START"/>
      <w:bookmarkEnd w:id="6"/>
      <w:r>
        <w:rPr>
          <w:sz w:val="24"/>
          <w:rtl/>
        </w:rPr>
        <w:t>ב-7.6.22, הוצג הסדר טיעון בפני סגנית הנשיא, כב' הש' מיטל חלפון-נזריאן, במסגרתו הוגש כתב אישום מתוקן, הנאשם הודה בו והורשע על פי הודאתו ב-</w:t>
      </w:r>
      <w:r>
        <w:rPr>
          <w:b/>
          <w:bCs/>
          <w:sz w:val="24"/>
          <w:rtl/>
        </w:rPr>
        <w:t>תיווך בסם מסוכן</w:t>
      </w:r>
      <w:r>
        <w:rPr>
          <w:sz w:val="24"/>
          <w:rtl/>
        </w:rPr>
        <w:t xml:space="preserve">, עבירה בהתאם </w:t>
      </w:r>
      <w:hyperlink r:id="rId21" w:history="1">
        <w:r w:rsidR="00E33BBA" w:rsidRPr="00E33BBA">
          <w:rPr>
            <w:rStyle w:val="Hyperlink"/>
            <w:color w:val="0000FF"/>
            <w:sz w:val="24"/>
            <w:rtl/>
          </w:rPr>
          <w:t>לסעיפים 14</w:t>
        </w:r>
      </w:hyperlink>
      <w:r>
        <w:rPr>
          <w:sz w:val="24"/>
          <w:rtl/>
        </w:rPr>
        <w:t xml:space="preserve"> ו-</w:t>
      </w:r>
      <w:hyperlink r:id="rId22" w:history="1">
        <w:r w:rsidR="00E33BBA" w:rsidRPr="00E33BBA">
          <w:rPr>
            <w:rStyle w:val="Hyperlink"/>
            <w:color w:val="0000FF"/>
            <w:sz w:val="24"/>
            <w:rtl/>
          </w:rPr>
          <w:t>19א</w:t>
        </w:r>
      </w:hyperlink>
      <w:r>
        <w:rPr>
          <w:sz w:val="24"/>
          <w:rtl/>
        </w:rPr>
        <w:t xml:space="preserve"> ל-</w:t>
      </w:r>
      <w:hyperlink r:id="rId23" w:history="1">
        <w:r w:rsidR="000B67D3" w:rsidRPr="000B67D3">
          <w:rPr>
            <w:rFonts w:ascii="Miriam" w:hAnsi="Miriam" w:cs="Miriam"/>
            <w:b/>
            <w:bCs/>
            <w:color w:val="0000FF"/>
            <w:sz w:val="22"/>
            <w:szCs w:val="22"/>
            <w:u w:val="single"/>
            <w:rtl/>
          </w:rPr>
          <w:t>פקודת הסמים המסוכנים</w:t>
        </w:r>
      </w:hyperlink>
      <w:r>
        <w:rPr>
          <w:rFonts w:ascii="Miriam" w:hAnsi="Miriam" w:cs="Miriam"/>
          <w:b/>
          <w:bCs/>
          <w:sz w:val="22"/>
          <w:szCs w:val="22"/>
          <w:rtl/>
        </w:rPr>
        <w:t xml:space="preserve"> [נוסח חדש]</w:t>
      </w:r>
      <w:r>
        <w:rPr>
          <w:sz w:val="24"/>
          <w:rtl/>
        </w:rPr>
        <w:t xml:space="preserve">, התשל"ג–1973 (להלן: </w:t>
      </w:r>
      <w:r>
        <w:rPr>
          <w:rFonts w:ascii="Miriam" w:hAnsi="Miriam" w:cs="Miriam"/>
          <w:b/>
          <w:bCs/>
          <w:sz w:val="22"/>
          <w:szCs w:val="22"/>
          <w:rtl/>
        </w:rPr>
        <w:t>פקודת הסמים</w:t>
      </w:r>
      <w:r>
        <w:rPr>
          <w:sz w:val="24"/>
          <w:rtl/>
        </w:rPr>
        <w:t xml:space="preserve">). </w:t>
      </w:r>
    </w:p>
    <w:p w14:paraId="4E8ED31F" w14:textId="77777777" w:rsidR="00706D43" w:rsidRDefault="00706D43" w:rsidP="00706D43">
      <w:pPr>
        <w:pStyle w:val="ListParagraph"/>
        <w:widowControl w:val="0"/>
        <w:spacing w:line="360" w:lineRule="auto"/>
        <w:ind w:left="357"/>
        <w:jc w:val="both"/>
        <w:rPr>
          <w:sz w:val="24"/>
        </w:rPr>
      </w:pPr>
      <w:bookmarkStart w:id="7" w:name="ABSTRACT_END"/>
      <w:bookmarkEnd w:id="7"/>
    </w:p>
    <w:p w14:paraId="58461D68" w14:textId="77777777" w:rsidR="00706D43" w:rsidRDefault="00706D43" w:rsidP="00706D43">
      <w:pPr>
        <w:pStyle w:val="ListParagraph"/>
        <w:widowControl w:val="0"/>
        <w:numPr>
          <w:ilvl w:val="0"/>
          <w:numId w:val="1"/>
        </w:numPr>
        <w:spacing w:line="360" w:lineRule="auto"/>
        <w:ind w:left="357" w:hanging="357"/>
        <w:jc w:val="both"/>
        <w:rPr>
          <w:sz w:val="24"/>
        </w:rPr>
      </w:pPr>
      <w:r>
        <w:rPr>
          <w:sz w:val="24"/>
          <w:u w:val="single"/>
          <w:rtl/>
        </w:rPr>
        <w:t>בהתאם לעובדות כתב האישום המתוקן</w:t>
      </w:r>
      <w:r>
        <w:rPr>
          <w:sz w:val="24"/>
          <w:rtl/>
        </w:rPr>
        <w:t xml:space="preserve">, השוטר ארקדי יופית (להלן: </w:t>
      </w:r>
      <w:r>
        <w:rPr>
          <w:b/>
          <w:bCs/>
          <w:sz w:val="24"/>
          <w:rtl/>
        </w:rPr>
        <w:t>השוטר</w:t>
      </w:r>
      <w:r>
        <w:rPr>
          <w:sz w:val="24"/>
          <w:rtl/>
        </w:rPr>
        <w:t xml:space="preserve">) נשלח לביים עסקת סמים, במסגרת פעילות למיגור תופעת הסחר בסמים. ב-21.3.22, סמוך ל-18:27 שרלי אבטן (להלן: </w:t>
      </w:r>
      <w:r>
        <w:rPr>
          <w:b/>
          <w:bCs/>
          <w:sz w:val="24"/>
          <w:rtl/>
        </w:rPr>
        <w:t>אבטן</w:t>
      </w:r>
      <w:r>
        <w:rPr>
          <w:sz w:val="24"/>
          <w:rtl/>
        </w:rPr>
        <w:t>)התקשר אל השוטר (אשר התקשר אליו קודם לכן ב-18:09 ושוחח עם בת זוגו), שאל אותו מה הוא צריך – והשוטר השיב כי הוא צריך "</w:t>
      </w:r>
      <w:r>
        <w:rPr>
          <w:b/>
          <w:bCs/>
          <w:sz w:val="24"/>
          <w:rtl/>
        </w:rPr>
        <w:t>אחת של 200</w:t>
      </w:r>
      <w:r>
        <w:rPr>
          <w:sz w:val="24"/>
          <w:rtl/>
        </w:rPr>
        <w:t xml:space="preserve">". השניים סיכמו כי השוטר יגיע לדירתו של שרלי, ברחוב אח"י אילת 9/19 באשדוד (להלן: </w:t>
      </w:r>
      <w:r>
        <w:rPr>
          <w:b/>
          <w:bCs/>
          <w:sz w:val="24"/>
          <w:rtl/>
        </w:rPr>
        <w:t>הדירה</w:t>
      </w:r>
      <w:r>
        <w:rPr>
          <w:sz w:val="24"/>
          <w:rtl/>
        </w:rPr>
        <w:t xml:space="preserve">). סמוך ל-18:38 התקשר שרלי לשוטר, שאל היכן הוא והכווינו לעבר חנייה מאחורי הדירה (להלן: </w:t>
      </w:r>
      <w:r>
        <w:rPr>
          <w:b/>
          <w:bCs/>
          <w:sz w:val="24"/>
          <w:rtl/>
        </w:rPr>
        <w:t>החניה</w:t>
      </w:r>
      <w:r>
        <w:rPr>
          <w:sz w:val="24"/>
          <w:rtl/>
        </w:rPr>
        <w:t>). משהגיע השוטר לחניה, הבחין בשרלי עומד בחלון ושרלי קרא לו לעלות לדירה. בדירה השוטר פגש בשרלי, אשר שאל "</w:t>
      </w:r>
      <w:r>
        <w:rPr>
          <w:b/>
          <w:bCs/>
          <w:sz w:val="24"/>
          <w:rtl/>
        </w:rPr>
        <w:t>כמה מאתים אמרת?</w:t>
      </w:r>
      <w:r>
        <w:rPr>
          <w:sz w:val="24"/>
          <w:rtl/>
        </w:rPr>
        <w:t xml:space="preserve">", התקשר לאחר בשם דודו (להלן: </w:t>
      </w:r>
      <w:r>
        <w:rPr>
          <w:b/>
          <w:bCs/>
          <w:sz w:val="24"/>
          <w:rtl/>
        </w:rPr>
        <w:t>דודו</w:t>
      </w:r>
      <w:r>
        <w:rPr>
          <w:sz w:val="24"/>
          <w:rtl/>
        </w:rPr>
        <w:t xml:space="preserve">) ושאל אותו אם יש לו נהג. דודו השיב בשלילה ואמר שהנהג שלו יגיע בעוד חצי שעה. בשלב זה, </w:t>
      </w:r>
      <w:r>
        <w:rPr>
          <w:sz w:val="24"/>
          <w:rtl/>
        </w:rPr>
        <w:lastRenderedPageBreak/>
        <w:t>התקשר שרלי אל הנאשם, אשר התגורר בדירה ברחוב אח"י אילת 9/18. בסיום השיחה עם הנאשם,  אמר שרלי לשוטר "</w:t>
      </w:r>
      <w:r>
        <w:rPr>
          <w:b/>
          <w:bCs/>
          <w:sz w:val="24"/>
          <w:rtl/>
        </w:rPr>
        <w:t>הנה חבר שלי יעלה הוא יזמין לנו יזמין לך חתיכה גדולה</w:t>
      </w:r>
      <w:r>
        <w:rPr>
          <w:sz w:val="24"/>
          <w:rtl/>
        </w:rPr>
        <w:t>". הנאשם נכנס לדירה והשיב בחיוב לבקשת שרלי "</w:t>
      </w:r>
      <w:r>
        <w:rPr>
          <w:b/>
          <w:bCs/>
          <w:sz w:val="24"/>
          <w:rtl/>
        </w:rPr>
        <w:t>תתקשר אתה יכול להתקשר לבחור ולהביא במאתיים</w:t>
      </w:r>
      <w:r>
        <w:rPr>
          <w:sz w:val="24"/>
          <w:rtl/>
        </w:rPr>
        <w:t xml:space="preserve">", יצא מהדירה, התקשר לאחר וביקש שיביא לו את הסם. כ-10 דקות לאחר מכן שב הנאשם לדירה ומסר לשוטר שקית שקופה שהכילה 0.19 גרם קוקאין, בתמורה ל-200 ₪. שרלי דרש מהשוטר חלק מהסם, אך השוטר סירב ונתן לו בתמורה 50 ₪. </w:t>
      </w:r>
    </w:p>
    <w:p w14:paraId="14E3141F" w14:textId="77777777" w:rsidR="00706D43" w:rsidRDefault="00706D43" w:rsidP="00706D43">
      <w:pPr>
        <w:pStyle w:val="ListParagraph"/>
        <w:spacing w:line="360" w:lineRule="auto"/>
        <w:rPr>
          <w:sz w:val="24"/>
        </w:rPr>
      </w:pPr>
    </w:p>
    <w:p w14:paraId="6687ADF8" w14:textId="77777777" w:rsidR="00706D43" w:rsidRDefault="00706D43" w:rsidP="00706D43">
      <w:pPr>
        <w:pStyle w:val="ListParagraph"/>
        <w:widowControl w:val="0"/>
        <w:numPr>
          <w:ilvl w:val="0"/>
          <w:numId w:val="1"/>
        </w:numPr>
        <w:spacing w:line="360" w:lineRule="auto"/>
        <w:ind w:left="357" w:hanging="357"/>
        <w:jc w:val="both"/>
        <w:rPr>
          <w:rFonts w:ascii="David" w:hAnsi="David"/>
          <w:b/>
          <w:bCs/>
          <w:sz w:val="26"/>
          <w:szCs w:val="26"/>
          <w:rtl/>
        </w:rPr>
      </w:pPr>
      <w:r>
        <w:rPr>
          <w:sz w:val="24"/>
          <w:rtl/>
        </w:rPr>
        <w:t xml:space="preserve">הסדר הטיעון לא כלל הסכמה עונשית. לאחר הודאתו, הופנה הנאשם לשירות המבחן, לצורך עריכת תסקיר והתיק נקבע לשמיעת טיעונים לעונש בפני כב' הש' דורית בונדה ליום 13.11.22. הדיונים בתיק נדחו מעת לעת מסיבות שונות, לרבות בשל אי-הגעת הנאשם לשירות המבחן, עקב בעיות בריאותיות מתמשכות שלו. בחלוף למעלה משנה התיק הועבר לשמיעה בפניי. ב-24.12.23 נשמעו הטיעונים לעונש, תוך התייחסות הצדדים לשיתוף הפעולה של הנאשם עם שירות המבחן, הכל כפי שיפורט בהמשך. </w:t>
      </w:r>
    </w:p>
    <w:p w14:paraId="7E29F295" w14:textId="77777777" w:rsidR="00706D43" w:rsidRDefault="00706D43" w:rsidP="00706D43">
      <w:pPr>
        <w:pStyle w:val="ListParagraph"/>
        <w:widowControl w:val="0"/>
        <w:spacing w:line="360" w:lineRule="auto"/>
        <w:ind w:left="357"/>
        <w:jc w:val="both"/>
        <w:rPr>
          <w:rFonts w:ascii="David" w:hAnsi="David"/>
          <w:b/>
          <w:bCs/>
          <w:sz w:val="26"/>
          <w:szCs w:val="26"/>
        </w:rPr>
      </w:pPr>
    </w:p>
    <w:p w14:paraId="2A4C491F" w14:textId="77777777" w:rsidR="00706D43" w:rsidRDefault="00706D43" w:rsidP="00706D43">
      <w:pPr>
        <w:widowControl w:val="0"/>
        <w:spacing w:line="360" w:lineRule="auto"/>
        <w:jc w:val="both"/>
        <w:rPr>
          <w:rFonts w:ascii="David" w:hAnsi="David"/>
          <w:b/>
          <w:bCs/>
          <w:sz w:val="26"/>
          <w:szCs w:val="26"/>
        </w:rPr>
      </w:pPr>
      <w:r>
        <w:rPr>
          <w:rFonts w:ascii="David" w:hAnsi="David"/>
          <w:b/>
          <w:bCs/>
          <w:sz w:val="26"/>
          <w:szCs w:val="26"/>
          <w:rtl/>
        </w:rPr>
        <w:t>קביעת מתחם העונש ההולם</w:t>
      </w:r>
    </w:p>
    <w:p w14:paraId="4B9E0201" w14:textId="77777777" w:rsidR="00706D43" w:rsidRDefault="00706D43" w:rsidP="00706D43">
      <w:pPr>
        <w:pStyle w:val="ListParagraph"/>
        <w:widowControl w:val="0"/>
        <w:numPr>
          <w:ilvl w:val="0"/>
          <w:numId w:val="1"/>
        </w:numPr>
        <w:spacing w:line="360" w:lineRule="auto"/>
        <w:ind w:left="357" w:hanging="357"/>
        <w:jc w:val="both"/>
        <w:rPr>
          <w:rFonts w:ascii="David" w:hAnsi="David"/>
          <w:sz w:val="24"/>
        </w:rPr>
      </w:pPr>
      <w:r>
        <w:rPr>
          <w:sz w:val="24"/>
          <w:rtl/>
        </w:rPr>
        <w:t xml:space="preserve">בקביעת מתחם העונש ההולם, התחשבתי באמות המידה ואבני הבוחן הבאות, בהתאם </w:t>
      </w:r>
      <w:hyperlink r:id="rId24" w:history="1">
        <w:r w:rsidR="00E33BBA" w:rsidRPr="00E33BBA">
          <w:rPr>
            <w:rStyle w:val="Hyperlink"/>
            <w:color w:val="0000FF"/>
            <w:sz w:val="24"/>
            <w:rtl/>
          </w:rPr>
          <w:t>לסעיף 40ג(א)</w:t>
        </w:r>
      </w:hyperlink>
      <w:r>
        <w:rPr>
          <w:sz w:val="24"/>
          <w:rtl/>
        </w:rPr>
        <w:t xml:space="preserve"> ל-</w:t>
      </w:r>
      <w:hyperlink r:id="rId25" w:history="1">
        <w:r w:rsidR="000B67D3" w:rsidRPr="000B67D3">
          <w:rPr>
            <w:rFonts w:ascii="Miriam" w:hAnsi="Miriam" w:cs="Miriam"/>
            <w:b/>
            <w:bCs/>
            <w:color w:val="0000FF"/>
            <w:sz w:val="22"/>
            <w:szCs w:val="22"/>
            <w:u w:val="single"/>
            <w:rtl/>
          </w:rPr>
          <w:t>חוק העונשין</w:t>
        </w:r>
      </w:hyperlink>
      <w:r>
        <w:rPr>
          <w:sz w:val="24"/>
          <w:rtl/>
        </w:rPr>
        <w:t>, כמפורט להלן:</w:t>
      </w:r>
    </w:p>
    <w:p w14:paraId="07BFAEBE" w14:textId="77777777" w:rsidR="00706D43" w:rsidRDefault="00706D43" w:rsidP="00706D43">
      <w:pPr>
        <w:pStyle w:val="ListParagraph"/>
        <w:widowControl w:val="0"/>
        <w:spacing w:line="360" w:lineRule="auto"/>
        <w:ind w:left="357"/>
        <w:jc w:val="both"/>
        <w:rPr>
          <w:sz w:val="24"/>
          <w:rtl/>
        </w:rPr>
      </w:pPr>
    </w:p>
    <w:p w14:paraId="5F9F6259" w14:textId="77777777" w:rsidR="00706D43" w:rsidRDefault="00706D43" w:rsidP="00706D43">
      <w:pPr>
        <w:widowControl w:val="0"/>
        <w:numPr>
          <w:ilvl w:val="1"/>
          <w:numId w:val="1"/>
        </w:numPr>
        <w:snapToGrid w:val="0"/>
        <w:spacing w:line="360" w:lineRule="auto"/>
        <w:ind w:left="850" w:hanging="425"/>
        <w:jc w:val="both"/>
        <w:rPr>
          <w:rFonts w:ascii="David" w:hAnsi="David"/>
          <w:rtl/>
          <w:lang w:eastAsia="he-IL"/>
        </w:rPr>
      </w:pPr>
      <w:r>
        <w:rPr>
          <w:rFonts w:ascii="David" w:hAnsi="David"/>
          <w:rtl/>
        </w:rPr>
        <w:t xml:space="preserve">מקובלת עליי טענת ב"כ המאשימה, כי במעשיו פגע הנאשם </w:t>
      </w:r>
      <w:r>
        <w:rPr>
          <w:rFonts w:ascii="David" w:hAnsi="David"/>
          <w:b/>
          <w:bCs/>
          <w:rtl/>
        </w:rPr>
        <w:t>בערכים החברתיים</w:t>
      </w:r>
      <w:r>
        <w:rPr>
          <w:rFonts w:ascii="David" w:hAnsi="David"/>
          <w:rtl/>
        </w:rPr>
        <w:t xml:space="preserve">, הכוללים </w:t>
      </w:r>
      <w:r>
        <w:rPr>
          <w:rFonts w:ascii="David" w:hAnsi="David"/>
          <w:rtl/>
          <w:lang w:eastAsia="he-IL"/>
        </w:rPr>
        <w:t>הגנה על שלום הציבור ובריאותו מפני הנזקים הישירים והעקיפים, אשר נגרמים עקב השימוש בסמים</w:t>
      </w:r>
      <w:r>
        <w:rPr>
          <w:rFonts w:ascii="David" w:hAnsi="David"/>
          <w:rtl/>
        </w:rPr>
        <w:t>, כמו גם השמירה על הסדר הציבורי</w:t>
      </w:r>
      <w:r>
        <w:rPr>
          <w:rFonts w:ascii="David" w:hAnsi="David"/>
          <w:rtl/>
          <w:lang w:eastAsia="he-IL"/>
        </w:rPr>
        <w:t xml:space="preserve">. </w:t>
      </w:r>
      <w:r>
        <w:rPr>
          <w:rFonts w:ascii="David" w:hAnsi="David"/>
          <w:rtl/>
        </w:rPr>
        <w:t xml:space="preserve">עבירות הסמים מחוללות פשיעה אגב הפצת הסם וצריכתו. </w:t>
      </w:r>
      <w:r>
        <w:rPr>
          <w:rFonts w:ascii="David" w:hAnsi="David"/>
          <w:rtl/>
          <w:lang w:eastAsia="he-IL"/>
        </w:rPr>
        <w:t>מעבר לנזקים הישירים הנגרמים למשתמשי הסם, נגע הסמים מלווה ואף יוצר עבירות נוספות, ובכלל זה עבירות רכוש,</w:t>
      </w:r>
      <w:r>
        <w:rPr>
          <w:rFonts w:ascii="David" w:hAnsi="David"/>
          <w:b/>
          <w:bCs/>
          <w:rtl/>
          <w:lang w:eastAsia="he-IL"/>
        </w:rPr>
        <w:t xml:space="preserve"> </w:t>
      </w:r>
      <w:r>
        <w:rPr>
          <w:rFonts w:ascii="David" w:hAnsi="David"/>
          <w:rtl/>
          <w:lang w:eastAsia="he-IL"/>
        </w:rPr>
        <w:t xml:space="preserve">בשל הצורך העז להשיג את מנת הסם, ולעיתים אף עבירות אלימות, שמבוצעות כתוצאה מהשימוש בסמים או במהלך ביצוע עבירות הרכוש. </w:t>
      </w:r>
    </w:p>
    <w:p w14:paraId="008CDA6F" w14:textId="77777777" w:rsidR="00706D43" w:rsidRDefault="00706D43" w:rsidP="00706D43">
      <w:pPr>
        <w:widowControl w:val="0"/>
        <w:snapToGrid w:val="0"/>
        <w:spacing w:line="360" w:lineRule="auto"/>
        <w:ind w:left="850"/>
        <w:jc w:val="both"/>
        <w:rPr>
          <w:rFonts w:ascii="David" w:hAnsi="David"/>
          <w:lang w:eastAsia="he-IL"/>
        </w:rPr>
      </w:pPr>
    </w:p>
    <w:p w14:paraId="36A48F98" w14:textId="77777777" w:rsidR="00706D43" w:rsidRDefault="00706D43" w:rsidP="00706D43">
      <w:pPr>
        <w:widowControl w:val="0"/>
        <w:numPr>
          <w:ilvl w:val="1"/>
          <w:numId w:val="1"/>
        </w:numPr>
        <w:snapToGrid w:val="0"/>
        <w:spacing w:line="360" w:lineRule="auto"/>
        <w:ind w:left="850" w:hanging="425"/>
        <w:jc w:val="both"/>
        <w:rPr>
          <w:rFonts w:ascii="David" w:hAnsi="David"/>
          <w:lang w:eastAsia="he-IL"/>
        </w:rPr>
      </w:pPr>
      <w:r>
        <w:rPr>
          <w:rFonts w:ascii="David" w:hAnsi="David"/>
          <w:rtl/>
          <w:lang w:eastAsia="he-IL"/>
        </w:rPr>
        <w:t>אין להקל ראש ב-</w:t>
      </w:r>
      <w:r>
        <w:rPr>
          <w:rFonts w:ascii="David" w:hAnsi="David"/>
          <w:b/>
          <w:bCs/>
          <w:rtl/>
        </w:rPr>
        <w:t>מידת הפגיעה בערכים החברתיים</w:t>
      </w:r>
      <w:r>
        <w:rPr>
          <w:rFonts w:ascii="David" w:hAnsi="David"/>
          <w:rtl/>
        </w:rPr>
        <w:t>. לצד זאת, מקובלת עלי טענת ב"כ הנאשם כי לא מדובר בפגיעה מהחמורות, בהתחשב בכמות הקטנה של הסם ובכך שהנאשם תיווך לסחר בו. לצד זאת, מדובר בסם</w:t>
      </w:r>
      <w:r>
        <w:rPr>
          <w:rFonts w:ascii="David" w:hAnsi="David"/>
          <w:rtl/>
          <w:lang w:eastAsia="he-IL"/>
        </w:rPr>
        <w:t xml:space="preserve"> מסוכן מסוג קוקאין, שהוגדר </w:t>
      </w:r>
      <w:r>
        <w:rPr>
          <w:rFonts w:ascii="David" w:hAnsi="David"/>
          <w:rtl/>
        </w:rPr>
        <w:t>כ"</w:t>
      </w:r>
      <w:r>
        <w:rPr>
          <w:rFonts w:ascii="David" w:hAnsi="David"/>
          <w:b/>
          <w:bCs/>
          <w:rtl/>
        </w:rPr>
        <w:t>סם המוות סדרתי שכוחו עמו לגרום רע</w:t>
      </w:r>
      <w:r>
        <w:rPr>
          <w:rFonts w:ascii="David" w:hAnsi="David"/>
          <w:rtl/>
        </w:rPr>
        <w:t>" [פסקה ג' לפסק דינו של המשנה לנשיאה, כב' הש' רובינשטיין ב-</w:t>
      </w:r>
      <w:hyperlink r:id="rId26" w:history="1">
        <w:r w:rsidR="000B67D3" w:rsidRPr="000B67D3">
          <w:rPr>
            <w:rFonts w:ascii="David" w:hAnsi="David"/>
            <w:color w:val="0000FF"/>
            <w:u w:val="single"/>
            <w:rtl/>
          </w:rPr>
          <w:t>ע"פ 7952/15</w:t>
        </w:r>
      </w:hyperlink>
      <w:r>
        <w:rPr>
          <w:rFonts w:ascii="David" w:hAnsi="David"/>
          <w:rtl/>
        </w:rPr>
        <w:t xml:space="preserve"> </w:t>
      </w:r>
      <w:r>
        <w:rPr>
          <w:rFonts w:ascii="Miriam" w:hAnsi="Miriam" w:cs="Miriam"/>
          <w:b/>
          <w:bCs/>
          <w:sz w:val="22"/>
          <w:szCs w:val="22"/>
          <w:rtl/>
          <w:lang w:eastAsia="he-IL"/>
        </w:rPr>
        <w:t xml:space="preserve">מדינת ישראל נ' שץ </w:t>
      </w:r>
      <w:r>
        <w:rPr>
          <w:rFonts w:ascii="David" w:hAnsi="David"/>
          <w:rtl/>
        </w:rPr>
        <w:t xml:space="preserve">(15.2.16)]  ולגביו נקבע כי </w:t>
      </w:r>
      <w:r>
        <w:rPr>
          <w:rtl/>
        </w:rPr>
        <w:t>"</w:t>
      </w:r>
      <w:r>
        <w:rPr>
          <w:b/>
          <w:bCs/>
          <w:rtl/>
        </w:rPr>
        <w:t>הקוקאין הוא מן הנפוצים שבסמים ה'קשים', שסכנותיהם ונזקיהם ידועים</w:t>
      </w:r>
      <w:r>
        <w:rPr>
          <w:rtl/>
        </w:rPr>
        <w:t>" [סעיף 10 לפסק דינו של של כב' הש' סולברג ב-</w:t>
      </w:r>
      <w:hyperlink r:id="rId27" w:history="1">
        <w:r w:rsidR="000B67D3" w:rsidRPr="000B67D3">
          <w:rPr>
            <w:color w:val="0000FF"/>
            <w:u w:val="single"/>
            <w:rtl/>
          </w:rPr>
          <w:t>ע"פ 4522/18</w:t>
        </w:r>
      </w:hyperlink>
      <w:r>
        <w:rPr>
          <w:rtl/>
        </w:rPr>
        <w:t xml:space="preserve"> </w:t>
      </w:r>
      <w:r>
        <w:rPr>
          <w:rFonts w:ascii="Miriam" w:hAnsi="Miriam" w:cs="Miriam"/>
          <w:b/>
          <w:bCs/>
          <w:sz w:val="22"/>
          <w:szCs w:val="22"/>
          <w:rtl/>
        </w:rPr>
        <w:t>אסאבן נ' מדינת ישראל</w:t>
      </w:r>
      <w:r>
        <w:rPr>
          <w:rtl/>
        </w:rPr>
        <w:t xml:space="preserve"> (‏11.11.18)].</w:t>
      </w:r>
    </w:p>
    <w:p w14:paraId="622587B2" w14:textId="77777777" w:rsidR="00706D43" w:rsidRDefault="00706D43" w:rsidP="00706D43">
      <w:pPr>
        <w:pStyle w:val="ListParagraph"/>
        <w:rPr>
          <w:rFonts w:ascii="David" w:hAnsi="David"/>
        </w:rPr>
      </w:pPr>
    </w:p>
    <w:p w14:paraId="54D395EC" w14:textId="77777777" w:rsidR="00706D43" w:rsidRDefault="00706D43" w:rsidP="00706D43">
      <w:pPr>
        <w:widowControl w:val="0"/>
        <w:numPr>
          <w:ilvl w:val="1"/>
          <w:numId w:val="1"/>
        </w:numPr>
        <w:snapToGrid w:val="0"/>
        <w:spacing w:line="360" w:lineRule="auto"/>
        <w:ind w:left="850" w:hanging="425"/>
        <w:jc w:val="both"/>
        <w:rPr>
          <w:rFonts w:ascii="David" w:hAnsi="David"/>
          <w:rtl/>
          <w:lang w:eastAsia="he-IL"/>
        </w:rPr>
      </w:pPr>
      <w:r>
        <w:rPr>
          <w:rFonts w:ascii="David" w:hAnsi="David"/>
          <w:rtl/>
          <w:lang w:eastAsia="he-IL"/>
        </w:rPr>
        <w:t xml:space="preserve">בחינת </w:t>
      </w:r>
      <w:r>
        <w:rPr>
          <w:rFonts w:ascii="David" w:hAnsi="David"/>
          <w:b/>
          <w:bCs/>
          <w:rtl/>
          <w:lang w:eastAsia="he-IL"/>
        </w:rPr>
        <w:t>מדיניות הענישה הנהוגה בפסיקה</w:t>
      </w:r>
      <w:r>
        <w:rPr>
          <w:rFonts w:ascii="David" w:hAnsi="David"/>
          <w:rtl/>
          <w:lang w:eastAsia="he-IL"/>
        </w:rPr>
        <w:t xml:space="preserve"> </w:t>
      </w:r>
      <w:r>
        <w:rPr>
          <w:rFonts w:ascii="David" w:hAnsi="David"/>
          <w:rtl/>
        </w:rPr>
        <w:t xml:space="preserve">מלמדת על קשת רחבה של ענישה, החל מענישה </w:t>
      </w:r>
      <w:r>
        <w:rPr>
          <w:rFonts w:ascii="David" w:hAnsi="David"/>
          <w:rtl/>
        </w:rPr>
        <w:lastRenderedPageBreak/>
        <w:t xml:space="preserve">צופה פני עתיד וכלה במאסר, לתקופות שאורכן תלוי בסוג הסם, כמותו ונסיבות אספקתו. </w:t>
      </w:r>
      <w:r>
        <w:rPr>
          <w:rFonts w:ascii="David" w:hAnsi="David"/>
          <w:rtl/>
          <w:lang w:eastAsia="he-IL"/>
        </w:rPr>
        <w:t xml:space="preserve">בטיעונים לעונש כל צד הפנה לפסיקה התומכת בעמדתו ועל אלו הוספתי פסיקה נוספת. כל מקרה לנסיבותיו, </w:t>
      </w:r>
      <w:r>
        <w:rPr>
          <w:rFonts w:ascii="David" w:hAnsi="David"/>
          <w:rtl/>
        </w:rPr>
        <w:t>ויש לאבחן המקרים השונים למקרה שלפניי, אם כי יש פסקי-דין מהם ניתן לגזור אמת-מידה עונשית הולמת למקרה שלפני</w:t>
      </w:r>
      <w:r>
        <w:rPr>
          <w:rFonts w:ascii="David" w:hAnsi="David"/>
          <w:rtl/>
          <w:lang w:eastAsia="he-IL"/>
        </w:rPr>
        <w:t>י –</w:t>
      </w:r>
    </w:p>
    <w:p w14:paraId="542B6BE7" w14:textId="77777777" w:rsidR="00706D43" w:rsidRDefault="00706D43" w:rsidP="00706D43">
      <w:pPr>
        <w:pStyle w:val="ListParagraph"/>
        <w:widowControl w:val="0"/>
        <w:ind w:left="1475"/>
        <w:jc w:val="both"/>
        <w:rPr>
          <w:rFonts w:ascii="David" w:hAnsi="David"/>
          <w:szCs w:val="20"/>
          <w:rtl/>
        </w:rPr>
      </w:pPr>
    </w:p>
    <w:p w14:paraId="20D76FB6" w14:textId="77777777" w:rsidR="00706D43" w:rsidRDefault="000B67D3" w:rsidP="00706D43">
      <w:pPr>
        <w:pStyle w:val="ListParagraph"/>
        <w:widowControl w:val="0"/>
        <w:numPr>
          <w:ilvl w:val="2"/>
          <w:numId w:val="1"/>
        </w:numPr>
        <w:spacing w:line="360" w:lineRule="auto"/>
        <w:ind w:left="1475" w:hanging="624"/>
        <w:jc w:val="both"/>
      </w:pPr>
      <w:hyperlink r:id="rId28" w:history="1">
        <w:r w:rsidRPr="000B67D3">
          <w:rPr>
            <w:color w:val="0000FF"/>
            <w:u w:val="single"/>
            <w:rtl/>
          </w:rPr>
          <w:t>רע"פ 1955-19</w:t>
        </w:r>
      </w:hyperlink>
      <w:r>
        <w:rPr>
          <w:rtl/>
        </w:rPr>
        <w:t xml:space="preserve"> </w:t>
      </w:r>
      <w:r w:rsidR="00706D43">
        <w:rPr>
          <w:rFonts w:ascii="Miriam" w:hAnsi="Miriam" w:cs="Miriam"/>
          <w:b/>
          <w:bCs/>
          <w:sz w:val="22"/>
          <w:szCs w:val="22"/>
          <w:rtl/>
        </w:rPr>
        <w:t>אבו רקייק</w:t>
      </w:r>
      <w:r>
        <w:rPr>
          <w:rFonts w:ascii="Miriam" w:hAnsi="Miriam" w:cs="Miriam"/>
          <w:b/>
          <w:bCs/>
          <w:sz w:val="22"/>
          <w:szCs w:val="22"/>
          <w:rtl/>
        </w:rPr>
        <w:t xml:space="preserve"> </w:t>
      </w:r>
      <w:r w:rsidR="00706D43">
        <w:rPr>
          <w:rFonts w:ascii="Miriam" w:hAnsi="Miriam" w:cs="Miriam"/>
          <w:b/>
          <w:bCs/>
          <w:sz w:val="22"/>
          <w:szCs w:val="22"/>
          <w:rtl/>
        </w:rPr>
        <w:t xml:space="preserve">נ' מדינת ישראל </w:t>
      </w:r>
      <w:r w:rsidR="00706D43">
        <w:rPr>
          <w:rtl/>
        </w:rPr>
        <w:t xml:space="preserve">(1.4.19) – נדחו ערעור ובקשת רשות ערעור על מתחם 14–30 חודשי מאסר בפועל ל-2 עבירות סחר בקוקאין (במשקל 1.0490 גרם) לשוטר ומעשה פזיזות ורשלנות ברכב. לאחר שנשקלו לקולא נסיבותיו האישיות, גילו הצעיר, תיפקודו התעסוקתי התקין, עברו הנקי, מאמציו לחזור למוטב, נטילת אחריות מהירה, הפגיעה שתיגרם למשפחתו בעקבות העונש, ההליך הטיפולי והמלצת שירות המבחן להסתפק בצו מבחן, צו של"צ ומאסר מותנה – הושתו 14 חודשי מאסר בפועל, מאסרים מותנים, קנס, התחייבות ופסילה מותנית. </w:t>
      </w:r>
    </w:p>
    <w:p w14:paraId="03E55716" w14:textId="77777777" w:rsidR="00706D43" w:rsidRDefault="00706D43" w:rsidP="00706D43">
      <w:pPr>
        <w:pStyle w:val="ListParagraph"/>
        <w:widowControl w:val="0"/>
        <w:ind w:left="1475"/>
        <w:jc w:val="both"/>
        <w:rPr>
          <w:szCs w:val="20"/>
        </w:rPr>
      </w:pPr>
    </w:p>
    <w:p w14:paraId="104AA2CA" w14:textId="77777777" w:rsidR="00706D43" w:rsidRDefault="000B67D3" w:rsidP="00706D43">
      <w:pPr>
        <w:pStyle w:val="ListParagraph"/>
        <w:widowControl w:val="0"/>
        <w:numPr>
          <w:ilvl w:val="2"/>
          <w:numId w:val="1"/>
        </w:numPr>
        <w:spacing w:line="360" w:lineRule="auto"/>
        <w:ind w:left="1471" w:hanging="621"/>
        <w:jc w:val="both"/>
        <w:rPr>
          <w:sz w:val="24"/>
        </w:rPr>
      </w:pPr>
      <w:hyperlink r:id="rId29" w:history="1">
        <w:r w:rsidRPr="000B67D3">
          <w:rPr>
            <w:color w:val="0000FF"/>
            <w:sz w:val="24"/>
            <w:u w:val="single"/>
            <w:rtl/>
          </w:rPr>
          <w:t>רע"פ 189/15</w:t>
        </w:r>
      </w:hyperlink>
      <w:r w:rsidR="00706D43">
        <w:rPr>
          <w:sz w:val="24"/>
          <w:rtl/>
        </w:rPr>
        <w:t xml:space="preserve"> </w:t>
      </w:r>
      <w:r w:rsidR="00706D43">
        <w:rPr>
          <w:rFonts w:ascii="Miriam" w:hAnsi="Miriam" w:cs="Miriam"/>
          <w:b/>
          <w:bCs/>
          <w:sz w:val="22"/>
          <w:szCs w:val="22"/>
          <w:rtl/>
        </w:rPr>
        <w:t>כהן נ' מדינת ישראל</w:t>
      </w:r>
      <w:r w:rsidR="00706D43">
        <w:rPr>
          <w:sz w:val="24"/>
          <w:rtl/>
        </w:rPr>
        <w:t xml:space="preserve"> (21.1.15) – נדחו ערעור ובקשת רשות ערעור על גזר הדין ב-</w:t>
      </w:r>
      <w:hyperlink r:id="rId30" w:history="1">
        <w:r w:rsidRPr="000B67D3">
          <w:rPr>
            <w:rFonts w:ascii="David" w:hAnsi="David"/>
            <w:color w:val="0000FF"/>
            <w:u w:val="single"/>
            <w:rtl/>
          </w:rPr>
          <w:t>ת"פ (שלום-ת"א) 48198-02-13</w:t>
        </w:r>
      </w:hyperlink>
      <w:r w:rsidR="00706D43">
        <w:rPr>
          <w:rFonts w:ascii="David" w:hAnsi="David"/>
          <w:rtl/>
        </w:rPr>
        <w:t xml:space="preserve"> </w:t>
      </w:r>
      <w:r w:rsidR="00706D43">
        <w:rPr>
          <w:rFonts w:ascii="Miriam" w:hAnsi="Miriam" w:cs="Miriam"/>
          <w:b/>
          <w:bCs/>
          <w:sz w:val="22"/>
          <w:szCs w:val="22"/>
          <w:rtl/>
        </w:rPr>
        <w:t>מדינת ישראל נ' כהן ואח'</w:t>
      </w:r>
      <w:r w:rsidR="00706D43">
        <w:rPr>
          <w:sz w:val="24"/>
          <w:rtl/>
        </w:rPr>
        <w:t xml:space="preserve"> (16.6.14), אליו הפנה ב"כ הנאשם. </w:t>
      </w:r>
      <w:r w:rsidR="00706D43">
        <w:rPr>
          <w:rFonts w:ascii="Arial" w:hAnsi="Arial"/>
          <w:rtl/>
        </w:rPr>
        <w:t xml:space="preserve">המבקש (שהיה נאשם 1) הורשע בעבירות סחר, החזקה ותיווך 2.5 גרם קוקאין לסוכן וכן בעבירות סחר בקוקאין לסוכן ובהחזקת קוקאין וחשיש. נאשם 2 (חביף – ראו להלן) הורשע ב-3 עבירות סחר (באחת מהן תיווך נאשם 1). בגין כל עבירת סחר ותיווך נקבע מתחם 8–18 ובגין כל עבירת החזקה מתחם 6–12. מאחר שהמבקש הורשע בעבירות נוספות, יש קושי לגזור מעונשו – שכלל </w:t>
      </w:r>
      <w:r w:rsidR="00706D43">
        <w:rPr>
          <w:sz w:val="24"/>
          <w:rtl/>
        </w:rPr>
        <w:t>22 חודשי מאסר בפועל, מאסרים מותנים, קנס, התחייבות ופסילה – אמת מידה הולמת לעניינו. אציין כי 3 הערכאות נתנו משקל לנסיבותיו האישיות ולשיקולי השיקום.</w:t>
      </w:r>
    </w:p>
    <w:p w14:paraId="1A53D0EA" w14:textId="77777777" w:rsidR="00706D43" w:rsidRDefault="00706D43" w:rsidP="00706D43">
      <w:pPr>
        <w:pStyle w:val="ListParagraph"/>
      </w:pPr>
    </w:p>
    <w:p w14:paraId="1C8256F5" w14:textId="77777777" w:rsidR="00706D43" w:rsidRDefault="000B67D3" w:rsidP="00706D43">
      <w:pPr>
        <w:pStyle w:val="ListParagraph"/>
        <w:widowControl w:val="0"/>
        <w:numPr>
          <w:ilvl w:val="2"/>
          <w:numId w:val="1"/>
        </w:numPr>
        <w:spacing w:line="360" w:lineRule="auto"/>
        <w:ind w:left="1475" w:hanging="624"/>
        <w:jc w:val="both"/>
        <w:rPr>
          <w:szCs w:val="20"/>
          <w:rtl/>
        </w:rPr>
      </w:pPr>
      <w:hyperlink r:id="rId31" w:history="1">
        <w:r w:rsidRPr="000B67D3">
          <w:rPr>
            <w:color w:val="0000FF"/>
            <w:u w:val="single"/>
            <w:rtl/>
          </w:rPr>
          <w:t>רע"פ 126/15</w:t>
        </w:r>
      </w:hyperlink>
      <w:r w:rsidR="00706D43">
        <w:rPr>
          <w:rtl/>
        </w:rPr>
        <w:t xml:space="preserve"> </w:t>
      </w:r>
      <w:r w:rsidR="00706D43">
        <w:rPr>
          <w:rFonts w:ascii="Miriam" w:hAnsi="Miriam" w:cs="Miriam"/>
          <w:b/>
          <w:bCs/>
          <w:sz w:val="22"/>
          <w:szCs w:val="22"/>
          <w:rtl/>
        </w:rPr>
        <w:t>חביף נ' מדינת ישראל</w:t>
      </w:r>
      <w:r w:rsidR="00706D43">
        <w:rPr>
          <w:rtl/>
        </w:rPr>
        <w:t xml:space="preserve"> (13.1.15), אליו הפנה ב"כ המאשימה – נדחו ערעור ובקשת רשות ערעור. מדובר בשותפו של כהן, אשר הורשע כאמור ב-3 עבירות סחר בקוקאין, במשקלים של 0.3901 גרם, 0.8179 גרם ו-2.5056 גרם. כאמור לעיל, נקבע מתחם 8–18 חודשי מאסר בפועל, לצד ענישה נלווית, לכל אירוע של מכירה ותיווך בקוקאין. על מי שלחובתו עבר מכביד בעבירות סמים, רכוש ואלימות, אשר החל להשתמש בסמים בגיל 17, גדל במשפחה נורמטיבית ומלוכדת, שולב בהליכי טיפול ושירות המבחן המליץ שלא לקטוע את ההליך הטיפולי, תוך התחשבות גם בהודאתו, נטילת האחריות והחרטה – הושתו 16 חודשי מאסר בפועל, מאסרים מותנים, 2,000 ₪ קנס, התחייבות ופסילה מותנית. בדחותו הערעור, קבע כב' הש' ג'ובראן כי המתחמים שנקבעו "</w:t>
      </w:r>
      <w:r w:rsidR="00706D43">
        <w:rPr>
          <w:b/>
          <w:bCs/>
          <w:rtl/>
        </w:rPr>
        <w:t>הולמים בעניינו, ואלו אף מקלים</w:t>
      </w:r>
      <w:r w:rsidR="00706D43">
        <w:rPr>
          <w:rtl/>
        </w:rPr>
        <w:t>". גם לגבי העונש, נקבע כי "</w:t>
      </w:r>
      <w:r w:rsidR="00706D43">
        <w:rPr>
          <w:b/>
          <w:bCs/>
          <w:rtl/>
        </w:rPr>
        <w:t>היה מקום להשית עונש מאסר בפועל על המבקש, על אף התקדמותו השיקומית</w:t>
      </w:r>
      <w:r w:rsidR="00706D43">
        <w:rPr>
          <w:rtl/>
        </w:rPr>
        <w:t>" וזאת כש-"</w:t>
      </w:r>
      <w:r w:rsidR="00706D43">
        <w:rPr>
          <w:b/>
          <w:bCs/>
          <w:rtl/>
        </w:rPr>
        <w:t>לא נעלמה מעיניי התקדמותו המרשימה בשנה האחרונה</w:t>
      </w:r>
      <w:r w:rsidR="00706D43">
        <w:rPr>
          <w:rtl/>
        </w:rPr>
        <w:t>".</w:t>
      </w:r>
    </w:p>
    <w:p w14:paraId="4F4EC673" w14:textId="77777777" w:rsidR="00706D43" w:rsidRDefault="00706D43" w:rsidP="00706D43">
      <w:pPr>
        <w:pStyle w:val="ListParagraph"/>
        <w:widowControl w:val="0"/>
        <w:ind w:left="1475"/>
        <w:jc w:val="both"/>
        <w:rPr>
          <w:szCs w:val="20"/>
        </w:rPr>
      </w:pPr>
    </w:p>
    <w:p w14:paraId="1C2014A1" w14:textId="77777777" w:rsidR="00706D43" w:rsidRDefault="000B67D3" w:rsidP="00706D43">
      <w:pPr>
        <w:pStyle w:val="ListParagraph"/>
        <w:widowControl w:val="0"/>
        <w:numPr>
          <w:ilvl w:val="2"/>
          <w:numId w:val="1"/>
        </w:numPr>
        <w:spacing w:line="360" w:lineRule="auto"/>
        <w:ind w:left="1475" w:hanging="624"/>
        <w:jc w:val="both"/>
        <w:rPr>
          <w:szCs w:val="20"/>
        </w:rPr>
      </w:pPr>
      <w:hyperlink r:id="rId32" w:history="1">
        <w:r w:rsidRPr="000B67D3">
          <w:rPr>
            <w:rFonts w:ascii="David" w:hAnsi="David"/>
            <w:color w:val="0000FF"/>
            <w:sz w:val="24"/>
            <w:u w:val="single"/>
            <w:rtl/>
          </w:rPr>
          <w:t>עפ"ג (מחוזי-ב"ש) 30178-01-17</w:t>
        </w:r>
      </w:hyperlink>
      <w:r w:rsidR="00706D43">
        <w:rPr>
          <w:rFonts w:ascii="David" w:hAnsi="David"/>
          <w:sz w:val="24"/>
          <w:rtl/>
        </w:rPr>
        <w:t xml:space="preserve"> </w:t>
      </w:r>
      <w:r w:rsidR="00706D43">
        <w:rPr>
          <w:rFonts w:ascii="Miriam" w:hAnsi="Miriam" w:cs="Miriam"/>
          <w:b/>
          <w:bCs/>
          <w:sz w:val="22"/>
          <w:szCs w:val="22"/>
          <w:rtl/>
        </w:rPr>
        <w:t>עוקבי נ' מדינת ישראל</w:t>
      </w:r>
      <w:r w:rsidR="00706D43">
        <w:rPr>
          <w:rFonts w:ascii="David" w:hAnsi="David"/>
          <w:b/>
          <w:bCs/>
          <w:sz w:val="24"/>
          <w:rtl/>
        </w:rPr>
        <w:t xml:space="preserve"> </w:t>
      </w:r>
      <w:r w:rsidR="00706D43">
        <w:rPr>
          <w:rFonts w:ascii="David" w:hAnsi="David"/>
          <w:sz w:val="24"/>
          <w:rtl/>
        </w:rPr>
        <w:t>(2.3.17) – התקבל חלקית ערעור על גזר הדין ב-</w:t>
      </w:r>
      <w:hyperlink r:id="rId33" w:history="1">
        <w:r w:rsidRPr="000B67D3">
          <w:rPr>
            <w:rFonts w:ascii="David" w:hAnsi="David"/>
            <w:color w:val="0000FF"/>
            <w:sz w:val="24"/>
            <w:u w:val="single"/>
            <w:rtl/>
          </w:rPr>
          <w:t>ת"פ 19214-08-15</w:t>
        </w:r>
      </w:hyperlink>
      <w:r w:rsidR="00706D43">
        <w:rPr>
          <w:rFonts w:ascii="David" w:hAnsi="David"/>
          <w:sz w:val="24"/>
          <w:rtl/>
        </w:rPr>
        <w:t xml:space="preserve"> </w:t>
      </w:r>
      <w:r w:rsidR="00706D43">
        <w:rPr>
          <w:rFonts w:ascii="Miriam" w:hAnsi="Miriam" w:cs="Miriam"/>
          <w:b/>
          <w:bCs/>
          <w:sz w:val="22"/>
          <w:szCs w:val="22"/>
          <w:rtl/>
        </w:rPr>
        <w:t>מדינת ישראל נ' עוקבי</w:t>
      </w:r>
      <w:r w:rsidR="00706D43">
        <w:rPr>
          <w:rFonts w:ascii="David" w:hAnsi="David"/>
          <w:sz w:val="24"/>
          <w:rtl/>
        </w:rPr>
        <w:t xml:space="preserve"> (29.11.16), אליו הפנה ב"כ הנאשם. בגין סחר ב-0.16 גרם קוקאין ו-0.79 גרם הרואין לסוכן משטרתי, תמורת 300 ₪ נקבע מתחם 6–15 חודשי מאסר בפועל. על צעיר, נעדר עבר פלילי, שהחל טיפול משמעותי בשירות המבחן – הושתו 6 חודשי מאסר בעבודות שירות, מאסרים מותנים, 10,000 ₪ קנס, צו מבחן, 10 חודשי פסילה בפועל, פסילה מותנית וחילוט הכסף שנתפס. בית המשפט המחוזי הפחית הקנס ל-6,000 </w:t>
      </w:r>
      <w:r w:rsidR="00706D43">
        <w:rPr>
          <w:szCs w:val="20"/>
          <w:rtl/>
        </w:rPr>
        <w:t>₪.</w:t>
      </w:r>
    </w:p>
    <w:p w14:paraId="15C418B7" w14:textId="77777777" w:rsidR="00706D43" w:rsidRDefault="00706D43" w:rsidP="00706D43">
      <w:pPr>
        <w:pStyle w:val="ListParagraph"/>
        <w:widowControl w:val="0"/>
        <w:ind w:left="1475"/>
        <w:jc w:val="both"/>
        <w:rPr>
          <w:szCs w:val="20"/>
        </w:rPr>
      </w:pPr>
    </w:p>
    <w:p w14:paraId="1EF4EF1D" w14:textId="77777777" w:rsidR="00706D43" w:rsidRDefault="000B67D3" w:rsidP="00706D43">
      <w:pPr>
        <w:pStyle w:val="ListParagraph"/>
        <w:widowControl w:val="0"/>
        <w:numPr>
          <w:ilvl w:val="2"/>
          <w:numId w:val="1"/>
        </w:numPr>
        <w:spacing w:line="360" w:lineRule="auto"/>
        <w:ind w:left="1475" w:hanging="624"/>
        <w:jc w:val="both"/>
        <w:rPr>
          <w:szCs w:val="20"/>
        </w:rPr>
      </w:pPr>
      <w:hyperlink r:id="rId34" w:history="1">
        <w:r w:rsidRPr="000B67D3">
          <w:rPr>
            <w:rFonts w:ascii="Arial" w:hAnsi="Arial"/>
            <w:color w:val="0000FF"/>
            <w:u w:val="single"/>
            <w:rtl/>
          </w:rPr>
          <w:t>ת"פ (מחוזי-מרכז) 56235-06-13</w:t>
        </w:r>
      </w:hyperlink>
      <w:r w:rsidR="00706D43">
        <w:rPr>
          <w:rFonts w:ascii="Arial" w:hAnsi="Arial"/>
          <w:rtl/>
        </w:rPr>
        <w:t xml:space="preserve"> </w:t>
      </w:r>
      <w:r w:rsidR="00706D43">
        <w:rPr>
          <w:rFonts w:ascii="Miriam" w:hAnsi="Miriam" w:cs="Miriam"/>
          <w:b/>
          <w:bCs/>
          <w:sz w:val="22"/>
          <w:szCs w:val="22"/>
          <w:rtl/>
        </w:rPr>
        <w:t xml:space="preserve">מדינת ישראל נ' גבריאל </w:t>
      </w:r>
      <w:r w:rsidR="00706D43">
        <w:rPr>
          <w:rFonts w:ascii="Arial" w:hAnsi="Arial"/>
          <w:rtl/>
        </w:rPr>
        <w:t xml:space="preserve">(14.9.16), אליו הפנה ב"כ הנאשם – נקבע מתחם 8–18 חודשי מאסר בתיווך לסחר בסם בכ-20 גרם קוקאין וכ-20 גרם הרואין. הנאשם שם הורשע בעבירות נוספות של יבוא ונסיון יבוא סמים ושל החזקת מכונה לייצור בסמים ומשכך לא ניתן להקיש מעונשו לענייננו. </w:t>
      </w:r>
      <w:r w:rsidR="00706D43">
        <w:rPr>
          <w:szCs w:val="20"/>
          <w:rtl/>
        </w:rPr>
        <w:t xml:space="preserve"> </w:t>
      </w:r>
    </w:p>
    <w:p w14:paraId="3585DBB7" w14:textId="77777777" w:rsidR="00706D43" w:rsidRDefault="00706D43" w:rsidP="00706D43">
      <w:pPr>
        <w:pStyle w:val="ListParagraph"/>
        <w:rPr>
          <w:rFonts w:ascii="Arial" w:hAnsi="Arial"/>
        </w:rPr>
      </w:pPr>
    </w:p>
    <w:p w14:paraId="6B4ACD73" w14:textId="77777777" w:rsidR="00706D43" w:rsidRDefault="000B67D3" w:rsidP="00706D43">
      <w:pPr>
        <w:pStyle w:val="ListParagraph"/>
        <w:widowControl w:val="0"/>
        <w:numPr>
          <w:ilvl w:val="2"/>
          <w:numId w:val="1"/>
        </w:numPr>
        <w:spacing w:line="360" w:lineRule="auto"/>
        <w:ind w:left="1471" w:hanging="621"/>
        <w:jc w:val="both"/>
        <w:rPr>
          <w:sz w:val="24"/>
          <w:rtl/>
        </w:rPr>
      </w:pPr>
      <w:hyperlink r:id="rId35" w:history="1">
        <w:r w:rsidRPr="000B67D3">
          <w:rPr>
            <w:color w:val="0000FF"/>
            <w:sz w:val="24"/>
            <w:u w:val="single"/>
            <w:rtl/>
          </w:rPr>
          <w:t>ת"פ (שלום-ב"ש) 43110-06-17</w:t>
        </w:r>
      </w:hyperlink>
      <w:r w:rsidR="00706D43">
        <w:rPr>
          <w:sz w:val="24"/>
          <w:rtl/>
        </w:rPr>
        <w:t xml:space="preserve"> </w:t>
      </w:r>
      <w:r w:rsidR="00706D43">
        <w:rPr>
          <w:rFonts w:ascii="Miriam" w:hAnsi="Miriam" w:cs="Miriam"/>
          <w:b/>
          <w:bCs/>
          <w:sz w:val="22"/>
          <w:szCs w:val="22"/>
          <w:rtl/>
        </w:rPr>
        <w:t xml:space="preserve">מדינת ישראל נ' אל עלאוין ואח' </w:t>
      </w:r>
      <w:r w:rsidR="00706D43">
        <w:rPr>
          <w:sz w:val="24"/>
          <w:rtl/>
        </w:rPr>
        <w:t xml:space="preserve">(26.12.18), אליו הפנה ב"כ המאשימה – בגין סחר ב-0.1546 גרם קוקאין והסתייעות ברכב לביצוע עבירה – נקבע מתחם 7–18 חודשי מאסר בפועל. על נאשם בעל עבר פלילי, שעבר הליך טיפולי חלקי ושירות המבחן התרשם מרמת סיכון גבוהה בהעדר אופק טיפולי – הושתו 12 חודשי מאסר בפועל, מאסרים מותנם ופסילה בפועל. </w:t>
      </w:r>
    </w:p>
    <w:p w14:paraId="2FB8AA0B" w14:textId="77777777" w:rsidR="00706D43" w:rsidRDefault="00706D43" w:rsidP="00706D43">
      <w:pPr>
        <w:pStyle w:val="ListParagraph"/>
        <w:widowControl w:val="0"/>
        <w:ind w:left="1471"/>
        <w:jc w:val="both"/>
        <w:rPr>
          <w:sz w:val="24"/>
        </w:rPr>
      </w:pPr>
    </w:p>
    <w:p w14:paraId="5A6025D0" w14:textId="77777777" w:rsidR="00706D43" w:rsidRDefault="000B67D3" w:rsidP="00706D43">
      <w:pPr>
        <w:pStyle w:val="ListParagraph"/>
        <w:widowControl w:val="0"/>
        <w:numPr>
          <w:ilvl w:val="2"/>
          <w:numId w:val="1"/>
        </w:numPr>
        <w:spacing w:line="360" w:lineRule="auto"/>
        <w:ind w:left="1471" w:hanging="621"/>
        <w:jc w:val="both"/>
        <w:rPr>
          <w:sz w:val="24"/>
        </w:rPr>
      </w:pPr>
      <w:hyperlink r:id="rId36" w:history="1">
        <w:r w:rsidRPr="000B67D3">
          <w:rPr>
            <w:color w:val="0000FF"/>
            <w:sz w:val="24"/>
            <w:u w:val="single"/>
            <w:rtl/>
          </w:rPr>
          <w:t>ת"פ (שלום-ק"ג) 60454-06-16</w:t>
        </w:r>
      </w:hyperlink>
      <w:r w:rsidR="00706D43">
        <w:rPr>
          <w:sz w:val="24"/>
          <w:rtl/>
        </w:rPr>
        <w:t xml:space="preserve"> </w:t>
      </w:r>
      <w:r w:rsidR="00706D43">
        <w:rPr>
          <w:rFonts w:ascii="Miriam" w:hAnsi="Miriam" w:cs="Miriam"/>
          <w:b/>
          <w:bCs/>
          <w:sz w:val="22"/>
          <w:szCs w:val="22"/>
          <w:rtl/>
        </w:rPr>
        <w:t>מדינת ישראל נ' ויזמן</w:t>
      </w:r>
      <w:r w:rsidR="00706D43">
        <w:rPr>
          <w:sz w:val="24"/>
          <w:rtl/>
        </w:rPr>
        <w:t xml:space="preserve"> (3.7.17), אליו הפנה ב"כ הנאשם –בגין הרשעתו ב-2 עבירות החזקת סם לצריכה עצמית ובסחר ב-0.7369 גרם קוקאין, נקבע מתחם 8–18 חודשי מאסר בפועל. הושתו 6 חודשי מאסר לריצוי בעבודות שירות, צו מבחן לשנה, מאסרים מותנים, קנס, פסילה בפועל ומותנית – זאת תוך התחשבות בהליך הטיפולי שעבר, נסיבות חייו המורכבות, גילו הצעיר, העדר עבר פלילי, מעצרו כחודשיים ולאחר מכן מעצר באיזוק, הודאתו, החרטה והמוטיבציה להמשיך בהליך הטיפולי. </w:t>
      </w:r>
    </w:p>
    <w:p w14:paraId="359770C8" w14:textId="77777777" w:rsidR="00706D43" w:rsidRDefault="00706D43" w:rsidP="00706D43">
      <w:pPr>
        <w:pStyle w:val="ListParagraph"/>
        <w:rPr>
          <w:sz w:val="24"/>
        </w:rPr>
      </w:pPr>
    </w:p>
    <w:p w14:paraId="0DCE88CB" w14:textId="77777777" w:rsidR="00706D43" w:rsidRPr="001110C9" w:rsidRDefault="000B67D3" w:rsidP="00706D43">
      <w:pPr>
        <w:pStyle w:val="ListParagraph"/>
        <w:widowControl w:val="0"/>
        <w:numPr>
          <w:ilvl w:val="2"/>
          <w:numId w:val="1"/>
        </w:numPr>
        <w:spacing w:line="360" w:lineRule="auto"/>
        <w:ind w:left="1471" w:hanging="621"/>
        <w:jc w:val="both"/>
        <w:rPr>
          <w:rStyle w:val="default"/>
          <w:rFonts w:ascii="David" w:hAnsi="David"/>
          <w:sz w:val="24"/>
          <w:rtl/>
        </w:rPr>
      </w:pPr>
      <w:hyperlink r:id="rId37" w:history="1">
        <w:r w:rsidRPr="000B67D3">
          <w:rPr>
            <w:color w:val="0000FF"/>
            <w:sz w:val="24"/>
            <w:u w:val="single"/>
            <w:rtl/>
          </w:rPr>
          <w:t>ת"פ (שלום-ב"ש) 5781-05-14</w:t>
        </w:r>
      </w:hyperlink>
      <w:r w:rsidR="00706D43">
        <w:rPr>
          <w:sz w:val="24"/>
          <w:rtl/>
        </w:rPr>
        <w:t xml:space="preserve"> </w:t>
      </w:r>
      <w:r w:rsidR="00706D43">
        <w:rPr>
          <w:rFonts w:ascii="Miriam" w:hAnsi="Miriam" w:cs="Miriam"/>
          <w:b/>
          <w:bCs/>
          <w:sz w:val="22"/>
          <w:szCs w:val="22"/>
          <w:rtl/>
        </w:rPr>
        <w:t>מדינת ישראל נ' ביטון</w:t>
      </w:r>
      <w:r w:rsidR="00706D43">
        <w:rPr>
          <w:b/>
          <w:bCs/>
          <w:sz w:val="24"/>
          <w:rtl/>
        </w:rPr>
        <w:t xml:space="preserve"> </w:t>
      </w:r>
      <w:r w:rsidR="00706D43">
        <w:rPr>
          <w:sz w:val="24"/>
          <w:rtl/>
        </w:rPr>
        <w:t>(14.4.15), אליו הפנה ב"כ המאשימה</w:t>
      </w:r>
      <w:r w:rsidR="00706D43" w:rsidRPr="001110C9">
        <w:rPr>
          <w:rFonts w:ascii="David" w:hAnsi="David"/>
          <w:sz w:val="24"/>
          <w:rtl/>
        </w:rPr>
        <w:t xml:space="preserve"> – בגין </w:t>
      </w:r>
      <w:r w:rsidR="00706D43" w:rsidRPr="001110C9">
        <w:rPr>
          <w:rStyle w:val="default"/>
          <w:rFonts w:ascii="David" w:hAnsi="David"/>
          <w:sz w:val="24"/>
          <w:rtl/>
        </w:rPr>
        <w:t>סיוע לסחר ב-1.91 גרם קוקאין ושתי עבירות סחר ב-5 גרם קוקאין לשוטר – נקבע מתחם 8–16 חודשים לעבירת הסיוע לסחר ו-12–24 חודשים לכל עבירת סחר. בהינתן כי הנאשם הורשע גם בשתי עבירות סחר העונש שהושת בסופו של יום – 25 חודשי מאסר בפועל, על מי שלחובתו עבר פלילי, שכלל מאסר מותנה שהופעל חלקו בחופף וחלקו במצטבר כך שסך הכל הושתו 33 חודשי מאסר בפועל – לא יכול להוות אמת מידה רלוונטית לענייננו.</w:t>
      </w:r>
    </w:p>
    <w:p w14:paraId="476288F2" w14:textId="77777777" w:rsidR="00706D43" w:rsidRDefault="00706D43" w:rsidP="00706D43">
      <w:pPr>
        <w:spacing w:line="360" w:lineRule="auto"/>
        <w:rPr>
          <w:rStyle w:val="default"/>
          <w:rFonts w:ascii="David" w:hAnsi="David"/>
        </w:rPr>
      </w:pPr>
    </w:p>
    <w:p w14:paraId="2A2C8468" w14:textId="77777777" w:rsidR="00706D43" w:rsidRDefault="00706D43" w:rsidP="00706D43">
      <w:pPr>
        <w:pStyle w:val="ListParagraph"/>
        <w:widowControl w:val="0"/>
        <w:numPr>
          <w:ilvl w:val="1"/>
          <w:numId w:val="1"/>
        </w:numPr>
        <w:spacing w:line="360" w:lineRule="auto"/>
        <w:ind w:left="714" w:hanging="357"/>
        <w:jc w:val="both"/>
        <w:rPr>
          <w:rtl/>
        </w:rPr>
      </w:pPr>
      <w:r>
        <w:rPr>
          <w:b/>
          <w:sz w:val="24"/>
          <w:rtl/>
        </w:rPr>
        <w:t xml:space="preserve">בפסיקה עוברת כחוט השני חשיבות </w:t>
      </w:r>
      <w:r>
        <w:rPr>
          <w:b/>
          <w:bCs/>
          <w:sz w:val="24"/>
          <w:rtl/>
        </w:rPr>
        <w:t>נסיבות הקשורות בביצוע העבירות</w:t>
      </w:r>
      <w:r>
        <w:rPr>
          <w:sz w:val="24"/>
          <w:rtl/>
        </w:rPr>
        <w:t xml:space="preserve">, בהתאם </w:t>
      </w:r>
      <w:hyperlink r:id="rId38" w:history="1">
        <w:r w:rsidR="00E33BBA" w:rsidRPr="00E33BBA">
          <w:rPr>
            <w:rStyle w:val="Hyperlink"/>
            <w:color w:val="0000FF"/>
            <w:sz w:val="24"/>
            <w:rtl/>
          </w:rPr>
          <w:t>לסעיף 40יט</w:t>
        </w:r>
      </w:hyperlink>
      <w:r>
        <w:rPr>
          <w:sz w:val="24"/>
          <w:rtl/>
        </w:rPr>
        <w:t xml:space="preserve"> ל-</w:t>
      </w:r>
      <w:hyperlink r:id="rId39" w:history="1">
        <w:r w:rsidR="000B67D3" w:rsidRPr="000B67D3">
          <w:rPr>
            <w:rFonts w:ascii="Miriam" w:hAnsi="Miriam" w:cs="Miriam"/>
            <w:b/>
            <w:bCs/>
            <w:color w:val="0000FF"/>
            <w:sz w:val="22"/>
            <w:szCs w:val="22"/>
            <w:u w:val="single"/>
            <w:rtl/>
          </w:rPr>
          <w:t>חוק העונשין</w:t>
        </w:r>
      </w:hyperlink>
      <w:r>
        <w:rPr>
          <w:rFonts w:ascii="Miriam" w:hAnsi="Miriam" w:cs="Miriam"/>
          <w:b/>
          <w:bCs/>
          <w:sz w:val="22"/>
          <w:szCs w:val="22"/>
          <w:rtl/>
        </w:rPr>
        <w:t xml:space="preserve"> </w:t>
      </w:r>
      <w:r>
        <w:rPr>
          <w:sz w:val="24"/>
          <w:rtl/>
        </w:rPr>
        <w:t>ובכלל זה סוג הסם, כמותו ונסיבות אספקתו [ראו והשוו סעיף 9 לפסק דינו של כב' הש' ג'ובראן ב-</w:t>
      </w:r>
      <w:hyperlink r:id="rId40" w:history="1">
        <w:r w:rsidR="000B67D3" w:rsidRPr="000B67D3">
          <w:rPr>
            <w:color w:val="0000FF"/>
            <w:sz w:val="24"/>
            <w:u w:val="single"/>
            <w:rtl/>
          </w:rPr>
          <w:t>ע"פ 1654/16</w:t>
        </w:r>
      </w:hyperlink>
      <w:r>
        <w:rPr>
          <w:rtl/>
        </w:rPr>
        <w:t xml:space="preserve"> </w:t>
      </w:r>
      <w:r>
        <w:rPr>
          <w:rFonts w:ascii="Miriam" w:hAnsi="Miriam" w:cs="Miriam"/>
          <w:b/>
          <w:bCs/>
          <w:sz w:val="22"/>
          <w:szCs w:val="22"/>
          <w:rtl/>
        </w:rPr>
        <w:t>שרר נ' מדינת ישראל</w:t>
      </w:r>
      <w:r>
        <w:rPr>
          <w:sz w:val="24"/>
          <w:rtl/>
        </w:rPr>
        <w:t xml:space="preserve"> (27.2.17) (להלן: </w:t>
      </w:r>
      <w:r>
        <w:rPr>
          <w:rFonts w:ascii="Miriam" w:hAnsi="Miriam" w:cs="Miriam"/>
          <w:b/>
          <w:bCs/>
          <w:sz w:val="22"/>
          <w:szCs w:val="22"/>
          <w:rtl/>
        </w:rPr>
        <w:t>ענין שרר</w:t>
      </w:r>
      <w:r>
        <w:rPr>
          <w:sz w:val="24"/>
          <w:rtl/>
        </w:rPr>
        <w:t>)]. משכך התחשבתי בנסיבות הבאות:</w:t>
      </w:r>
    </w:p>
    <w:p w14:paraId="08E0511E" w14:textId="77777777" w:rsidR="00706D43" w:rsidRDefault="00706D43" w:rsidP="00706D43">
      <w:pPr>
        <w:pStyle w:val="ListParagraph"/>
        <w:widowControl w:val="0"/>
        <w:ind w:left="714"/>
        <w:jc w:val="both"/>
      </w:pPr>
    </w:p>
    <w:p w14:paraId="20949C61" w14:textId="77777777" w:rsidR="00706D43" w:rsidRDefault="00706D43" w:rsidP="00706D43">
      <w:pPr>
        <w:widowControl w:val="0"/>
        <w:numPr>
          <w:ilvl w:val="2"/>
          <w:numId w:val="1"/>
        </w:numPr>
        <w:snapToGrid w:val="0"/>
        <w:spacing w:line="360" w:lineRule="auto"/>
        <w:ind w:left="1134" w:hanging="414"/>
        <w:jc w:val="both"/>
        <w:rPr>
          <w:rFonts w:ascii="David" w:hAnsi="David"/>
          <w:lang w:eastAsia="he-IL"/>
        </w:rPr>
      </w:pPr>
      <w:r>
        <w:rPr>
          <w:rFonts w:ascii="David" w:hAnsi="David"/>
          <w:rtl/>
          <w:lang w:eastAsia="he-IL"/>
        </w:rPr>
        <w:t xml:space="preserve">עבירת תיווך בסמים, מעצם טיבה וטבעה </w:t>
      </w:r>
      <w:r>
        <w:rPr>
          <w:rFonts w:ascii="David" w:hAnsi="David"/>
          <w:b/>
          <w:bCs/>
          <w:rtl/>
          <w:lang w:eastAsia="he-IL"/>
        </w:rPr>
        <w:t>קדם לה תכנון</w:t>
      </w:r>
      <w:r>
        <w:rPr>
          <w:rFonts w:ascii="David" w:hAnsi="David"/>
          <w:rtl/>
          <w:lang w:eastAsia="he-IL"/>
        </w:rPr>
        <w:t xml:space="preserve">. כעולה מעובדות כתב האישום המתוקן, הנאשם יצר קשר עם אחר, לאחר פניית שרלי אליו, במטרה להביא את הסם כפי שהתבקש על ידי שרלי. עובדות אלו מלמדות על התכנון שקדם לביצוע העבירה, בניגוד לנטען על ידי ב"כ הנאשם. </w:t>
      </w:r>
    </w:p>
    <w:p w14:paraId="003FFCB9" w14:textId="77777777" w:rsidR="00706D43" w:rsidRDefault="00706D43" w:rsidP="00706D43">
      <w:pPr>
        <w:widowControl w:val="0"/>
        <w:snapToGrid w:val="0"/>
        <w:ind w:left="1134"/>
        <w:jc w:val="both"/>
        <w:rPr>
          <w:rFonts w:ascii="David" w:hAnsi="David"/>
          <w:lang w:eastAsia="he-IL"/>
        </w:rPr>
      </w:pPr>
    </w:p>
    <w:p w14:paraId="31CF03A0" w14:textId="77777777" w:rsidR="00706D43" w:rsidRDefault="00706D43" w:rsidP="00706D43">
      <w:pPr>
        <w:widowControl w:val="0"/>
        <w:numPr>
          <w:ilvl w:val="2"/>
          <w:numId w:val="1"/>
        </w:numPr>
        <w:snapToGrid w:val="0"/>
        <w:spacing w:line="360" w:lineRule="auto"/>
        <w:ind w:left="1134" w:hanging="414"/>
        <w:jc w:val="both"/>
        <w:rPr>
          <w:rFonts w:ascii="David" w:hAnsi="David"/>
          <w:lang w:eastAsia="he-IL"/>
        </w:rPr>
      </w:pPr>
      <w:r>
        <w:rPr>
          <w:rFonts w:ascii="David" w:hAnsi="David"/>
          <w:b/>
          <w:bCs/>
          <w:rtl/>
          <w:lang w:eastAsia="he-IL"/>
        </w:rPr>
        <w:t>חלקו של הנאשם בביצוע העבירה משמעותי</w:t>
      </w:r>
      <w:r>
        <w:rPr>
          <w:rFonts w:ascii="David" w:hAnsi="David"/>
          <w:rtl/>
          <w:lang w:eastAsia="he-IL"/>
        </w:rPr>
        <w:t xml:space="preserve"> – כעולה מעובדות כתב האישום המתוקן, הנאשם הביא 0.19 גרם קוקאין תוך כ-10 דקות מרגע ביצוע השיחה. התנהגות זו מלמדת על נגישות גבוהה של הנאשם לסם. לצד זאת, מקובלת עלי טענת ב"כ הנאשם, כי העבירה בוצעה למעשה בצוותא עם שרלי, אשר יזם את הפניה אל הנאשם, ועם האחר, אליו התקשר הנאשם. </w:t>
      </w:r>
      <w:r>
        <w:rPr>
          <w:rFonts w:ascii="David" w:hAnsi="David"/>
          <w:color w:val="000000"/>
          <w:rtl/>
        </w:rPr>
        <w:t xml:space="preserve">באשר לטענת ב"כ הנאשם לגבי מידת ההשפעה של השוטר על הנאשם בביצוע העבירה – </w:t>
      </w:r>
      <w:r>
        <w:rPr>
          <w:rFonts w:ascii="David" w:hAnsi="David"/>
          <w:rtl/>
          <w:lang w:eastAsia="he-IL"/>
        </w:rPr>
        <w:t>ראשית אציין כי לא הובאו ראיות לכך שנפלו פגמים בהפעלת השוטר במסגרת הפעילות למיגור תופעת הסחר בסמים. לא זו אף זו – לא הובאה כל ראיה לכך שמדובר ב"סוכן מדיח". זאת ועוד, "</w:t>
      </w:r>
      <w:r>
        <w:rPr>
          <w:rFonts w:ascii="David" w:hAnsi="David"/>
          <w:b/>
          <w:bCs/>
          <w:rtl/>
          <w:lang w:eastAsia="he-IL"/>
        </w:rPr>
        <w:t>יודגש, כי הפעלתו של סוכן משטרתי לצורך הפללה של סוחרי סמים אינה פרקטיקה חריגה, לרבות פניות של הסוכן כדי לרכוש את הסמים</w:t>
      </w:r>
      <w:r>
        <w:rPr>
          <w:rFonts w:ascii="David" w:hAnsi="David"/>
          <w:rtl/>
          <w:lang w:eastAsia="he-IL"/>
        </w:rPr>
        <w:t>" (ראו סעיף 10 לפסק דינו של כב' הש' ג'ובראן ב-</w:t>
      </w:r>
      <w:r>
        <w:rPr>
          <w:rFonts w:ascii="Miriam" w:hAnsi="Miriam" w:cs="Miriam"/>
          <w:b/>
          <w:bCs/>
          <w:sz w:val="22"/>
          <w:szCs w:val="22"/>
          <w:rtl/>
          <w:lang w:eastAsia="he-IL"/>
        </w:rPr>
        <w:t>ענין שרר</w:t>
      </w:r>
      <w:r>
        <w:rPr>
          <w:rFonts w:ascii="David" w:hAnsi="David"/>
          <w:rtl/>
          <w:lang w:eastAsia="he-IL"/>
        </w:rPr>
        <w:t xml:space="preserve"> והאסמכתאות שם).</w:t>
      </w:r>
    </w:p>
    <w:p w14:paraId="6DCAD05D" w14:textId="77777777" w:rsidR="00706D43" w:rsidRDefault="00706D43" w:rsidP="00706D43">
      <w:pPr>
        <w:pStyle w:val="ListParagraph"/>
        <w:rPr>
          <w:rFonts w:ascii="David" w:hAnsi="David"/>
        </w:rPr>
      </w:pPr>
    </w:p>
    <w:p w14:paraId="18A873B4" w14:textId="77777777" w:rsidR="00706D43" w:rsidRDefault="00706D43" w:rsidP="00706D43">
      <w:pPr>
        <w:widowControl w:val="0"/>
        <w:numPr>
          <w:ilvl w:val="2"/>
          <w:numId w:val="1"/>
        </w:numPr>
        <w:snapToGrid w:val="0"/>
        <w:spacing w:line="360" w:lineRule="auto"/>
        <w:ind w:left="1134" w:hanging="414"/>
        <w:jc w:val="both"/>
        <w:rPr>
          <w:rFonts w:ascii="David" w:hAnsi="David"/>
          <w:rtl/>
        </w:rPr>
      </w:pPr>
      <w:r>
        <w:rPr>
          <w:rFonts w:ascii="David" w:hAnsi="David"/>
          <w:rtl/>
          <w:lang w:eastAsia="he-IL"/>
        </w:rPr>
        <w:t xml:space="preserve">אין להקל ראש </w:t>
      </w:r>
      <w:r>
        <w:rPr>
          <w:rFonts w:ascii="David" w:hAnsi="David"/>
          <w:b/>
          <w:bCs/>
          <w:rtl/>
          <w:lang w:eastAsia="he-IL"/>
        </w:rPr>
        <w:t>בנזק שהיה צפוי להיגרם מהעבירה</w:t>
      </w:r>
      <w:r>
        <w:rPr>
          <w:rFonts w:ascii="David" w:hAnsi="David"/>
          <w:rtl/>
          <w:lang w:eastAsia="he-IL"/>
        </w:rPr>
        <w:t>, שכן מדובר בתיווך בסם מסוג קוקאין, שנמנה על הסמים המסוכנים והקטלניים שב-</w:t>
      </w:r>
      <w:r>
        <w:rPr>
          <w:rFonts w:ascii="Miriam" w:hAnsi="Miriam" w:cs="Miriam"/>
          <w:b/>
          <w:bCs/>
          <w:sz w:val="22"/>
          <w:szCs w:val="22"/>
          <w:rtl/>
          <w:lang w:eastAsia="he-IL"/>
        </w:rPr>
        <w:t>פקודת הסמים</w:t>
      </w:r>
      <w:r>
        <w:rPr>
          <w:rFonts w:ascii="David" w:hAnsi="David"/>
          <w:rtl/>
          <w:lang w:eastAsia="he-IL"/>
        </w:rPr>
        <w:t xml:space="preserve">. עם זאת, בהינתן כמות הסם שהינה 0.19 גרם – הנזק שצפוי היה להיגרם לא נמצא ברף הגבוה. </w:t>
      </w:r>
    </w:p>
    <w:p w14:paraId="116B73DF" w14:textId="77777777" w:rsidR="00706D43" w:rsidRDefault="00706D43" w:rsidP="00706D43">
      <w:pPr>
        <w:pStyle w:val="ListParagraph"/>
        <w:rPr>
          <w:rFonts w:ascii="David" w:hAnsi="David"/>
        </w:rPr>
      </w:pPr>
    </w:p>
    <w:p w14:paraId="6248DD52" w14:textId="77777777" w:rsidR="00706D43" w:rsidRDefault="00706D43" w:rsidP="00706D43">
      <w:pPr>
        <w:widowControl w:val="0"/>
        <w:numPr>
          <w:ilvl w:val="2"/>
          <w:numId w:val="1"/>
        </w:numPr>
        <w:snapToGrid w:val="0"/>
        <w:spacing w:line="360" w:lineRule="auto"/>
        <w:ind w:left="1134" w:hanging="414"/>
        <w:jc w:val="both"/>
        <w:rPr>
          <w:rFonts w:ascii="David" w:hAnsi="David"/>
          <w:rtl/>
          <w:lang w:eastAsia="he-IL"/>
        </w:rPr>
      </w:pPr>
      <w:r>
        <w:rPr>
          <w:rFonts w:ascii="David" w:hAnsi="David"/>
          <w:rtl/>
          <w:lang w:eastAsia="he-IL"/>
        </w:rPr>
        <w:t xml:space="preserve">מקובלת עלי טענת ב"כ הנאשם, כי בפועל </w:t>
      </w:r>
      <w:r>
        <w:rPr>
          <w:rFonts w:ascii="David" w:hAnsi="David"/>
          <w:b/>
          <w:bCs/>
          <w:rtl/>
          <w:lang w:eastAsia="he-IL"/>
        </w:rPr>
        <w:t>לא נגרם</w:t>
      </w:r>
      <w:r>
        <w:rPr>
          <w:rFonts w:ascii="David" w:hAnsi="David"/>
          <w:rtl/>
          <w:lang w:eastAsia="he-IL"/>
        </w:rPr>
        <w:t xml:space="preserve"> </w:t>
      </w:r>
      <w:r>
        <w:rPr>
          <w:rFonts w:ascii="David" w:hAnsi="David"/>
          <w:b/>
          <w:bCs/>
          <w:rtl/>
          <w:lang w:eastAsia="he-IL"/>
        </w:rPr>
        <w:t>נזק מביצוע העבירות</w:t>
      </w:r>
      <w:r>
        <w:rPr>
          <w:rFonts w:ascii="David" w:hAnsi="David"/>
          <w:rtl/>
          <w:lang w:eastAsia="he-IL"/>
        </w:rPr>
        <w:t>, בהינתן כי הסמים נתפסו ולא הגיעו אל הצרכנים "</w:t>
      </w:r>
      <w:r>
        <w:rPr>
          <w:rFonts w:ascii="David" w:hAnsi="David"/>
          <w:b/>
          <w:bCs/>
          <w:rtl/>
          <w:lang w:eastAsia="he-IL"/>
        </w:rPr>
        <w:t>ולכן לא מומש מלוא פוטנציאל הנזק הטמון בעבירה</w:t>
      </w:r>
      <w:r>
        <w:rPr>
          <w:rFonts w:ascii="David" w:hAnsi="David"/>
          <w:rtl/>
          <w:lang w:eastAsia="he-IL"/>
        </w:rPr>
        <w:t>", כפי שנקבע בסעיף 10 לפסק דינו של כב' הש' ג'ובראן ב-</w:t>
      </w:r>
      <w:r>
        <w:rPr>
          <w:rFonts w:ascii="Miriam" w:hAnsi="Miriam" w:cs="Miriam"/>
          <w:b/>
          <w:bCs/>
          <w:sz w:val="22"/>
          <w:szCs w:val="22"/>
          <w:rtl/>
          <w:lang w:eastAsia="he-IL"/>
        </w:rPr>
        <w:t>ענין שרר</w:t>
      </w:r>
      <w:r>
        <w:rPr>
          <w:rFonts w:ascii="David" w:hAnsi="David"/>
          <w:rtl/>
          <w:lang w:eastAsia="he-IL"/>
        </w:rPr>
        <w:t>.</w:t>
      </w:r>
    </w:p>
    <w:p w14:paraId="205F6C2E" w14:textId="77777777" w:rsidR="00706D43" w:rsidRDefault="00706D43" w:rsidP="00706D43">
      <w:pPr>
        <w:pStyle w:val="ListParagraph"/>
        <w:rPr>
          <w:rFonts w:ascii="David" w:hAnsi="David"/>
        </w:rPr>
      </w:pPr>
    </w:p>
    <w:p w14:paraId="07C5EEF1" w14:textId="77777777" w:rsidR="00706D43" w:rsidRDefault="00706D43" w:rsidP="00706D43">
      <w:pPr>
        <w:widowControl w:val="0"/>
        <w:numPr>
          <w:ilvl w:val="2"/>
          <w:numId w:val="1"/>
        </w:numPr>
        <w:snapToGrid w:val="0"/>
        <w:spacing w:line="360" w:lineRule="auto"/>
        <w:ind w:left="1134" w:hanging="414"/>
        <w:jc w:val="both"/>
        <w:rPr>
          <w:rFonts w:ascii="David" w:hAnsi="David"/>
          <w:bCs/>
          <w:sz w:val="26"/>
          <w:szCs w:val="26"/>
          <w:rtl/>
        </w:rPr>
      </w:pPr>
      <w:r>
        <w:rPr>
          <w:rFonts w:ascii="David" w:hAnsi="David"/>
          <w:b/>
          <w:bCs/>
          <w:rtl/>
          <w:lang w:eastAsia="he-IL"/>
        </w:rPr>
        <w:t>הסיבות שהביאו את הנאשם לביצוע העבירות</w:t>
      </w:r>
      <w:r>
        <w:rPr>
          <w:rFonts w:ascii="David" w:hAnsi="David"/>
          <w:rtl/>
          <w:lang w:eastAsia="he-IL"/>
        </w:rPr>
        <w:t xml:space="preserve"> כעולה </w:t>
      </w:r>
      <w:r>
        <w:rPr>
          <w:rFonts w:ascii="David" w:hAnsi="David"/>
          <w:rtl/>
        </w:rPr>
        <w:t xml:space="preserve">מהתסקיר ולטענתו, כי בת זוגו נהגה לסחור בסמים ממניע כלכלי ולא נהג לסחור או לתווך בסמים בתקופה זו, ולכן, פעל מתוך רצון לסייע לבת זוגו. </w:t>
      </w:r>
    </w:p>
    <w:p w14:paraId="4F6C38F0" w14:textId="77777777" w:rsidR="00706D43" w:rsidRDefault="00706D43" w:rsidP="00706D43">
      <w:pPr>
        <w:pStyle w:val="ListParagraph"/>
        <w:spacing w:line="360" w:lineRule="auto"/>
        <w:rPr>
          <w:rFonts w:ascii="David" w:hAnsi="David"/>
          <w:bCs/>
          <w:sz w:val="26"/>
          <w:szCs w:val="26"/>
        </w:rPr>
      </w:pPr>
    </w:p>
    <w:p w14:paraId="05D14188" w14:textId="77777777" w:rsidR="00706D43" w:rsidRDefault="00706D43" w:rsidP="00706D43">
      <w:pPr>
        <w:widowControl w:val="0"/>
        <w:spacing w:line="360" w:lineRule="auto"/>
        <w:jc w:val="both"/>
        <w:rPr>
          <w:rFonts w:ascii="David" w:hAnsi="David"/>
          <w:bCs/>
          <w:sz w:val="26"/>
          <w:szCs w:val="26"/>
          <w:rtl/>
        </w:rPr>
      </w:pPr>
      <w:r>
        <w:rPr>
          <w:rFonts w:ascii="David" w:hAnsi="David"/>
          <w:bCs/>
          <w:sz w:val="26"/>
          <w:szCs w:val="26"/>
          <w:rtl/>
        </w:rPr>
        <w:t>מתחם העונש ההולם</w:t>
      </w:r>
    </w:p>
    <w:p w14:paraId="47CBB8ED" w14:textId="77777777" w:rsidR="00706D43" w:rsidRDefault="00706D43" w:rsidP="00706D43">
      <w:pPr>
        <w:pStyle w:val="ListParagraph"/>
        <w:widowControl w:val="0"/>
        <w:numPr>
          <w:ilvl w:val="0"/>
          <w:numId w:val="1"/>
        </w:numPr>
        <w:spacing w:line="360" w:lineRule="auto"/>
        <w:ind w:left="360"/>
        <w:jc w:val="both"/>
        <w:rPr>
          <w:rFonts w:ascii="David" w:hAnsi="David"/>
          <w:b/>
          <w:sz w:val="24"/>
        </w:rPr>
      </w:pPr>
      <w:r>
        <w:rPr>
          <w:b/>
          <w:sz w:val="24"/>
          <w:rtl/>
        </w:rPr>
        <w:t xml:space="preserve">כמפורט לעיל, הנאשם הורשע בעבירה אחת המהווה אירוע אחד. משכך, אני קובעת </w:t>
      </w:r>
      <w:r>
        <w:rPr>
          <w:bCs/>
          <w:sz w:val="24"/>
          <w:rtl/>
        </w:rPr>
        <w:t>מתחם</w:t>
      </w:r>
      <w:r>
        <w:rPr>
          <w:b/>
          <w:sz w:val="24"/>
          <w:rtl/>
        </w:rPr>
        <w:t xml:space="preserve"> </w:t>
      </w:r>
      <w:r>
        <w:rPr>
          <w:b/>
          <w:bCs/>
          <w:sz w:val="24"/>
          <w:rtl/>
        </w:rPr>
        <w:t>6–18 חודשי מאסר בפועל</w:t>
      </w:r>
      <w:r>
        <w:rPr>
          <w:bCs/>
          <w:sz w:val="24"/>
          <w:rtl/>
        </w:rPr>
        <w:t>, לצד ענישה נלווית.</w:t>
      </w:r>
      <w:r>
        <w:rPr>
          <w:b/>
          <w:sz w:val="24"/>
          <w:rtl/>
        </w:rPr>
        <w:t xml:space="preserve"> </w:t>
      </w:r>
    </w:p>
    <w:p w14:paraId="6D82309D" w14:textId="77777777" w:rsidR="00706D43" w:rsidRDefault="00706D43" w:rsidP="00706D43">
      <w:pPr>
        <w:widowControl w:val="0"/>
        <w:numPr>
          <w:ilvl w:val="0"/>
          <w:numId w:val="1"/>
        </w:numPr>
        <w:snapToGrid w:val="0"/>
        <w:spacing w:before="240" w:line="360" w:lineRule="auto"/>
        <w:ind w:left="357" w:hanging="357"/>
        <w:jc w:val="both"/>
        <w:rPr>
          <w:b/>
          <w:sz w:val="20"/>
          <w:rtl/>
          <w:lang w:eastAsia="he-IL"/>
        </w:rPr>
      </w:pPr>
      <w:r>
        <w:rPr>
          <w:sz w:val="20"/>
          <w:rtl/>
          <w:lang w:eastAsia="he-IL"/>
        </w:rPr>
        <w:t xml:space="preserve">עבירות סמים הן עבירות כלכליות וככאלו מחייבות עיצומים כלכליים, שיהיה בהם כדי להביא לחוסר כדאיות בצבירת הון על חשבון בריאות הציבור. לצד זאת, בהתאם </w:t>
      </w:r>
      <w:hyperlink r:id="rId41" w:history="1">
        <w:r w:rsidR="00E33BBA" w:rsidRPr="00E33BBA">
          <w:rPr>
            <w:rStyle w:val="Hyperlink"/>
            <w:color w:val="0000FF"/>
            <w:sz w:val="20"/>
            <w:rtl/>
            <w:lang w:eastAsia="he-IL"/>
          </w:rPr>
          <w:t>לסעיף 40ח</w:t>
        </w:r>
      </w:hyperlink>
      <w:r>
        <w:rPr>
          <w:sz w:val="20"/>
          <w:rtl/>
          <w:lang w:eastAsia="he-IL"/>
        </w:rPr>
        <w:t xml:space="preserve"> ל-</w:t>
      </w:r>
      <w:hyperlink r:id="rId42" w:history="1">
        <w:r w:rsidR="000B67D3" w:rsidRPr="000B67D3">
          <w:rPr>
            <w:rFonts w:ascii="Miriam" w:hAnsi="Miriam" w:cs="Miriam"/>
            <w:b/>
            <w:bCs/>
            <w:color w:val="0000FF"/>
            <w:sz w:val="22"/>
            <w:szCs w:val="22"/>
            <w:u w:val="single"/>
            <w:rtl/>
            <w:lang w:eastAsia="he-IL"/>
          </w:rPr>
          <w:t>חוק העונשין</w:t>
        </w:r>
      </w:hyperlink>
      <w:r>
        <w:rPr>
          <w:sz w:val="20"/>
          <w:rtl/>
          <w:lang w:eastAsia="he-IL"/>
        </w:rPr>
        <w:t xml:space="preserve">, בקביעת מתחם הקנס, יש לתת את הדעת למצבו הכלכלי של הנאשם, שכן כשמדובר בקנס אין דין פלוני כאלמוני. משכך, התחשבתי במצבו הכלכלי הנטען של הנאשם, אשר מתקיים מקצבת ביטוח לאומי בשל פציעתו וצבר חובות בשל אי תשלום מזונות. אשר על כן, מתחם הקנס יהיה מתון בחלקו. לפיכך, קובעת </w:t>
      </w:r>
      <w:r>
        <w:rPr>
          <w:b/>
          <w:bCs/>
          <w:sz w:val="20"/>
          <w:rtl/>
          <w:lang w:eastAsia="he-IL"/>
        </w:rPr>
        <w:t>מתחם קנס 3,000 ₪–10,000 ₪</w:t>
      </w:r>
      <w:r>
        <w:rPr>
          <w:sz w:val="20"/>
          <w:rtl/>
          <w:lang w:eastAsia="he-IL"/>
        </w:rPr>
        <w:t xml:space="preserve">. </w:t>
      </w:r>
    </w:p>
    <w:p w14:paraId="368FF30B" w14:textId="77777777" w:rsidR="00706D43" w:rsidRDefault="00706D43" w:rsidP="00706D43">
      <w:pPr>
        <w:widowControl w:val="0"/>
        <w:numPr>
          <w:ilvl w:val="0"/>
          <w:numId w:val="1"/>
        </w:numPr>
        <w:snapToGrid w:val="0"/>
        <w:spacing w:before="240" w:line="360" w:lineRule="auto"/>
        <w:ind w:left="357" w:hanging="357"/>
        <w:jc w:val="both"/>
        <w:rPr>
          <w:b/>
          <w:sz w:val="20"/>
          <w:lang w:eastAsia="he-IL"/>
        </w:rPr>
      </w:pPr>
      <w:r>
        <w:rPr>
          <w:sz w:val="20"/>
          <w:rtl/>
          <w:lang w:eastAsia="he-IL"/>
        </w:rPr>
        <w:t xml:space="preserve">כפי שנקבע בפסיקה ובהתאם להוראות </w:t>
      </w:r>
      <w:hyperlink r:id="rId43" w:history="1">
        <w:r w:rsidR="00E33BBA" w:rsidRPr="00E33BBA">
          <w:rPr>
            <w:rStyle w:val="Hyperlink"/>
            <w:color w:val="0000FF"/>
            <w:sz w:val="20"/>
            <w:rtl/>
            <w:lang w:eastAsia="he-IL"/>
          </w:rPr>
          <w:t>סעיף 37א</w:t>
        </w:r>
      </w:hyperlink>
      <w:r>
        <w:rPr>
          <w:sz w:val="20"/>
          <w:rtl/>
          <w:lang w:eastAsia="he-IL"/>
        </w:rPr>
        <w:t xml:space="preserve"> ל</w:t>
      </w:r>
      <w:r>
        <w:rPr>
          <w:rFonts w:ascii="Miriam" w:hAnsi="Miriam" w:cs="Miriam"/>
          <w:b/>
          <w:bCs/>
          <w:sz w:val="18"/>
          <w:szCs w:val="22"/>
          <w:rtl/>
          <w:lang w:eastAsia="he-IL"/>
        </w:rPr>
        <w:t>פקודת הסמים</w:t>
      </w:r>
      <w:r>
        <w:rPr>
          <w:sz w:val="20"/>
          <w:rtl/>
          <w:lang w:eastAsia="he-IL"/>
        </w:rPr>
        <w:t xml:space="preserve">, בעבירות הקשורות בסם מסוכן יש חשיבות לפסילה. </w:t>
      </w:r>
      <w:r>
        <w:rPr>
          <w:b/>
          <w:bCs/>
          <w:sz w:val="20"/>
          <w:rtl/>
          <w:lang w:eastAsia="he-IL"/>
        </w:rPr>
        <w:t>מתחם הפסילה נע בין פסילה מותנית לבין שנת פסילה בפועל</w:t>
      </w:r>
      <w:r>
        <w:rPr>
          <w:sz w:val="20"/>
          <w:rtl/>
          <w:lang w:eastAsia="he-IL"/>
        </w:rPr>
        <w:t>.</w:t>
      </w:r>
    </w:p>
    <w:p w14:paraId="4B6BB826" w14:textId="77777777" w:rsidR="00706D43" w:rsidRDefault="00706D43" w:rsidP="00706D43">
      <w:pPr>
        <w:widowControl w:val="0"/>
        <w:spacing w:line="360" w:lineRule="auto"/>
        <w:jc w:val="both"/>
        <w:rPr>
          <w:rFonts w:ascii="David" w:hAnsi="David"/>
          <w:bCs/>
          <w:sz w:val="26"/>
          <w:szCs w:val="26"/>
        </w:rPr>
      </w:pPr>
    </w:p>
    <w:p w14:paraId="7E846AC2" w14:textId="77777777" w:rsidR="00706D43" w:rsidRDefault="00706D43" w:rsidP="00706D43">
      <w:pPr>
        <w:widowControl w:val="0"/>
        <w:spacing w:line="360" w:lineRule="auto"/>
        <w:jc w:val="both"/>
        <w:rPr>
          <w:rFonts w:ascii="David" w:hAnsi="David"/>
          <w:bCs/>
          <w:sz w:val="26"/>
          <w:szCs w:val="26"/>
          <w:rtl/>
        </w:rPr>
      </w:pPr>
      <w:r>
        <w:rPr>
          <w:rFonts w:ascii="David" w:hAnsi="David"/>
          <w:bCs/>
          <w:sz w:val="26"/>
          <w:szCs w:val="26"/>
          <w:rtl/>
        </w:rPr>
        <w:t>גזירת העונש המתאים לנאשם במסגרת המתחמים</w:t>
      </w:r>
    </w:p>
    <w:p w14:paraId="39009654" w14:textId="77777777" w:rsidR="00706D43" w:rsidRDefault="00706D43" w:rsidP="00706D43">
      <w:pPr>
        <w:pStyle w:val="ListParagraph"/>
        <w:widowControl w:val="0"/>
        <w:numPr>
          <w:ilvl w:val="0"/>
          <w:numId w:val="1"/>
        </w:numPr>
        <w:spacing w:line="360" w:lineRule="auto"/>
        <w:ind w:left="360"/>
        <w:jc w:val="both"/>
        <w:rPr>
          <w:rFonts w:ascii="David" w:hAnsi="David"/>
          <w:sz w:val="24"/>
        </w:rPr>
      </w:pPr>
      <w:r>
        <w:rPr>
          <w:sz w:val="24"/>
          <w:rtl/>
        </w:rPr>
        <w:t xml:space="preserve">בהתאם להוראות </w:t>
      </w:r>
      <w:hyperlink r:id="rId44" w:history="1">
        <w:r w:rsidR="00E33BBA" w:rsidRPr="00E33BBA">
          <w:rPr>
            <w:rStyle w:val="Hyperlink"/>
            <w:color w:val="0000FF"/>
            <w:sz w:val="24"/>
            <w:rtl/>
          </w:rPr>
          <w:t>סעיף 40ג(ב)</w:t>
        </w:r>
      </w:hyperlink>
      <w:r>
        <w:rPr>
          <w:sz w:val="24"/>
          <w:rtl/>
        </w:rPr>
        <w:t xml:space="preserve"> ל-</w:t>
      </w:r>
      <w:hyperlink r:id="rId45" w:history="1">
        <w:r w:rsidR="000B67D3" w:rsidRPr="000B67D3">
          <w:rPr>
            <w:rFonts w:ascii="Miriam" w:hAnsi="Miriam" w:cs="Miriam"/>
            <w:b/>
            <w:bCs/>
            <w:color w:val="0000FF"/>
            <w:sz w:val="22"/>
            <w:szCs w:val="22"/>
            <w:u w:val="single"/>
            <w:rtl/>
          </w:rPr>
          <w:t>חוק העונשין</w:t>
        </w:r>
      </w:hyperlink>
      <w:r>
        <w:rPr>
          <w:sz w:val="24"/>
          <w:rtl/>
        </w:rPr>
        <w:t xml:space="preserve"> בגזירת עונשו של הנאשם התחשבתי בנסיבות שלא קשורות בביצוע העבירה, כמפורט </w:t>
      </w:r>
      <w:hyperlink r:id="rId46" w:history="1">
        <w:r w:rsidR="00E33BBA" w:rsidRPr="00E33BBA">
          <w:rPr>
            <w:rStyle w:val="Hyperlink"/>
            <w:color w:val="0000FF"/>
            <w:sz w:val="24"/>
            <w:rtl/>
          </w:rPr>
          <w:t>בסעיף 40יא</w:t>
        </w:r>
      </w:hyperlink>
      <w:r>
        <w:rPr>
          <w:sz w:val="24"/>
          <w:rtl/>
        </w:rPr>
        <w:t xml:space="preserve"> ל-</w:t>
      </w:r>
      <w:r>
        <w:rPr>
          <w:rFonts w:ascii="Miriam" w:hAnsi="Miriam" w:cs="Miriam"/>
          <w:b/>
          <w:bCs/>
          <w:sz w:val="22"/>
          <w:szCs w:val="22"/>
          <w:rtl/>
        </w:rPr>
        <w:t>חוק העונשין</w:t>
      </w:r>
      <w:r>
        <w:rPr>
          <w:sz w:val="24"/>
          <w:rtl/>
        </w:rPr>
        <w:t>, כעולה מהתסקיר הנושא תאריך 19.12.23, מטיעוני הצדדים לעונש ומדברי הנאשם:</w:t>
      </w:r>
    </w:p>
    <w:p w14:paraId="6693E61C" w14:textId="77777777" w:rsidR="00706D43" w:rsidRDefault="00706D43" w:rsidP="00706D43">
      <w:pPr>
        <w:pStyle w:val="ListParagraph"/>
        <w:widowControl w:val="0"/>
        <w:ind w:left="360"/>
        <w:jc w:val="both"/>
        <w:rPr>
          <w:szCs w:val="20"/>
          <w:rtl/>
        </w:rPr>
      </w:pPr>
    </w:p>
    <w:p w14:paraId="52EFB8F5" w14:textId="77777777" w:rsidR="00706D43" w:rsidRDefault="00706D43" w:rsidP="00706D43">
      <w:pPr>
        <w:widowControl w:val="0"/>
        <w:numPr>
          <w:ilvl w:val="2"/>
          <w:numId w:val="1"/>
        </w:numPr>
        <w:spacing w:line="360" w:lineRule="auto"/>
        <w:ind w:left="794" w:hanging="454"/>
        <w:jc w:val="both"/>
        <w:rPr>
          <w:rFonts w:ascii="David" w:hAnsi="David"/>
        </w:rPr>
      </w:pPr>
      <w:r>
        <w:rPr>
          <w:rFonts w:ascii="David" w:hAnsi="David"/>
          <w:b/>
          <w:bCs/>
          <w:rtl/>
        </w:rPr>
        <w:t>הפגיעה של העונש בנאשם, לרבות בשל גילו, ובמשפחתו</w:t>
      </w:r>
      <w:r>
        <w:rPr>
          <w:rFonts w:ascii="David" w:hAnsi="David"/>
          <w:rtl/>
        </w:rPr>
        <w:t xml:space="preserve"> – הנאשם כבן 60, גרוש ואב ל-4 ילדים בגילאי 13–33 מ-2 מערכות יחסים זוגיות קודמות. כיום מנהל הנאשם קשר זוגי ומתגורר באשדוד. משפחת המוצא של הנאשם מונה זוג הורים וארבעה ילדים, ולדבריו הוא נמצא עמם בקשר קרוב. אביו נפטר לפני כ-6 שנים ועבד שנים רבות במחלקת הנדסה בעירו. אמו כבת 80 ומתקיימת מקצבת זקנה ושארים ותוארה כמי שמתמודדת עם נסיגה במצבה הבריאותי. הוריו התאמצו רבות בפרנסת המשפחה. כבר מצעירותו לא נהג להיענות לסמכות הוריו ויצר קשרים חברתיים שוליים ובמעורבות בפלילים. משנת 2022 עובד כמלגזן במכס, נפצע ברגלו במקום עבודתו ומאז נמצא בחופשת מחלה. בשל הפציעה נקבעה לו נכות זמנית של 30% (</w:t>
      </w:r>
      <w:r>
        <w:rPr>
          <w:rFonts w:ascii="David" w:hAnsi="David"/>
          <w:b/>
          <w:bCs/>
          <w:rtl/>
        </w:rPr>
        <w:t>ט"ל/3</w:t>
      </w:r>
      <w:r>
        <w:rPr>
          <w:rFonts w:ascii="David" w:hAnsi="David"/>
          <w:rtl/>
        </w:rPr>
        <w:t xml:space="preserve">). </w:t>
      </w:r>
    </w:p>
    <w:p w14:paraId="51976159" w14:textId="77777777" w:rsidR="00706D43" w:rsidRDefault="00706D43" w:rsidP="00706D43">
      <w:pPr>
        <w:widowControl w:val="0"/>
        <w:ind w:left="794"/>
        <w:jc w:val="both"/>
        <w:rPr>
          <w:rFonts w:ascii="David" w:hAnsi="David"/>
          <w:sz w:val="20"/>
          <w:szCs w:val="20"/>
        </w:rPr>
      </w:pPr>
    </w:p>
    <w:p w14:paraId="377E8513" w14:textId="77777777" w:rsidR="00706D43" w:rsidRDefault="00706D43" w:rsidP="00706D43">
      <w:pPr>
        <w:widowControl w:val="0"/>
        <w:numPr>
          <w:ilvl w:val="2"/>
          <w:numId w:val="1"/>
        </w:numPr>
        <w:spacing w:line="360" w:lineRule="auto"/>
        <w:ind w:left="794" w:hanging="454"/>
        <w:jc w:val="both"/>
        <w:rPr>
          <w:rFonts w:ascii="David" w:hAnsi="David"/>
        </w:rPr>
      </w:pPr>
      <w:r>
        <w:rPr>
          <w:rFonts w:ascii="David" w:hAnsi="David"/>
          <w:b/>
          <w:bCs/>
          <w:rtl/>
        </w:rPr>
        <w:t>נסיבות חייו של הנאשם</w:t>
      </w:r>
      <w:r>
        <w:rPr>
          <w:rFonts w:ascii="David" w:hAnsi="David"/>
          <w:rtl/>
        </w:rPr>
        <w:t xml:space="preserve"> – הנאשם למד בביה"ס יסודי בחולון ותפקד באופן תקין. בתיכון החלו להופיע בעיות משמעת והוא עבר לבית ספר מקצועי באשקלון – שם סיים 10 שנות לימוד, ללא בגרות, ועבד בעבודות מזדמנות עד הגיוס. שירת שירות צבאי כנהג. במהלך שירותו הצבאי ריצה מאסר צבאי למשך כשבועיים בגין סירוב פקודה. לאורך השנים עבד בתפקידים שונים בתחום המכירות, הבנייה והלוגיסטיקה, ומשנת 2022 עבד כמלגזן במכס, עד פציעתו בחודש יוני 2023. מאז נמצא בחופשת מחלה. בגיל 16 עשה שימוש באופן חד פעמי בחשיש ומאז לא השתמש בסם. מזה כחודש משתמש בקנבוס רפואי ברישיון (</w:t>
      </w:r>
      <w:r>
        <w:rPr>
          <w:rFonts w:ascii="David" w:hAnsi="David"/>
          <w:b/>
          <w:bCs/>
          <w:rtl/>
        </w:rPr>
        <w:t>ט"ל/4</w:t>
      </w:r>
      <w:r>
        <w:rPr>
          <w:rFonts w:ascii="David" w:hAnsi="David"/>
          <w:rtl/>
        </w:rPr>
        <w:t xml:space="preserve">). בבדיקת סמים בשירות המבחן ב-6.12.23 נמצאו שרידי סם מסוג קנבוס. </w:t>
      </w:r>
    </w:p>
    <w:p w14:paraId="0BC3F968" w14:textId="77777777" w:rsidR="00706D43" w:rsidRDefault="00706D43" w:rsidP="00706D43">
      <w:pPr>
        <w:pStyle w:val="ListParagraph"/>
        <w:widowControl w:val="0"/>
        <w:rPr>
          <w:rFonts w:ascii="David" w:hAnsi="David"/>
          <w:b/>
          <w:bCs/>
          <w:sz w:val="16"/>
          <w:szCs w:val="20"/>
        </w:rPr>
      </w:pPr>
    </w:p>
    <w:p w14:paraId="7843B38A" w14:textId="77777777" w:rsidR="00706D43" w:rsidRDefault="00706D43" w:rsidP="00706D43">
      <w:pPr>
        <w:widowControl w:val="0"/>
        <w:numPr>
          <w:ilvl w:val="2"/>
          <w:numId w:val="1"/>
        </w:numPr>
        <w:spacing w:line="360" w:lineRule="auto"/>
        <w:ind w:left="794" w:hanging="454"/>
        <w:jc w:val="both"/>
        <w:rPr>
          <w:rFonts w:ascii="David" w:hAnsi="David"/>
        </w:rPr>
      </w:pPr>
      <w:r>
        <w:rPr>
          <w:rFonts w:ascii="David" w:hAnsi="David"/>
          <w:b/>
          <w:bCs/>
          <w:rtl/>
        </w:rPr>
        <w:t>נטילת האחריות של הנאשם על מעשיו</w:t>
      </w:r>
      <w:r>
        <w:rPr>
          <w:rFonts w:ascii="David" w:hAnsi="David"/>
          <w:rtl/>
        </w:rPr>
        <w:t xml:space="preserve"> – מקובלת עלי טענת ב"כ הנאשם, כי יש לזקוף לזכותו את הודאתו בשלב מוקדם של ההליך, עוד ביום 7.6.22. לצד זאת, לא ניתן להתעלם מהתרשמות שירות המבחן, כי הנאשם מתקשה לקחת אחריות על ביצוע העבירה, תוך נקיטת גישה שטחית ביחס אליה. הנאשם הביע תחושת קורבנות מעצם ניהול ההליך הפלילי נגדו ושירות המבחן העריך, כי על אף נטייתו להציג פסאדה חיובית ביחס לתפקודו ולאורח חייו – בפועל ממשיך בקיום קשרים חברתיים שליליים, דפוסי חשיבה עברייניים, אורח חיים שולי והתמכרותי ותפיסות נוקשות במערכות זוגיות (לרבות חובות שצבר לאורך השנים בגין אי תשלום מזונות). </w:t>
      </w:r>
    </w:p>
    <w:p w14:paraId="584BAE24" w14:textId="77777777" w:rsidR="00706D43" w:rsidRDefault="00706D43" w:rsidP="00706D43">
      <w:pPr>
        <w:pStyle w:val="ListParagraph"/>
        <w:widowControl w:val="0"/>
        <w:rPr>
          <w:rFonts w:ascii="David" w:hAnsi="David"/>
          <w:b/>
          <w:bCs/>
          <w:sz w:val="16"/>
          <w:szCs w:val="20"/>
        </w:rPr>
      </w:pPr>
    </w:p>
    <w:p w14:paraId="6A648267" w14:textId="77777777" w:rsidR="00706D43" w:rsidRDefault="00706D43" w:rsidP="00706D43">
      <w:pPr>
        <w:widowControl w:val="0"/>
        <w:numPr>
          <w:ilvl w:val="2"/>
          <w:numId w:val="1"/>
        </w:numPr>
        <w:spacing w:line="360" w:lineRule="auto"/>
        <w:ind w:left="794" w:hanging="454"/>
        <w:jc w:val="both"/>
        <w:rPr>
          <w:rFonts w:ascii="David" w:hAnsi="David"/>
          <w:rtl/>
        </w:rPr>
      </w:pPr>
      <w:r>
        <w:rPr>
          <w:rFonts w:ascii="David" w:hAnsi="David"/>
          <w:b/>
          <w:bCs/>
          <w:rtl/>
        </w:rPr>
        <w:t>מאמצי הנאשם לחזור למוטב</w:t>
      </w:r>
      <w:r>
        <w:rPr>
          <w:rFonts w:ascii="David" w:hAnsi="David"/>
          <w:rtl/>
        </w:rPr>
        <w:t xml:space="preserve"> – הנאשם הצהיר בפני שירות המבחן כי כיום לא משתמש בסמים מלבד קנבוס רפואי, בהתאם לרישיון. הדבר אומת בבדיקה שבוצעה לו, כעולה מתסקיר שירות המבחן מיום 19.12.23. להתרשמות שירות המבחן קיימים גורמי סיכון להישנות עבירות, בהינתן כי מדובר במי שגילה יכולת נמוכה של הסתגלות ויציבות במסגרות, נעדר גורמי תמיכה משמעותיים, מתקשה לבחון עברו והעבירות בהן הודה, שלל הנאשם כל צורך בהשתלבות טיפולית בעניינו ולא מביע מוטיבציה לשינוי בדפוסי התנהגותו.  להתרשמות שירות המבחן, קיים סיכון גבוה להישנות עבירות בתחום הסמים. </w:t>
      </w:r>
    </w:p>
    <w:p w14:paraId="2CEB95C4" w14:textId="77777777" w:rsidR="00706D43" w:rsidRDefault="00706D43" w:rsidP="00706D43">
      <w:pPr>
        <w:pStyle w:val="ListParagraph"/>
        <w:rPr>
          <w:rFonts w:ascii="David" w:hAnsi="David"/>
        </w:rPr>
      </w:pPr>
    </w:p>
    <w:p w14:paraId="64DD4CB4" w14:textId="77777777" w:rsidR="00706D43" w:rsidRDefault="00706D43" w:rsidP="00706D43">
      <w:pPr>
        <w:widowControl w:val="0"/>
        <w:numPr>
          <w:ilvl w:val="2"/>
          <w:numId w:val="1"/>
        </w:numPr>
        <w:spacing w:line="360" w:lineRule="auto"/>
        <w:ind w:left="794" w:hanging="454"/>
        <w:jc w:val="both"/>
        <w:rPr>
          <w:rFonts w:ascii="David" w:hAnsi="David"/>
          <w:rtl/>
        </w:rPr>
      </w:pPr>
      <w:r>
        <w:rPr>
          <w:rFonts w:ascii="David" w:hAnsi="David"/>
          <w:b/>
          <w:bCs/>
          <w:rtl/>
        </w:rPr>
        <w:t>הנזקים שנגרמו לנאשם מביצוע העבירה</w:t>
      </w:r>
      <w:r>
        <w:rPr>
          <w:rFonts w:ascii="David" w:hAnsi="David"/>
          <w:rtl/>
        </w:rPr>
        <w:t xml:space="preserve"> – הנאשם שהה במעצר במשך 8 ימים, במעצר בית במשך כחודשיים ובתנאי מעצר בית לילי במשך כשנה וחצי.  </w:t>
      </w:r>
    </w:p>
    <w:p w14:paraId="18D480B1" w14:textId="77777777" w:rsidR="00706D43" w:rsidRDefault="00706D43" w:rsidP="00706D43">
      <w:pPr>
        <w:pStyle w:val="ListParagraph"/>
        <w:rPr>
          <w:rFonts w:ascii="David" w:hAnsi="David"/>
          <w:b/>
          <w:bCs/>
          <w:sz w:val="16"/>
          <w:szCs w:val="20"/>
        </w:rPr>
      </w:pPr>
    </w:p>
    <w:p w14:paraId="2B59BDF9" w14:textId="77777777" w:rsidR="00706D43" w:rsidRDefault="00706D43" w:rsidP="00706D43">
      <w:pPr>
        <w:widowControl w:val="0"/>
        <w:numPr>
          <w:ilvl w:val="2"/>
          <w:numId w:val="1"/>
        </w:numPr>
        <w:spacing w:line="360" w:lineRule="auto"/>
        <w:ind w:left="794" w:hanging="454"/>
        <w:jc w:val="both"/>
        <w:rPr>
          <w:rFonts w:ascii="David" w:hAnsi="David"/>
          <w:rtl/>
        </w:rPr>
      </w:pPr>
      <w:r>
        <w:rPr>
          <w:rFonts w:ascii="David" w:hAnsi="David"/>
          <w:b/>
          <w:bCs/>
          <w:rtl/>
        </w:rPr>
        <w:t xml:space="preserve">חלוף הזמן – </w:t>
      </w:r>
      <w:r>
        <w:rPr>
          <w:rFonts w:ascii="David" w:hAnsi="David"/>
          <w:rtl/>
        </w:rPr>
        <w:t>חלפו כמעט שנתיים מביצוע העבירה, במהלכן לא עבר הנאשם עבירות נוספות. חלק ניכר מהמשכות ההליך נובע מכך ששירות המבחן ניסה לקבוע עם הנאשם פגישות, אולם הנאשם לא הגיע אליהן בשל מצבו הרפואי ופעמים רבות אף לא עדכן מראש על אי-הגעתו (ראו תסקירים מיום 7.11.22 ומיום 18.4.23).</w:t>
      </w:r>
    </w:p>
    <w:p w14:paraId="2CD9D1B9" w14:textId="77777777" w:rsidR="00706D43" w:rsidRDefault="00706D43" w:rsidP="00706D43">
      <w:pPr>
        <w:pStyle w:val="ListParagraph"/>
        <w:widowControl w:val="0"/>
        <w:rPr>
          <w:rFonts w:ascii="David" w:hAnsi="David"/>
          <w:sz w:val="16"/>
          <w:szCs w:val="20"/>
        </w:rPr>
      </w:pPr>
    </w:p>
    <w:p w14:paraId="3B4F7EFF" w14:textId="77777777" w:rsidR="00706D43" w:rsidRDefault="00706D43" w:rsidP="00706D43">
      <w:pPr>
        <w:widowControl w:val="0"/>
        <w:numPr>
          <w:ilvl w:val="2"/>
          <w:numId w:val="1"/>
        </w:numPr>
        <w:spacing w:line="360" w:lineRule="auto"/>
        <w:ind w:left="794" w:hanging="454"/>
        <w:jc w:val="both"/>
        <w:rPr>
          <w:rFonts w:ascii="David" w:hAnsi="David"/>
          <w:rtl/>
        </w:rPr>
      </w:pPr>
      <w:r>
        <w:rPr>
          <w:rFonts w:ascii="David" w:hAnsi="David"/>
          <w:b/>
          <w:bCs/>
          <w:rtl/>
        </w:rPr>
        <w:t>עבר פלילי</w:t>
      </w:r>
      <w:r>
        <w:rPr>
          <w:rFonts w:ascii="David" w:hAnsi="David"/>
          <w:rtl/>
        </w:rPr>
        <w:t xml:space="preserve"> – לחובת הנאשם 10 הרשעות קודמות, בעבירות אלימות, סמים, רכוש ומרמה.  הנאשם ריצה מספר תקופות מאסר בפועל ובעבודות שירות. לצד זאת, מקובלת עלי טענת ב"כ הנאשם כי בהינתן שמדובר בעבר ישן, שהתיישן וכי למעלה מעשור הנאשם לא הורשע בעבירות.</w:t>
      </w:r>
    </w:p>
    <w:p w14:paraId="73C7DFD7" w14:textId="77777777" w:rsidR="00706D43" w:rsidRDefault="00706D43" w:rsidP="00706D43">
      <w:pPr>
        <w:widowControl w:val="0"/>
        <w:spacing w:line="360" w:lineRule="auto"/>
        <w:jc w:val="both"/>
        <w:rPr>
          <w:rFonts w:ascii="David" w:hAnsi="David"/>
          <w:b/>
          <w:bCs/>
          <w:sz w:val="26"/>
          <w:szCs w:val="26"/>
        </w:rPr>
      </w:pPr>
    </w:p>
    <w:p w14:paraId="55E327D3" w14:textId="77777777" w:rsidR="00706D43" w:rsidRDefault="00706D43" w:rsidP="00706D43">
      <w:pPr>
        <w:widowControl w:val="0"/>
        <w:spacing w:line="360" w:lineRule="auto"/>
        <w:jc w:val="both"/>
        <w:rPr>
          <w:rFonts w:ascii="David" w:hAnsi="David"/>
          <w:b/>
          <w:bCs/>
          <w:sz w:val="26"/>
          <w:szCs w:val="26"/>
          <w:rtl/>
        </w:rPr>
      </w:pPr>
      <w:r>
        <w:rPr>
          <w:rFonts w:ascii="David" w:hAnsi="David"/>
          <w:b/>
          <w:bCs/>
          <w:sz w:val="26"/>
          <w:szCs w:val="26"/>
          <w:rtl/>
        </w:rPr>
        <w:t>סוף דבר</w:t>
      </w:r>
    </w:p>
    <w:p w14:paraId="067BB913" w14:textId="77777777" w:rsidR="00706D43" w:rsidRDefault="00706D43" w:rsidP="00706D43">
      <w:pPr>
        <w:pStyle w:val="ListParagraph"/>
        <w:widowControl w:val="0"/>
        <w:numPr>
          <w:ilvl w:val="0"/>
          <w:numId w:val="1"/>
        </w:numPr>
        <w:spacing w:line="360" w:lineRule="auto"/>
        <w:ind w:left="360"/>
        <w:jc w:val="both"/>
        <w:rPr>
          <w:sz w:val="24"/>
        </w:rPr>
      </w:pPr>
      <w:r>
        <w:rPr>
          <w:sz w:val="24"/>
          <w:rtl/>
        </w:rPr>
        <w:t xml:space="preserve">במסגרת גזר הדין לקחתי בחשבון את הצורך בהרתעה אישית ובהרתעת הרבים, בהתאם </w:t>
      </w:r>
      <w:hyperlink r:id="rId47" w:history="1">
        <w:r w:rsidR="00E33BBA" w:rsidRPr="00E33BBA">
          <w:rPr>
            <w:rStyle w:val="Hyperlink"/>
            <w:color w:val="0000FF"/>
            <w:sz w:val="24"/>
            <w:rtl/>
          </w:rPr>
          <w:t>לסעיפים 40ו</w:t>
        </w:r>
      </w:hyperlink>
      <w:r>
        <w:rPr>
          <w:sz w:val="24"/>
          <w:rtl/>
        </w:rPr>
        <w:t xml:space="preserve"> ו-</w:t>
      </w:r>
      <w:hyperlink r:id="rId48" w:history="1">
        <w:r w:rsidR="00E33BBA" w:rsidRPr="00E33BBA">
          <w:rPr>
            <w:rStyle w:val="Hyperlink"/>
            <w:color w:val="0000FF"/>
            <w:sz w:val="24"/>
            <w:rtl/>
          </w:rPr>
          <w:t>40ז</w:t>
        </w:r>
      </w:hyperlink>
      <w:r>
        <w:rPr>
          <w:sz w:val="24"/>
          <w:rtl/>
        </w:rPr>
        <w:t xml:space="preserve"> ל-</w:t>
      </w:r>
      <w:hyperlink r:id="rId49" w:history="1">
        <w:r w:rsidR="000B67D3" w:rsidRPr="000B67D3">
          <w:rPr>
            <w:rFonts w:ascii="Miriam" w:hAnsi="Miriam" w:cs="Miriam"/>
            <w:b/>
            <w:bCs/>
            <w:color w:val="0000FF"/>
            <w:sz w:val="22"/>
            <w:szCs w:val="22"/>
            <w:u w:val="single"/>
            <w:rtl/>
          </w:rPr>
          <w:t>חוק העונשין</w:t>
        </w:r>
      </w:hyperlink>
      <w:r>
        <w:rPr>
          <w:sz w:val="24"/>
          <w:rtl/>
        </w:rPr>
        <w:t>. זאת ועוד, "</w:t>
      </w:r>
      <w:r>
        <w:rPr>
          <w:b/>
          <w:bCs/>
          <w:sz w:val="24"/>
          <w:rtl/>
        </w:rPr>
        <w:t>הלכה היא שבעבירות סמים בכלל, ובעבירות הפצת סמים בפרט, שיקולי הרתעה גוברים על שיקולים אישיים</w:t>
      </w:r>
      <w:r>
        <w:rPr>
          <w:sz w:val="24"/>
          <w:rtl/>
        </w:rPr>
        <w:t>", כפי שנקבע בסעיף 12 לפסק דינו של כב' הש' ג'ובראן ב-</w:t>
      </w:r>
      <w:r>
        <w:rPr>
          <w:rFonts w:ascii="Miriam" w:hAnsi="Miriam" w:cs="Miriam"/>
          <w:b/>
          <w:bCs/>
          <w:sz w:val="22"/>
          <w:szCs w:val="22"/>
          <w:rtl/>
        </w:rPr>
        <w:t>ענין שרר</w:t>
      </w:r>
      <w:r>
        <w:rPr>
          <w:sz w:val="24"/>
          <w:rtl/>
        </w:rPr>
        <w:t xml:space="preserve"> (וראו גם האסמכתאות שם). לא מצאתי מקום לחרוג ממתחם העונש ההולם בשל שיקולי שיקום או הגנה על שלום הציבור לפי הוראות </w:t>
      </w:r>
      <w:hyperlink r:id="rId50" w:history="1">
        <w:r w:rsidR="00E33BBA" w:rsidRPr="00E33BBA">
          <w:rPr>
            <w:rStyle w:val="Hyperlink"/>
            <w:color w:val="0000FF"/>
            <w:sz w:val="24"/>
            <w:rtl/>
          </w:rPr>
          <w:t>סעיפים 40ד</w:t>
        </w:r>
      </w:hyperlink>
      <w:r>
        <w:rPr>
          <w:sz w:val="24"/>
          <w:rtl/>
        </w:rPr>
        <w:t xml:space="preserve"> ו-</w:t>
      </w:r>
      <w:hyperlink r:id="rId51" w:history="1">
        <w:r w:rsidR="00E33BBA" w:rsidRPr="00E33BBA">
          <w:rPr>
            <w:rStyle w:val="Hyperlink"/>
            <w:color w:val="0000FF"/>
            <w:sz w:val="24"/>
            <w:rtl/>
          </w:rPr>
          <w:t>40ה</w:t>
        </w:r>
      </w:hyperlink>
      <w:r>
        <w:rPr>
          <w:sz w:val="24"/>
          <w:rtl/>
        </w:rPr>
        <w:t xml:space="preserve"> ל-</w:t>
      </w:r>
      <w:hyperlink r:id="rId52" w:history="1">
        <w:r w:rsidR="000B67D3" w:rsidRPr="000B67D3">
          <w:rPr>
            <w:rFonts w:ascii="Miriam" w:hAnsi="Miriam" w:cs="Miriam"/>
            <w:b/>
            <w:bCs/>
            <w:color w:val="0000FF"/>
            <w:sz w:val="22"/>
            <w:szCs w:val="22"/>
            <w:u w:val="single"/>
            <w:rtl/>
          </w:rPr>
          <w:t>חוק העונשין</w:t>
        </w:r>
      </w:hyperlink>
      <w:r>
        <w:rPr>
          <w:sz w:val="24"/>
          <w:rtl/>
        </w:rPr>
        <w:t>. תוך התחשבות בנסיבותיו האישיות והודייתו לצד נטילת אחריות חלקית, חלוף הזמן ועברו המכביד, מצאתי כי יש למקם את הנאשם בחלקו ה</w:t>
      </w:r>
      <w:r>
        <w:rPr>
          <w:rFonts w:hint="cs"/>
          <w:sz w:val="24"/>
          <w:rtl/>
        </w:rPr>
        <w:t>תחתון</w:t>
      </w:r>
      <w:r>
        <w:rPr>
          <w:sz w:val="24"/>
          <w:rtl/>
        </w:rPr>
        <w:t xml:space="preserve"> של המתחם</w:t>
      </w:r>
      <w:r>
        <w:rPr>
          <w:rFonts w:hint="cs"/>
          <w:sz w:val="24"/>
          <w:rtl/>
        </w:rPr>
        <w:t>, אך לא בתחתיתו</w:t>
      </w:r>
      <w:r>
        <w:rPr>
          <w:sz w:val="24"/>
          <w:rtl/>
        </w:rPr>
        <w:t xml:space="preserve">. </w:t>
      </w:r>
      <w:r>
        <w:rPr>
          <w:b/>
          <w:bCs/>
          <w:rtl/>
        </w:rPr>
        <w:t>אשר על כן,</w:t>
      </w:r>
      <w:r>
        <w:rPr>
          <w:rtl/>
        </w:rPr>
        <w:t xml:space="preserve"> </w:t>
      </w:r>
      <w:r>
        <w:rPr>
          <w:b/>
          <w:bCs/>
          <w:rtl/>
        </w:rPr>
        <w:t>אני גוזרת על הנאשם את העונשים הבאים:</w:t>
      </w:r>
    </w:p>
    <w:p w14:paraId="5377C533" w14:textId="77777777" w:rsidR="00706D43" w:rsidRDefault="00706D43" w:rsidP="00706D43">
      <w:pPr>
        <w:pStyle w:val="ListParagraph"/>
        <w:widowControl w:val="0"/>
        <w:ind w:left="360"/>
        <w:jc w:val="both"/>
        <w:rPr>
          <w:sz w:val="24"/>
        </w:rPr>
      </w:pPr>
    </w:p>
    <w:p w14:paraId="34D51151" w14:textId="77777777" w:rsidR="00706D43" w:rsidRDefault="00706D43" w:rsidP="00706D43">
      <w:pPr>
        <w:pStyle w:val="ListParagraph"/>
        <w:widowControl w:val="0"/>
        <w:numPr>
          <w:ilvl w:val="1"/>
          <w:numId w:val="1"/>
        </w:numPr>
        <w:spacing w:line="360" w:lineRule="auto"/>
        <w:ind w:left="794" w:hanging="357"/>
        <w:jc w:val="both"/>
        <w:rPr>
          <w:sz w:val="24"/>
          <w:rtl/>
        </w:rPr>
      </w:pPr>
      <w:r>
        <w:rPr>
          <w:rFonts w:hint="cs"/>
          <w:b/>
          <w:bCs/>
          <w:sz w:val="24"/>
          <w:rtl/>
        </w:rPr>
        <w:t>7</w:t>
      </w:r>
      <w:r>
        <w:rPr>
          <w:b/>
          <w:bCs/>
          <w:sz w:val="24"/>
          <w:rtl/>
        </w:rPr>
        <w:t xml:space="preserve"> חודשי מאסר בפועל</w:t>
      </w:r>
      <w:r>
        <w:rPr>
          <w:sz w:val="24"/>
          <w:rtl/>
        </w:rPr>
        <w:t xml:space="preserve">. המאסר ירוצה מהיום. </w:t>
      </w:r>
    </w:p>
    <w:p w14:paraId="6D061775" w14:textId="77777777" w:rsidR="00706D43" w:rsidRDefault="00706D43" w:rsidP="00706D43">
      <w:pPr>
        <w:pStyle w:val="ListParagraph"/>
        <w:widowControl w:val="0"/>
        <w:ind w:left="794"/>
        <w:jc w:val="both"/>
        <w:rPr>
          <w:sz w:val="24"/>
          <w:highlight w:val="yellow"/>
        </w:rPr>
      </w:pPr>
    </w:p>
    <w:p w14:paraId="1DBEC4D7" w14:textId="77777777" w:rsidR="00706D43" w:rsidRDefault="00706D43" w:rsidP="00706D43">
      <w:pPr>
        <w:pStyle w:val="ListParagraph"/>
        <w:widowControl w:val="0"/>
        <w:numPr>
          <w:ilvl w:val="1"/>
          <w:numId w:val="1"/>
        </w:numPr>
        <w:spacing w:line="360" w:lineRule="auto"/>
        <w:ind w:left="794" w:hanging="357"/>
        <w:jc w:val="both"/>
        <w:rPr>
          <w:sz w:val="24"/>
        </w:rPr>
      </w:pPr>
      <w:r>
        <w:rPr>
          <w:b/>
          <w:bCs/>
          <w:sz w:val="24"/>
          <w:rtl/>
        </w:rPr>
        <w:t xml:space="preserve">6 חודשי מאסר מותנה </w:t>
      </w:r>
      <w:r>
        <w:rPr>
          <w:sz w:val="24"/>
          <w:rtl/>
        </w:rPr>
        <w:t xml:space="preserve">למשך 3 שנים מהיום, שלא יעבור כל עבירה מסוג פשע על </w:t>
      </w:r>
      <w:r>
        <w:rPr>
          <w:rFonts w:ascii="Miriam" w:hAnsi="Miriam" w:cs="Miriam"/>
          <w:b/>
          <w:bCs/>
          <w:sz w:val="22"/>
          <w:szCs w:val="22"/>
          <w:rtl/>
        </w:rPr>
        <w:t>פקודת הסמים</w:t>
      </w:r>
      <w:r>
        <w:rPr>
          <w:sz w:val="24"/>
          <w:rtl/>
        </w:rPr>
        <w:t>;</w:t>
      </w:r>
    </w:p>
    <w:p w14:paraId="3A921DC9" w14:textId="77777777" w:rsidR="00706D43" w:rsidRDefault="00706D43" w:rsidP="00706D43">
      <w:pPr>
        <w:pStyle w:val="ListParagraph"/>
        <w:widowControl w:val="0"/>
        <w:ind w:left="794"/>
        <w:jc w:val="both"/>
        <w:rPr>
          <w:sz w:val="24"/>
        </w:rPr>
      </w:pPr>
    </w:p>
    <w:p w14:paraId="128D6BE8" w14:textId="77777777" w:rsidR="00706D43" w:rsidRDefault="00706D43" w:rsidP="00706D43">
      <w:pPr>
        <w:numPr>
          <w:ilvl w:val="1"/>
          <w:numId w:val="1"/>
        </w:numPr>
        <w:tabs>
          <w:tab w:val="left" w:pos="368"/>
        </w:tabs>
        <w:snapToGrid w:val="0"/>
        <w:spacing w:line="360" w:lineRule="auto"/>
        <w:ind w:left="725" w:hanging="357"/>
        <w:jc w:val="both"/>
        <w:rPr>
          <w:sz w:val="20"/>
          <w:lang w:eastAsia="he-IL"/>
        </w:rPr>
      </w:pPr>
      <w:r>
        <w:rPr>
          <w:b/>
          <w:bCs/>
          <w:rtl/>
          <w:lang w:eastAsia="he-IL"/>
        </w:rPr>
        <w:t xml:space="preserve">קנס בסך </w:t>
      </w:r>
      <w:r>
        <w:rPr>
          <w:rFonts w:hint="cs"/>
          <w:b/>
          <w:bCs/>
          <w:rtl/>
          <w:lang w:eastAsia="he-IL"/>
        </w:rPr>
        <w:t>3</w:t>
      </w:r>
      <w:r>
        <w:rPr>
          <w:b/>
          <w:bCs/>
          <w:rtl/>
          <w:lang w:eastAsia="he-IL"/>
        </w:rPr>
        <w:t xml:space="preserve">,000 ₪, או </w:t>
      </w:r>
      <w:r>
        <w:rPr>
          <w:rFonts w:hint="cs"/>
          <w:b/>
          <w:bCs/>
          <w:rtl/>
          <w:lang w:eastAsia="he-IL"/>
        </w:rPr>
        <w:t>6</w:t>
      </w:r>
      <w:r>
        <w:rPr>
          <w:b/>
          <w:bCs/>
          <w:rtl/>
          <w:lang w:eastAsia="he-IL"/>
        </w:rPr>
        <w:t>0 ימי מאסר תמורתו</w:t>
      </w:r>
      <w:r>
        <w:rPr>
          <w:rtl/>
          <w:lang w:eastAsia="he-IL"/>
        </w:rPr>
        <w:t xml:space="preserve">. </w:t>
      </w:r>
    </w:p>
    <w:p w14:paraId="56716C7C" w14:textId="77777777" w:rsidR="00706D43" w:rsidRDefault="00706D43" w:rsidP="00706D43">
      <w:pPr>
        <w:snapToGrid w:val="0"/>
        <w:spacing w:line="360" w:lineRule="auto"/>
        <w:ind w:left="725"/>
        <w:jc w:val="both"/>
        <w:rPr>
          <w:lang w:eastAsia="he-IL"/>
        </w:rPr>
      </w:pPr>
      <w:r>
        <w:rPr>
          <w:rtl/>
          <w:lang w:eastAsia="he-IL"/>
        </w:rPr>
        <w:t>הקנס ישולם ב-</w:t>
      </w:r>
      <w:r>
        <w:rPr>
          <w:rFonts w:hint="cs"/>
          <w:rtl/>
          <w:lang w:eastAsia="he-IL"/>
        </w:rPr>
        <w:t>6</w:t>
      </w:r>
      <w:r>
        <w:rPr>
          <w:rtl/>
          <w:lang w:eastAsia="he-IL"/>
        </w:rPr>
        <w:t xml:space="preserve"> תשלומים שווים ורצופים, החל מיום </w:t>
      </w:r>
      <w:r>
        <w:rPr>
          <w:rFonts w:hint="cs"/>
          <w:rtl/>
          <w:lang w:eastAsia="he-IL"/>
        </w:rPr>
        <w:t>28</w:t>
      </w:r>
      <w:r>
        <w:rPr>
          <w:rtl/>
          <w:lang w:eastAsia="he-IL"/>
        </w:rPr>
        <w:t xml:space="preserve">.3.24 וכל </w:t>
      </w:r>
      <w:r>
        <w:rPr>
          <w:rFonts w:hint="cs"/>
          <w:rtl/>
          <w:lang w:eastAsia="he-IL"/>
        </w:rPr>
        <w:t>28</w:t>
      </w:r>
      <w:r>
        <w:rPr>
          <w:rtl/>
          <w:lang w:eastAsia="he-IL"/>
        </w:rPr>
        <w:t xml:space="preserve"> בחודש שלאחריו.</w:t>
      </w:r>
    </w:p>
    <w:p w14:paraId="585BBCA5" w14:textId="77777777" w:rsidR="00706D43" w:rsidRDefault="00706D43" w:rsidP="00706D43">
      <w:pPr>
        <w:snapToGrid w:val="0"/>
        <w:spacing w:line="360" w:lineRule="auto"/>
        <w:ind w:left="725"/>
        <w:jc w:val="both"/>
        <w:rPr>
          <w:lang w:eastAsia="he-IL"/>
        </w:rPr>
      </w:pPr>
      <w:r>
        <w:rPr>
          <w:rtl/>
          <w:lang w:eastAsia="he-IL"/>
        </w:rPr>
        <w:t>אם לא יבוצע תשלום במועדו - תעמוד כל יתרת הקנס לפירעון מיידי.</w:t>
      </w:r>
    </w:p>
    <w:p w14:paraId="5260D97C" w14:textId="77777777" w:rsidR="00706D43" w:rsidRDefault="00706D43" w:rsidP="00706D43">
      <w:pPr>
        <w:snapToGrid w:val="0"/>
        <w:ind w:left="725"/>
        <w:jc w:val="both"/>
        <w:rPr>
          <w:lang w:eastAsia="he-IL"/>
        </w:rPr>
      </w:pPr>
    </w:p>
    <w:p w14:paraId="68845830" w14:textId="77777777" w:rsidR="00706D43" w:rsidRDefault="00706D43" w:rsidP="00706D43">
      <w:pPr>
        <w:numPr>
          <w:ilvl w:val="1"/>
          <w:numId w:val="1"/>
        </w:numPr>
        <w:tabs>
          <w:tab w:val="left" w:pos="368"/>
        </w:tabs>
        <w:snapToGrid w:val="0"/>
        <w:spacing w:line="360" w:lineRule="auto"/>
        <w:ind w:left="725" w:hanging="357"/>
        <w:jc w:val="both"/>
        <w:rPr>
          <w:sz w:val="20"/>
          <w:lang w:eastAsia="he-IL"/>
        </w:rPr>
      </w:pPr>
      <w:r>
        <w:rPr>
          <w:b/>
          <w:bCs/>
          <w:rtl/>
        </w:rPr>
        <w:t>3,000 ₪ התחייבות</w:t>
      </w:r>
      <w:r>
        <w:rPr>
          <w:rtl/>
        </w:rPr>
        <w:t xml:space="preserve">, למשך 3 שנים מהיום, שלא יעבור כל עבירה מסוג פשע על </w:t>
      </w:r>
      <w:r>
        <w:rPr>
          <w:rFonts w:ascii="Miriam" w:hAnsi="Miriam" w:cs="Miriam"/>
          <w:bCs/>
          <w:sz w:val="18"/>
          <w:szCs w:val="22"/>
          <w:rtl/>
        </w:rPr>
        <w:t>פקודת הסמים</w:t>
      </w:r>
      <w:r>
        <w:rPr>
          <w:rtl/>
        </w:rPr>
        <w:t>.</w:t>
      </w:r>
    </w:p>
    <w:p w14:paraId="38382A17" w14:textId="77777777" w:rsidR="00706D43" w:rsidRDefault="00706D43" w:rsidP="00706D43">
      <w:pPr>
        <w:tabs>
          <w:tab w:val="left" w:pos="368"/>
        </w:tabs>
        <w:snapToGrid w:val="0"/>
        <w:spacing w:line="360" w:lineRule="auto"/>
        <w:ind w:left="726"/>
        <w:jc w:val="both"/>
        <w:rPr>
          <w:rtl/>
        </w:rPr>
      </w:pPr>
      <w:r>
        <w:rPr>
          <w:rtl/>
        </w:rPr>
        <w:t>על הנאשם להצהיר על ההתחייבות היום. לא יצהיר על ההתחייבות היום - יהיה על הנאשם לרצות 30 ימי מאסר בפועל, במצטבר למאסר, על מנת לכפות אותו לעשות כן.</w:t>
      </w:r>
    </w:p>
    <w:p w14:paraId="5DB38979" w14:textId="77777777" w:rsidR="00706D43" w:rsidRDefault="00706D43" w:rsidP="00706D43">
      <w:pPr>
        <w:tabs>
          <w:tab w:val="left" w:pos="368"/>
        </w:tabs>
        <w:snapToGrid w:val="0"/>
        <w:ind w:left="726"/>
        <w:jc w:val="both"/>
        <w:rPr>
          <w:sz w:val="20"/>
          <w:lang w:eastAsia="he-IL"/>
        </w:rPr>
      </w:pPr>
    </w:p>
    <w:p w14:paraId="4BADCDFC" w14:textId="77777777" w:rsidR="00706D43" w:rsidRDefault="00706D43" w:rsidP="00706D43">
      <w:pPr>
        <w:numPr>
          <w:ilvl w:val="1"/>
          <w:numId w:val="1"/>
        </w:numPr>
        <w:tabs>
          <w:tab w:val="left" w:pos="368"/>
        </w:tabs>
        <w:snapToGrid w:val="0"/>
        <w:spacing w:line="360" w:lineRule="auto"/>
        <w:ind w:left="725" w:hanging="357"/>
        <w:jc w:val="both"/>
        <w:rPr>
          <w:sz w:val="20"/>
          <w:rtl/>
          <w:lang w:eastAsia="he-IL"/>
        </w:rPr>
      </w:pPr>
      <w:r>
        <w:rPr>
          <w:b/>
          <w:bCs/>
          <w:sz w:val="20"/>
          <w:rtl/>
          <w:lang w:eastAsia="he-IL"/>
        </w:rPr>
        <w:t>11 חודשי פסילה מלקבל או מלהחזיק רישיון נהיגה על תנאי</w:t>
      </w:r>
      <w:r>
        <w:rPr>
          <w:sz w:val="20"/>
          <w:rtl/>
          <w:lang w:eastAsia="he-IL"/>
        </w:rPr>
        <w:t xml:space="preserve">. התנאי הוא שבמשך 3 שנים מהיום לא יעבור כל עבירה </w:t>
      </w:r>
      <w:r>
        <w:rPr>
          <w:rtl/>
          <w:lang w:eastAsia="he-IL"/>
        </w:rPr>
        <w:t xml:space="preserve">על </w:t>
      </w:r>
      <w:r>
        <w:rPr>
          <w:rFonts w:ascii="Miriam" w:hAnsi="Miriam" w:cs="Miriam"/>
          <w:b/>
          <w:bCs/>
          <w:sz w:val="22"/>
          <w:szCs w:val="22"/>
          <w:rtl/>
          <w:lang w:eastAsia="he-IL"/>
        </w:rPr>
        <w:t>פקודת הסמים</w:t>
      </w:r>
      <w:r>
        <w:rPr>
          <w:rtl/>
          <w:lang w:eastAsia="he-IL"/>
        </w:rPr>
        <w:t>.</w:t>
      </w:r>
    </w:p>
    <w:p w14:paraId="65C40D05" w14:textId="77777777" w:rsidR="00706D43" w:rsidRDefault="00706D43" w:rsidP="00706D43">
      <w:pPr>
        <w:pStyle w:val="ListParagraph"/>
        <w:widowControl w:val="0"/>
        <w:spacing w:line="360" w:lineRule="auto"/>
        <w:jc w:val="both"/>
        <w:rPr>
          <w:sz w:val="24"/>
          <w:rtl/>
        </w:rPr>
      </w:pPr>
    </w:p>
    <w:p w14:paraId="2D3455CE" w14:textId="77777777" w:rsidR="00706D43" w:rsidRDefault="00706D43" w:rsidP="00706D43">
      <w:pPr>
        <w:pStyle w:val="ListParagraph"/>
        <w:spacing w:line="360" w:lineRule="auto"/>
        <w:ind w:left="0"/>
        <w:jc w:val="both"/>
        <w:rPr>
          <w:b/>
          <w:bCs/>
          <w:rtl/>
        </w:rPr>
      </w:pPr>
      <w:r>
        <w:rPr>
          <w:b/>
          <w:bCs/>
          <w:u w:val="single"/>
          <w:rtl/>
        </w:rPr>
        <w:t>תשומת לב הנאשם כי ניתן לשלם את הקנס באחת הדרכים הבאות</w:t>
      </w:r>
      <w:r>
        <w:rPr>
          <w:b/>
          <w:bCs/>
          <w:rtl/>
        </w:rPr>
        <w:t>:</w:t>
      </w:r>
    </w:p>
    <w:p w14:paraId="4BCC8345" w14:textId="77777777" w:rsidR="00706D43" w:rsidRDefault="00706D43" w:rsidP="00706D43">
      <w:pPr>
        <w:pStyle w:val="ListParagraph"/>
        <w:numPr>
          <w:ilvl w:val="0"/>
          <w:numId w:val="2"/>
        </w:numPr>
        <w:spacing w:line="360" w:lineRule="auto"/>
        <w:ind w:left="360"/>
        <w:jc w:val="both"/>
      </w:pPr>
      <w:r>
        <w:rPr>
          <w:rtl/>
        </w:rPr>
        <w:t>בכרטיס</w:t>
      </w:r>
      <w:r>
        <w:rPr>
          <w:rFonts w:hint="cs"/>
        </w:rPr>
        <w:t xml:space="preserve"> </w:t>
      </w:r>
      <w:r>
        <w:rPr>
          <w:rtl/>
        </w:rPr>
        <w:t>אשראי - באתר</w:t>
      </w:r>
      <w:r>
        <w:rPr>
          <w:rFonts w:hint="cs"/>
        </w:rPr>
        <w:t xml:space="preserve"> </w:t>
      </w:r>
      <w:r>
        <w:rPr>
          <w:rtl/>
        </w:rPr>
        <w:t>המקוון</w:t>
      </w:r>
      <w:r>
        <w:rPr>
          <w:rFonts w:hint="cs"/>
        </w:rPr>
        <w:t xml:space="preserve"> </w:t>
      </w:r>
      <w:r>
        <w:rPr>
          <w:rtl/>
        </w:rPr>
        <w:t>של</w:t>
      </w:r>
      <w:r>
        <w:rPr>
          <w:rFonts w:hint="cs"/>
        </w:rPr>
        <w:t xml:space="preserve"> </w:t>
      </w:r>
      <w:r>
        <w:rPr>
          <w:rtl/>
        </w:rPr>
        <w:t>רשות</w:t>
      </w:r>
      <w:r>
        <w:rPr>
          <w:rFonts w:hint="cs"/>
        </w:rPr>
        <w:t xml:space="preserve"> </w:t>
      </w:r>
      <w:r>
        <w:rPr>
          <w:rtl/>
        </w:rPr>
        <w:t>האכיפה</w:t>
      </w:r>
      <w:r>
        <w:rPr>
          <w:rFonts w:hint="cs"/>
        </w:rPr>
        <w:t xml:space="preserve"> </w:t>
      </w:r>
      <w:r>
        <w:rPr>
          <w:rtl/>
        </w:rPr>
        <w:t>והגבייה</w:t>
      </w:r>
      <w:r>
        <w:t xml:space="preserve">www.eca.gov.il </w:t>
      </w:r>
      <w:r>
        <w:rPr>
          <w:rtl/>
        </w:rPr>
        <w:t>.</w:t>
      </w:r>
    </w:p>
    <w:p w14:paraId="7FD4DA2F" w14:textId="77777777" w:rsidR="00706D43" w:rsidRDefault="00706D43" w:rsidP="00706D43">
      <w:pPr>
        <w:pStyle w:val="ListParagraph"/>
        <w:numPr>
          <w:ilvl w:val="0"/>
          <w:numId w:val="2"/>
        </w:numPr>
        <w:spacing w:line="360" w:lineRule="auto"/>
        <w:ind w:left="360"/>
        <w:jc w:val="both"/>
        <w:rPr>
          <w:rtl/>
        </w:rPr>
      </w:pPr>
      <w:r>
        <w:rPr>
          <w:rtl/>
        </w:rPr>
        <w:t>מוקד</w:t>
      </w:r>
      <w:r>
        <w:rPr>
          <w:rFonts w:hint="cs"/>
        </w:rPr>
        <w:t xml:space="preserve"> </w:t>
      </w:r>
      <w:r>
        <w:rPr>
          <w:rtl/>
        </w:rPr>
        <w:t>שירות</w:t>
      </w:r>
      <w:r>
        <w:rPr>
          <w:rFonts w:hint="cs"/>
        </w:rPr>
        <w:t xml:space="preserve"> </w:t>
      </w:r>
      <w:r>
        <w:rPr>
          <w:rtl/>
        </w:rPr>
        <w:t>טלפוני</w:t>
      </w:r>
      <w:r>
        <w:rPr>
          <w:rFonts w:hint="cs"/>
        </w:rPr>
        <w:t xml:space="preserve"> </w:t>
      </w:r>
      <w:r>
        <w:rPr>
          <w:rtl/>
        </w:rPr>
        <w:t>(בשרות</w:t>
      </w:r>
      <w:r>
        <w:rPr>
          <w:rFonts w:hint="cs"/>
        </w:rPr>
        <w:t xml:space="preserve"> </w:t>
      </w:r>
      <w:r>
        <w:rPr>
          <w:rtl/>
        </w:rPr>
        <w:t>עצמי) מרכז</w:t>
      </w:r>
      <w:r>
        <w:rPr>
          <w:rFonts w:hint="cs"/>
        </w:rPr>
        <w:t xml:space="preserve"> </w:t>
      </w:r>
      <w:r>
        <w:rPr>
          <w:rtl/>
        </w:rPr>
        <w:t>גבייה - במספר *</w:t>
      </w:r>
      <w:r>
        <w:t>35592</w:t>
      </w:r>
      <w:r>
        <w:rPr>
          <w:rtl/>
        </w:rPr>
        <w:t xml:space="preserve"> </w:t>
      </w:r>
      <w:r>
        <w:rPr>
          <w:rFonts w:hint="cs"/>
          <w:rtl/>
        </w:rPr>
        <w:t>או</w:t>
      </w:r>
      <w:r>
        <w:t xml:space="preserve">073-2055000 </w:t>
      </w:r>
      <w:r>
        <w:rPr>
          <w:rtl/>
        </w:rPr>
        <w:t>.</w:t>
      </w:r>
    </w:p>
    <w:p w14:paraId="23C34166" w14:textId="77777777" w:rsidR="00706D43" w:rsidRDefault="00706D43" w:rsidP="00706D43">
      <w:pPr>
        <w:pStyle w:val="ListParagraph"/>
        <w:numPr>
          <w:ilvl w:val="0"/>
          <w:numId w:val="2"/>
        </w:numPr>
        <w:spacing w:line="360" w:lineRule="auto"/>
        <w:ind w:left="360"/>
        <w:jc w:val="both"/>
      </w:pPr>
      <w:r>
        <w:rPr>
          <w:rtl/>
        </w:rPr>
        <w:t>במזומן</w:t>
      </w:r>
      <w:r>
        <w:rPr>
          <w:rFonts w:hint="cs"/>
        </w:rPr>
        <w:t xml:space="preserve"> </w:t>
      </w:r>
      <w:r>
        <w:rPr>
          <w:rtl/>
        </w:rPr>
        <w:t>בכל</w:t>
      </w:r>
      <w:r>
        <w:rPr>
          <w:rFonts w:hint="cs"/>
        </w:rPr>
        <w:t xml:space="preserve"> </w:t>
      </w:r>
      <w:r>
        <w:rPr>
          <w:rtl/>
        </w:rPr>
        <w:t>סניף</w:t>
      </w:r>
      <w:r>
        <w:rPr>
          <w:rFonts w:hint="cs"/>
        </w:rPr>
        <w:t xml:space="preserve"> </w:t>
      </w:r>
      <w:r>
        <w:rPr>
          <w:rtl/>
        </w:rPr>
        <w:t>של</w:t>
      </w:r>
      <w:r>
        <w:rPr>
          <w:rFonts w:hint="cs"/>
        </w:rPr>
        <w:t xml:space="preserve"> </w:t>
      </w:r>
      <w:r>
        <w:rPr>
          <w:rtl/>
        </w:rPr>
        <w:t>בנק</w:t>
      </w:r>
      <w:r>
        <w:rPr>
          <w:rFonts w:hint="cs"/>
        </w:rPr>
        <w:t xml:space="preserve"> </w:t>
      </w:r>
      <w:r>
        <w:rPr>
          <w:rtl/>
        </w:rPr>
        <w:t>הדואר - בהצגת</w:t>
      </w:r>
      <w:r>
        <w:rPr>
          <w:rFonts w:hint="cs"/>
        </w:rPr>
        <w:t xml:space="preserve"> </w:t>
      </w:r>
      <w:r>
        <w:rPr>
          <w:rtl/>
        </w:rPr>
        <w:t>תעודת</w:t>
      </w:r>
      <w:r>
        <w:rPr>
          <w:rFonts w:hint="cs"/>
        </w:rPr>
        <w:t xml:space="preserve"> </w:t>
      </w:r>
      <w:r>
        <w:rPr>
          <w:rtl/>
        </w:rPr>
        <w:t>זהות</w:t>
      </w:r>
      <w:r>
        <w:rPr>
          <w:rFonts w:hint="cs"/>
        </w:rPr>
        <w:t xml:space="preserve"> </w:t>
      </w:r>
      <w:r>
        <w:rPr>
          <w:rtl/>
        </w:rPr>
        <w:t>בלבד (אין</w:t>
      </w:r>
      <w:r>
        <w:rPr>
          <w:rFonts w:hint="cs"/>
        </w:rPr>
        <w:t xml:space="preserve"> </w:t>
      </w:r>
      <w:r>
        <w:rPr>
          <w:rtl/>
        </w:rPr>
        <w:t>צורך</w:t>
      </w:r>
      <w:r>
        <w:rPr>
          <w:rFonts w:hint="cs"/>
        </w:rPr>
        <w:t xml:space="preserve"> </w:t>
      </w:r>
      <w:r>
        <w:rPr>
          <w:rtl/>
        </w:rPr>
        <w:t>בהצגת</w:t>
      </w:r>
      <w:r>
        <w:rPr>
          <w:rFonts w:hint="cs"/>
        </w:rPr>
        <w:t xml:space="preserve"> </w:t>
      </w:r>
      <w:r>
        <w:rPr>
          <w:rtl/>
        </w:rPr>
        <w:t>בשוברי</w:t>
      </w:r>
      <w:r>
        <w:rPr>
          <w:rFonts w:hint="cs"/>
        </w:rPr>
        <w:t xml:space="preserve"> </w:t>
      </w:r>
      <w:r>
        <w:rPr>
          <w:rtl/>
        </w:rPr>
        <w:t>תשלום).</w:t>
      </w:r>
    </w:p>
    <w:p w14:paraId="14B0B781" w14:textId="77777777" w:rsidR="00706D43" w:rsidRDefault="00706D43" w:rsidP="00706D43">
      <w:pPr>
        <w:pStyle w:val="ListParagraph"/>
        <w:spacing w:line="360" w:lineRule="auto"/>
        <w:ind w:left="0"/>
        <w:jc w:val="both"/>
      </w:pPr>
      <w:r>
        <w:rPr>
          <w:b/>
          <w:bCs/>
          <w:rtl/>
        </w:rPr>
        <w:t>לא תשמע טענה שהנאשם לא קיבל שוברי תשלום בדואר</w:t>
      </w:r>
      <w:r>
        <w:rPr>
          <w:rtl/>
        </w:rPr>
        <w:t>.</w:t>
      </w:r>
    </w:p>
    <w:p w14:paraId="5A7C9459" w14:textId="77777777" w:rsidR="00706D43" w:rsidRDefault="00706D43" w:rsidP="00706D43">
      <w:pPr>
        <w:pStyle w:val="ListParagraph"/>
        <w:widowControl w:val="0"/>
        <w:spacing w:line="360" w:lineRule="auto"/>
        <w:jc w:val="both"/>
        <w:rPr>
          <w:rFonts w:ascii="David" w:hAnsi="David"/>
          <w:sz w:val="24"/>
        </w:rPr>
      </w:pPr>
    </w:p>
    <w:p w14:paraId="7853F4EB" w14:textId="77777777" w:rsidR="00706D43" w:rsidRDefault="00706D43" w:rsidP="00706D43">
      <w:pPr>
        <w:widowControl w:val="0"/>
        <w:spacing w:line="360" w:lineRule="auto"/>
        <w:jc w:val="both"/>
        <w:rPr>
          <w:rFonts w:ascii="David" w:hAnsi="David"/>
          <w:b/>
          <w:bCs/>
          <w:rtl/>
        </w:rPr>
      </w:pPr>
      <w:r>
        <w:rPr>
          <w:rFonts w:ascii="David" w:hAnsi="David"/>
          <w:b/>
          <w:bCs/>
          <w:rtl/>
        </w:rPr>
        <w:t>ניתן צו כללי למוצגים: להשמיד, לחלט ולהשיב לבעלים, לפי שיקול דעת היחידה החוקרת.</w:t>
      </w:r>
    </w:p>
    <w:p w14:paraId="47E7CC5D" w14:textId="77777777" w:rsidR="00706D43" w:rsidRDefault="00706D43" w:rsidP="00706D43">
      <w:pPr>
        <w:widowControl w:val="0"/>
        <w:spacing w:line="360" w:lineRule="auto"/>
        <w:jc w:val="both"/>
        <w:rPr>
          <w:rFonts w:ascii="David" w:hAnsi="David"/>
          <w:b/>
          <w:bCs/>
          <w:rtl/>
        </w:rPr>
      </w:pPr>
      <w:r>
        <w:rPr>
          <w:rFonts w:ascii="David" w:hAnsi="David"/>
          <w:b/>
          <w:bCs/>
          <w:rtl/>
        </w:rPr>
        <w:t>ניתן צו להשמדת הסמים.</w:t>
      </w:r>
    </w:p>
    <w:p w14:paraId="2297E254" w14:textId="77777777" w:rsidR="00706D43" w:rsidRDefault="00706D43" w:rsidP="00706D43">
      <w:pPr>
        <w:widowControl w:val="0"/>
        <w:spacing w:line="360" w:lineRule="auto"/>
        <w:jc w:val="both"/>
        <w:rPr>
          <w:rFonts w:ascii="David" w:hAnsi="David"/>
          <w:b/>
          <w:bCs/>
          <w:u w:val="single"/>
        </w:rPr>
      </w:pPr>
    </w:p>
    <w:p w14:paraId="37D2827D" w14:textId="77777777" w:rsidR="00706D43" w:rsidRDefault="00706D43" w:rsidP="00706D43">
      <w:pPr>
        <w:widowControl w:val="0"/>
        <w:spacing w:line="360" w:lineRule="auto"/>
        <w:jc w:val="both"/>
        <w:rPr>
          <w:rFonts w:ascii="David" w:hAnsi="David"/>
          <w:b/>
          <w:bCs/>
          <w:u w:val="single"/>
          <w:rtl/>
        </w:rPr>
      </w:pPr>
      <w:r>
        <w:rPr>
          <w:rFonts w:ascii="David" w:hAnsi="David"/>
          <w:b/>
          <w:bCs/>
          <w:u w:val="single"/>
          <w:rtl/>
        </w:rPr>
        <w:t>זכות ערעור לבית-המשפט המחוזי תוך 45 יום.</w:t>
      </w:r>
    </w:p>
    <w:p w14:paraId="21E4C450" w14:textId="77777777" w:rsidR="00706D43" w:rsidRDefault="00706D43" w:rsidP="00706D43">
      <w:pPr>
        <w:widowControl w:val="0"/>
        <w:spacing w:line="360" w:lineRule="auto"/>
        <w:jc w:val="both"/>
        <w:rPr>
          <w:rFonts w:ascii="David" w:hAnsi="David"/>
          <w:b/>
          <w:bCs/>
          <w:u w:val="single"/>
          <w:rtl/>
        </w:rPr>
      </w:pPr>
    </w:p>
    <w:p w14:paraId="604BEECD" w14:textId="77777777" w:rsidR="00706D43" w:rsidRDefault="000B67D3" w:rsidP="00706D43">
      <w:pPr>
        <w:widowControl w:val="0"/>
        <w:spacing w:line="360" w:lineRule="auto"/>
        <w:jc w:val="both"/>
        <w:rPr>
          <w:rFonts w:ascii="David" w:hAnsi="David"/>
          <w:b/>
          <w:bCs/>
          <w:rtl/>
        </w:rPr>
      </w:pPr>
      <w:r w:rsidRPr="000B67D3">
        <w:rPr>
          <w:rFonts w:ascii="David" w:hAnsi="David"/>
          <w:b/>
          <w:bCs/>
          <w:color w:val="FFFFFF"/>
          <w:sz w:val="2"/>
          <w:szCs w:val="2"/>
          <w:u w:val="single"/>
          <w:rtl/>
        </w:rPr>
        <w:t>5129371</w:t>
      </w:r>
      <w:r w:rsidR="00706D43">
        <w:rPr>
          <w:rFonts w:ascii="David" w:hAnsi="David"/>
          <w:b/>
          <w:bCs/>
          <w:u w:val="single"/>
          <w:rtl/>
        </w:rPr>
        <w:t>המזכירות מתבקשת להעביר עותק גזר הדין לשירות המבחן</w:t>
      </w:r>
      <w:r w:rsidR="00706D43">
        <w:rPr>
          <w:rFonts w:ascii="David" w:hAnsi="David"/>
          <w:b/>
          <w:bCs/>
          <w:rtl/>
        </w:rPr>
        <w:t xml:space="preserve">. </w:t>
      </w:r>
    </w:p>
    <w:p w14:paraId="5C152216" w14:textId="77777777" w:rsidR="00706D43" w:rsidRPr="000B67D3" w:rsidRDefault="000B67D3" w:rsidP="00706D43">
      <w:pPr>
        <w:rPr>
          <w:color w:val="FFFFFF"/>
          <w:sz w:val="2"/>
          <w:szCs w:val="2"/>
          <w:rtl/>
        </w:rPr>
      </w:pPr>
      <w:r w:rsidRPr="000B67D3">
        <w:rPr>
          <w:color w:val="FFFFFF"/>
          <w:sz w:val="2"/>
          <w:szCs w:val="2"/>
          <w:rtl/>
        </w:rPr>
        <w:t>54678313</w:t>
      </w:r>
    </w:p>
    <w:p w14:paraId="31C98A3F" w14:textId="77777777" w:rsidR="00706D43" w:rsidRDefault="000B67D3" w:rsidP="00706D4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ג' אדר א' תשפ"ד, 12 פברואר 2024, במעמד הצדדים. </w:t>
      </w:r>
      <w:bookmarkEnd w:id="8"/>
      <w:r w:rsidR="00706D43">
        <w:rPr>
          <w:rFonts w:ascii="Arial" w:hAnsi="Arial"/>
          <w:b/>
          <w:bCs/>
          <w:sz w:val="26"/>
          <w:szCs w:val="26"/>
          <w:rtl/>
        </w:rPr>
        <w:tab/>
      </w:r>
      <w:r w:rsidR="00706D43">
        <w:rPr>
          <w:rFonts w:ascii="Arial" w:hAnsi="Arial"/>
          <w:b/>
          <w:bCs/>
          <w:sz w:val="26"/>
          <w:szCs w:val="26"/>
          <w:rtl/>
        </w:rPr>
        <w:tab/>
      </w:r>
      <w:r w:rsidR="00706D43">
        <w:rPr>
          <w:rFonts w:ascii="Arial" w:hAnsi="Arial"/>
          <w:b/>
          <w:bCs/>
          <w:sz w:val="26"/>
          <w:szCs w:val="26"/>
          <w:rtl/>
        </w:rPr>
        <w:tab/>
      </w:r>
      <w:r w:rsidR="00706D43">
        <w:rPr>
          <w:rFonts w:ascii="Arial" w:hAnsi="Arial"/>
          <w:b/>
          <w:bCs/>
          <w:sz w:val="26"/>
          <w:szCs w:val="26"/>
          <w:rtl/>
        </w:rPr>
        <w:tab/>
      </w:r>
      <w:r w:rsidR="00706D43">
        <w:rPr>
          <w:rFonts w:ascii="Arial" w:hAnsi="Arial"/>
          <w:b/>
          <w:bCs/>
          <w:sz w:val="26"/>
          <w:szCs w:val="26"/>
          <w:rtl/>
        </w:rPr>
        <w:tab/>
      </w:r>
      <w:r w:rsidR="00706D43">
        <w:rPr>
          <w:rFonts w:ascii="Arial" w:hAnsi="Arial"/>
          <w:b/>
          <w:bCs/>
          <w:sz w:val="26"/>
          <w:szCs w:val="26"/>
          <w:rtl/>
        </w:rPr>
        <w:tab/>
      </w:r>
      <w:r w:rsidR="00706D43">
        <w:rPr>
          <w:rFonts w:ascii="Arial" w:hAnsi="Arial"/>
          <w:b/>
          <w:bCs/>
          <w:sz w:val="26"/>
          <w:szCs w:val="26"/>
          <w:rtl/>
        </w:rPr>
        <w:tab/>
        <w:t xml:space="preserve">         </w:t>
      </w:r>
    </w:p>
    <w:p w14:paraId="1BC96E14" w14:textId="77777777" w:rsidR="00706D43" w:rsidRDefault="00706D43" w:rsidP="000B67D3">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1990AAEB" w14:textId="77777777" w:rsidR="00706D43" w:rsidRDefault="00706D43" w:rsidP="00706D43">
      <w:pPr>
        <w:jc w:val="center"/>
        <w:rPr>
          <w:rFonts w:ascii="Arial" w:hAnsi="Arial"/>
          <w:b/>
          <w:bCs/>
          <w:sz w:val="26"/>
          <w:szCs w:val="26"/>
          <w:rtl/>
        </w:rPr>
      </w:pPr>
    </w:p>
    <w:p w14:paraId="5DF9AEF1" w14:textId="77777777" w:rsidR="00706D43" w:rsidRPr="00E33BBA" w:rsidRDefault="00E33BBA" w:rsidP="00706D43">
      <w:pPr>
        <w:rPr>
          <w:color w:val="FFFFFF"/>
          <w:sz w:val="2"/>
          <w:szCs w:val="2"/>
          <w:rtl/>
        </w:rPr>
      </w:pPr>
      <w:r w:rsidRPr="00E33BBA">
        <w:rPr>
          <w:color w:val="FFFFFF"/>
          <w:sz w:val="2"/>
          <w:szCs w:val="2"/>
          <w:rtl/>
        </w:rPr>
        <w:t>5129371</w:t>
      </w:r>
    </w:p>
    <w:p w14:paraId="4EB94EE2" w14:textId="77777777" w:rsidR="00F0005D" w:rsidRPr="00E33BBA" w:rsidRDefault="00E33BBA" w:rsidP="000B67D3">
      <w:pPr>
        <w:keepNext/>
        <w:rPr>
          <w:rFonts w:ascii="David" w:hAnsi="David"/>
          <w:color w:val="FFFFFF"/>
          <w:sz w:val="2"/>
          <w:szCs w:val="2"/>
          <w:rtl/>
        </w:rPr>
      </w:pPr>
      <w:r w:rsidRPr="00E33BBA">
        <w:rPr>
          <w:rFonts w:ascii="David" w:hAnsi="David"/>
          <w:color w:val="FFFFFF"/>
          <w:sz w:val="2"/>
          <w:szCs w:val="2"/>
          <w:rtl/>
        </w:rPr>
        <w:t>54678313</w:t>
      </w:r>
    </w:p>
    <w:p w14:paraId="36140D31" w14:textId="77777777" w:rsidR="000B67D3" w:rsidRDefault="000B67D3" w:rsidP="000B67D3">
      <w:pPr>
        <w:rPr>
          <w:rtl/>
        </w:rPr>
      </w:pPr>
    </w:p>
    <w:p w14:paraId="3A4AE984" w14:textId="77777777" w:rsidR="000B67D3" w:rsidRDefault="000B67D3" w:rsidP="000B67D3">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66ED4930" w14:textId="77777777" w:rsidR="00E33BBA" w:rsidRPr="00E33BBA" w:rsidRDefault="00E33BBA" w:rsidP="00E33BBA">
      <w:pPr>
        <w:keepNext/>
        <w:rPr>
          <w:rFonts w:ascii="David" w:hAnsi="David"/>
          <w:color w:val="000000"/>
          <w:sz w:val="22"/>
          <w:szCs w:val="22"/>
          <w:rtl/>
        </w:rPr>
      </w:pPr>
    </w:p>
    <w:p w14:paraId="381DA748" w14:textId="77777777" w:rsidR="00E33BBA" w:rsidRPr="00E33BBA" w:rsidRDefault="00E33BBA" w:rsidP="00E33BBA">
      <w:pPr>
        <w:keepNext/>
        <w:rPr>
          <w:rFonts w:ascii="David" w:hAnsi="David"/>
          <w:color w:val="000000"/>
          <w:sz w:val="22"/>
          <w:szCs w:val="22"/>
          <w:rtl/>
        </w:rPr>
      </w:pPr>
      <w:r w:rsidRPr="00E33BBA">
        <w:rPr>
          <w:rFonts w:ascii="David" w:hAnsi="David"/>
          <w:color w:val="000000"/>
          <w:sz w:val="22"/>
          <w:szCs w:val="22"/>
          <w:rtl/>
        </w:rPr>
        <w:t>זהר דולב להמן 54678313-/</w:t>
      </w:r>
    </w:p>
    <w:p w14:paraId="64A73DC3" w14:textId="77777777" w:rsidR="000B67D3" w:rsidRPr="000B67D3" w:rsidRDefault="00E33BBA" w:rsidP="00E33BBA">
      <w:pPr>
        <w:rPr>
          <w:color w:val="0000FF"/>
          <w:u w:val="single"/>
        </w:rPr>
      </w:pPr>
      <w:r w:rsidRPr="00E33BBA">
        <w:rPr>
          <w:color w:val="000000"/>
          <w:u w:val="single"/>
          <w:rtl/>
        </w:rPr>
        <w:t>נוסח מסמך זה כפוף לשינויי ניסוח ועריכה</w:t>
      </w:r>
    </w:p>
    <w:sectPr w:rsidR="000B67D3" w:rsidRPr="000B67D3" w:rsidSect="00E33BBA">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B9BE7" w14:textId="77777777" w:rsidR="00177621" w:rsidRDefault="00177621" w:rsidP="001F6374">
      <w:r>
        <w:separator/>
      </w:r>
    </w:p>
  </w:endnote>
  <w:endnote w:type="continuationSeparator" w:id="0">
    <w:p w14:paraId="10C7D218" w14:textId="77777777" w:rsidR="00177621" w:rsidRDefault="00177621" w:rsidP="001F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1612E" w14:textId="77777777" w:rsidR="00E33BBA" w:rsidRDefault="00E33BBA" w:rsidP="00E33BBA">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36A2642" w14:textId="77777777" w:rsidR="008B3931" w:rsidRPr="00E33BBA" w:rsidRDefault="00E33BBA" w:rsidP="00E33BBA">
    <w:pPr>
      <w:pStyle w:val="Footer"/>
      <w:pBdr>
        <w:top w:val="single" w:sz="4" w:space="1" w:color="auto"/>
        <w:between w:val="single" w:sz="4" w:space="0" w:color="auto"/>
      </w:pBdr>
      <w:spacing w:after="60"/>
      <w:jc w:val="center"/>
      <w:rPr>
        <w:rFonts w:ascii="FrankRuehl" w:hAnsi="FrankRuehl" w:cs="FrankRuehl"/>
        <w:color w:val="000000"/>
      </w:rPr>
    </w:pPr>
    <w:r w:rsidRPr="00E33B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FCD22" w14:textId="77777777" w:rsidR="00E33BBA" w:rsidRDefault="00E33BBA" w:rsidP="00E33BBA">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7541">
      <w:rPr>
        <w:rFonts w:ascii="FrankRuehl" w:hAnsi="FrankRuehl" w:cs="FrankRuehl"/>
        <w:noProof/>
        <w:rtl/>
      </w:rPr>
      <w:t>1</w:t>
    </w:r>
    <w:r>
      <w:rPr>
        <w:rFonts w:ascii="FrankRuehl" w:hAnsi="FrankRuehl" w:cs="FrankRuehl"/>
        <w:rtl/>
      </w:rPr>
      <w:fldChar w:fldCharType="end"/>
    </w:r>
  </w:p>
  <w:p w14:paraId="7B2D4AD1" w14:textId="77777777" w:rsidR="008B3931" w:rsidRPr="00E33BBA" w:rsidRDefault="00E33BBA" w:rsidP="00E33BBA">
    <w:pPr>
      <w:pStyle w:val="Footer"/>
      <w:pBdr>
        <w:top w:val="single" w:sz="4" w:space="1" w:color="auto"/>
        <w:between w:val="single" w:sz="4" w:space="0" w:color="auto"/>
      </w:pBdr>
      <w:spacing w:after="60"/>
      <w:jc w:val="center"/>
      <w:rPr>
        <w:rFonts w:ascii="FrankRuehl" w:hAnsi="FrankRuehl" w:cs="FrankRuehl"/>
        <w:color w:val="000000"/>
      </w:rPr>
    </w:pPr>
    <w:r w:rsidRPr="00E33BBA">
      <w:rPr>
        <w:rFonts w:ascii="FrankRuehl" w:hAnsi="FrankRuehl" w:cs="FrankRuehl"/>
        <w:color w:val="000000"/>
      </w:rPr>
      <w:pict w14:anchorId="4E700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1B33D" w14:textId="77777777" w:rsidR="00177621" w:rsidRDefault="00177621" w:rsidP="001F6374">
      <w:r>
        <w:separator/>
      </w:r>
    </w:p>
  </w:footnote>
  <w:footnote w:type="continuationSeparator" w:id="0">
    <w:p w14:paraId="7095C6E1" w14:textId="77777777" w:rsidR="00177621" w:rsidRDefault="00177621" w:rsidP="001F6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54B4E" w14:textId="77777777" w:rsidR="000B67D3" w:rsidRPr="00E33BBA" w:rsidRDefault="00E33BBA" w:rsidP="00E33BBA">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66922-03-22</w:t>
    </w:r>
    <w:r>
      <w:rPr>
        <w:rFonts w:ascii="David" w:hAnsi="David"/>
        <w:color w:val="000000"/>
        <w:sz w:val="22"/>
        <w:szCs w:val="22"/>
        <w:rtl/>
      </w:rPr>
      <w:tab/>
      <w:t xml:space="preserve"> מדינת ישראל נ' מאיר זרגרי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3E0B8" w14:textId="77777777" w:rsidR="000B67D3" w:rsidRPr="00E33BBA" w:rsidRDefault="00E33BBA" w:rsidP="00E33BBA">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66922-03-22</w:t>
    </w:r>
    <w:r>
      <w:rPr>
        <w:rFonts w:ascii="David" w:hAnsi="David"/>
        <w:color w:val="000000"/>
        <w:sz w:val="22"/>
        <w:szCs w:val="22"/>
        <w:rtl/>
      </w:rPr>
      <w:tab/>
      <w:t xml:space="preserve"> מדינת ישראל נ' מאיר זרגרי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693E3F"/>
    <w:multiLevelType w:val="hybridMultilevel"/>
    <w:tmpl w:val="6C7E82C8"/>
    <w:lvl w:ilvl="0" w:tplc="A192DDB2">
      <w:start w:val="1"/>
      <w:numFmt w:val="decimal"/>
      <w:lvlText w:val="%1."/>
      <w:lvlJc w:val="left"/>
      <w:pPr>
        <w:ind w:left="720" w:hanging="360"/>
      </w:pPr>
      <w:rPr>
        <w:b w:val="0"/>
        <w:bCs w:val="0"/>
        <w:sz w:val="24"/>
        <w:szCs w:val="24"/>
      </w:rPr>
    </w:lvl>
    <w:lvl w:ilvl="1" w:tplc="6E261196">
      <w:start w:val="1"/>
      <w:numFmt w:val="hebrew1"/>
      <w:lvlText w:val="%2."/>
      <w:lvlJc w:val="center"/>
      <w:pPr>
        <w:ind w:left="1440" w:hanging="360"/>
      </w:pPr>
    </w:lvl>
    <w:lvl w:ilvl="2" w:tplc="18640D6C">
      <w:start w:val="1"/>
      <w:numFmt w:val="decimal"/>
      <w:lvlText w:val="(%3)"/>
      <w:lvlJc w:val="left"/>
      <w:pPr>
        <w:ind w:left="2160" w:hanging="180"/>
      </w:pPr>
      <w:rPr>
        <w:rFonts w:cs="David"/>
        <w:bCs w:val="0"/>
        <w:iCs w:val="0"/>
        <w:szCs w:val="24"/>
      </w:rPr>
    </w:lvl>
    <w:lvl w:ilvl="3" w:tplc="56B605E8">
      <w:start w:val="1"/>
      <w:numFmt w:val="decimal"/>
      <w:lvlText w:val="%4."/>
      <w:lvlJc w:val="left"/>
      <w:pPr>
        <w:ind w:left="2880" w:hanging="360"/>
      </w:pPr>
    </w:lvl>
    <w:lvl w:ilvl="4" w:tplc="FB8E09A2">
      <w:start w:val="1"/>
      <w:numFmt w:val="lowerLetter"/>
      <w:lvlText w:val="%5."/>
      <w:lvlJc w:val="left"/>
      <w:pPr>
        <w:ind w:left="3600" w:hanging="360"/>
      </w:pPr>
    </w:lvl>
    <w:lvl w:ilvl="5" w:tplc="D7CE7686">
      <w:start w:val="1"/>
      <w:numFmt w:val="lowerRoman"/>
      <w:lvlText w:val="%6."/>
      <w:lvlJc w:val="right"/>
      <w:pPr>
        <w:ind w:left="4320" w:hanging="180"/>
      </w:pPr>
    </w:lvl>
    <w:lvl w:ilvl="6" w:tplc="6F0EDEC8">
      <w:start w:val="1"/>
      <w:numFmt w:val="decimal"/>
      <w:lvlText w:val="%7."/>
      <w:lvlJc w:val="left"/>
      <w:pPr>
        <w:ind w:left="5040" w:hanging="360"/>
      </w:pPr>
    </w:lvl>
    <w:lvl w:ilvl="7" w:tplc="1B7A8CE2">
      <w:start w:val="1"/>
      <w:numFmt w:val="lowerLetter"/>
      <w:lvlText w:val="%8."/>
      <w:lvlJc w:val="left"/>
      <w:pPr>
        <w:ind w:left="5760" w:hanging="360"/>
      </w:pPr>
    </w:lvl>
    <w:lvl w:ilvl="8" w:tplc="4E4048BA">
      <w:start w:val="1"/>
      <w:numFmt w:val="lowerRoman"/>
      <w:lvlText w:val="%9."/>
      <w:lvlJc w:val="right"/>
      <w:pPr>
        <w:ind w:left="6480" w:hanging="180"/>
      </w:pPr>
    </w:lvl>
  </w:abstractNum>
  <w:abstractNum w:abstractNumId="1" w15:restartNumberingAfterBreak="0">
    <w:nsid w:val="6D3856D5"/>
    <w:multiLevelType w:val="hybridMultilevel"/>
    <w:tmpl w:val="E94C95BE"/>
    <w:lvl w:ilvl="0" w:tplc="2CAE6F98">
      <w:start w:val="1"/>
      <w:numFmt w:val="bullet"/>
      <w:lvlText w:val=""/>
      <w:lvlJc w:val="left"/>
      <w:pPr>
        <w:ind w:left="1445" w:hanging="360"/>
      </w:pPr>
      <w:rPr>
        <w:rFonts w:ascii="Symbol" w:hAnsi="Symbol" w:hint="default"/>
      </w:rPr>
    </w:lvl>
    <w:lvl w:ilvl="1" w:tplc="A28A1880">
      <w:start w:val="1"/>
      <w:numFmt w:val="bullet"/>
      <w:lvlText w:val="o"/>
      <w:lvlJc w:val="left"/>
      <w:pPr>
        <w:ind w:left="2165" w:hanging="360"/>
      </w:pPr>
      <w:rPr>
        <w:rFonts w:ascii="Courier New" w:hAnsi="Courier New" w:cs="Courier New" w:hint="default"/>
      </w:rPr>
    </w:lvl>
    <w:lvl w:ilvl="2" w:tplc="361C5DA8">
      <w:start w:val="1"/>
      <w:numFmt w:val="bullet"/>
      <w:lvlText w:val=""/>
      <w:lvlJc w:val="left"/>
      <w:pPr>
        <w:ind w:left="2885" w:hanging="360"/>
      </w:pPr>
      <w:rPr>
        <w:rFonts w:ascii="Wingdings" w:hAnsi="Wingdings" w:hint="default"/>
      </w:rPr>
    </w:lvl>
    <w:lvl w:ilvl="3" w:tplc="84264568">
      <w:start w:val="1"/>
      <w:numFmt w:val="bullet"/>
      <w:lvlText w:val=""/>
      <w:lvlJc w:val="left"/>
      <w:pPr>
        <w:ind w:left="3605" w:hanging="360"/>
      </w:pPr>
      <w:rPr>
        <w:rFonts w:ascii="Symbol" w:hAnsi="Symbol" w:hint="default"/>
      </w:rPr>
    </w:lvl>
    <w:lvl w:ilvl="4" w:tplc="1A5C7C32">
      <w:start w:val="1"/>
      <w:numFmt w:val="bullet"/>
      <w:lvlText w:val="o"/>
      <w:lvlJc w:val="left"/>
      <w:pPr>
        <w:ind w:left="4325" w:hanging="360"/>
      </w:pPr>
      <w:rPr>
        <w:rFonts w:ascii="Courier New" w:hAnsi="Courier New" w:cs="Courier New" w:hint="default"/>
      </w:rPr>
    </w:lvl>
    <w:lvl w:ilvl="5" w:tplc="0496670E">
      <w:start w:val="1"/>
      <w:numFmt w:val="bullet"/>
      <w:lvlText w:val=""/>
      <w:lvlJc w:val="left"/>
      <w:pPr>
        <w:ind w:left="5045" w:hanging="360"/>
      </w:pPr>
      <w:rPr>
        <w:rFonts w:ascii="Wingdings" w:hAnsi="Wingdings" w:hint="default"/>
      </w:rPr>
    </w:lvl>
    <w:lvl w:ilvl="6" w:tplc="D9ECBDBC">
      <w:start w:val="1"/>
      <w:numFmt w:val="bullet"/>
      <w:lvlText w:val=""/>
      <w:lvlJc w:val="left"/>
      <w:pPr>
        <w:ind w:left="5765" w:hanging="360"/>
      </w:pPr>
      <w:rPr>
        <w:rFonts w:ascii="Symbol" w:hAnsi="Symbol" w:hint="default"/>
      </w:rPr>
    </w:lvl>
    <w:lvl w:ilvl="7" w:tplc="8BE2DC9C">
      <w:start w:val="1"/>
      <w:numFmt w:val="bullet"/>
      <w:lvlText w:val="o"/>
      <w:lvlJc w:val="left"/>
      <w:pPr>
        <w:ind w:left="6485" w:hanging="360"/>
      </w:pPr>
      <w:rPr>
        <w:rFonts w:ascii="Courier New" w:hAnsi="Courier New" w:cs="Courier New" w:hint="default"/>
      </w:rPr>
    </w:lvl>
    <w:lvl w:ilvl="8" w:tplc="0874959E">
      <w:start w:val="1"/>
      <w:numFmt w:val="bullet"/>
      <w:lvlText w:val=""/>
      <w:lvlJc w:val="left"/>
      <w:pPr>
        <w:ind w:left="7205" w:hanging="360"/>
      </w:pPr>
      <w:rPr>
        <w:rFonts w:ascii="Wingdings" w:hAnsi="Wingdings" w:hint="default"/>
      </w:rPr>
    </w:lvl>
  </w:abstractNum>
  <w:num w:numId="1" w16cid:durableId="8530354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5577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6D43"/>
    <w:rsid w:val="000B67D3"/>
    <w:rsid w:val="00177621"/>
    <w:rsid w:val="001B5A3B"/>
    <w:rsid w:val="001F6374"/>
    <w:rsid w:val="00406F2B"/>
    <w:rsid w:val="00706D43"/>
    <w:rsid w:val="00717541"/>
    <w:rsid w:val="008B3931"/>
    <w:rsid w:val="00E33BBA"/>
    <w:rsid w:val="00F000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7BA5EE"/>
  <w15:chartTrackingRefBased/>
  <w15:docId w15:val="{91368DE7-3F4F-4CF3-97A7-91E69D08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D43"/>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06D43"/>
    <w:pPr>
      <w:tabs>
        <w:tab w:val="center" w:pos="4153"/>
        <w:tab w:val="right" w:pos="8306"/>
      </w:tabs>
    </w:pPr>
  </w:style>
  <w:style w:type="character" w:customStyle="1" w:styleId="HeaderChar">
    <w:name w:val="Header Char"/>
    <w:link w:val="Header"/>
    <w:rsid w:val="00706D43"/>
    <w:rPr>
      <w:rFonts w:ascii="Times New Roman" w:eastAsia="Times New Roman" w:hAnsi="Times New Roman" w:cs="David"/>
      <w:sz w:val="24"/>
      <w:szCs w:val="24"/>
    </w:rPr>
  </w:style>
  <w:style w:type="paragraph" w:styleId="Footer">
    <w:name w:val="footer"/>
    <w:basedOn w:val="Normal"/>
    <w:link w:val="FooterChar"/>
    <w:rsid w:val="00706D43"/>
    <w:pPr>
      <w:tabs>
        <w:tab w:val="center" w:pos="4153"/>
        <w:tab w:val="right" w:pos="8306"/>
      </w:tabs>
    </w:pPr>
  </w:style>
  <w:style w:type="character" w:customStyle="1" w:styleId="FooterChar">
    <w:name w:val="Footer Char"/>
    <w:link w:val="Footer"/>
    <w:rsid w:val="00706D43"/>
    <w:rPr>
      <w:rFonts w:ascii="Times New Roman" w:eastAsia="Times New Roman" w:hAnsi="Times New Roman" w:cs="David"/>
      <w:sz w:val="24"/>
      <w:szCs w:val="24"/>
    </w:rPr>
  </w:style>
  <w:style w:type="table" w:styleId="TableGrid">
    <w:name w:val="Table Grid"/>
    <w:basedOn w:val="TableNormal"/>
    <w:rsid w:val="00706D4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706D43"/>
  </w:style>
  <w:style w:type="paragraph" w:styleId="ListParagraph">
    <w:name w:val="List Paragraph"/>
    <w:basedOn w:val="Normal"/>
    <w:link w:val="ListParagraphChar"/>
    <w:qFormat/>
    <w:rsid w:val="00706D43"/>
    <w:pPr>
      <w:snapToGrid w:val="0"/>
      <w:ind w:left="720"/>
      <w:contextualSpacing/>
    </w:pPr>
    <w:rPr>
      <w:sz w:val="20"/>
      <w:lang w:eastAsia="he-IL"/>
    </w:rPr>
  </w:style>
  <w:style w:type="character" w:customStyle="1" w:styleId="ListParagraphChar">
    <w:name w:val="List Paragraph Char"/>
    <w:link w:val="ListParagraph"/>
    <w:locked/>
    <w:rsid w:val="00706D43"/>
    <w:rPr>
      <w:rFonts w:ascii="Times New Roman" w:eastAsia="Times New Roman" w:hAnsi="Times New Roman" w:cs="David"/>
      <w:sz w:val="20"/>
      <w:szCs w:val="24"/>
      <w:lang w:eastAsia="he-IL"/>
    </w:rPr>
  </w:style>
  <w:style w:type="character" w:customStyle="1" w:styleId="default">
    <w:name w:val="default"/>
    <w:rsid w:val="00706D43"/>
    <w:rPr>
      <w:rFonts w:ascii="Times New Roman" w:hAnsi="Times New Roman" w:cs="Times New Roman" w:hint="default"/>
      <w:sz w:val="26"/>
    </w:rPr>
  </w:style>
  <w:style w:type="character" w:customStyle="1" w:styleId="TimesNewRomanTimesNewRoman">
    <w:name w:val="סגנון (לטיני) Times New Roman (עברית ושפות אחרות) Times New Roman..."/>
    <w:rsid w:val="00706D43"/>
    <w:rPr>
      <w:rFonts w:ascii="Times New Roman" w:hAnsi="Times New Roman" w:cs="David" w:hint="default"/>
      <w:b/>
      <w:bCs/>
      <w:sz w:val="26"/>
      <w:szCs w:val="26"/>
    </w:rPr>
  </w:style>
  <w:style w:type="character" w:styleId="Hyperlink">
    <w:name w:val="Hyperlink"/>
    <w:rsid w:val="000B67D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70301/40h" TargetMode="External"/><Relationship Id="rId26" Type="http://schemas.openxmlformats.org/officeDocument/2006/relationships/hyperlink" Target="http://www.nevo.co.il/case/2068359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4" TargetMode="External"/><Relationship Id="rId34" Type="http://schemas.openxmlformats.org/officeDocument/2006/relationships/hyperlink" Target="http://www.nevo.co.il/case/7701032"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f" TargetMode="External"/><Relationship Id="rId50" Type="http://schemas.openxmlformats.org/officeDocument/2006/relationships/hyperlink" Target="http://www.nevo.co.il/law/70301/40d"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f" TargetMode="External"/><Relationship Id="rId29" Type="http://schemas.openxmlformats.org/officeDocument/2006/relationships/hyperlink" Target="http://www.nevo.co.il/case/19994719"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22140787" TargetMode="External"/><Relationship Id="rId37" Type="http://schemas.openxmlformats.org/officeDocument/2006/relationships/hyperlink" Target="http://www.nevo.co.il/case/16907310" TargetMode="External"/><Relationship Id="rId40" Type="http://schemas.openxmlformats.org/officeDocument/2006/relationships/hyperlink" Target="http://www.nevo.co.il/case/21015131" TargetMode="External"/><Relationship Id="rId45" Type="http://schemas.openxmlformats.org/officeDocument/2006/relationships/hyperlink" Target="http://www.nevo.co.il/law/70301"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4287803" TargetMode="External"/><Relationship Id="rId30" Type="http://schemas.openxmlformats.org/officeDocument/2006/relationships/hyperlink" Target="http://www.nevo.co.il/case/6603275" TargetMode="External"/><Relationship Id="rId35" Type="http://schemas.openxmlformats.org/officeDocument/2006/relationships/hyperlink" Target="http://www.nevo.co.il/case/22748960" TargetMode="External"/><Relationship Id="rId43" Type="http://schemas.openxmlformats.org/officeDocument/2006/relationships/hyperlink" Target="http://www.nevo.co.il/law/4216/37a" TargetMode="External"/><Relationship Id="rId48" Type="http://schemas.openxmlformats.org/officeDocument/2006/relationships/hyperlink" Target="http://www.nevo.co.il/law/70301/40g" TargetMode="External"/><Relationship Id="rId56" Type="http://schemas.openxmlformats.org/officeDocument/2006/relationships/footer" Target="footer1.xml"/><Relationship Id="rId8" Type="http://schemas.openxmlformats.org/officeDocument/2006/relationships/hyperlink" Target="http://www.nevo.co.il/law/4216/14" TargetMode="External"/><Relationship Id="rId51" Type="http://schemas.openxmlformats.org/officeDocument/2006/relationships/hyperlink" Target="http://www.nevo.co.il/law/70301/40e"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g"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0498074" TargetMode="External"/><Relationship Id="rId38" Type="http://schemas.openxmlformats.org/officeDocument/2006/relationships/hyperlink" Target="http://www.nevo.co.il/law/70301/40ji" TargetMode="External"/><Relationship Id="rId46" Type="http://schemas.openxmlformats.org/officeDocument/2006/relationships/hyperlink" Target="http://www.nevo.co.il/law/70301/40ja" TargetMode="External"/><Relationship Id="rId59" Type="http://schemas.openxmlformats.org/officeDocument/2006/relationships/theme" Target="theme/theme1.xml"/><Relationship Id="rId20" Type="http://schemas.openxmlformats.org/officeDocument/2006/relationships/hyperlink" Target="http://www.nevo.co.il/law/70301/40ji" TargetMode="External"/><Relationship Id="rId41" Type="http://schemas.openxmlformats.org/officeDocument/2006/relationships/hyperlink" Target="http://www.nevo.co.il/law/70301/40h"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5538826" TargetMode="External"/><Relationship Id="rId36" Type="http://schemas.openxmlformats.org/officeDocument/2006/relationships/hyperlink" Target="http://www.nevo.co.il/case/21553941" TargetMode="External"/><Relationship Id="rId49" Type="http://schemas.openxmlformats.org/officeDocument/2006/relationships/hyperlink" Target="http://www.nevo.co.il/law/70301" TargetMode="External"/><Relationship Id="rId57" Type="http://schemas.openxmlformats.org/officeDocument/2006/relationships/footer" Target="footer2.xml"/><Relationship Id="rId10" Type="http://schemas.openxmlformats.org/officeDocument/2006/relationships/hyperlink" Target="http://www.nevo.co.il/law/4216/37a" TargetMode="External"/><Relationship Id="rId31" Type="http://schemas.openxmlformats.org/officeDocument/2006/relationships/hyperlink" Target="http://www.nevo.co.il/case/18793360" TargetMode="External"/><Relationship Id="rId44" Type="http://schemas.openxmlformats.org/officeDocument/2006/relationships/hyperlink" Target="http://www.nevo.co.il/law/70301/40c.b" TargetMode="External"/><Relationship Id="rId52"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18063</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http://www.nevo.co.il/law/70301/40e</vt:lpwstr>
      </vt:variant>
      <vt:variant>
        <vt:lpwstr/>
      </vt:variant>
      <vt:variant>
        <vt:i4>6619233</vt:i4>
      </vt:variant>
      <vt:variant>
        <vt:i4>129</vt:i4>
      </vt:variant>
      <vt:variant>
        <vt:i4>0</vt:i4>
      </vt:variant>
      <vt:variant>
        <vt:i4>5</vt:i4>
      </vt:variant>
      <vt:variant>
        <vt:lpwstr>http://www.nevo.co.il/law/70301/40d</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http://www.nevo.co.il/law/70301/40g</vt:lpwstr>
      </vt:variant>
      <vt:variant>
        <vt:lpwstr/>
      </vt:variant>
      <vt:variant>
        <vt:i4>6619233</vt:i4>
      </vt:variant>
      <vt:variant>
        <vt:i4>120</vt:i4>
      </vt:variant>
      <vt:variant>
        <vt:i4>0</vt:i4>
      </vt:variant>
      <vt:variant>
        <vt:i4>5</vt:i4>
      </vt:variant>
      <vt:variant>
        <vt:lpwstr>http://www.nevo.co.il/law/70301/40f</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4915202</vt:i4>
      </vt:variant>
      <vt:variant>
        <vt:i4>111</vt:i4>
      </vt:variant>
      <vt:variant>
        <vt:i4>0</vt:i4>
      </vt:variant>
      <vt:variant>
        <vt:i4>5</vt:i4>
      </vt:variant>
      <vt:variant>
        <vt:lpwstr>http://www.nevo.co.il/law/70301/40c.b</vt:lpwstr>
      </vt:variant>
      <vt:variant>
        <vt:lpwstr/>
      </vt:variant>
      <vt:variant>
        <vt:i4>2883709</vt:i4>
      </vt:variant>
      <vt:variant>
        <vt:i4>108</vt:i4>
      </vt:variant>
      <vt:variant>
        <vt:i4>0</vt:i4>
      </vt:variant>
      <vt:variant>
        <vt:i4>5</vt:i4>
      </vt:variant>
      <vt:variant>
        <vt:lpwstr>http://www.nevo.co.il/law/4216/37a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http://www.nevo.co.il/law/70301/40h</vt:lpwstr>
      </vt:variant>
      <vt:variant>
        <vt:lpwstr/>
      </vt:variant>
      <vt:variant>
        <vt:i4>3407989</vt:i4>
      </vt:variant>
      <vt:variant>
        <vt:i4>99</vt:i4>
      </vt:variant>
      <vt:variant>
        <vt:i4>0</vt:i4>
      </vt:variant>
      <vt:variant>
        <vt:i4>5</vt:i4>
      </vt:variant>
      <vt:variant>
        <vt:lpwstr>http://www.nevo.co.il/case/21015131</vt:lpwstr>
      </vt:variant>
      <vt:variant>
        <vt:lpwstr/>
      </vt:variant>
      <vt:variant>
        <vt:i4>7995492</vt:i4>
      </vt:variant>
      <vt:variant>
        <vt:i4>96</vt:i4>
      </vt:variant>
      <vt:variant>
        <vt:i4>0</vt:i4>
      </vt:variant>
      <vt:variant>
        <vt:i4>5</vt:i4>
      </vt:variant>
      <vt:variant>
        <vt:lpwstr>http://www.nevo.co.il/law/70301</vt:lpwstr>
      </vt:variant>
      <vt:variant>
        <vt:lpwstr/>
      </vt:variant>
      <vt:variant>
        <vt:i4>786443</vt:i4>
      </vt:variant>
      <vt:variant>
        <vt:i4>93</vt:i4>
      </vt:variant>
      <vt:variant>
        <vt:i4>0</vt:i4>
      </vt:variant>
      <vt:variant>
        <vt:i4>5</vt:i4>
      </vt:variant>
      <vt:variant>
        <vt:lpwstr>http://www.nevo.co.il/law/70301/40ji</vt:lpwstr>
      </vt:variant>
      <vt:variant>
        <vt:lpwstr/>
      </vt:variant>
      <vt:variant>
        <vt:i4>4063345</vt:i4>
      </vt:variant>
      <vt:variant>
        <vt:i4>90</vt:i4>
      </vt:variant>
      <vt:variant>
        <vt:i4>0</vt:i4>
      </vt:variant>
      <vt:variant>
        <vt:i4>5</vt:i4>
      </vt:variant>
      <vt:variant>
        <vt:lpwstr>http://www.nevo.co.il/case/16907310</vt:lpwstr>
      </vt:variant>
      <vt:variant>
        <vt:lpwstr/>
      </vt:variant>
      <vt:variant>
        <vt:i4>3145849</vt:i4>
      </vt:variant>
      <vt:variant>
        <vt:i4>87</vt:i4>
      </vt:variant>
      <vt:variant>
        <vt:i4>0</vt:i4>
      </vt:variant>
      <vt:variant>
        <vt:i4>5</vt:i4>
      </vt:variant>
      <vt:variant>
        <vt:lpwstr>http://www.nevo.co.il/case/21553941</vt:lpwstr>
      </vt:variant>
      <vt:variant>
        <vt:lpwstr/>
      </vt:variant>
      <vt:variant>
        <vt:i4>3866747</vt:i4>
      </vt:variant>
      <vt:variant>
        <vt:i4>84</vt:i4>
      </vt:variant>
      <vt:variant>
        <vt:i4>0</vt:i4>
      </vt:variant>
      <vt:variant>
        <vt:i4>5</vt:i4>
      </vt:variant>
      <vt:variant>
        <vt:lpwstr>http://www.nevo.co.il/case/22748960</vt:lpwstr>
      </vt:variant>
      <vt:variant>
        <vt:lpwstr/>
      </vt:variant>
      <vt:variant>
        <vt:i4>3473521</vt:i4>
      </vt:variant>
      <vt:variant>
        <vt:i4>81</vt:i4>
      </vt:variant>
      <vt:variant>
        <vt:i4>0</vt:i4>
      </vt:variant>
      <vt:variant>
        <vt:i4>5</vt:i4>
      </vt:variant>
      <vt:variant>
        <vt:lpwstr>http://www.nevo.co.il/case/7701032</vt:lpwstr>
      </vt:variant>
      <vt:variant>
        <vt:lpwstr/>
      </vt:variant>
      <vt:variant>
        <vt:i4>3735677</vt:i4>
      </vt:variant>
      <vt:variant>
        <vt:i4>78</vt:i4>
      </vt:variant>
      <vt:variant>
        <vt:i4>0</vt:i4>
      </vt:variant>
      <vt:variant>
        <vt:i4>5</vt:i4>
      </vt:variant>
      <vt:variant>
        <vt:lpwstr>http://www.nevo.co.il/case/20498074</vt:lpwstr>
      </vt:variant>
      <vt:variant>
        <vt:lpwstr/>
      </vt:variant>
      <vt:variant>
        <vt:i4>3866741</vt:i4>
      </vt:variant>
      <vt:variant>
        <vt:i4>75</vt:i4>
      </vt:variant>
      <vt:variant>
        <vt:i4>0</vt:i4>
      </vt:variant>
      <vt:variant>
        <vt:i4>5</vt:i4>
      </vt:variant>
      <vt:variant>
        <vt:lpwstr>http://www.nevo.co.il/case/22140787</vt:lpwstr>
      </vt:variant>
      <vt:variant>
        <vt:lpwstr/>
      </vt:variant>
      <vt:variant>
        <vt:i4>3342454</vt:i4>
      </vt:variant>
      <vt:variant>
        <vt:i4>72</vt:i4>
      </vt:variant>
      <vt:variant>
        <vt:i4>0</vt:i4>
      </vt:variant>
      <vt:variant>
        <vt:i4>5</vt:i4>
      </vt:variant>
      <vt:variant>
        <vt:lpwstr>http://www.nevo.co.il/case/18793360</vt:lpwstr>
      </vt:variant>
      <vt:variant>
        <vt:lpwstr/>
      </vt:variant>
      <vt:variant>
        <vt:i4>3211382</vt:i4>
      </vt:variant>
      <vt:variant>
        <vt:i4>69</vt:i4>
      </vt:variant>
      <vt:variant>
        <vt:i4>0</vt:i4>
      </vt:variant>
      <vt:variant>
        <vt:i4>5</vt:i4>
      </vt:variant>
      <vt:variant>
        <vt:lpwstr>http://www.nevo.co.il/case/6603275</vt:lpwstr>
      </vt:variant>
      <vt:variant>
        <vt:lpwstr/>
      </vt:variant>
      <vt:variant>
        <vt:i4>3997811</vt:i4>
      </vt:variant>
      <vt:variant>
        <vt:i4>66</vt:i4>
      </vt:variant>
      <vt:variant>
        <vt:i4>0</vt:i4>
      </vt:variant>
      <vt:variant>
        <vt:i4>5</vt:i4>
      </vt:variant>
      <vt:variant>
        <vt:lpwstr>http://www.nevo.co.il/case/19994719</vt:lpwstr>
      </vt:variant>
      <vt:variant>
        <vt:lpwstr/>
      </vt:variant>
      <vt:variant>
        <vt:i4>3997818</vt:i4>
      </vt:variant>
      <vt:variant>
        <vt:i4>63</vt:i4>
      </vt:variant>
      <vt:variant>
        <vt:i4>0</vt:i4>
      </vt:variant>
      <vt:variant>
        <vt:i4>5</vt:i4>
      </vt:variant>
      <vt:variant>
        <vt:lpwstr>http://www.nevo.co.il/case/25538826</vt:lpwstr>
      </vt:variant>
      <vt:variant>
        <vt:lpwstr/>
      </vt:variant>
      <vt:variant>
        <vt:i4>3604592</vt:i4>
      </vt:variant>
      <vt:variant>
        <vt:i4>60</vt:i4>
      </vt:variant>
      <vt:variant>
        <vt:i4>0</vt:i4>
      </vt:variant>
      <vt:variant>
        <vt:i4>5</vt:i4>
      </vt:variant>
      <vt:variant>
        <vt:lpwstr>http://www.nevo.co.il/case/24287803</vt:lpwstr>
      </vt:variant>
      <vt:variant>
        <vt:lpwstr/>
      </vt:variant>
      <vt:variant>
        <vt:i4>4063353</vt:i4>
      </vt:variant>
      <vt:variant>
        <vt:i4>57</vt:i4>
      </vt:variant>
      <vt:variant>
        <vt:i4>0</vt:i4>
      </vt:variant>
      <vt:variant>
        <vt:i4>5</vt:i4>
      </vt:variant>
      <vt:variant>
        <vt:lpwstr>http://www.nevo.co.il/case/20683594</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http://www.nevo.co.il/law/4216/14</vt:lpwstr>
      </vt:variant>
      <vt:variant>
        <vt:lpwstr/>
      </vt:variant>
      <vt:variant>
        <vt:i4>786443</vt:i4>
      </vt:variant>
      <vt:variant>
        <vt:i4>39</vt:i4>
      </vt:variant>
      <vt:variant>
        <vt:i4>0</vt:i4>
      </vt:variant>
      <vt:variant>
        <vt:i4>5</vt:i4>
      </vt:variant>
      <vt:variant>
        <vt:lpwstr>http://www.nevo.co.il/law/70301/40ji</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6619233</vt:i4>
      </vt:variant>
      <vt:variant>
        <vt:i4>33</vt:i4>
      </vt:variant>
      <vt:variant>
        <vt:i4>0</vt:i4>
      </vt:variant>
      <vt:variant>
        <vt:i4>5</vt:i4>
      </vt:variant>
      <vt:variant>
        <vt:lpwstr>http://www.nevo.co.il/law/70301/40h</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66922</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מאיר זרגרי</vt:lpwstr>
  </property>
  <property fmtid="{D5CDD505-2E9C-101B-9397-08002B2CF9AE}" pid="10" name="LAWYER">
    <vt:lpwstr>אריאל סטרול;ירין סולאש</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20240212</vt:lpwstr>
  </property>
  <property fmtid="{D5CDD505-2E9C-101B-9397-08002B2CF9AE}" pid="14" name="TYPE_N_DATE">
    <vt:lpwstr>38020240212</vt:lpwstr>
  </property>
  <property fmtid="{D5CDD505-2E9C-101B-9397-08002B2CF9AE}" pid="15" name="CASESLISTTMP1">
    <vt:lpwstr>20683594;24287803;25538826;19994719;6603275;18793360;22140787;20498074;7701032;22748960;21553941;16907310;21015131</vt:lpwstr>
  </property>
  <property fmtid="{D5CDD505-2E9C-101B-9397-08002B2CF9AE}" pid="16" name="CASENOTES1">
    <vt:lpwstr>ProcID=213&amp;PartA=9&amp;PartC=19</vt:lpwstr>
  </property>
  <property fmtid="{D5CDD505-2E9C-101B-9397-08002B2CF9AE}" pid="17" name="WORDNUMPAGES">
    <vt:lpwstr>9</vt:lpwstr>
  </property>
  <property fmtid="{D5CDD505-2E9C-101B-9397-08002B2CF9AE}" pid="18" name="TYPE_ABS_DATE">
    <vt:lpwstr>380020240212</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4216/014;019a;037a</vt:lpwstr>
  </property>
  <property fmtid="{D5CDD505-2E9C-101B-9397-08002B2CF9AE}" pid="38" name="LAWLISTTMP2">
    <vt:lpwstr>70301/040c.a;40ji;040h;040c.b;40ja;040f;040g;040d;040e</vt:lpwstr>
  </property>
</Properties>
</file>