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3"/>
        <w:gridCol w:w="3666"/>
        <w:gridCol w:w="99"/>
      </w:tblGrid>
      <w:tr w:rsidR="000A09B5" w:rsidRPr="00142413" w:rsidTr="00DF0C83">
        <w:trPr>
          <w:gridAfter w:val="1"/>
          <w:wAfter w:w="99" w:type="dxa"/>
          <w:trHeight w:hRule="exact" w:val="418"/>
          <w:jc w:val="center"/>
        </w:trPr>
        <w:tc>
          <w:tcPr>
            <w:tcW w:w="8721" w:type="dxa"/>
            <w:gridSpan w:val="4"/>
          </w:tcPr>
          <w:p w:rsidR="000A09B5" w:rsidRPr="00142413" w:rsidRDefault="000A09B5" w:rsidP="0088007F">
            <w:pPr>
              <w:pStyle w:val="Header"/>
              <w:jc w:val="center"/>
              <w:rPr>
                <w:rFonts w:ascii="Tahoma" w:hAnsi="Tahoma" w:cs="Tahoma"/>
                <w:color w:val="000080"/>
                <w:rtl/>
              </w:rPr>
            </w:pPr>
            <w:bookmarkStart w:id="0" w:name="LastJudge"/>
            <w:r w:rsidRPr="00142413">
              <w:rPr>
                <w:rFonts w:ascii="Tahoma" w:hAnsi="Tahoma" w:cs="Tahoma"/>
                <w:b/>
                <w:bCs/>
                <w:color w:val="000080"/>
                <w:rtl/>
              </w:rPr>
              <w:t>בית משפט השלום בירושלים</w:t>
            </w:r>
          </w:p>
        </w:tc>
      </w:tr>
      <w:tr w:rsidR="000A09B5" w:rsidRPr="00142413" w:rsidTr="00DF0C83">
        <w:trPr>
          <w:gridAfter w:val="1"/>
          <w:wAfter w:w="99" w:type="dxa"/>
          <w:trHeight w:val="337"/>
          <w:jc w:val="center"/>
        </w:trPr>
        <w:tc>
          <w:tcPr>
            <w:tcW w:w="5055" w:type="dxa"/>
            <w:gridSpan w:val="3"/>
          </w:tcPr>
          <w:p w:rsidR="000A09B5" w:rsidRPr="00142413" w:rsidRDefault="000A09B5" w:rsidP="0088007F">
            <w:pPr>
              <w:rPr>
                <w:rFonts w:ascii="David" w:hAnsi="David"/>
                <w:b/>
                <w:bCs/>
                <w:sz w:val="28"/>
                <w:szCs w:val="28"/>
                <w:rtl/>
              </w:rPr>
            </w:pPr>
            <w:r w:rsidRPr="00142413">
              <w:rPr>
                <w:rFonts w:ascii="David" w:hAnsi="David"/>
                <w:b/>
                <w:bCs/>
                <w:sz w:val="28"/>
                <w:szCs w:val="28"/>
                <w:rtl/>
              </w:rPr>
              <w:t>ת"פ 67009-02-23 מדינת ישראל נ' נהרי</w:t>
            </w:r>
          </w:p>
          <w:p w:rsidR="000A09B5" w:rsidRPr="00142413" w:rsidRDefault="000A09B5" w:rsidP="0088007F">
            <w:pPr>
              <w:pStyle w:val="Header"/>
              <w:rPr>
                <w:rFonts w:cs="FrankRuehl"/>
                <w:sz w:val="28"/>
                <w:szCs w:val="28"/>
                <w:rtl/>
              </w:rPr>
            </w:pPr>
          </w:p>
        </w:tc>
        <w:tc>
          <w:tcPr>
            <w:tcW w:w="3666" w:type="dxa"/>
          </w:tcPr>
          <w:p w:rsidR="000A09B5" w:rsidRPr="00142413" w:rsidRDefault="000A09B5" w:rsidP="0088007F">
            <w:pPr>
              <w:pStyle w:val="Header"/>
              <w:jc w:val="right"/>
              <w:rPr>
                <w:rFonts w:cs="FrankRuehl"/>
                <w:sz w:val="28"/>
                <w:szCs w:val="28"/>
                <w:rtl/>
              </w:rPr>
            </w:pPr>
          </w:p>
        </w:tc>
      </w:tr>
      <w:tr w:rsidR="000A09B5" w:rsidRPr="00142413"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0A09B5" w:rsidRPr="00142413" w:rsidRDefault="000A09B5" w:rsidP="000A09B5">
            <w:pPr>
              <w:jc w:val="both"/>
              <w:rPr>
                <w:rFonts w:ascii="David" w:hAnsi="David"/>
                <w:b/>
                <w:bCs/>
                <w:sz w:val="26"/>
                <w:szCs w:val="26"/>
              </w:rPr>
            </w:pPr>
            <w:r w:rsidRPr="00142413">
              <w:rPr>
                <w:rFonts w:hint="cs"/>
                <w:rtl/>
              </w:rPr>
              <w:t xml:space="preserve"> </w:t>
            </w:r>
            <w:r w:rsidRPr="00142413">
              <w:rPr>
                <w:rFonts w:ascii="David" w:hAnsi="David" w:hint="cs"/>
                <w:b/>
                <w:bCs/>
                <w:sz w:val="26"/>
                <w:szCs w:val="26"/>
                <w:rtl/>
              </w:rPr>
              <w:t>ל</w:t>
            </w:r>
            <w:r w:rsidRPr="00142413">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rsidR="000A09B5" w:rsidRPr="00142413" w:rsidRDefault="000A09B5" w:rsidP="0088007F">
            <w:pPr>
              <w:rPr>
                <w:rFonts w:ascii="David" w:hAnsi="David"/>
                <w:b/>
                <w:bCs/>
                <w:sz w:val="26"/>
                <w:szCs w:val="26"/>
                <w:rtl/>
              </w:rPr>
            </w:pPr>
            <w:r w:rsidRPr="00142413">
              <w:rPr>
                <w:rFonts w:ascii="David" w:hAnsi="David"/>
                <w:b/>
                <w:bCs/>
                <w:sz w:val="26"/>
                <w:szCs w:val="26"/>
                <w:rtl/>
              </w:rPr>
              <w:t>כבוד השופט  דוד שאול גבאי ריכטר</w:t>
            </w:r>
          </w:p>
          <w:p w:rsidR="000A09B5" w:rsidRPr="00142413" w:rsidRDefault="000A09B5" w:rsidP="0088007F">
            <w:pPr>
              <w:rPr>
                <w:rFonts w:ascii="David" w:hAnsi="David"/>
                <w:b/>
                <w:bCs/>
                <w:sz w:val="26"/>
                <w:szCs w:val="26"/>
                <w:rtl/>
              </w:rPr>
            </w:pPr>
          </w:p>
          <w:p w:rsidR="000A09B5" w:rsidRPr="00142413" w:rsidRDefault="000A09B5" w:rsidP="000A09B5">
            <w:pPr>
              <w:jc w:val="both"/>
              <w:rPr>
                <w:rFonts w:ascii="David" w:hAnsi="David"/>
                <w:b/>
                <w:bCs/>
                <w:sz w:val="26"/>
                <w:szCs w:val="26"/>
              </w:rPr>
            </w:pPr>
          </w:p>
        </w:tc>
      </w:tr>
      <w:tr w:rsidR="000A09B5" w:rsidRPr="00142413"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A09B5" w:rsidRPr="00142413" w:rsidRDefault="000A09B5" w:rsidP="000A09B5">
            <w:pPr>
              <w:jc w:val="both"/>
              <w:rPr>
                <w:rFonts w:ascii="David" w:hAnsi="David"/>
                <w:b/>
                <w:bCs/>
                <w:sz w:val="26"/>
                <w:szCs w:val="26"/>
              </w:rPr>
            </w:pPr>
            <w:bookmarkStart w:id="1" w:name="FirstAppellant"/>
            <w:bookmarkStart w:id="2" w:name="FirstLawyer"/>
            <w:r w:rsidRPr="00142413">
              <w:rPr>
                <w:rFonts w:ascii="David" w:hAnsi="David"/>
                <w:b/>
                <w:bCs/>
                <w:sz w:val="26"/>
                <w:szCs w:val="26"/>
                <w:rtl/>
              </w:rPr>
              <w:t>בעניין:</w:t>
            </w:r>
          </w:p>
        </w:tc>
        <w:tc>
          <w:tcPr>
            <w:tcW w:w="3219" w:type="dxa"/>
            <w:tcBorders>
              <w:top w:val="nil"/>
              <w:left w:val="nil"/>
              <w:bottom w:val="nil"/>
              <w:right w:val="nil"/>
            </w:tcBorders>
            <w:shd w:val="clear" w:color="auto" w:fill="auto"/>
          </w:tcPr>
          <w:p w:rsidR="000A09B5" w:rsidRPr="00142413" w:rsidRDefault="000A09B5" w:rsidP="000A09B5">
            <w:pPr>
              <w:suppressLineNumbers/>
              <w:rPr>
                <w:b/>
                <w:bCs/>
                <w:sz w:val="26"/>
                <w:szCs w:val="26"/>
              </w:rPr>
            </w:pPr>
            <w:r w:rsidRPr="00142413">
              <w:rPr>
                <w:rFonts w:ascii="Arial" w:hAnsi="Arial" w:hint="cs"/>
                <w:b/>
                <w:bCs/>
                <w:sz w:val="26"/>
                <w:szCs w:val="26"/>
                <w:rtl/>
              </w:rPr>
              <w:t>ה</w:t>
            </w:r>
            <w:r w:rsidRPr="00142413">
              <w:rPr>
                <w:rFonts w:ascii="Arial" w:hAnsi="Arial"/>
                <w:b/>
                <w:bCs/>
                <w:sz w:val="26"/>
                <w:szCs w:val="26"/>
                <w:rtl/>
              </w:rPr>
              <w:t>מאשימה</w:t>
            </w:r>
          </w:p>
          <w:p w:rsidR="000A09B5" w:rsidRPr="00142413" w:rsidRDefault="000A09B5" w:rsidP="0088007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מדינת ישראל</w:t>
            </w:r>
            <w:r w:rsidRPr="00142413">
              <w:rPr>
                <w:rFonts w:ascii="Arial" w:hAnsi="Arial" w:hint="cs"/>
                <w:b/>
                <w:bCs/>
                <w:sz w:val="26"/>
                <w:szCs w:val="26"/>
                <w:rtl/>
              </w:rPr>
              <w:t xml:space="preserve"> </w:t>
            </w:r>
          </w:p>
          <w:p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 xml:space="preserve">ע"י ב"כ </w:t>
            </w:r>
            <w:r w:rsidRPr="00142413">
              <w:rPr>
                <w:rFonts w:ascii="Arial" w:hAnsi="Arial" w:hint="cs"/>
                <w:b/>
                <w:bCs/>
                <w:sz w:val="26"/>
                <w:szCs w:val="26"/>
                <w:rtl/>
              </w:rPr>
              <w:t>רפ"ק פיני ספיר, מתמחה</w:t>
            </w:r>
          </w:p>
          <w:p w:rsidR="000A09B5" w:rsidRPr="00142413" w:rsidRDefault="000A09B5" w:rsidP="000A09B5">
            <w:pPr>
              <w:suppressLineNumbers/>
              <w:rPr>
                <w:b/>
                <w:bCs/>
                <w:sz w:val="26"/>
                <w:szCs w:val="26"/>
              </w:rPr>
            </w:pPr>
            <w:r w:rsidRPr="00142413">
              <w:rPr>
                <w:rFonts w:hint="cs"/>
                <w:b/>
                <w:bCs/>
                <w:sz w:val="26"/>
                <w:szCs w:val="26"/>
                <w:rtl/>
              </w:rPr>
              <w:t>מטעם תביעות ירושלים</w:t>
            </w:r>
          </w:p>
          <w:p w:rsidR="000A09B5" w:rsidRPr="00142413" w:rsidRDefault="000A09B5" w:rsidP="0088007F">
            <w:pPr>
              <w:rPr>
                <w:rFonts w:ascii="David" w:hAnsi="David"/>
                <w:b/>
                <w:bCs/>
                <w:sz w:val="26"/>
                <w:szCs w:val="26"/>
              </w:rPr>
            </w:pPr>
          </w:p>
        </w:tc>
      </w:tr>
      <w:bookmarkEnd w:id="1"/>
      <w:bookmarkEnd w:id="2"/>
      <w:tr w:rsidR="000A09B5" w:rsidRPr="00142413"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A09B5" w:rsidRPr="00142413" w:rsidRDefault="000A09B5" w:rsidP="000A09B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rsidR="000A09B5" w:rsidRPr="00142413" w:rsidRDefault="000A09B5" w:rsidP="000A09B5">
            <w:pPr>
              <w:jc w:val="center"/>
              <w:rPr>
                <w:rFonts w:ascii="David" w:hAnsi="David"/>
                <w:b/>
                <w:bCs/>
                <w:sz w:val="26"/>
                <w:szCs w:val="26"/>
                <w:rtl/>
              </w:rPr>
            </w:pPr>
          </w:p>
          <w:p w:rsidR="000A09B5" w:rsidRPr="00142413" w:rsidRDefault="000A09B5" w:rsidP="000A09B5">
            <w:pPr>
              <w:jc w:val="center"/>
              <w:rPr>
                <w:rFonts w:ascii="David" w:hAnsi="David"/>
                <w:b/>
                <w:bCs/>
                <w:sz w:val="26"/>
                <w:szCs w:val="26"/>
                <w:rtl/>
              </w:rPr>
            </w:pPr>
            <w:r w:rsidRPr="00142413">
              <w:rPr>
                <w:rFonts w:ascii="David" w:hAnsi="David"/>
                <w:b/>
                <w:bCs/>
                <w:sz w:val="26"/>
                <w:szCs w:val="26"/>
                <w:rtl/>
              </w:rPr>
              <w:t>נגד</w:t>
            </w:r>
          </w:p>
          <w:p w:rsidR="000A09B5" w:rsidRPr="00142413" w:rsidRDefault="000A09B5" w:rsidP="000A09B5">
            <w:pPr>
              <w:jc w:val="both"/>
              <w:rPr>
                <w:rFonts w:ascii="David" w:hAnsi="David"/>
                <w:b/>
                <w:bCs/>
                <w:sz w:val="26"/>
                <w:szCs w:val="26"/>
              </w:rPr>
            </w:pPr>
          </w:p>
        </w:tc>
      </w:tr>
      <w:tr w:rsidR="000A09B5" w:rsidRPr="00142413"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0A09B5" w:rsidRPr="00142413" w:rsidRDefault="000A09B5" w:rsidP="0088007F">
            <w:pPr>
              <w:rPr>
                <w:rFonts w:ascii="David" w:hAnsi="David"/>
                <w:b/>
                <w:bCs/>
                <w:sz w:val="26"/>
                <w:szCs w:val="26"/>
                <w:rtl/>
              </w:rPr>
            </w:pPr>
          </w:p>
        </w:tc>
        <w:tc>
          <w:tcPr>
            <w:tcW w:w="3219" w:type="dxa"/>
            <w:tcBorders>
              <w:top w:val="nil"/>
              <w:left w:val="nil"/>
              <w:bottom w:val="nil"/>
              <w:right w:val="nil"/>
            </w:tcBorders>
            <w:shd w:val="clear" w:color="auto" w:fill="auto"/>
          </w:tcPr>
          <w:p w:rsidR="000A09B5" w:rsidRPr="00142413" w:rsidRDefault="000A09B5" w:rsidP="0088007F">
            <w:pPr>
              <w:rPr>
                <w:rFonts w:ascii="Arial" w:hAnsi="Arial"/>
                <w:b/>
                <w:bCs/>
                <w:sz w:val="26"/>
                <w:szCs w:val="26"/>
                <w:rtl/>
              </w:rPr>
            </w:pPr>
            <w:r w:rsidRPr="0014241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איתמר נהרי</w:t>
            </w:r>
            <w:r w:rsidRPr="00142413">
              <w:rPr>
                <w:rFonts w:ascii="Arial" w:hAnsi="Arial" w:hint="cs"/>
                <w:b/>
                <w:bCs/>
                <w:sz w:val="26"/>
                <w:szCs w:val="26"/>
                <w:rtl/>
              </w:rPr>
              <w:t xml:space="preserve"> </w:t>
            </w:r>
          </w:p>
          <w:p w:rsidR="000A09B5" w:rsidRPr="00142413" w:rsidRDefault="000A09B5" w:rsidP="000A09B5">
            <w:pPr>
              <w:suppressLineNumbers/>
              <w:rPr>
                <w:b/>
                <w:bCs/>
                <w:sz w:val="26"/>
                <w:szCs w:val="26"/>
              </w:rPr>
            </w:pPr>
            <w:r w:rsidRPr="00142413">
              <w:rPr>
                <w:rFonts w:ascii="Arial" w:hAnsi="Arial"/>
                <w:b/>
                <w:bCs/>
                <w:sz w:val="26"/>
                <w:szCs w:val="26"/>
                <w:rtl/>
              </w:rPr>
              <w:t>ע"י ב"כ עוה"ד</w:t>
            </w:r>
            <w:r w:rsidRPr="00142413">
              <w:rPr>
                <w:rFonts w:ascii="Arial" w:hAnsi="Arial" w:hint="cs"/>
                <w:b/>
                <w:bCs/>
                <w:sz w:val="26"/>
                <w:szCs w:val="26"/>
                <w:rtl/>
              </w:rPr>
              <w:t xml:space="preserve"> שלום בן-שבת</w:t>
            </w:r>
          </w:p>
          <w:p w:rsidR="000A09B5" w:rsidRPr="00142413" w:rsidRDefault="000A09B5" w:rsidP="0088007F">
            <w:pPr>
              <w:rPr>
                <w:rFonts w:ascii="David" w:hAnsi="David"/>
                <w:b/>
                <w:bCs/>
                <w:sz w:val="26"/>
                <w:szCs w:val="26"/>
              </w:rPr>
            </w:pPr>
          </w:p>
        </w:tc>
      </w:tr>
    </w:tbl>
    <w:p w:rsidR="00142413" w:rsidRPr="00142413" w:rsidRDefault="00142413" w:rsidP="00142413">
      <w:pPr>
        <w:spacing w:before="120" w:after="120" w:line="240" w:lineRule="exact"/>
        <w:ind w:left="283" w:hanging="283"/>
        <w:jc w:val="both"/>
        <w:rPr>
          <w:rFonts w:ascii="FrankRuehl" w:hAnsi="FrankRuehl" w:cs="FrankRuehl"/>
          <w:rtl/>
        </w:rPr>
      </w:pPr>
    </w:p>
    <w:p w:rsidR="00142413" w:rsidRPr="00142413" w:rsidRDefault="00142413" w:rsidP="00142413">
      <w:pPr>
        <w:rPr>
          <w:sz w:val="26"/>
          <w:szCs w:val="26"/>
          <w:rtl/>
        </w:rPr>
      </w:pPr>
    </w:p>
    <w:p w:rsidR="00DF0C83" w:rsidRPr="00DF0C83" w:rsidRDefault="00DF0C83" w:rsidP="00DF0C83">
      <w:pPr>
        <w:spacing w:before="120" w:after="120" w:line="240" w:lineRule="exact"/>
        <w:ind w:left="283" w:hanging="283"/>
        <w:jc w:val="both"/>
        <w:rPr>
          <w:rFonts w:ascii="FrankRuehl" w:hAnsi="FrankRuehl" w:cs="FrankRuehl"/>
          <w:rtl/>
        </w:rPr>
      </w:pPr>
      <w:bookmarkStart w:id="3" w:name="LawTable"/>
      <w:bookmarkEnd w:id="3"/>
    </w:p>
    <w:p w:rsidR="00DF0C83" w:rsidRPr="00DF0C83" w:rsidRDefault="00DF0C83" w:rsidP="00DF0C83">
      <w:pPr>
        <w:spacing w:before="120" w:after="120" w:line="240" w:lineRule="exact"/>
        <w:ind w:left="283" w:hanging="283"/>
        <w:jc w:val="both"/>
        <w:rPr>
          <w:rFonts w:ascii="FrankRuehl" w:hAnsi="FrankRuehl" w:cs="FrankRuehl"/>
          <w:rtl/>
        </w:rPr>
      </w:pPr>
      <w:r w:rsidRPr="00DF0C83">
        <w:rPr>
          <w:rFonts w:ascii="FrankRuehl" w:hAnsi="FrankRuehl" w:cs="FrankRuehl"/>
          <w:rtl/>
        </w:rPr>
        <w:t xml:space="preserve">חקיקה שאוזכרה: </w:t>
      </w:r>
    </w:p>
    <w:p w:rsidR="00DF0C83" w:rsidRPr="00DF0C83" w:rsidRDefault="00DF0C83" w:rsidP="00DF0C83">
      <w:pPr>
        <w:spacing w:before="120" w:after="120" w:line="240" w:lineRule="exact"/>
        <w:ind w:left="283" w:hanging="283"/>
        <w:jc w:val="both"/>
        <w:rPr>
          <w:rFonts w:ascii="FrankRuehl" w:hAnsi="FrankRuehl" w:cs="FrankRuehl"/>
          <w:color w:val="0000FF"/>
          <w:rtl/>
        </w:rPr>
      </w:pPr>
      <w:hyperlink r:id="rId7" w:history="1">
        <w:r w:rsidRPr="00DF0C83">
          <w:rPr>
            <w:rStyle w:val="Hyperlink"/>
            <w:rFonts w:ascii="FrankRuehl" w:hAnsi="FrankRuehl" w:cs="FrankRuehl"/>
            <w:u w:val="none"/>
            <w:rtl/>
          </w:rPr>
          <w:t>פקודת הסמים המסוכנים [נוסח חדש], תשל"ג-1973</w:t>
        </w:r>
      </w:hyperlink>
      <w:r w:rsidRPr="00DF0C83">
        <w:rPr>
          <w:rFonts w:ascii="FrankRuehl" w:hAnsi="FrankRuehl" w:cs="FrankRuehl"/>
          <w:color w:val="0000FF"/>
          <w:rtl/>
        </w:rPr>
        <w:t xml:space="preserve">: סע'  </w:t>
      </w:r>
      <w:hyperlink r:id="rId8" w:history="1">
        <w:r w:rsidRPr="00DF0C83">
          <w:rPr>
            <w:rStyle w:val="Hyperlink"/>
            <w:rFonts w:ascii="FrankRuehl" w:hAnsi="FrankRuehl" w:cs="FrankRuehl"/>
            <w:u w:val="none"/>
          </w:rPr>
          <w:t>7.</w:t>
        </w:r>
        <w:r w:rsidRPr="00DF0C83">
          <w:rPr>
            <w:rStyle w:val="Hyperlink"/>
            <w:rFonts w:ascii="FrankRuehl" w:hAnsi="FrankRuehl" w:cs="FrankRuehl"/>
            <w:u w:val="none"/>
            <w:rtl/>
          </w:rPr>
          <w:t>א</w:t>
        </w:r>
        <w:r w:rsidRPr="00DF0C83">
          <w:rPr>
            <w:rStyle w:val="Hyperlink"/>
            <w:rFonts w:ascii="FrankRuehl" w:hAnsi="FrankRuehl" w:cs="FrankRuehl"/>
            <w:u w:val="none"/>
          </w:rPr>
          <w:t>.</w:t>
        </w:r>
      </w:hyperlink>
      <w:r w:rsidRPr="00DF0C83">
        <w:rPr>
          <w:rFonts w:ascii="FrankRuehl" w:hAnsi="FrankRuehl" w:cs="FrankRuehl"/>
          <w:color w:val="0000FF"/>
          <w:rtl/>
        </w:rPr>
        <w:t xml:space="preserve">, </w:t>
      </w:r>
      <w:hyperlink r:id="rId9" w:history="1">
        <w:r w:rsidRPr="00DF0C83">
          <w:rPr>
            <w:rStyle w:val="Hyperlink"/>
            <w:rFonts w:ascii="FrankRuehl" w:hAnsi="FrankRuehl" w:cs="FrankRuehl"/>
            <w:u w:val="none"/>
          </w:rPr>
          <w:t>7.</w:t>
        </w:r>
        <w:r w:rsidRPr="00DF0C83">
          <w:rPr>
            <w:rStyle w:val="Hyperlink"/>
            <w:rFonts w:ascii="FrankRuehl" w:hAnsi="FrankRuehl" w:cs="FrankRuehl"/>
            <w:u w:val="none"/>
            <w:rtl/>
          </w:rPr>
          <w:t>ג</w:t>
        </w:r>
      </w:hyperlink>
      <w:r w:rsidRPr="00DF0C83">
        <w:rPr>
          <w:rFonts w:ascii="FrankRuehl" w:hAnsi="FrankRuehl" w:cs="FrankRuehl"/>
          <w:color w:val="0000FF"/>
          <w:rtl/>
        </w:rPr>
        <w:t xml:space="preserve">, </w:t>
      </w:r>
      <w:hyperlink r:id="rId10" w:history="1">
        <w:r w:rsidRPr="00DF0C83">
          <w:rPr>
            <w:rStyle w:val="Hyperlink"/>
            <w:rFonts w:ascii="FrankRuehl" w:hAnsi="FrankRuehl" w:cs="FrankRuehl"/>
            <w:u w:val="none"/>
          </w:rPr>
          <w:t>13</w:t>
        </w:r>
      </w:hyperlink>
      <w:r w:rsidRPr="00DF0C83">
        <w:rPr>
          <w:rFonts w:ascii="FrankRuehl" w:hAnsi="FrankRuehl" w:cs="FrankRuehl"/>
          <w:color w:val="0000FF"/>
          <w:rtl/>
        </w:rPr>
        <w:t xml:space="preserve">, </w:t>
      </w:r>
      <w:hyperlink r:id="rId11" w:history="1">
        <w:r w:rsidRPr="00DF0C83">
          <w:rPr>
            <w:rStyle w:val="Hyperlink"/>
            <w:rFonts w:ascii="FrankRuehl" w:hAnsi="FrankRuehl" w:cs="FrankRuehl"/>
            <w:u w:val="none"/>
          </w:rPr>
          <w:t>19.</w:t>
        </w:r>
        <w:r w:rsidRPr="00DF0C83">
          <w:rPr>
            <w:rStyle w:val="Hyperlink"/>
            <w:rFonts w:ascii="FrankRuehl" w:hAnsi="FrankRuehl" w:cs="FrankRuehl"/>
            <w:u w:val="none"/>
            <w:rtl/>
          </w:rPr>
          <w:t>א</w:t>
        </w:r>
      </w:hyperlink>
    </w:p>
    <w:p w:rsidR="000A09B5" w:rsidRDefault="000A09B5" w:rsidP="00DF0C83">
      <w:pPr>
        <w:rPr>
          <w:rFonts w:hint="cs"/>
          <w:sz w:val="26"/>
          <w:szCs w:val="26"/>
          <w:rtl/>
        </w:rPr>
      </w:pPr>
      <w:bookmarkStart w:id="4" w:name="LawTable_End"/>
      <w:bookmarkEnd w:id="4"/>
    </w:p>
    <w:p w:rsidR="00DF0C83" w:rsidRDefault="00DF0C83" w:rsidP="00DF0C83">
      <w:pPr>
        <w:rPr>
          <w:rFonts w:hint="cs"/>
          <w:sz w:val="26"/>
          <w:szCs w:val="26"/>
          <w:rtl/>
        </w:rPr>
      </w:pPr>
    </w:p>
    <w:p w:rsidR="00DF0C83" w:rsidRPr="00DF0C83" w:rsidRDefault="00DF0C83" w:rsidP="00DF0C8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09B5" w:rsidTr="000A09B5">
        <w:trPr>
          <w:trHeight w:val="355"/>
          <w:jc w:val="center"/>
        </w:trPr>
        <w:tc>
          <w:tcPr>
            <w:tcW w:w="8820" w:type="dxa"/>
            <w:tcBorders>
              <w:top w:val="nil"/>
              <w:left w:val="nil"/>
              <w:bottom w:val="nil"/>
              <w:right w:val="nil"/>
            </w:tcBorders>
            <w:shd w:val="clear" w:color="auto" w:fill="auto"/>
          </w:tcPr>
          <w:p w:rsidR="00142413" w:rsidRPr="00142413" w:rsidRDefault="00142413" w:rsidP="00142413">
            <w:pPr>
              <w:jc w:val="center"/>
              <w:rPr>
                <w:rFonts w:ascii="David" w:hAnsi="David"/>
                <w:b/>
                <w:bCs/>
                <w:sz w:val="32"/>
                <w:szCs w:val="32"/>
                <w:u w:val="single"/>
                <w:rtl/>
              </w:rPr>
            </w:pPr>
            <w:bookmarkStart w:id="5" w:name="PsakDin" w:colFirst="0" w:colLast="0"/>
            <w:bookmarkEnd w:id="0"/>
            <w:r w:rsidRPr="00142413">
              <w:rPr>
                <w:rFonts w:ascii="David" w:hAnsi="David"/>
                <w:b/>
                <w:bCs/>
                <w:sz w:val="32"/>
                <w:szCs w:val="32"/>
                <w:u w:val="single"/>
                <w:rtl/>
              </w:rPr>
              <w:t>גזר דין</w:t>
            </w:r>
          </w:p>
          <w:p w:rsidR="000A09B5" w:rsidRPr="00142413" w:rsidRDefault="000A09B5" w:rsidP="00142413">
            <w:pPr>
              <w:jc w:val="center"/>
              <w:rPr>
                <w:rFonts w:ascii="David" w:hAnsi="David"/>
                <w:bCs/>
                <w:sz w:val="32"/>
                <w:szCs w:val="32"/>
                <w:u w:val="single"/>
                <w:rtl/>
              </w:rPr>
            </w:pPr>
          </w:p>
        </w:tc>
      </w:tr>
      <w:bookmarkEnd w:id="5"/>
    </w:tbl>
    <w:p w:rsidR="000A09B5" w:rsidRPr="000F2247" w:rsidRDefault="000A09B5" w:rsidP="000A09B5">
      <w:pPr>
        <w:rPr>
          <w:rFonts w:ascii="Arial" w:hAnsi="Arial"/>
          <w:b/>
          <w:bCs/>
          <w:sz w:val="26"/>
          <w:szCs w:val="26"/>
          <w:rtl/>
        </w:rPr>
      </w:pPr>
    </w:p>
    <w:p w:rsidR="000A09B5" w:rsidRDefault="000A09B5" w:rsidP="000A09B5">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rsidR="000A09B5" w:rsidRDefault="000A09B5" w:rsidP="000A09B5">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A1773B">
        <w:rPr>
          <w:rFonts w:ascii="David" w:hAnsi="David" w:hint="cs"/>
          <w:b/>
          <w:bCs/>
          <w:sz w:val="26"/>
          <w:szCs w:val="26"/>
          <w:rtl/>
        </w:rPr>
        <w:t>החזקת סם שלא לצריכה עצמית</w:t>
      </w:r>
      <w:r>
        <w:rPr>
          <w:rFonts w:ascii="David" w:hAnsi="David" w:hint="cs"/>
          <w:sz w:val="26"/>
          <w:szCs w:val="26"/>
          <w:rtl/>
        </w:rPr>
        <w:t xml:space="preserve">, לפי סעיפים </w:t>
      </w:r>
      <w:hyperlink r:id="rId12" w:history="1">
        <w:r w:rsidR="00DF0C83" w:rsidRPr="00DF0C83">
          <w:rPr>
            <w:rStyle w:val="Hyperlink"/>
            <w:rFonts w:ascii="David" w:hAnsi="David"/>
            <w:color w:val="0000FF"/>
            <w:sz w:val="26"/>
            <w:szCs w:val="26"/>
            <w:rtl/>
          </w:rPr>
          <w:t>7(א)(ג)</w:t>
        </w:r>
      </w:hyperlink>
      <w:r>
        <w:rPr>
          <w:rFonts w:ascii="David" w:hAnsi="David" w:hint="cs"/>
          <w:sz w:val="26"/>
          <w:szCs w:val="26"/>
          <w:rtl/>
        </w:rPr>
        <w:t xml:space="preserve"> רישא ל</w:t>
      </w:r>
      <w:hyperlink r:id="rId13" w:history="1">
        <w:r w:rsidR="00142413" w:rsidRPr="00142413">
          <w:rPr>
            <w:rFonts w:ascii="David" w:hAnsi="David"/>
            <w:color w:val="0000FF"/>
            <w:sz w:val="26"/>
            <w:szCs w:val="26"/>
            <w:u w:val="single"/>
            <w:rtl/>
          </w:rPr>
          <w:t>פקודת הסמי</w:t>
        </w:r>
        <w:r w:rsidR="00142413" w:rsidRPr="00142413">
          <w:rPr>
            <w:rFonts w:ascii="David" w:hAnsi="David"/>
            <w:color w:val="0000FF"/>
            <w:sz w:val="26"/>
            <w:szCs w:val="26"/>
            <w:u w:val="single"/>
            <w:rtl/>
          </w:rPr>
          <w:t>ם</w:t>
        </w:r>
        <w:r w:rsidR="00142413" w:rsidRPr="00142413">
          <w:rPr>
            <w:rFonts w:ascii="David" w:hAnsi="David"/>
            <w:color w:val="0000FF"/>
            <w:sz w:val="26"/>
            <w:szCs w:val="26"/>
            <w:u w:val="single"/>
            <w:rtl/>
          </w:rPr>
          <w:t xml:space="preserve"> המסוכנים</w:t>
        </w:r>
      </w:hyperlink>
      <w:r>
        <w:rPr>
          <w:rFonts w:ascii="David" w:hAnsi="David" w:hint="cs"/>
          <w:sz w:val="26"/>
          <w:szCs w:val="26"/>
          <w:rtl/>
        </w:rPr>
        <w:t xml:space="preserve">, </w:t>
      </w:r>
      <w:r w:rsidRPr="00A1773B">
        <w:rPr>
          <w:rFonts w:ascii="David" w:hAnsi="David" w:hint="cs"/>
          <w:b/>
          <w:bCs/>
          <w:sz w:val="26"/>
          <w:szCs w:val="26"/>
          <w:rtl/>
        </w:rPr>
        <w:t>ובשלוש עבירות סחר בסמים</w:t>
      </w:r>
      <w:r>
        <w:rPr>
          <w:rFonts w:ascii="David" w:hAnsi="David" w:hint="cs"/>
          <w:sz w:val="26"/>
          <w:szCs w:val="26"/>
          <w:rtl/>
        </w:rPr>
        <w:t xml:space="preserve">, לפי סעיפים </w:t>
      </w:r>
      <w:hyperlink r:id="rId14" w:history="1">
        <w:r w:rsidR="00DF0C83" w:rsidRPr="00DF0C83">
          <w:rPr>
            <w:rStyle w:val="Hyperlink"/>
            <w:rFonts w:ascii="David" w:hAnsi="David"/>
            <w:color w:val="0000FF"/>
            <w:sz w:val="26"/>
            <w:szCs w:val="26"/>
            <w:rtl/>
          </w:rPr>
          <w:t>13 ו-19א</w:t>
        </w:r>
      </w:hyperlink>
      <w:r>
        <w:rPr>
          <w:rFonts w:ascii="David" w:hAnsi="David" w:hint="cs"/>
          <w:sz w:val="26"/>
          <w:szCs w:val="26"/>
          <w:rtl/>
        </w:rPr>
        <w:t xml:space="preserve"> לפקודה</w:t>
      </w:r>
      <w:bookmarkStart w:id="7" w:name="ABSTRACT_END"/>
      <w:bookmarkEnd w:id="7"/>
      <w:r>
        <w:rPr>
          <w:rFonts w:ascii="David" w:hAnsi="David" w:hint="cs"/>
          <w:sz w:val="26"/>
          <w:szCs w:val="26"/>
          <w:rtl/>
        </w:rPr>
        <w:t>. מהאישום הראשון עולה, כי ביום 15.2.2023 בשעת ערב החזיק הנאשם ברכבו 200 גרם של קנביס מחולק לעשרות אריזות, טלפון סלולרי, שקיות ומזומן בסך 2,650 ₪. מהאישום השלישי עולה כי הנאשם תיאם באמצעות יישומון טלגרם והוציא לפועל עסקת סמים מסוג קנביס במשקל לא ידוע תמורת 500 ₪ וזאת ביום 6.2.2023. מהאישום הרביעי עולה, כי ביום 7.2.2023 מכר ללקוח אחר 10 גרם קנביס תמורת 400 עד 500 ₪, כאשר אופן תיאום העסקה וביצועה היה בדומה לאישום השלישי. מהאישום החמישי עולה, כי הנאשם ביצע עסקת סמים מסוג קנביס במשקל 5 גרם תמורת 250 עד 300 ₪ מול לקוח נוסף באותה שיטת פעולה, וזאת ביום 9.2.2023.</w:t>
      </w:r>
    </w:p>
    <w:p w:rsidR="000A09B5" w:rsidRDefault="000A09B5" w:rsidP="000A09B5">
      <w:pPr>
        <w:spacing w:after="160" w:line="360" w:lineRule="auto"/>
        <w:jc w:val="both"/>
        <w:rPr>
          <w:rFonts w:ascii="David" w:hAnsi="David"/>
          <w:b/>
          <w:bCs/>
          <w:sz w:val="26"/>
          <w:szCs w:val="26"/>
          <w:u w:val="single"/>
        </w:rPr>
      </w:pPr>
    </w:p>
    <w:p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rsidR="000A09B5" w:rsidRDefault="000A09B5" w:rsidP="000A09B5">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הנאשם נעצר ביום 15.2.2023 ושוחרר עוד בשלב "מעצר הימים", ביום 23.2.2023 למעצר בית מלא (ערר המדינה נדחה). ביום 22.5.2023 נעתר בית המשפט לבקשה להקלה מסוימת בתנאים. ביום 10.7.2023 הודה הנאשם לפניי כאמור לעיל והורשע, והתנאים הוקלו שוב בהסכמה. ביום 19.4.2024 הקלתי את התנאים למעצר בית לילי.</w:t>
      </w:r>
    </w:p>
    <w:p w:rsidR="000A09B5" w:rsidRDefault="000A09B5" w:rsidP="000A09B5">
      <w:pPr>
        <w:spacing w:after="160" w:line="360" w:lineRule="auto"/>
        <w:jc w:val="both"/>
        <w:rPr>
          <w:rFonts w:ascii="David" w:hAnsi="David"/>
          <w:b/>
          <w:bCs/>
          <w:sz w:val="26"/>
          <w:szCs w:val="26"/>
          <w:u w:val="single"/>
        </w:rPr>
      </w:pPr>
    </w:p>
    <w:p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rsidR="000A09B5" w:rsidRDefault="000A09B5" w:rsidP="000A09B5">
      <w:pPr>
        <w:pStyle w:val="ListParagraph"/>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28, גרוש ואינו עובד בשנים האחרונות. הנאשם מגיע מרקע דתי ולמד במסגרות חרדיות מבלי שיש לו תעודת בגרות. הוא עבד תקופה קצרה אך מרבית חייו הבוגרים לא עבד מסיבה לא מובנת. הוא נישא ולאחר זמן קצר יחסית התגרש בשל נסיבות שפירט שירות המבחן. כיום הוא שוקד על לימודי התורה ומקווה להשתדך לבת זוג. הנאשם סיפר, כי ביצע את המעשים כשחשב שמדובר בשליחות ולא בעבירת סחר, אך מסר כי כיום מבין את חומרת המעשים והשלכותיהם והביע עליהם חרטה. שירות המבחן התרשם כי הנאשם חווה באופן מרתיע את ההליך הפלילי ונגזרותיו. הנאשם סיפר כי החל להשתמש בקנביס, והשימוש הפך להתמכרותי. הנאשם נמצא נקי מסמים בבדיקה שמסר ושלל נזקקות טיפולית. בנסיבות אלו סבר שירות המבחן, כי אין מקום להמלצה טיפולית, והמליץ להטיל על הנאשם מאסר בעבודות שירות וענישה נלווית כעונשים מרתיעים. </w:t>
      </w:r>
    </w:p>
    <w:p w:rsidR="000A09B5" w:rsidRDefault="000A09B5" w:rsidP="000A09B5">
      <w:pPr>
        <w:spacing w:after="160" w:line="360" w:lineRule="auto"/>
        <w:jc w:val="both"/>
        <w:rPr>
          <w:rFonts w:ascii="David" w:hAnsi="David"/>
          <w:b/>
          <w:bCs/>
          <w:sz w:val="26"/>
          <w:szCs w:val="26"/>
          <w:u w:val="single"/>
        </w:rPr>
      </w:pPr>
    </w:p>
    <w:p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rsidR="000A09B5" w:rsidRDefault="000A09B5" w:rsidP="000A09B5">
      <w:pPr>
        <w:pStyle w:val="ListParagraph"/>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במרכז לקשיש בראש העין, החל מיום 23.9.2024.</w:t>
      </w:r>
    </w:p>
    <w:p w:rsidR="000A09B5" w:rsidRDefault="000A09B5" w:rsidP="000A09B5">
      <w:pPr>
        <w:spacing w:after="160" w:line="360" w:lineRule="auto"/>
        <w:jc w:val="both"/>
        <w:rPr>
          <w:rFonts w:ascii="David" w:hAnsi="David"/>
          <w:sz w:val="26"/>
          <w:szCs w:val="26"/>
        </w:rPr>
      </w:pPr>
    </w:p>
    <w:p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rsidR="000A09B5" w:rsidRDefault="000A09B5" w:rsidP="000A09B5">
      <w:pPr>
        <w:pStyle w:val="ListParagraph"/>
        <w:numPr>
          <w:ilvl w:val="0"/>
          <w:numId w:val="2"/>
        </w:numPr>
        <w:spacing w:after="160" w:line="360" w:lineRule="auto"/>
        <w:jc w:val="both"/>
        <w:rPr>
          <w:rFonts w:ascii="David" w:hAnsi="David"/>
          <w:sz w:val="26"/>
          <w:szCs w:val="26"/>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 למתחמי ענישה נפרדים לכל אחד ממעשי העבירה ועתר לעונש כולל שיכול להיות מרוצה בעבודות שירות </w:t>
      </w:r>
      <w:r>
        <w:rPr>
          <w:rFonts w:ascii="David" w:hAnsi="David" w:hint="cs"/>
          <w:sz w:val="26"/>
          <w:szCs w:val="26"/>
          <w:rtl/>
        </w:rPr>
        <w:lastRenderedPageBreak/>
        <w:t xml:space="preserve">לתקופה המרבית. </w:t>
      </w:r>
      <w:r>
        <w:rPr>
          <w:rFonts w:ascii="David" w:hAnsi="David"/>
          <w:sz w:val="26"/>
          <w:szCs w:val="26"/>
          <w:rtl/>
        </w:rPr>
        <w:t xml:space="preserve">מאידך גיסא, ב"כ הנאשם טען כי ניתן להסתפק בעונש </w:t>
      </w:r>
      <w:r>
        <w:rPr>
          <w:rFonts w:ascii="David" w:hAnsi="David" w:hint="cs"/>
          <w:sz w:val="26"/>
          <w:szCs w:val="26"/>
          <w:rtl/>
        </w:rPr>
        <w:t xml:space="preserve">קצר של מאסר בעבודות שירות נוכח הטעמים עליהם עמד בהפנותו לתסקיר ולפסיקה. </w:t>
      </w:r>
    </w:p>
    <w:p w:rsidR="000A09B5" w:rsidRDefault="000A09B5" w:rsidP="000A09B5">
      <w:pPr>
        <w:spacing w:after="160" w:line="360" w:lineRule="auto"/>
        <w:jc w:val="both"/>
        <w:rPr>
          <w:rFonts w:ascii="David" w:hAnsi="David"/>
          <w:b/>
          <w:bCs/>
          <w:sz w:val="26"/>
          <w:szCs w:val="26"/>
          <w:u w:val="single"/>
          <w:rtl/>
        </w:rPr>
      </w:pPr>
    </w:p>
    <w:p w:rsidR="000A09B5" w:rsidRDefault="000A09B5" w:rsidP="000A09B5">
      <w:pPr>
        <w:spacing w:after="160" w:line="360" w:lineRule="auto"/>
        <w:jc w:val="both"/>
        <w:rPr>
          <w:rFonts w:ascii="David" w:hAnsi="David"/>
          <w:b/>
          <w:bCs/>
          <w:sz w:val="26"/>
          <w:szCs w:val="26"/>
          <w:u w:val="single"/>
          <w:rtl/>
        </w:rPr>
      </w:pPr>
    </w:p>
    <w:p w:rsidR="000A09B5" w:rsidRDefault="000A09B5" w:rsidP="000A09B5">
      <w:pPr>
        <w:spacing w:after="160" w:line="360" w:lineRule="auto"/>
        <w:jc w:val="both"/>
        <w:rPr>
          <w:rFonts w:ascii="David" w:hAnsi="David"/>
          <w:b/>
          <w:bCs/>
          <w:sz w:val="26"/>
          <w:szCs w:val="26"/>
          <w:u w:val="single"/>
          <w:rtl/>
        </w:rPr>
      </w:pPr>
    </w:p>
    <w:p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rsidR="000A09B5" w:rsidRDefault="000A09B5" w:rsidP="000A09B5">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0A09B5" w:rsidRDefault="000A09B5" w:rsidP="000A09B5">
      <w:pPr>
        <w:spacing w:after="160"/>
        <w:jc w:val="both"/>
        <w:rPr>
          <w:rFonts w:ascii="David" w:hAnsi="David"/>
          <w:b/>
          <w:bCs/>
          <w:sz w:val="26"/>
          <w:szCs w:val="26"/>
          <w:u w:val="single"/>
        </w:rPr>
      </w:pPr>
    </w:p>
    <w:p w:rsidR="000A09B5" w:rsidRDefault="000A09B5" w:rsidP="000A09B5">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ביטחון הציבור, שלומו ובריאותו במידה בינונית.</w:t>
      </w:r>
    </w:p>
    <w:p w:rsidR="000A09B5" w:rsidRDefault="000A09B5" w:rsidP="000A09B5">
      <w:pPr>
        <w:pStyle w:val="ListParagraph"/>
        <w:rPr>
          <w:rFonts w:ascii="David" w:hAnsi="David"/>
          <w:sz w:val="26"/>
          <w:szCs w:val="26"/>
          <w:rtl/>
        </w:rPr>
      </w:pPr>
    </w:p>
    <w:p w:rsidR="000A09B5" w:rsidRDefault="000A09B5" w:rsidP="000A09B5">
      <w:pPr>
        <w:spacing w:after="160"/>
        <w:jc w:val="both"/>
        <w:rPr>
          <w:rFonts w:ascii="David" w:hAnsi="David"/>
          <w:sz w:val="26"/>
          <w:szCs w:val="26"/>
          <w:rtl/>
        </w:rPr>
      </w:pPr>
    </w:p>
    <w:p w:rsidR="000A09B5" w:rsidRDefault="000A09B5" w:rsidP="000A09B5">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ביצע את המעשים ככל הנראה מבצע כסף, באופן "מקצועי" ומתוכנן. הוא הפיץ סמים לכל דורש תמורת תשלום, וגם אם מדובר ב"סם קל", הרי שעדיין מדובר בעבירה חמורה שהפסיקה רואה בחומרה. הנאשם אחראי באופן בלעדי למעשים, בפועל גרם נזק למספר אנשים ואילולא נתפס, הנזק צפוי היה להיות גדול יותר.</w:t>
      </w:r>
    </w:p>
    <w:p w:rsidR="000A09B5" w:rsidRDefault="000A09B5" w:rsidP="000A09B5">
      <w:pPr>
        <w:pStyle w:val="ListParagraph"/>
        <w:spacing w:after="160" w:line="360" w:lineRule="auto"/>
        <w:ind w:left="360"/>
        <w:jc w:val="both"/>
        <w:rPr>
          <w:rFonts w:ascii="David" w:hAnsi="David"/>
          <w:sz w:val="26"/>
          <w:szCs w:val="26"/>
          <w:rtl/>
        </w:rPr>
      </w:pPr>
    </w:p>
    <w:p w:rsidR="000A09B5" w:rsidRDefault="000A09B5" w:rsidP="000A09B5">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כלל האצבע בעבירות סחר בסמים הוא מאסר בפועל. במקרים של חריגה ממתחם העונש או במקרי סחר בודדים ניתן למצוא ענישה בדמות עבודות שירות או של"ץ בהיקף נרחב.</w:t>
      </w:r>
    </w:p>
    <w:p w:rsidR="000A09B5" w:rsidRDefault="00142413" w:rsidP="000A09B5">
      <w:pPr>
        <w:pStyle w:val="ListParagraph"/>
        <w:numPr>
          <w:ilvl w:val="0"/>
          <w:numId w:val="4"/>
        </w:numPr>
        <w:spacing w:after="160" w:line="360" w:lineRule="auto"/>
        <w:jc w:val="both"/>
        <w:rPr>
          <w:rFonts w:ascii="David" w:hAnsi="David"/>
          <w:sz w:val="26"/>
          <w:szCs w:val="26"/>
          <w:rtl/>
        </w:rPr>
      </w:pPr>
      <w:hyperlink r:id="rId15" w:history="1">
        <w:r w:rsidRPr="00142413">
          <w:rPr>
            <w:rFonts w:ascii="David" w:hAnsi="David"/>
            <w:color w:val="0000FF"/>
            <w:sz w:val="26"/>
            <w:szCs w:val="26"/>
            <w:u w:val="single"/>
            <w:rtl/>
          </w:rPr>
          <w:t>רע"פ 8388/22</w:t>
        </w:r>
      </w:hyperlink>
      <w:r w:rsidR="000A09B5">
        <w:rPr>
          <w:rFonts w:ascii="David" w:hAnsi="David"/>
          <w:sz w:val="26"/>
          <w:szCs w:val="26"/>
          <w:rtl/>
        </w:rPr>
        <w:t xml:space="preserve"> </w:t>
      </w:r>
      <w:r w:rsidR="000A09B5">
        <w:rPr>
          <w:rFonts w:ascii="David" w:hAnsi="David"/>
          <w:b/>
          <w:bCs/>
          <w:sz w:val="26"/>
          <w:szCs w:val="26"/>
          <w:rtl/>
        </w:rPr>
        <w:t>אביבי נ' מ"י</w:t>
      </w:r>
      <w:r w:rsidR="000A09B5">
        <w:rPr>
          <w:rFonts w:ascii="David" w:hAnsi="David"/>
          <w:sz w:val="26"/>
          <w:szCs w:val="26"/>
          <w:rtl/>
        </w:rPr>
        <w:t xml:space="preserve"> (מיום 8.12.2022) – נאשם שצירף ארבעה תיקי סמים, מהם תיק סחר של 4 מקרים, נדון ל-16 חודשי מאסר. אשר לתיק הסחר נקבע מתחם שבין 10 ל-24 חודשי מאסר. </w:t>
      </w:r>
    </w:p>
    <w:p w:rsidR="000A09B5" w:rsidRDefault="00142413" w:rsidP="000A09B5">
      <w:pPr>
        <w:pStyle w:val="ListParagraph"/>
        <w:numPr>
          <w:ilvl w:val="0"/>
          <w:numId w:val="4"/>
        </w:numPr>
        <w:spacing w:after="160" w:line="360" w:lineRule="auto"/>
        <w:jc w:val="both"/>
        <w:rPr>
          <w:rFonts w:ascii="David" w:hAnsi="David"/>
          <w:sz w:val="26"/>
          <w:szCs w:val="26"/>
          <w:rtl/>
        </w:rPr>
      </w:pPr>
      <w:hyperlink r:id="rId16" w:history="1">
        <w:r w:rsidRPr="00142413">
          <w:rPr>
            <w:rFonts w:ascii="David" w:hAnsi="David"/>
            <w:color w:val="0000FF"/>
            <w:sz w:val="26"/>
            <w:szCs w:val="26"/>
            <w:u w:val="single"/>
            <w:rtl/>
          </w:rPr>
          <w:t>רע"פ 4894/21</w:t>
        </w:r>
      </w:hyperlink>
      <w:r w:rsidR="000A09B5">
        <w:rPr>
          <w:rFonts w:ascii="David" w:hAnsi="David"/>
          <w:sz w:val="26"/>
          <w:szCs w:val="26"/>
          <w:rtl/>
        </w:rPr>
        <w:t xml:space="preserve"> </w:t>
      </w:r>
      <w:r w:rsidR="000A09B5">
        <w:rPr>
          <w:rFonts w:ascii="David" w:hAnsi="David"/>
          <w:b/>
          <w:bCs/>
          <w:sz w:val="26"/>
          <w:szCs w:val="26"/>
          <w:rtl/>
        </w:rPr>
        <w:t>אלטוחי נ' מ"י</w:t>
      </w:r>
      <w:r w:rsidR="000A09B5">
        <w:rPr>
          <w:rFonts w:ascii="David" w:hAnsi="David"/>
          <w:sz w:val="26"/>
          <w:szCs w:val="26"/>
          <w:rtl/>
        </w:rPr>
        <w:t xml:space="preserve"> (מיום 18.7.2021) – הנאשם הורשע בסחר מול סוכן של 12 פלטות חשיש במשקל של למעלה מקילוגרם, נדון לשנת מאסר בפועל.</w:t>
      </w:r>
    </w:p>
    <w:p w:rsidR="000A09B5" w:rsidRDefault="00142413" w:rsidP="000A09B5">
      <w:pPr>
        <w:pStyle w:val="ListParagraph"/>
        <w:numPr>
          <w:ilvl w:val="0"/>
          <w:numId w:val="4"/>
        </w:numPr>
        <w:spacing w:after="160" w:line="360" w:lineRule="auto"/>
        <w:jc w:val="both"/>
        <w:rPr>
          <w:rFonts w:ascii="David" w:hAnsi="David"/>
          <w:sz w:val="26"/>
          <w:szCs w:val="26"/>
          <w:rtl/>
        </w:rPr>
      </w:pPr>
      <w:hyperlink r:id="rId17" w:history="1">
        <w:r w:rsidRPr="00142413">
          <w:rPr>
            <w:rFonts w:ascii="David" w:hAnsi="David"/>
            <w:color w:val="0000FF"/>
            <w:sz w:val="26"/>
            <w:szCs w:val="26"/>
            <w:u w:val="single"/>
            <w:rtl/>
          </w:rPr>
          <w:t>רע"פ 3059/21</w:t>
        </w:r>
      </w:hyperlink>
      <w:r w:rsidR="000A09B5">
        <w:rPr>
          <w:rFonts w:ascii="David" w:hAnsi="David"/>
          <w:sz w:val="26"/>
          <w:szCs w:val="26"/>
          <w:rtl/>
        </w:rPr>
        <w:t xml:space="preserve"> </w:t>
      </w:r>
      <w:r w:rsidR="000A09B5">
        <w:rPr>
          <w:rFonts w:ascii="David" w:hAnsi="David"/>
          <w:b/>
          <w:bCs/>
          <w:sz w:val="26"/>
          <w:szCs w:val="26"/>
          <w:rtl/>
        </w:rPr>
        <w:t>ימין נ' מ"י</w:t>
      </w:r>
      <w:r w:rsidR="000A09B5">
        <w:rPr>
          <w:rFonts w:ascii="David" w:hAnsi="David"/>
          <w:sz w:val="26"/>
          <w:szCs w:val="26"/>
          <w:rtl/>
        </w:rPr>
        <w:t xml:space="preserve"> (מיום 5.5.2021) – הנאשם הורשע בחמש עבירות סחר בקנביס ובחזקתו נמצאו 50 גרם קנביס וכן מזומן בסך 25,000 ₪. הוא נדון ל-8 חודשי עבודות שירות. אושר מתחם שבין 10 ל-20 חודשים לעבירות הסחר.</w:t>
      </w:r>
    </w:p>
    <w:p w:rsidR="000A09B5" w:rsidRDefault="00142413" w:rsidP="000A09B5">
      <w:pPr>
        <w:pStyle w:val="ListParagraph"/>
        <w:numPr>
          <w:ilvl w:val="0"/>
          <w:numId w:val="4"/>
        </w:numPr>
        <w:spacing w:after="160" w:line="360" w:lineRule="auto"/>
        <w:jc w:val="both"/>
        <w:rPr>
          <w:rFonts w:ascii="David" w:hAnsi="David"/>
          <w:sz w:val="26"/>
          <w:szCs w:val="26"/>
          <w:rtl/>
        </w:rPr>
      </w:pPr>
      <w:hyperlink r:id="rId18" w:history="1">
        <w:r w:rsidRPr="00142413">
          <w:rPr>
            <w:rFonts w:ascii="David" w:hAnsi="David"/>
            <w:color w:val="0000FF"/>
            <w:sz w:val="26"/>
            <w:szCs w:val="26"/>
            <w:u w:val="single"/>
            <w:rtl/>
          </w:rPr>
          <w:t>רע"פ 678/21</w:t>
        </w:r>
      </w:hyperlink>
      <w:r w:rsidR="000A09B5">
        <w:rPr>
          <w:rFonts w:ascii="David" w:hAnsi="David"/>
          <w:sz w:val="26"/>
          <w:szCs w:val="26"/>
          <w:rtl/>
        </w:rPr>
        <w:t xml:space="preserve"> </w:t>
      </w:r>
      <w:r w:rsidR="000A09B5">
        <w:rPr>
          <w:rFonts w:ascii="David" w:hAnsi="David"/>
          <w:b/>
          <w:bCs/>
          <w:sz w:val="26"/>
          <w:szCs w:val="26"/>
          <w:rtl/>
        </w:rPr>
        <w:t>יהודה נ' מ"י</w:t>
      </w:r>
      <w:r w:rsidR="000A09B5">
        <w:rPr>
          <w:rFonts w:ascii="David" w:hAnsi="David"/>
          <w:sz w:val="26"/>
          <w:szCs w:val="26"/>
          <w:rtl/>
        </w:rPr>
        <w:t xml:space="preserve"> (מיום 9.2.2021) – נאשם שהורשע ב-86 מקרי סחר בקנביס ובהחזקת כ-400 גרם קנביס, נדון ל-13 חודשי מאסר בפועל על בסיס מתחם שבין מספר חודשים ל-12 חודשי מאסר לכל אירוע סחר.</w:t>
      </w:r>
    </w:p>
    <w:p w:rsidR="000A09B5" w:rsidRDefault="00142413" w:rsidP="000A09B5">
      <w:pPr>
        <w:pStyle w:val="ListParagraph"/>
        <w:numPr>
          <w:ilvl w:val="0"/>
          <w:numId w:val="4"/>
        </w:numPr>
        <w:spacing w:after="160" w:line="360" w:lineRule="auto"/>
        <w:jc w:val="both"/>
        <w:rPr>
          <w:rFonts w:ascii="David" w:hAnsi="David"/>
          <w:sz w:val="26"/>
          <w:szCs w:val="26"/>
          <w:rtl/>
        </w:rPr>
      </w:pPr>
      <w:hyperlink r:id="rId19" w:history="1">
        <w:r w:rsidRPr="00142413">
          <w:rPr>
            <w:rFonts w:ascii="David" w:hAnsi="David"/>
            <w:color w:val="0000FF"/>
            <w:sz w:val="26"/>
            <w:szCs w:val="26"/>
            <w:u w:val="single"/>
            <w:rtl/>
          </w:rPr>
          <w:t>עפ"ג (ירושלים) 27783-03-20</w:t>
        </w:r>
      </w:hyperlink>
      <w:r w:rsidR="000A09B5">
        <w:rPr>
          <w:rFonts w:ascii="David" w:hAnsi="David"/>
          <w:sz w:val="26"/>
          <w:szCs w:val="26"/>
          <w:rtl/>
        </w:rPr>
        <w:t xml:space="preserve"> </w:t>
      </w:r>
      <w:r w:rsidR="000A09B5">
        <w:rPr>
          <w:rFonts w:ascii="David" w:hAnsi="David"/>
          <w:b/>
          <w:bCs/>
          <w:sz w:val="26"/>
          <w:szCs w:val="26"/>
          <w:rtl/>
        </w:rPr>
        <w:t>מ"י נ' אבן צור</w:t>
      </w:r>
      <w:r w:rsidR="000A09B5">
        <w:rPr>
          <w:rFonts w:ascii="David" w:hAnsi="David"/>
          <w:sz w:val="26"/>
          <w:szCs w:val="26"/>
          <w:rtl/>
        </w:rPr>
        <w:t xml:space="preserve"> (מיום 30.10.2020) – בית המשפט המחוזי אישר חריגה מטעמי שיקום בנסיבות של ריבוי עבירות סחר בסמים, לרבות מול קטינים, והותיר עונש של 300 שעות של"ץ על כנו, וענישה נלווית.</w:t>
      </w:r>
    </w:p>
    <w:p w:rsidR="000A09B5" w:rsidRDefault="00142413" w:rsidP="000A09B5">
      <w:pPr>
        <w:pStyle w:val="ListParagraph"/>
        <w:numPr>
          <w:ilvl w:val="0"/>
          <w:numId w:val="4"/>
        </w:numPr>
        <w:spacing w:after="160" w:line="360" w:lineRule="auto"/>
        <w:jc w:val="both"/>
        <w:rPr>
          <w:rFonts w:ascii="David" w:hAnsi="David"/>
          <w:sz w:val="26"/>
          <w:szCs w:val="26"/>
        </w:rPr>
      </w:pPr>
      <w:hyperlink r:id="rId20" w:history="1">
        <w:r w:rsidRPr="00142413">
          <w:rPr>
            <w:rFonts w:ascii="David" w:hAnsi="David"/>
            <w:color w:val="0000FF"/>
            <w:sz w:val="26"/>
            <w:szCs w:val="26"/>
            <w:u w:val="single"/>
            <w:rtl/>
          </w:rPr>
          <w:t>עפ"ג (ירושלים) 13953-09-19</w:t>
        </w:r>
      </w:hyperlink>
      <w:r w:rsidR="000A09B5">
        <w:rPr>
          <w:rFonts w:ascii="David" w:hAnsi="David"/>
          <w:sz w:val="26"/>
          <w:szCs w:val="26"/>
          <w:rtl/>
        </w:rPr>
        <w:t xml:space="preserve"> </w:t>
      </w:r>
      <w:r w:rsidR="000A09B5">
        <w:rPr>
          <w:rFonts w:ascii="David" w:hAnsi="David"/>
          <w:b/>
          <w:bCs/>
          <w:sz w:val="26"/>
          <w:szCs w:val="26"/>
          <w:rtl/>
        </w:rPr>
        <w:t>מדינה נ' מ"י</w:t>
      </w:r>
      <w:r w:rsidR="000A09B5">
        <w:rPr>
          <w:rFonts w:ascii="David" w:hAnsi="David"/>
          <w:sz w:val="26"/>
          <w:szCs w:val="26"/>
          <w:rtl/>
        </w:rPr>
        <w:t xml:space="preserve"> (מיום 14.6.2020) – מקרה של ריבוי עבירות בקנביס באמצעות הטלגרם עם רווחים גבוהים למבצע. אושר עונש של 8 חודשי עבודות שירות.</w:t>
      </w:r>
    </w:p>
    <w:p w:rsidR="000A09B5" w:rsidRDefault="000A09B5" w:rsidP="000A09B5">
      <w:pPr>
        <w:pStyle w:val="ListParagraph"/>
        <w:spacing w:after="160" w:line="360" w:lineRule="auto"/>
        <w:ind w:left="1080"/>
        <w:jc w:val="both"/>
        <w:rPr>
          <w:rFonts w:ascii="David" w:hAnsi="David"/>
          <w:sz w:val="26"/>
          <w:szCs w:val="26"/>
          <w:rtl/>
        </w:rPr>
      </w:pPr>
    </w:p>
    <w:p w:rsidR="000A09B5" w:rsidRDefault="000A09B5" w:rsidP="000A09B5">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בין 3 חודשי מאסר ועד לשנת מאסר. מדובר במתחם ענישה אחד, שכן מתקיימים מבחני הקשר ההדוק, נוכח שיטת הפעולה הזהה, סוג הסם וסמיכות הזמנים בביצוע העבירות.</w:t>
      </w:r>
    </w:p>
    <w:p w:rsidR="000A09B5" w:rsidRDefault="000A09B5" w:rsidP="000A09B5">
      <w:pPr>
        <w:spacing w:after="160" w:line="360" w:lineRule="auto"/>
        <w:jc w:val="both"/>
        <w:rPr>
          <w:rFonts w:ascii="David" w:hAnsi="David"/>
          <w:b/>
          <w:bCs/>
          <w:sz w:val="26"/>
          <w:szCs w:val="26"/>
          <w:rtl/>
        </w:rPr>
      </w:pPr>
    </w:p>
    <w:p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rsidR="000A09B5" w:rsidRDefault="000A09B5" w:rsidP="000A09B5">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ללא עבר פלילי, קיבל אחריות למעשיו, נעצר לראשונה בחייו, ולאחר ששוחרר שהה בתנאים מגבילים אותם לא הפר ולא פתח תיקים חדשים. עם זאת, נדמה שהנאשם אינו עושה את חשבון הנפש הראוי, נוכח עמדותיו אותן הביע בפני שירות המבחן, כאשר שלל נזקקות טיפולית. יש לאמץ את המלצת שירות המבחן המתיישבת גם עם "דרך מלך" המתבטאת במדיניות הענישה הנוהגת. מאסר בעבודות שירות הוא עונש הולם, ומהווה תחליף ראוי למאסר שבנסיבות אלו מיותר ומזיק.</w:t>
      </w:r>
    </w:p>
    <w:p w:rsidR="000A09B5" w:rsidRDefault="000A09B5" w:rsidP="000A09B5">
      <w:pPr>
        <w:spacing w:after="160" w:line="360" w:lineRule="auto"/>
        <w:jc w:val="both"/>
        <w:rPr>
          <w:rFonts w:ascii="David" w:hAnsi="David"/>
          <w:b/>
          <w:bCs/>
          <w:sz w:val="26"/>
          <w:szCs w:val="26"/>
          <w:u w:val="single"/>
          <w:rtl/>
        </w:rPr>
      </w:pPr>
    </w:p>
    <w:p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rsidR="000A09B5" w:rsidRDefault="000A09B5" w:rsidP="000A09B5">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 </w:t>
      </w:r>
      <w:r>
        <w:rPr>
          <w:rFonts w:ascii="David" w:hAnsi="David"/>
          <w:sz w:val="26"/>
          <w:szCs w:val="26"/>
          <w:rtl/>
        </w:rPr>
        <w:t xml:space="preserve">חודשי מאסר, אשר ירוצו בעבודות שירות </w:t>
      </w:r>
      <w:r>
        <w:rPr>
          <w:rFonts w:ascii="David" w:hAnsi="David" w:hint="cs"/>
          <w:sz w:val="26"/>
          <w:szCs w:val="26"/>
          <w:rtl/>
        </w:rPr>
        <w:t>במרכז לקשיש בראש העין</w:t>
      </w:r>
      <w:r>
        <w:rPr>
          <w:rFonts w:ascii="David" w:hAnsi="David"/>
          <w:sz w:val="26"/>
          <w:szCs w:val="26"/>
          <w:rtl/>
        </w:rPr>
        <w:t>, וזאת על פי חוות דעת הממונה על עבודות השירות</w:t>
      </w:r>
      <w:r>
        <w:rPr>
          <w:rFonts w:ascii="David" w:hAnsi="David" w:hint="cs"/>
          <w:sz w:val="26"/>
          <w:szCs w:val="26"/>
          <w:rtl/>
        </w:rPr>
        <w:t>. מתקופה זו יש לנכות את ימי המעצר לפי חישוב שב"ס שיכריע</w:t>
      </w:r>
      <w:r>
        <w:rPr>
          <w:rFonts w:ascii="David" w:hAnsi="David"/>
          <w:sz w:val="26"/>
          <w:szCs w:val="26"/>
          <w:rtl/>
        </w:rPr>
        <w:t xml:space="preserve">. על הנאשם להתייצב ביום </w:t>
      </w:r>
      <w:r>
        <w:rPr>
          <w:rFonts w:ascii="David" w:hAnsi="David" w:hint="cs"/>
          <w:sz w:val="26"/>
          <w:szCs w:val="26"/>
          <w:rtl/>
        </w:rPr>
        <w:t xml:space="preserve">8.8.2024 </w:t>
      </w:r>
      <w:r>
        <w:rPr>
          <w:rFonts w:ascii="David" w:hAnsi="David"/>
          <w:sz w:val="26"/>
          <w:szCs w:val="26"/>
          <w:rtl/>
        </w:rPr>
        <w:t xml:space="preserve"> עד לשעה 08:00 במשרד הממונה על עבודות שירות </w:t>
      </w:r>
      <w:r>
        <w:rPr>
          <w:rFonts w:ascii="David" w:hAnsi="David" w:hint="cs"/>
          <w:sz w:val="26"/>
          <w:szCs w:val="26"/>
          <w:rtl/>
        </w:rPr>
        <w:t>ברמלה</w:t>
      </w:r>
      <w:r>
        <w:rPr>
          <w:rFonts w:ascii="David" w:hAnsi="David"/>
          <w:sz w:val="26"/>
          <w:szCs w:val="26"/>
          <w:rtl/>
        </w:rPr>
        <w:t xml:space="preserve">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7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מסיום עבודות השירות כל עבירת סמים מסוג פשע</w:t>
      </w:r>
      <w:r>
        <w:rPr>
          <w:rFonts w:ascii="David" w:hAnsi="David"/>
          <w:sz w:val="26"/>
          <w:szCs w:val="26"/>
          <w:rtl/>
        </w:rPr>
        <w:t>;</w:t>
      </w:r>
    </w:p>
    <w:p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w:t>
      </w:r>
      <w:r>
        <w:rPr>
          <w:rFonts w:ascii="David" w:hAnsi="David" w:hint="cs"/>
          <w:sz w:val="26"/>
          <w:szCs w:val="26"/>
          <w:rtl/>
        </w:rPr>
        <w:t>ס</w:t>
      </w:r>
      <w:r>
        <w:rPr>
          <w:rFonts w:ascii="David" w:hAnsi="David"/>
          <w:sz w:val="26"/>
          <w:szCs w:val="26"/>
          <w:rtl/>
        </w:rPr>
        <w:t xml:space="preserve">יום עבודות השירות כל </w:t>
      </w:r>
      <w:r>
        <w:rPr>
          <w:rFonts w:ascii="David" w:hAnsi="David" w:hint="cs"/>
          <w:sz w:val="26"/>
          <w:szCs w:val="26"/>
          <w:rtl/>
        </w:rPr>
        <w:t>עבירת סמים מסוג עוון;</w:t>
      </w:r>
    </w:p>
    <w:p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5,000</w:t>
      </w:r>
      <w:r>
        <w:rPr>
          <w:rFonts w:ascii="David" w:hAnsi="David"/>
          <w:sz w:val="26"/>
          <w:szCs w:val="26"/>
          <w:rtl/>
        </w:rPr>
        <w:t xml:space="preserve">  ₪, או </w:t>
      </w:r>
      <w:r>
        <w:rPr>
          <w:rFonts w:ascii="David" w:hAnsi="David" w:hint="cs"/>
          <w:sz w:val="26"/>
          <w:szCs w:val="26"/>
          <w:rtl/>
        </w:rPr>
        <w:t xml:space="preserve">חודשיים </w:t>
      </w:r>
      <w:r>
        <w:rPr>
          <w:rFonts w:ascii="David" w:hAnsi="David"/>
          <w:sz w:val="26"/>
          <w:szCs w:val="26"/>
          <w:rtl/>
        </w:rPr>
        <w:t xml:space="preserve">מאסר תמורתו אם לא ישולם. הקנס ישולם עד ליום </w:t>
      </w:r>
      <w:r>
        <w:rPr>
          <w:rFonts w:ascii="David" w:hAnsi="David" w:hint="cs"/>
          <w:sz w:val="26"/>
          <w:szCs w:val="26"/>
          <w:rtl/>
        </w:rPr>
        <w:t>1.10.2024</w:t>
      </w:r>
      <w:r>
        <w:rPr>
          <w:rFonts w:ascii="David" w:hAnsi="David"/>
          <w:sz w:val="26"/>
          <w:szCs w:val="26"/>
          <w:rtl/>
        </w:rPr>
        <w:t xml:space="preserve">; </w:t>
      </w:r>
    </w:p>
    <w:p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15,000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ביחס לסמים</w:t>
      </w:r>
      <w:r>
        <w:rPr>
          <w:rFonts w:ascii="David" w:hAnsi="David"/>
          <w:sz w:val="26"/>
          <w:szCs w:val="26"/>
          <w:rtl/>
        </w:rPr>
        <w:t>–</w:t>
      </w:r>
      <w:r>
        <w:rPr>
          <w:rFonts w:ascii="David" w:hAnsi="David" w:hint="cs"/>
          <w:sz w:val="26"/>
          <w:szCs w:val="26"/>
          <w:rtl/>
        </w:rPr>
        <w:t xml:space="preserve"> מורה על השמדתם. </w:t>
      </w:r>
    </w:p>
    <w:p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ביחס לטלפון ולמזומן שנתפס </w:t>
      </w:r>
      <w:r>
        <w:rPr>
          <w:rFonts w:ascii="David" w:hAnsi="David"/>
          <w:sz w:val="26"/>
          <w:szCs w:val="26"/>
          <w:rtl/>
        </w:rPr>
        <w:t>–</w:t>
      </w:r>
      <w:r>
        <w:rPr>
          <w:rFonts w:ascii="David" w:hAnsi="David" w:hint="cs"/>
          <w:sz w:val="26"/>
          <w:szCs w:val="26"/>
          <w:rtl/>
        </w:rPr>
        <w:t xml:space="preserve"> מורה על חילוטם בהסכמת הסניגור.</w:t>
      </w:r>
    </w:p>
    <w:p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לגבי הרכב </w:t>
      </w:r>
      <w:r>
        <w:rPr>
          <w:rFonts w:ascii="David" w:hAnsi="David"/>
          <w:sz w:val="26"/>
          <w:szCs w:val="26"/>
          <w:rtl/>
        </w:rPr>
        <w:t>–</w:t>
      </w:r>
      <w:r>
        <w:rPr>
          <w:rFonts w:ascii="David" w:hAnsi="David" w:hint="cs"/>
          <w:sz w:val="26"/>
          <w:szCs w:val="26"/>
          <w:rtl/>
        </w:rPr>
        <w:t xml:space="preserve"> הרכב ישוחרר ככל שיופקד סכום של 2,000 ₪ עד ליום 1.9.2024. ככל שלא יופקד סכום זה יחולט הרכב. המזכירות תוציא שורת חיוב נפרדת לסכום זה, שיחולט לאחר שישולם. </w:t>
      </w:r>
    </w:p>
    <w:p w:rsidR="000A09B5" w:rsidRDefault="000A09B5" w:rsidP="000A09B5">
      <w:pPr>
        <w:spacing w:after="160" w:line="360" w:lineRule="auto"/>
        <w:rPr>
          <w:rFonts w:ascii="David" w:hAnsi="David"/>
          <w:sz w:val="26"/>
          <w:szCs w:val="26"/>
          <w:rtl/>
        </w:rPr>
      </w:pPr>
    </w:p>
    <w:p w:rsidR="000A09B5" w:rsidRDefault="000A09B5" w:rsidP="000A09B5">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rsidR="000A09B5" w:rsidRDefault="000A09B5" w:rsidP="000A09B5">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1"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rsidR="000A09B5" w:rsidRDefault="000A09B5" w:rsidP="000A09B5">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rsidR="000A09B5" w:rsidRDefault="000A09B5" w:rsidP="000A09B5">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rsidR="000A09B5" w:rsidRDefault="000A09B5" w:rsidP="000A09B5">
      <w:pPr>
        <w:spacing w:line="360" w:lineRule="auto"/>
        <w:jc w:val="both"/>
        <w:rPr>
          <w:rFonts w:ascii="David" w:hAnsi="David"/>
          <w:b/>
          <w:bCs/>
          <w:sz w:val="26"/>
          <w:szCs w:val="26"/>
          <w:rtl/>
        </w:rPr>
      </w:pPr>
    </w:p>
    <w:p w:rsidR="000A09B5" w:rsidRDefault="000A09B5" w:rsidP="000A09B5">
      <w:pPr>
        <w:spacing w:line="360" w:lineRule="auto"/>
        <w:jc w:val="both"/>
        <w:rPr>
          <w:rFonts w:ascii="David" w:hAnsi="David"/>
          <w:b/>
          <w:bCs/>
          <w:sz w:val="26"/>
          <w:szCs w:val="26"/>
          <w:rtl/>
        </w:rPr>
      </w:pPr>
      <w:r>
        <w:rPr>
          <w:rFonts w:ascii="David" w:hAnsi="David"/>
          <w:b/>
          <w:bCs/>
          <w:sz w:val="26"/>
          <w:szCs w:val="26"/>
          <w:rtl/>
        </w:rPr>
        <w:t>לא יונפקו שוברי תשלום.</w:t>
      </w:r>
    </w:p>
    <w:p w:rsidR="000A09B5" w:rsidRDefault="000A09B5" w:rsidP="000A09B5">
      <w:pPr>
        <w:spacing w:line="360" w:lineRule="auto"/>
        <w:jc w:val="both"/>
        <w:rPr>
          <w:b/>
          <w:bCs/>
          <w:sz w:val="26"/>
          <w:szCs w:val="26"/>
          <w:rtl/>
        </w:rPr>
      </w:pPr>
    </w:p>
    <w:p w:rsidR="000A09B5" w:rsidRDefault="000A09B5" w:rsidP="000A09B5">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rsidR="000A09B5" w:rsidRDefault="000A09B5" w:rsidP="000A09B5">
      <w:pPr>
        <w:rPr>
          <w:rtl/>
        </w:rPr>
      </w:pPr>
    </w:p>
    <w:p w:rsidR="000A09B5" w:rsidRDefault="000A09B5" w:rsidP="000A09B5">
      <w:pPr>
        <w:spacing w:after="160" w:line="360" w:lineRule="auto"/>
        <w:rPr>
          <w:rFonts w:ascii="David" w:hAnsi="David"/>
          <w:sz w:val="26"/>
          <w:szCs w:val="26"/>
          <w:rtl/>
        </w:rPr>
      </w:pPr>
      <w:r>
        <w:rPr>
          <w:rFonts w:ascii="David" w:hAnsi="David"/>
          <w:sz w:val="26"/>
          <w:szCs w:val="26"/>
          <w:rtl/>
        </w:rPr>
        <w:t>לבקשת המאשימה / הסניגור, מעכב את ביצוע העונש עד ליום .</w:t>
      </w:r>
    </w:p>
    <w:p w:rsidR="000A09B5" w:rsidRDefault="000A09B5" w:rsidP="000A09B5">
      <w:pPr>
        <w:spacing w:after="160" w:line="360" w:lineRule="auto"/>
        <w:rPr>
          <w:rFonts w:ascii="David" w:hAnsi="David"/>
          <w:sz w:val="26"/>
          <w:szCs w:val="26"/>
        </w:rPr>
      </w:pPr>
      <w:r>
        <w:rPr>
          <w:rFonts w:ascii="David" w:hAnsi="David"/>
          <w:sz w:val="26"/>
          <w:szCs w:val="26"/>
          <w:rtl/>
        </w:rPr>
        <w:t>ערעור יוגש עד ליום     לבית המשפט המחוזי בירושלים.</w:t>
      </w:r>
    </w:p>
    <w:p w:rsidR="000A09B5" w:rsidRDefault="000A09B5" w:rsidP="000A09B5">
      <w:pPr>
        <w:spacing w:after="160" w:line="360" w:lineRule="auto"/>
        <w:rPr>
          <w:rFonts w:ascii="David" w:hAnsi="David"/>
          <w:sz w:val="26"/>
          <w:szCs w:val="26"/>
        </w:rPr>
      </w:pPr>
      <w:r>
        <w:rPr>
          <w:rFonts w:ascii="David" w:hAnsi="David"/>
          <w:sz w:val="26"/>
          <w:szCs w:val="26"/>
          <w:rtl/>
        </w:rPr>
        <w:t>לא יוגש ערעור במועד, יבוטל עיכוב הביצוע. היה ויוגש ערעור כאמור, עיכוב הביצוע יעמוד בתוקף עד להכרעה בערעור.</w:t>
      </w:r>
    </w:p>
    <w:p w:rsidR="000A09B5" w:rsidRDefault="000A09B5" w:rsidP="000A09B5">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rsidR="000A09B5" w:rsidRDefault="000A09B5" w:rsidP="000A09B5">
      <w:pPr>
        <w:spacing w:after="160" w:line="252" w:lineRule="auto"/>
        <w:rPr>
          <w:rFonts w:ascii="David" w:hAnsi="David"/>
          <w:sz w:val="26"/>
          <w:szCs w:val="26"/>
          <w:rtl/>
        </w:rPr>
      </w:pPr>
    </w:p>
    <w:p w:rsidR="000A09B5" w:rsidRDefault="00142413" w:rsidP="000A09B5">
      <w:pPr>
        <w:spacing w:after="160" w:line="252" w:lineRule="auto"/>
        <w:rPr>
          <w:rFonts w:ascii="David" w:hAnsi="David"/>
          <w:b/>
          <w:bCs/>
          <w:sz w:val="26"/>
          <w:szCs w:val="26"/>
        </w:rPr>
      </w:pPr>
      <w:r w:rsidRPr="00142413">
        <w:rPr>
          <w:rFonts w:ascii="David" w:hAnsi="David"/>
          <w:b/>
          <w:bCs/>
          <w:color w:val="FFFFFF"/>
          <w:sz w:val="2"/>
          <w:szCs w:val="2"/>
          <w:rtl/>
        </w:rPr>
        <w:t>5129371</w:t>
      </w:r>
      <w:r w:rsidR="000A09B5">
        <w:rPr>
          <w:rFonts w:ascii="David" w:hAnsi="David"/>
          <w:b/>
          <w:bCs/>
          <w:sz w:val="26"/>
          <w:szCs w:val="26"/>
          <w:rtl/>
        </w:rPr>
        <w:t>זכות ערעור כחוק לבית המשפט המחוזי בירושלים בתוך 45 יום מהיום.</w:t>
      </w:r>
    </w:p>
    <w:p w:rsidR="000A09B5" w:rsidRPr="00142413" w:rsidRDefault="00142413" w:rsidP="000A09B5">
      <w:pPr>
        <w:rPr>
          <w:color w:val="FFFFFF"/>
          <w:sz w:val="2"/>
          <w:szCs w:val="2"/>
        </w:rPr>
      </w:pPr>
      <w:r w:rsidRPr="00142413">
        <w:rPr>
          <w:color w:val="FFFFFF"/>
          <w:sz w:val="2"/>
          <w:szCs w:val="2"/>
          <w:rtl/>
        </w:rPr>
        <w:t>54678313</w:t>
      </w:r>
    </w:p>
    <w:p w:rsidR="000A09B5" w:rsidRPr="000F2247" w:rsidRDefault="000A09B5" w:rsidP="000A09B5">
      <w:pPr>
        <w:rPr>
          <w:rFonts w:ascii="Arial" w:hAnsi="Arial"/>
          <w:b/>
          <w:bCs/>
          <w:sz w:val="26"/>
          <w:szCs w:val="26"/>
          <w:rtl/>
        </w:rPr>
      </w:pPr>
    </w:p>
    <w:p w:rsidR="000A09B5" w:rsidRPr="000F2247" w:rsidRDefault="00142413" w:rsidP="000A09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במעמד הצדדים. </w:t>
      </w:r>
      <w:bookmarkEnd w:id="8"/>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hint="cs"/>
          <w:b/>
          <w:bCs/>
          <w:sz w:val="26"/>
          <w:szCs w:val="26"/>
          <w:rtl/>
        </w:rPr>
        <w:t xml:space="preserve">         </w:t>
      </w:r>
    </w:p>
    <w:p w:rsidR="000A09B5" w:rsidRPr="000F2247" w:rsidRDefault="000A09B5" w:rsidP="0014241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0A09B5" w:rsidRPr="00DF0C83" w:rsidRDefault="00DF0C83" w:rsidP="000A09B5">
      <w:pPr>
        <w:jc w:val="center"/>
        <w:rPr>
          <w:rFonts w:ascii="Arial" w:hAnsi="Arial"/>
          <w:b/>
          <w:bCs/>
          <w:color w:val="FFFFFF"/>
          <w:sz w:val="2"/>
          <w:szCs w:val="2"/>
          <w:rtl/>
        </w:rPr>
      </w:pPr>
      <w:r w:rsidRPr="00DF0C83">
        <w:rPr>
          <w:rFonts w:ascii="Arial" w:hAnsi="Arial"/>
          <w:b/>
          <w:bCs/>
          <w:color w:val="FFFFFF"/>
          <w:sz w:val="2"/>
          <w:szCs w:val="2"/>
          <w:rtl/>
        </w:rPr>
        <w:t>5129371</w:t>
      </w:r>
    </w:p>
    <w:p w:rsidR="000E06F0" w:rsidRPr="00DF0C83" w:rsidRDefault="00DF0C83" w:rsidP="00142413">
      <w:pPr>
        <w:keepNext/>
        <w:rPr>
          <w:rFonts w:ascii="David" w:hAnsi="David"/>
          <w:color w:val="FFFFFF"/>
          <w:sz w:val="2"/>
          <w:szCs w:val="2"/>
          <w:rtl/>
        </w:rPr>
      </w:pPr>
      <w:r w:rsidRPr="00DF0C83">
        <w:rPr>
          <w:rFonts w:ascii="David" w:hAnsi="David"/>
          <w:color w:val="FFFFFF"/>
          <w:sz w:val="2"/>
          <w:szCs w:val="2"/>
          <w:rtl/>
        </w:rPr>
        <w:t>54678313</w:t>
      </w:r>
    </w:p>
    <w:p w:rsidR="00142413" w:rsidRDefault="00142413" w:rsidP="00142413">
      <w:pPr>
        <w:rPr>
          <w:rtl/>
        </w:rPr>
      </w:pPr>
    </w:p>
    <w:p w:rsidR="00142413" w:rsidRDefault="00142413" w:rsidP="00142413">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rsidR="00DF0C83" w:rsidRPr="00DF0C83" w:rsidRDefault="00DF0C83" w:rsidP="00DF0C83">
      <w:pPr>
        <w:keepNext/>
        <w:rPr>
          <w:rFonts w:ascii="David" w:hAnsi="David"/>
          <w:color w:val="000000"/>
          <w:sz w:val="22"/>
          <w:szCs w:val="22"/>
          <w:rtl/>
        </w:rPr>
      </w:pPr>
    </w:p>
    <w:p w:rsidR="00DF0C83" w:rsidRPr="00DF0C83" w:rsidRDefault="00DF0C83" w:rsidP="00DF0C83">
      <w:pPr>
        <w:keepNext/>
        <w:rPr>
          <w:rFonts w:ascii="David" w:hAnsi="David"/>
          <w:color w:val="000000"/>
          <w:sz w:val="22"/>
          <w:szCs w:val="22"/>
          <w:rtl/>
        </w:rPr>
      </w:pPr>
      <w:r w:rsidRPr="00DF0C83">
        <w:rPr>
          <w:rFonts w:ascii="David" w:hAnsi="David"/>
          <w:color w:val="000000"/>
          <w:sz w:val="22"/>
          <w:szCs w:val="22"/>
          <w:rtl/>
        </w:rPr>
        <w:t>דוד שאול גבאי ריכטר 54678313-/</w:t>
      </w:r>
    </w:p>
    <w:p w:rsidR="00142413" w:rsidRPr="00142413" w:rsidRDefault="00DF0C83" w:rsidP="00DF0C83">
      <w:pPr>
        <w:rPr>
          <w:color w:val="0000FF"/>
          <w:u w:val="single"/>
        </w:rPr>
      </w:pPr>
      <w:r w:rsidRPr="00DF0C83">
        <w:rPr>
          <w:color w:val="000000"/>
          <w:u w:val="single"/>
          <w:rtl/>
        </w:rPr>
        <w:t>נוסח מסמך זה כפוף לשינויי ניסוח ועריכה</w:t>
      </w:r>
    </w:p>
    <w:sectPr w:rsidR="00142413" w:rsidRPr="00142413" w:rsidSect="00DF0C8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3682" w:rsidRDefault="00213682" w:rsidP="00290801">
      <w:r>
        <w:separator/>
      </w:r>
    </w:p>
  </w:endnote>
  <w:endnote w:type="continuationSeparator" w:id="0">
    <w:p w:rsidR="00213682" w:rsidRDefault="00213682" w:rsidP="0029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0C83" w:rsidRDefault="00DF0C83" w:rsidP="00DF0C8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8007F" w:rsidRPr="00DF0C83" w:rsidRDefault="00DF0C83" w:rsidP="00DF0C83">
    <w:pPr>
      <w:pStyle w:val="Footer"/>
      <w:pBdr>
        <w:top w:val="single" w:sz="4" w:space="1" w:color="auto"/>
        <w:between w:val="single" w:sz="4" w:space="0" w:color="auto"/>
      </w:pBdr>
      <w:spacing w:after="60"/>
      <w:jc w:val="center"/>
      <w:rPr>
        <w:rFonts w:ascii="FrankRuehl" w:hAnsi="FrankRuehl" w:cs="FrankRuehl"/>
        <w:color w:val="000000"/>
      </w:rPr>
    </w:pPr>
    <w:r w:rsidRPr="00DF0C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0C83" w:rsidRDefault="00DF0C83" w:rsidP="00DF0C8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1905">
      <w:rPr>
        <w:rFonts w:ascii="FrankRuehl" w:hAnsi="FrankRuehl" w:cs="FrankRuehl"/>
        <w:noProof/>
        <w:rtl/>
      </w:rPr>
      <w:t>1</w:t>
    </w:r>
    <w:r>
      <w:rPr>
        <w:rFonts w:ascii="FrankRuehl" w:hAnsi="FrankRuehl" w:cs="FrankRuehl"/>
        <w:rtl/>
      </w:rPr>
      <w:fldChar w:fldCharType="end"/>
    </w:r>
  </w:p>
  <w:p w:rsidR="0088007F" w:rsidRPr="00DF0C83" w:rsidRDefault="00DF0C83" w:rsidP="00DF0C83">
    <w:pPr>
      <w:pStyle w:val="Footer"/>
      <w:pBdr>
        <w:top w:val="single" w:sz="4" w:space="1" w:color="auto"/>
        <w:between w:val="single" w:sz="4" w:space="0" w:color="auto"/>
      </w:pBdr>
      <w:spacing w:after="60"/>
      <w:jc w:val="center"/>
      <w:rPr>
        <w:rFonts w:ascii="FrankRuehl" w:hAnsi="FrankRuehl" w:cs="FrankRuehl"/>
        <w:color w:val="000000"/>
      </w:rPr>
    </w:pPr>
    <w:r w:rsidRPr="00DF0C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3682" w:rsidRDefault="00213682" w:rsidP="00290801">
      <w:r>
        <w:separator/>
      </w:r>
    </w:p>
  </w:footnote>
  <w:footnote w:type="continuationSeparator" w:id="0">
    <w:p w:rsidR="00213682" w:rsidRDefault="00213682" w:rsidP="00290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2413" w:rsidRPr="00DF0C83" w:rsidRDefault="00DF0C83" w:rsidP="00DF0C8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67009-02-23</w:t>
    </w:r>
    <w:r>
      <w:rPr>
        <w:rFonts w:ascii="David" w:hAnsi="David"/>
        <w:color w:val="000000"/>
        <w:sz w:val="22"/>
        <w:szCs w:val="22"/>
        <w:rtl/>
      </w:rPr>
      <w:tab/>
      <w:t xml:space="preserve"> מדינת ישראל נ' איתמר נהרי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2413" w:rsidRPr="00DF0C83" w:rsidRDefault="00DF0C83" w:rsidP="00DF0C8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67009-02-23</w:t>
    </w:r>
    <w:r>
      <w:rPr>
        <w:rFonts w:ascii="David" w:hAnsi="David"/>
        <w:color w:val="000000"/>
        <w:sz w:val="22"/>
        <w:szCs w:val="22"/>
        <w:rtl/>
      </w:rPr>
      <w:tab/>
      <w:t xml:space="preserve"> מדינת ישראל נ' איתמר נהרי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9E6"/>
    <w:multiLevelType w:val="hybridMultilevel"/>
    <w:tmpl w:val="40B00E1A"/>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21933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03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118552">
    <w:abstractNumId w:val="1"/>
  </w:num>
  <w:num w:numId="4" w16cid:durableId="202678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09B5"/>
    <w:rsid w:val="000A09B5"/>
    <w:rsid w:val="000E06F0"/>
    <w:rsid w:val="00142413"/>
    <w:rsid w:val="001B5A3B"/>
    <w:rsid w:val="00213682"/>
    <w:rsid w:val="00290801"/>
    <w:rsid w:val="0088007F"/>
    <w:rsid w:val="00CF4679"/>
    <w:rsid w:val="00DF0C83"/>
    <w:rsid w:val="00E519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EB109C7-9C8B-4298-BC2F-63BDE293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09B5"/>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A09B5"/>
    <w:pPr>
      <w:tabs>
        <w:tab w:val="center" w:pos="4153"/>
        <w:tab w:val="right" w:pos="8306"/>
      </w:tabs>
    </w:pPr>
  </w:style>
  <w:style w:type="character" w:customStyle="1" w:styleId="HeaderChar">
    <w:name w:val="Header Char"/>
    <w:link w:val="Header"/>
    <w:rsid w:val="000A09B5"/>
    <w:rPr>
      <w:rFonts w:ascii="Times New Roman" w:eastAsia="Times New Roman" w:hAnsi="Times New Roman" w:cs="David"/>
      <w:sz w:val="24"/>
      <w:szCs w:val="24"/>
    </w:rPr>
  </w:style>
  <w:style w:type="paragraph" w:styleId="Footer">
    <w:name w:val="footer"/>
    <w:basedOn w:val="Normal"/>
    <w:link w:val="FooterChar"/>
    <w:rsid w:val="000A09B5"/>
    <w:pPr>
      <w:tabs>
        <w:tab w:val="center" w:pos="4153"/>
        <w:tab w:val="right" w:pos="8306"/>
      </w:tabs>
    </w:pPr>
  </w:style>
  <w:style w:type="character" w:customStyle="1" w:styleId="FooterChar">
    <w:name w:val="Footer Char"/>
    <w:link w:val="Footer"/>
    <w:rsid w:val="000A09B5"/>
    <w:rPr>
      <w:rFonts w:ascii="Times New Roman" w:eastAsia="Times New Roman" w:hAnsi="Times New Roman" w:cs="David"/>
      <w:sz w:val="24"/>
      <w:szCs w:val="24"/>
    </w:rPr>
  </w:style>
  <w:style w:type="table" w:styleId="TableGrid">
    <w:name w:val="Table Grid"/>
    <w:basedOn w:val="TableNormal"/>
    <w:rsid w:val="000A09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A09B5"/>
  </w:style>
  <w:style w:type="character" w:styleId="Hyperlink">
    <w:name w:val="Hyperlink"/>
    <w:rsid w:val="000A09B5"/>
    <w:rPr>
      <w:noProof w:val="0"/>
      <w:color w:val="0563C1"/>
      <w:u w:val="single"/>
    </w:rPr>
  </w:style>
  <w:style w:type="paragraph" w:styleId="ListParagraph">
    <w:name w:val="List Paragraph"/>
    <w:basedOn w:val="Normal"/>
    <w:qFormat/>
    <w:rsid w:val="000A0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36555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eca.gov.il"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759253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782907" TargetMode="External"/><Relationship Id="rId20" Type="http://schemas.openxmlformats.org/officeDocument/2006/relationships/hyperlink" Target="http://www.nevo.co.il/case/260152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920073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2653623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8347</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7864368</vt:i4>
      </vt:variant>
      <vt:variant>
        <vt:i4>42</vt:i4>
      </vt:variant>
      <vt:variant>
        <vt:i4>0</vt:i4>
      </vt:variant>
      <vt:variant>
        <vt:i4>5</vt:i4>
      </vt:variant>
      <vt:variant>
        <vt:lpwstr>http://www.eca.gov.il/</vt:lpwstr>
      </vt:variant>
      <vt:variant>
        <vt:lpwstr/>
      </vt:variant>
      <vt:variant>
        <vt:i4>3211377</vt:i4>
      </vt:variant>
      <vt:variant>
        <vt:i4>39</vt:i4>
      </vt:variant>
      <vt:variant>
        <vt:i4>0</vt:i4>
      </vt:variant>
      <vt:variant>
        <vt:i4>5</vt:i4>
      </vt:variant>
      <vt:variant>
        <vt:lpwstr>http://www.nevo.co.il/case/26015265</vt:lpwstr>
      </vt:variant>
      <vt:variant>
        <vt:lpwstr/>
      </vt:variant>
      <vt:variant>
        <vt:i4>3276915</vt:i4>
      </vt:variant>
      <vt:variant>
        <vt:i4>36</vt:i4>
      </vt:variant>
      <vt:variant>
        <vt:i4>0</vt:i4>
      </vt:variant>
      <vt:variant>
        <vt:i4>5</vt:i4>
      </vt:variant>
      <vt:variant>
        <vt:lpwstr>http://www.nevo.co.il/case/26536237</vt:lpwstr>
      </vt:variant>
      <vt:variant>
        <vt:lpwstr/>
      </vt:variant>
      <vt:variant>
        <vt:i4>3211376</vt:i4>
      </vt:variant>
      <vt:variant>
        <vt:i4>33</vt:i4>
      </vt:variant>
      <vt:variant>
        <vt:i4>0</vt:i4>
      </vt:variant>
      <vt:variant>
        <vt:i4>5</vt:i4>
      </vt:variant>
      <vt:variant>
        <vt:lpwstr>http://www.nevo.co.il/case/27365552</vt:lpwstr>
      </vt:variant>
      <vt:variant>
        <vt:lpwstr/>
      </vt:variant>
      <vt:variant>
        <vt:i4>3539071</vt:i4>
      </vt:variant>
      <vt:variant>
        <vt:i4>30</vt:i4>
      </vt:variant>
      <vt:variant>
        <vt:i4>0</vt:i4>
      </vt:variant>
      <vt:variant>
        <vt:i4>5</vt:i4>
      </vt:variant>
      <vt:variant>
        <vt:lpwstr>http://www.nevo.co.il/case/27592536</vt:lpwstr>
      </vt:variant>
      <vt:variant>
        <vt:lpwstr/>
      </vt:variant>
      <vt:variant>
        <vt:i4>3604594</vt:i4>
      </vt:variant>
      <vt:variant>
        <vt:i4>27</vt:i4>
      </vt:variant>
      <vt:variant>
        <vt:i4>0</vt:i4>
      </vt:variant>
      <vt:variant>
        <vt:i4>5</vt:i4>
      </vt:variant>
      <vt:variant>
        <vt:lpwstr>http://www.nevo.co.il/case/27782907</vt:lpwstr>
      </vt:variant>
      <vt:variant>
        <vt:lpwstr/>
      </vt:variant>
      <vt:variant>
        <vt:i4>3342458</vt:i4>
      </vt:variant>
      <vt:variant>
        <vt:i4>24</vt:i4>
      </vt:variant>
      <vt:variant>
        <vt:i4>0</vt:i4>
      </vt:variant>
      <vt:variant>
        <vt:i4>5</vt:i4>
      </vt:variant>
      <vt:variant>
        <vt:lpwstr>http://www.nevo.co.il/case/29200734</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67009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איתמר נהרי</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20240707</vt:lpwstr>
  </property>
  <property fmtid="{D5CDD505-2E9C-101B-9397-08002B2CF9AE}" pid="14" name="TYPE_N_DATE">
    <vt:lpwstr>38020240707</vt:lpwstr>
  </property>
  <property fmtid="{D5CDD505-2E9C-101B-9397-08002B2CF9AE}" pid="15" name="CASESLISTTMP1">
    <vt:lpwstr>29200734;27782907;27592536;27365552;26536237;26015265</vt:lpwstr>
  </property>
  <property fmtid="{D5CDD505-2E9C-101B-9397-08002B2CF9AE}" pid="16" name="WORDNUMPAGES">
    <vt:lpwstr>6</vt:lpwstr>
  </property>
  <property fmtid="{D5CDD505-2E9C-101B-9397-08002B2CF9AE}" pid="17" name="TYPE_ABS_DATE">
    <vt:lpwstr>380020240707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4216/007.a;007.c;013;019.a</vt:lpwstr>
  </property>
</Properties>
</file>