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8"/>
        <w:gridCol w:w="3663"/>
        <w:tblGridChange w:id="0">
          <w:tblGrid>
            <w:gridCol w:w="5058"/>
            <w:gridCol w:w="3663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השלום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באילת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46424-05-24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טרבה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3219"/>
        <w:gridCol w:w="4678"/>
        <w:tblGridChange w:id="0">
          <w:tblGrid>
            <w:gridCol w:w="923"/>
            <w:gridCol w:w="3219"/>
            <w:gridCol w:w="467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bidi w:val="1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גיל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אדלמן</w:t>
            </w:r>
          </w:p>
          <w:p w:rsidR="00000000" w:rsidDel="00000000" w:rsidP="00000000" w:rsidRDefault="00000000" w:rsidRPr="00000000" w14:paraId="0000000D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10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בעניין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המאשימה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עוה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שירלי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הדר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9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סטניסלב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טרבה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עציר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עוה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אלעד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אלקיס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1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2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1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פקודת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הסמים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המסוכנים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[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נוסח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חדש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], 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תשל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"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ג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2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7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7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ג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13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7">
        <w:r w:rsidDel="00000000" w:rsidR="00000000" w:rsidRPr="00000000">
          <w:rPr>
            <w:rtl w:val="0"/>
          </w:rPr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19</w:t>
        </w:r>
      </w:hyperlink>
      <w:hyperlink r:id="rId2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24">
            <w:pPr>
              <w:bidi w:val="1"/>
              <w:jc w:val="center"/>
              <w:rPr>
                <w:rFonts w:ascii="David" w:cs="David" w:eastAsia="David" w:hAnsi="David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5">
            <w:pPr>
              <w:bidi w:val="1"/>
              <w:jc w:val="center"/>
              <w:rPr>
                <w:rFonts w:ascii="David" w:cs="David" w:eastAsia="David" w:hAnsi="David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bidi w:val="1"/>
        <w:spacing w:line="360" w:lineRule="auto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המסגרת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העובדתית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סטניסלב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3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3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hyperlink r:id="rId32">
        <w:r w:rsidDel="00000000" w:rsidR="00000000" w:rsidRPr="00000000">
          <w:rPr>
            <w:rtl w:val="0"/>
          </w:rPr>
        </w:r>
      </w:hyperlink>
      <w:hyperlink r:id="rId3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19</w:t>
        </w:r>
      </w:hyperlink>
      <w:hyperlink r:id="rId3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hyperlink r:id="rId3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פקודת</w:t>
        </w:r>
      </w:hyperlink>
      <w:hyperlink r:id="rId3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הסמים</w:t>
        </w:r>
      </w:hyperlink>
      <w:hyperlink r:id="rId3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-1973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פקודת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;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יצוא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4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סעיפים</w:t>
        </w:r>
      </w:hyperlink>
      <w:hyperlink r:id="rId4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hyperlink r:id="rId42">
        <w:r w:rsidDel="00000000" w:rsidR="00000000" w:rsidRPr="00000000">
          <w:rPr>
            <w:rtl w:val="0"/>
          </w:rPr>
        </w:r>
      </w:hyperlink>
      <w:hyperlink r:id="rId4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19</w:t>
        </w:r>
      </w:hyperlink>
      <w:hyperlink r:id="rId4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45">
        <w:r w:rsidDel="00000000" w:rsidR="00000000" w:rsidRPr="00000000">
          <w:rPr>
            <w:rtl w:val="0"/>
          </w:rPr>
        </w:r>
      </w:hyperlink>
      <w:hyperlink r:id="rId4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7 (</w:t>
        </w:r>
      </w:hyperlink>
      <w:hyperlink r:id="rId4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hyperlink r:id="rId4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hyperlink r:id="rId49">
        <w:r w:rsidDel="00000000" w:rsidR="00000000" w:rsidRPr="00000000">
          <w:rPr>
            <w:rtl w:val="0"/>
          </w:rPr>
        </w:r>
      </w:hyperlink>
      <w:hyperlink r:id="rId5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7 (</w:t>
        </w:r>
      </w:hyperlink>
      <w:hyperlink r:id="rId5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ג</w:t>
        </w:r>
      </w:hyperlink>
      <w:hyperlink r:id="rId5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סיפא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9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בחלק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ובהנחיית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אמ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סוחרי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שמספרו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050-9064476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).  </w:t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13.3.2024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12:00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פעילותו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לקניית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מסוחרי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אינסטגרם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מתפוצצות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שנמחקות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קריאתן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17:30,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ברשותו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שיחייג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17:50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4.7839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27.3.2024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 12:00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17:25,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מתפוצצת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והכיתוב</w:t>
      </w:r>
      <w:r w:rsidDel="00000000" w:rsidR="00000000" w:rsidRPr="00000000">
        <w:rPr>
          <w:rFonts w:ascii="David" w:cs="David" w:eastAsia="David" w:hAnsi="David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עליי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18:30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rtl w:val="1"/>
        </w:rPr>
        <w:t xml:space="preserve">וואלה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אחייג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...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אצלי</w:t>
      </w:r>
      <w:r w:rsidDel="00000000" w:rsidR="00000000" w:rsidRPr="00000000">
        <w:rPr>
          <w:rFonts w:ascii="David" w:cs="David" w:eastAsia="David" w:hAnsi="David"/>
          <w:rtl w:val="1"/>
        </w:rPr>
        <w:t xml:space="preserve">".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 19:21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באפליקציה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rtl w:val="1"/>
        </w:rPr>
        <w:t xml:space="preserve">יאללה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...</w:t>
      </w:r>
      <w:r w:rsidDel="00000000" w:rsidR="00000000" w:rsidRPr="00000000">
        <w:rPr>
          <w:rFonts w:ascii="David" w:cs="David" w:eastAsia="David" w:hAnsi="David"/>
          <w:rtl w:val="1"/>
        </w:rPr>
        <w:t xml:space="preserve">תגיד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rtl w:val="1"/>
        </w:rPr>
        <w:t xml:space="preserve">...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באפליקציה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"2300,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19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17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19:28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4.6621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2,300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7.5.2024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 03:39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METHYLMETHCATHINON</w:t>
      </w:r>
      <w:r w:rsidDel="00000000" w:rsidR="00000000" w:rsidRPr="00000000">
        <w:rPr>
          <w:rFonts w:ascii="David" w:cs="David" w:eastAsia="David" w:hAnsi="David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rtl w:val="0"/>
        </w:rPr>
        <w:t xml:space="preserve">m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1.8438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0.3896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- 5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16.7.2024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שפורטו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15.9.2024,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טיעוניה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הטיעונים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רישומו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/1).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ילנה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פסוריאזיס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כימותרפיה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וכולנו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העזרה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המתגוררים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 12.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בדבריה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בהקדם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המעידים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לאביו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בריאותי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הטיעונים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בטיעוניה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ולמקם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הבינוני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ומרתיע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ופסילה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שנפגעו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ממעשי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הרחב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המהווה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גווניה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תעבורה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גופם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צרכני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הוסיפה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הטמון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בהפצתם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מתמצה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גופנית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בגופם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הצורכים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באוכלוסייה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עסקאות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שסיפק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16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הקבועה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שחלף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לעסקת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בסיכומיה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ולקח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המשטרתי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הבינוני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בעמדתה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בטיעוניו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הדגיש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וירוצה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להסתפק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6-7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לשיטת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לעבירת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קליינט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רגיל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והעסקה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סמוי</w:t>
      </w:r>
      <w:r w:rsidDel="00000000" w:rsidR="00000000" w:rsidRPr="00000000">
        <w:rPr>
          <w:rFonts w:ascii="David" w:cs="David" w:eastAsia="David" w:hAnsi="David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אובחנה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ממחלת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כרונית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טיעוניה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בהלכת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לופליאנסקי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hyperlink r:id="rId5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5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5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5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5669/14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לופליאנסקי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29.12.2015) 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ובריח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בעתירתה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אימי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מבלבלת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התפרנסתי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הפסוריאזיס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הסוהר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מצורע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האוויר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והתנאים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ההגייניים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הסוהר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מוסיפים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מצטער</w:t>
      </w:r>
      <w:r w:rsidDel="00000000" w:rsidR="00000000" w:rsidRPr="00000000">
        <w:rPr>
          <w:rFonts w:ascii="David" w:cs="David" w:eastAsia="David" w:hAnsi="David"/>
          <w:rtl w:val="1"/>
        </w:rPr>
        <w:t xml:space="preserve">".  </w:t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ind w:firstLine="36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דיון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והכרעה</w:t>
      </w:r>
    </w:p>
    <w:p w:rsidR="00000000" w:rsidDel="00000000" w:rsidP="00000000" w:rsidRDefault="00000000" w:rsidRPr="00000000" w14:paraId="00000054">
      <w:pPr>
        <w:bidi w:val="1"/>
        <w:spacing w:line="360" w:lineRule="auto"/>
        <w:ind w:firstLine="360"/>
        <w:jc w:val="both"/>
        <w:rPr>
          <w:rFonts w:ascii="David" w:cs="David" w:eastAsia="David" w:hAnsi="David"/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ind w:firstLine="360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spacing w:line="360" w:lineRule="auto"/>
        <w:ind w:firstLine="360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העונשי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בצדק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עתרו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בטיעוניהם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שבוצעו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ונפרשו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כחודשיים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  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השמירה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בריאותם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הגופנית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והנפשית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צרכני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נוהגים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אמצעיים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כספיים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וסיפק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מבוטלים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הזדמנויות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שהאחרון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המוגדרים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כקשים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שפגיעתם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והשפעותיהם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הרסניות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 "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הגבוהה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הנוצרת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השפעותיו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ההרסניות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ונפשו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hyperlink r:id="rId5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5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5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6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972/11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(4.7.2012))".</w:t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הותקן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ישומון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אינסטגרם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ובאמצעותו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מתפוצצות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הנמחקות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שליחתן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לטשטש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מרכזי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תחכום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rtl w:val="1"/>
        </w:rPr>
        <w:t xml:space="preserve">.  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הנהוגה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בעמדתם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לפסקי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hyperlink r:id="rId6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רע</w:t>
        </w:r>
      </w:hyperlink>
      <w:hyperlink r:id="rId6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6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6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7810/20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אלדרוב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(31.12.2020):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גידול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יצוא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(3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והסתייעות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נידון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הוחמר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בהחלטת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- 20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הערכאה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הדיונית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לערכאת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הסופית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התערבות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בצדק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שהוטל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509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hyperlink r:id="rId6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רע</w:t>
        </w:r>
      </w:hyperlink>
      <w:hyperlink r:id="rId6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6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6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5494/19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רנד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(22.8.2019):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קריסטל</w:t>
      </w:r>
      <w:r w:rsidDel="00000000" w:rsidR="00000000" w:rsidRPr="00000000">
        <w:rPr>
          <w:rFonts w:ascii="David" w:cs="David" w:eastAsia="David" w:hAnsi="David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750 ₪)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הירואין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(11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(1.9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נגזרו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וערעורו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הוטל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עימו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להיאבק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בתופעת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ומרתיעה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6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רע</w:t>
        </w:r>
      </w:hyperlink>
      <w:hyperlink r:id="rId7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7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8408/15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חביב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(9.12.2015)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1.1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600 ₪;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אריזות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פלסטיק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ברכבם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משלושת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האישומים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נגזרו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17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1,500 ₪.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הגדולה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ורמת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והתחכום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hyperlink r:id="rId7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רע</w:t>
        </w:r>
      </w:hyperlink>
      <w:hyperlink r:id="rId7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7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126/15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חביף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(13.1.2015):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הזדמנויות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0.39, 0.81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-2.5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-18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התחשבות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נידון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-16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509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hyperlink r:id="rId7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עפ</w:t>
        </w:r>
      </w:hyperlink>
      <w:hyperlink r:id="rId7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ג</w:t>
        </w:r>
      </w:hyperlink>
      <w:hyperlink r:id="rId8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8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</w:t>
        </w:r>
      </w:hyperlink>
      <w:hyperlink r:id="rId8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-</w:t>
        </w:r>
      </w:hyperlink>
      <w:hyperlink r:id="rId8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ם</w:t>
        </w:r>
      </w:hyperlink>
      <w:hyperlink r:id="rId8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1434-12-18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(13.3.2019):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(2.47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2,200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; 2.35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2,500 ₪; 2.37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2,000 ₪)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וירוצו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והרף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קמא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ביטול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8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8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8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8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8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ב</w:t>
        </w:r>
      </w:hyperlink>
      <w:hyperlink r:id="rId9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9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ש</w:t>
        </w:r>
      </w:hyperlink>
      <w:hyperlink r:id="rId9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35299-09-23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אעסם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(20.6.2024)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הזדמנויות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0.28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300 ₪.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14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הושתו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והפעלת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21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15,000 ₪,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10,000 ₪,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סכומי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שנמצאו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509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9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9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9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9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9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אי</w:t>
        </w:r>
      </w:hyperlink>
      <w:hyperlink r:id="rId9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') 63575-01-22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(6.12.2022)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שמיעת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(8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והפרעה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לשוטר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במילוי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: 0.2379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; 0.2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עסקאות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200-500 ₪ ;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להימלט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משוטר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0.4181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מזומן</w:t>
      </w:r>
      <w:r w:rsidDel="00000000" w:rsidR="00000000" w:rsidRPr="00000000">
        <w:rPr>
          <w:rFonts w:ascii="David" w:cs="David" w:eastAsia="David" w:hAnsi="David"/>
          <w:rtl w:val="1"/>
        </w:rPr>
        <w:t xml:space="preserve">; 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48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הושתו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36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44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3,000 ₪ (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שנמחק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מגישו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בהמלצת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9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10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0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0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38203-01-23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10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0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0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0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0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אי</w:t>
        </w:r>
      </w:hyperlink>
      <w:hyperlink r:id="rId10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') 48646-08-19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(16.1.2020)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יצוא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3.7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קנביס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0.96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4.9278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3,500 ₪.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14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42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הושתו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21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10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1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1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1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1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נצ</w:t>
        </w:r>
      </w:hyperlink>
      <w:hyperlink r:id="rId11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') 27864-06-19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זגורי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(30.1.2020)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עסקה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וסיפק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1.8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5.12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במזומן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1,500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- 2,500 ₪,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ממחלה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כרונית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קרוהן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הושתו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17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3,000 ₪.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11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1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1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1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1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</w:t>
        </w:r>
      </w:hyperlink>
      <w:hyperlink r:id="rId12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-</w:t>
        </w:r>
      </w:hyperlink>
      <w:hyperlink r:id="rId12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ם</w:t>
        </w:r>
      </w:hyperlink>
      <w:hyperlink r:id="rId12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38382-09-17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וקנין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(23.9.2019)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בצוותא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 9.18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6,500 ₪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);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19.67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11,800 ₪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);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15.0190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8,550 ₪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רביעי</w:t>
      </w:r>
      <w:r w:rsidDel="00000000" w:rsidR="00000000" w:rsidRPr="00000000">
        <w:rPr>
          <w:rFonts w:ascii="David" w:cs="David" w:eastAsia="David" w:hAnsi="David"/>
          <w:rtl w:val="1"/>
        </w:rPr>
        <w:t xml:space="preserve">);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49.69 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חמישי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22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ממושך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600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5,000 ₪,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5,000;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2,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500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4,000 ₪,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5,000.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הוכרזו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כסוחרי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12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2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2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2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2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</w:t>
        </w:r>
      </w:hyperlink>
      <w:hyperlink r:id="rId12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-</w:t>
        </w:r>
      </w:hyperlink>
      <w:hyperlink r:id="rId12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ם</w:t>
        </w:r>
      </w:hyperlink>
      <w:hyperlink r:id="rId13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28451-09-17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(10.11.2019)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בצוותא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9.9630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6,500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250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3,000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hyperlink r:id="rId13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3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3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3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3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ראשל</w:t>
        </w:r>
      </w:hyperlink>
      <w:hyperlink r:id="rId13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3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צ</w:t>
        </w:r>
      </w:hyperlink>
      <w:hyperlink r:id="rId13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44427-10-18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אביטן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(25.11.2019):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9.9895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5,500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5,400 ₪). 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spacing w:line="360" w:lineRule="auto"/>
        <w:ind w:left="720" w:firstLine="0"/>
        <w:rPr>
          <w:rFonts w:ascii="David" w:cs="David" w:eastAsia="David" w:hAnsi="David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לעקרון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המנחה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שנפגעו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הנוהגת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 24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D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לסטות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צדק</w:t>
      </w:r>
    </w:p>
    <w:p w:rsidR="00000000" w:rsidDel="00000000" w:rsidP="00000000" w:rsidRDefault="00000000" w:rsidRPr="00000000" w14:paraId="0000007F">
      <w:pPr>
        <w:bidi w:val="1"/>
        <w:spacing w:line="360" w:lineRule="auto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בטיעוניה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להתפתחות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הפסיקתית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מפסוריאזיס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24.1.2022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במחלתו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נזקק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תרופתי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טיעוני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השהייה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הסוהר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מאמצים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עילאיים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התרופות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קיצוני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משפיעים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השהייה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נרתעים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מלהתקרב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מדבק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ללבוש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מכנסיים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ארוכים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הביולוגי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הכיסאות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הבריאותי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למרבה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ממחלה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ועוברת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כימותרפיים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הוגשו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יסייע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באחיו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שליחתו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במשפחת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לופליאנסקי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הראויים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ניכרת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בסטייה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נובעת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3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14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4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4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49550-08-19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(24.1.2022)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ליבדרו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הפסיקתית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נכרתה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כירורגי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מבעיות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קרדיולוגיות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בעטיין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צינתורים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מתפקוד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מלחץ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ספיקת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ליבדרו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לנושא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באפשרות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להעשות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ובמשורה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לופליאנסקי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באפשרות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וקיצוניים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למזלו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בריאותי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ובוודאי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ניכרת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להצדיק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ומשמעותי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שהייתו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סורג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ובריח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השיקול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פגיעת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קשורות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למצבם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הבריאותי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שפורטו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במשפחתו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F">
      <w:pPr>
        <w:bidi w:val="1"/>
        <w:spacing w:line="360" w:lineRule="auto"/>
        <w:jc w:val="both"/>
        <w:rPr>
          <w:rFonts w:ascii="David" w:cs="David" w:eastAsia="David" w:hAnsi="David"/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29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ולחובתו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2013)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2018).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החלטתי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להעניק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לקיחת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והחרטה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שהביע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המשאבים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וההיערכות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הכרוכה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bidi w:val="1"/>
        <w:spacing w:after="0" w:before="240"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מחודש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2024,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כחמישה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95">
      <w:pPr>
        <w:bidi w:val="1"/>
        <w:spacing w:after="0" w:before="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bidi w:val="1"/>
        <w:spacing w:before="0"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97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לרישומי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9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מותנה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פקודת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המסוכנים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מותנה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14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פקודת</w:t>
        </w:r>
      </w:hyperlink>
      <w:hyperlink r:id="rId14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4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הסמים</w:t>
        </w:r>
      </w:hyperlink>
      <w:hyperlink r:id="rId14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4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3,000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- 6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שווים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ורצופים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04.05.2025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04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שלאחר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פיגור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התשלומים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יעמיד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לפירעון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יתרת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שטרם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שולמה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ויחייב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תוספת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פיגורים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כחוק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ind w:left="233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כעבור</w:t>
      </w:r>
      <w:r w:rsidDel="00000000" w:rsidR="00000000" w:rsidRPr="00000000">
        <w:rPr>
          <w:b w:val="1"/>
          <w:rtl w:val="1"/>
        </w:rPr>
        <w:t xml:space="preserve"> 3 </w:t>
      </w:r>
      <w:r w:rsidDel="00000000" w:rsidR="00000000" w:rsidRPr="00000000">
        <w:rPr>
          <w:b w:val="1"/>
          <w:rtl w:val="1"/>
        </w:rPr>
        <w:t xml:space="preserve">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מהיום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תעודת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spacing w:line="360" w:lineRule="auto"/>
        <w:ind w:left="233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66" w:right="0" w:hanging="284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האכיפה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hyperlink r:id="rId14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www.eca.gov.il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66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35592*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073-2055000;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66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במזומן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הדואר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נהיגה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במזכירות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ופסילתו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יובהר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להפקיד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line="360" w:lineRule="auto"/>
        <w:ind w:firstLine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מוצגים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יושמדו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יחולטו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לשיקול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9">
      <w:pPr>
        <w:rPr>
          <w:rFonts w:ascii="David" w:cs="David" w:eastAsia="David" w:hAnsi="Davi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360" w:lineRule="auto"/>
        <w:ind w:firstLine="36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360" w:lineRule="auto"/>
        <w:ind w:firstLine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45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C">
      <w:pPr>
        <w:bidi w:val="1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AF">
      <w:pPr>
        <w:bidi w:val="1"/>
        <w:rPr>
          <w:rFonts w:ascii="Arial" w:cs="Arial" w:eastAsia="Arial" w:hAnsi="Arial"/>
          <w:b w:val="1"/>
          <w:color w:val="ffffff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B0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B1">
      <w:pPr>
        <w:bidi w:val="1"/>
        <w:spacing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תשרי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תשפ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, 14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אוקטובר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2024,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בנוכחות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. </w:t>
        <w:tab/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B2">
      <w:pPr>
        <w:bidi w:val="1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אדלמן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center"/>
        <w:rPr>
          <w:color w:val="0000ff"/>
          <w:u w:val="single"/>
        </w:rPr>
      </w:pPr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5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1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5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5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5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5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7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58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59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6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1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6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3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6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5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66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67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6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9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70" w:type="default"/>
      <w:headerReference r:id="rId171" w:type="even"/>
      <w:footerReference r:id="rId172" w:type="default"/>
      <w:footerReference r:id="rId173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David"/>
  <w:font w:name="FrankRuehl"/>
  <w:font w:name="Calibri"/>
  <w:font w:name="Courier New"/>
  <w:font w:name="Tahoma">
    <w:embedRegular w:fontKey="{00000000-0000-0000-0000-000000000000}" r:id="rId3" w:subsetted="0"/>
    <w:embedBold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8pt;height:17.85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8pt;height:17.85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ההדגשות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46424-05-24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סטניסלב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טרבה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46424-05-24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סטניסלב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טרבה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David" w:cs="David" w:eastAsia="David" w:hAnsi="David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center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80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9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4308"/>
    <w:pPr>
      <w:bidi w:val="1"/>
    </w:pPr>
    <w:rPr>
      <w:rFonts w:ascii="Times New Roman" w:cs="David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8E4308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8E4308"/>
    <w:rPr>
      <w:rFonts w:ascii="Times New Roman" w:cs="David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8E4308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8E4308"/>
    <w:rPr>
      <w:rFonts w:ascii="Times New Roman" w:cs="David" w:eastAsia="Times New Roman" w:hAnsi="Times New Roman"/>
      <w:sz w:val="24"/>
      <w:szCs w:val="24"/>
    </w:rPr>
  </w:style>
  <w:style w:type="table" w:styleId="TableGrid">
    <w:name w:val="Table Grid"/>
    <w:basedOn w:val="TableNormal"/>
    <w:rsid w:val="008E4308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rsid w:val="008E4308"/>
  </w:style>
  <w:style w:type="paragraph" w:styleId="FootnoteText">
    <w:name w:val="footnote text"/>
    <w:basedOn w:val="Normal"/>
    <w:link w:val="FootnoteTextChar"/>
    <w:rsid w:val="008E4308"/>
    <w:rPr>
      <w:rFonts w:ascii="Calibri" w:cs="Arial" w:eastAsia="Calibri" w:hAnsi="Calibri"/>
      <w:sz w:val="20"/>
      <w:szCs w:val="20"/>
    </w:rPr>
  </w:style>
  <w:style w:type="character" w:styleId="FootnoteTextChar" w:customStyle="1">
    <w:name w:val="Footnote Text Char"/>
    <w:link w:val="FootnoteText"/>
    <w:rsid w:val="008E4308"/>
    <w:rPr>
      <w:sz w:val="20"/>
      <w:szCs w:val="20"/>
    </w:rPr>
  </w:style>
  <w:style w:type="character" w:styleId="ListParagraphChar" w:customStyle="1">
    <w:name w:val="List Paragraph Char"/>
    <w:link w:val="ListParagraph"/>
    <w:locked w:val="1"/>
    <w:rsid w:val="008E4308"/>
  </w:style>
  <w:style w:type="paragraph" w:styleId="ListParagraph">
    <w:name w:val="List Paragraph"/>
    <w:basedOn w:val="Normal"/>
    <w:link w:val="ListParagraphChar"/>
    <w:qFormat w:val="1"/>
    <w:rsid w:val="008E4308"/>
    <w:pPr>
      <w:spacing w:after="160" w:line="256" w:lineRule="auto"/>
      <w:ind w:left="720"/>
      <w:contextualSpacing w:val="1"/>
    </w:pPr>
    <w:rPr>
      <w:rFonts w:ascii="Calibri" w:cs="Arial" w:eastAsia="Calibri" w:hAnsi="Calibri"/>
      <w:sz w:val="22"/>
      <w:szCs w:val="22"/>
    </w:rPr>
  </w:style>
  <w:style w:type="character" w:styleId="FootnoteReference">
    <w:name w:val="footnote reference"/>
    <w:rsid w:val="008E4308"/>
    <w:rPr>
      <w:vertAlign w:val="superscript"/>
    </w:rPr>
  </w:style>
  <w:style w:type="character" w:styleId="Hyperlink">
    <w:name w:val="Hyperlink"/>
    <w:rsid w:val="008E4308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4216/13" TargetMode="External"/><Relationship Id="rId42" Type="http://schemas.openxmlformats.org/officeDocument/2006/relationships/hyperlink" Target="http://www.nevo.co.il/law/4216/19a" TargetMode="External"/><Relationship Id="rId41" Type="http://schemas.openxmlformats.org/officeDocument/2006/relationships/hyperlink" Target="http://www.nevo.co.il/law/4216/13" TargetMode="External"/><Relationship Id="rId44" Type="http://schemas.openxmlformats.org/officeDocument/2006/relationships/hyperlink" Target="http://www.nevo.co.il/law/4216/19a" TargetMode="External"/><Relationship Id="rId43" Type="http://schemas.openxmlformats.org/officeDocument/2006/relationships/hyperlink" Target="http://www.nevo.co.il/law/4216/19a" TargetMode="External"/><Relationship Id="rId46" Type="http://schemas.openxmlformats.org/officeDocument/2006/relationships/hyperlink" Target="http://www.nevo.co.il/law/4216/7.a" TargetMode="External"/><Relationship Id="rId45" Type="http://schemas.openxmlformats.org/officeDocument/2006/relationships/hyperlink" Target="http://www.nevo.co.il/law/4216/7.a" TargetMode="External"/><Relationship Id="rId107" Type="http://schemas.openxmlformats.org/officeDocument/2006/relationships/hyperlink" Target="http://www.nevo.co.il/case/25981371" TargetMode="External"/><Relationship Id="rId106" Type="http://schemas.openxmlformats.org/officeDocument/2006/relationships/hyperlink" Target="http://www.nevo.co.il/case/25981371" TargetMode="External"/><Relationship Id="rId105" Type="http://schemas.openxmlformats.org/officeDocument/2006/relationships/hyperlink" Target="http://www.nevo.co.il/case/25981371" TargetMode="External"/><Relationship Id="rId104" Type="http://schemas.openxmlformats.org/officeDocument/2006/relationships/hyperlink" Target="http://www.nevo.co.il/case/25981371" TargetMode="External"/><Relationship Id="rId109" Type="http://schemas.openxmlformats.org/officeDocument/2006/relationships/hyperlink" Target="http://www.nevo.co.il/case/25777732" TargetMode="External"/><Relationship Id="rId108" Type="http://schemas.openxmlformats.org/officeDocument/2006/relationships/hyperlink" Target="http://www.nevo.co.il/case/25981371" TargetMode="External"/><Relationship Id="rId48" Type="http://schemas.openxmlformats.org/officeDocument/2006/relationships/hyperlink" Target="http://www.nevo.co.il/law/4216/7.a" TargetMode="External"/><Relationship Id="rId47" Type="http://schemas.openxmlformats.org/officeDocument/2006/relationships/hyperlink" Target="http://www.nevo.co.il/law/4216/7.a" TargetMode="External"/><Relationship Id="rId49" Type="http://schemas.openxmlformats.org/officeDocument/2006/relationships/hyperlink" Target="http://www.nevo.co.il/law/4216/7.c" TargetMode="External"/><Relationship Id="rId103" Type="http://schemas.openxmlformats.org/officeDocument/2006/relationships/hyperlink" Target="http://www.nevo.co.il/case/25981371" TargetMode="External"/><Relationship Id="rId102" Type="http://schemas.openxmlformats.org/officeDocument/2006/relationships/hyperlink" Target="http://www.nevo.co.il/case/29311607" TargetMode="External"/><Relationship Id="rId101" Type="http://schemas.openxmlformats.org/officeDocument/2006/relationships/hyperlink" Target="http://www.nevo.co.il/case/29311607" TargetMode="External"/><Relationship Id="rId100" Type="http://schemas.openxmlformats.org/officeDocument/2006/relationships/hyperlink" Target="http://www.nevo.co.il/case/29311607" TargetMode="External"/><Relationship Id="rId31" Type="http://schemas.openxmlformats.org/officeDocument/2006/relationships/hyperlink" Target="http://www.nevo.co.il/law/4216/13" TargetMode="External"/><Relationship Id="rId30" Type="http://schemas.openxmlformats.org/officeDocument/2006/relationships/hyperlink" Target="http://www.nevo.co.il/law/4216/13" TargetMode="External"/><Relationship Id="rId33" Type="http://schemas.openxmlformats.org/officeDocument/2006/relationships/hyperlink" Target="http://www.nevo.co.il/law/4216/19a" TargetMode="External"/><Relationship Id="rId32" Type="http://schemas.openxmlformats.org/officeDocument/2006/relationships/hyperlink" Target="http://www.nevo.co.il/law/4216/19a" TargetMode="External"/><Relationship Id="rId35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4216/19a" TargetMode="External"/><Relationship Id="rId37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4216" TargetMode="External"/><Relationship Id="rId173" Type="http://schemas.openxmlformats.org/officeDocument/2006/relationships/footer" Target="footer1.xm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a" TargetMode="External"/><Relationship Id="rId23" Type="http://schemas.openxmlformats.org/officeDocument/2006/relationships/hyperlink" Target="http://www.nevo.co.il/law/4216" TargetMode="External"/><Relationship Id="rId129" Type="http://schemas.openxmlformats.org/officeDocument/2006/relationships/hyperlink" Target="http://www.nevo.co.il/case/22978420" TargetMode="External"/><Relationship Id="rId128" Type="http://schemas.openxmlformats.org/officeDocument/2006/relationships/hyperlink" Target="http://www.nevo.co.il/case/22978420" TargetMode="External"/><Relationship Id="rId127" Type="http://schemas.openxmlformats.org/officeDocument/2006/relationships/hyperlink" Target="http://www.nevo.co.il/case/22978420" TargetMode="External"/><Relationship Id="rId126" Type="http://schemas.openxmlformats.org/officeDocument/2006/relationships/hyperlink" Target="http://www.nevo.co.il/case/22978420" TargetMode="External"/><Relationship Id="rId26" Type="http://schemas.openxmlformats.org/officeDocument/2006/relationships/hyperlink" Target="http://www.nevo.co.il/law/4216/13" TargetMode="External"/><Relationship Id="rId121" Type="http://schemas.openxmlformats.org/officeDocument/2006/relationships/hyperlink" Target="http://www.nevo.co.il/case/22997635" TargetMode="External"/><Relationship Id="rId25" Type="http://schemas.openxmlformats.org/officeDocument/2006/relationships/hyperlink" Target="http://www.nevo.co.il/law/4216/7.c" TargetMode="External"/><Relationship Id="rId120" Type="http://schemas.openxmlformats.org/officeDocument/2006/relationships/hyperlink" Target="http://www.nevo.co.il/case/22997635" TargetMode="External"/><Relationship Id="rId28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4216/19a" TargetMode="External"/><Relationship Id="rId125" Type="http://schemas.openxmlformats.org/officeDocument/2006/relationships/hyperlink" Target="http://www.nevo.co.il/case/22978420" TargetMode="External"/><Relationship Id="rId29" Type="http://schemas.openxmlformats.org/officeDocument/2006/relationships/hyperlink" Target="http://www.nevo.co.il/law/4216/19a" TargetMode="External"/><Relationship Id="rId124" Type="http://schemas.openxmlformats.org/officeDocument/2006/relationships/hyperlink" Target="http://www.nevo.co.il/case/22978420" TargetMode="External"/><Relationship Id="rId123" Type="http://schemas.openxmlformats.org/officeDocument/2006/relationships/hyperlink" Target="http://www.nevo.co.il/case/22978420" TargetMode="External"/><Relationship Id="rId122" Type="http://schemas.openxmlformats.org/officeDocument/2006/relationships/hyperlink" Target="http://www.nevo.co.il/case/22997635" TargetMode="External"/><Relationship Id="rId95" Type="http://schemas.openxmlformats.org/officeDocument/2006/relationships/hyperlink" Target="http://www.nevo.co.il/case/28279065" TargetMode="External"/><Relationship Id="rId94" Type="http://schemas.openxmlformats.org/officeDocument/2006/relationships/hyperlink" Target="http://www.nevo.co.il/case/28279065" TargetMode="External"/><Relationship Id="rId97" Type="http://schemas.openxmlformats.org/officeDocument/2006/relationships/hyperlink" Target="http://www.nevo.co.il/case/28279065" TargetMode="External"/><Relationship Id="rId96" Type="http://schemas.openxmlformats.org/officeDocument/2006/relationships/hyperlink" Target="http://www.nevo.co.il/case/28279065" TargetMode="External"/><Relationship Id="rId11" Type="http://schemas.openxmlformats.org/officeDocument/2006/relationships/hyperlink" Target="http://www.nevo.co.il/law/4216" TargetMode="External"/><Relationship Id="rId99" Type="http://schemas.openxmlformats.org/officeDocument/2006/relationships/hyperlink" Target="http://www.nevo.co.il/case/29311607" TargetMode="External"/><Relationship Id="rId10" Type="http://schemas.openxmlformats.org/officeDocument/2006/relationships/hyperlink" Target="http://www.nevo.co.il/law/4216" TargetMode="External"/><Relationship Id="rId98" Type="http://schemas.openxmlformats.org/officeDocument/2006/relationships/hyperlink" Target="http://www.nevo.co.il/case/28279065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91" Type="http://schemas.openxmlformats.org/officeDocument/2006/relationships/hyperlink" Target="http://www.nevo.co.il/case/30039121" TargetMode="External"/><Relationship Id="rId90" Type="http://schemas.openxmlformats.org/officeDocument/2006/relationships/hyperlink" Target="http://www.nevo.co.il/case/30039121" TargetMode="External"/><Relationship Id="rId93" Type="http://schemas.openxmlformats.org/officeDocument/2006/relationships/hyperlink" Target="http://www.nevo.co.il/case/28279065" TargetMode="External"/><Relationship Id="rId92" Type="http://schemas.openxmlformats.org/officeDocument/2006/relationships/hyperlink" Target="http://www.nevo.co.il/case/30039121" TargetMode="External"/><Relationship Id="rId118" Type="http://schemas.openxmlformats.org/officeDocument/2006/relationships/hyperlink" Target="http://www.nevo.co.il/case/22997635" TargetMode="External"/><Relationship Id="rId117" Type="http://schemas.openxmlformats.org/officeDocument/2006/relationships/hyperlink" Target="http://www.nevo.co.il/case/22997635" TargetMode="External"/><Relationship Id="rId116" Type="http://schemas.openxmlformats.org/officeDocument/2006/relationships/hyperlink" Target="http://www.nevo.co.il/case/22997635" TargetMode="External"/><Relationship Id="rId115" Type="http://schemas.openxmlformats.org/officeDocument/2006/relationships/hyperlink" Target="http://www.nevo.co.il/case/22997635" TargetMode="External"/><Relationship Id="rId119" Type="http://schemas.openxmlformats.org/officeDocument/2006/relationships/hyperlink" Target="http://www.nevo.co.il/case/22997635" TargetMode="External"/><Relationship Id="rId15" Type="http://schemas.openxmlformats.org/officeDocument/2006/relationships/hyperlink" Target="http://www.nevo.co.il/law/4216" TargetMode="External"/><Relationship Id="rId110" Type="http://schemas.openxmlformats.org/officeDocument/2006/relationships/hyperlink" Target="http://www.nevo.co.il/case/25777732" TargetMode="External"/><Relationship Id="rId14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case/25777732" TargetMode="External"/><Relationship Id="rId18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case/25777732" TargetMode="External"/><Relationship Id="rId112" Type="http://schemas.openxmlformats.org/officeDocument/2006/relationships/hyperlink" Target="http://www.nevo.co.il/case/25777732" TargetMode="External"/><Relationship Id="rId111" Type="http://schemas.openxmlformats.org/officeDocument/2006/relationships/hyperlink" Target="http://www.nevo.co.il/case/25777732" TargetMode="External"/><Relationship Id="rId84" Type="http://schemas.openxmlformats.org/officeDocument/2006/relationships/hyperlink" Target="http://www.nevo.co.il/case/25193405" TargetMode="External"/><Relationship Id="rId83" Type="http://schemas.openxmlformats.org/officeDocument/2006/relationships/hyperlink" Target="http://www.nevo.co.il/case/25193405" TargetMode="External"/><Relationship Id="rId86" Type="http://schemas.openxmlformats.org/officeDocument/2006/relationships/hyperlink" Target="http://www.nevo.co.il/case/30039121" TargetMode="External"/><Relationship Id="rId85" Type="http://schemas.openxmlformats.org/officeDocument/2006/relationships/hyperlink" Target="http://www.nevo.co.il/case/30039121" TargetMode="External"/><Relationship Id="rId88" Type="http://schemas.openxmlformats.org/officeDocument/2006/relationships/hyperlink" Target="http://www.nevo.co.il/case/30039121" TargetMode="External"/><Relationship Id="rId150" Type="http://schemas.openxmlformats.org/officeDocument/2006/relationships/hyperlink" Target="http://www.nevo.co.il/advertisements/nevo-100.doc" TargetMode="External"/><Relationship Id="rId87" Type="http://schemas.openxmlformats.org/officeDocument/2006/relationships/hyperlink" Target="http://www.nevo.co.il/case/30039121" TargetMode="External"/><Relationship Id="rId89" Type="http://schemas.openxmlformats.org/officeDocument/2006/relationships/hyperlink" Target="http://www.nevo.co.il/case/30039121" TargetMode="External"/><Relationship Id="rId80" Type="http://schemas.openxmlformats.org/officeDocument/2006/relationships/hyperlink" Target="http://www.nevo.co.il/case/25193405" TargetMode="External"/><Relationship Id="rId82" Type="http://schemas.openxmlformats.org/officeDocument/2006/relationships/hyperlink" Target="http://www.nevo.co.il/case/25193405" TargetMode="External"/><Relationship Id="rId81" Type="http://schemas.openxmlformats.org/officeDocument/2006/relationships/hyperlink" Target="http://www.nevo.co.il/case/25193405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advertisements/nevo-100.doc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eca.gov.il" TargetMode="External"/><Relationship Id="rId9" Type="http://schemas.openxmlformats.org/officeDocument/2006/relationships/customXml" Target="../customXML/item1.xml"/><Relationship Id="rId143" Type="http://schemas.openxmlformats.org/officeDocument/2006/relationships/hyperlink" Target="http://www.nevo.co.il/law/4216" TargetMode="External"/><Relationship Id="rId142" Type="http://schemas.openxmlformats.org/officeDocument/2006/relationships/hyperlink" Target="http://www.nevo.co.il/case/25982186" TargetMode="External"/><Relationship Id="rId141" Type="http://schemas.openxmlformats.org/officeDocument/2006/relationships/hyperlink" Target="http://www.nevo.co.il/case/25982186" TargetMode="External"/><Relationship Id="rId140" Type="http://schemas.openxmlformats.org/officeDocument/2006/relationships/hyperlink" Target="http://www.nevo.co.il/case/25982186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law/4216" TargetMode="External"/><Relationship Id="rId6" Type="http://schemas.openxmlformats.org/officeDocument/2006/relationships/footnotes" Target="footnotes.xml"/><Relationship Id="rId146" Type="http://schemas.openxmlformats.org/officeDocument/2006/relationships/hyperlink" Target="http://www.nevo.co.il/law/4216" TargetMode="External"/><Relationship Id="rId7" Type="http://schemas.openxmlformats.org/officeDocument/2006/relationships/numbering" Target="numbering.xml"/><Relationship Id="rId145" Type="http://schemas.openxmlformats.org/officeDocument/2006/relationships/hyperlink" Target="http://www.nevo.co.il/law/4216" TargetMode="External"/><Relationship Id="rId8" Type="http://schemas.openxmlformats.org/officeDocument/2006/relationships/styles" Target="styles.xml"/><Relationship Id="rId144" Type="http://schemas.openxmlformats.org/officeDocument/2006/relationships/hyperlink" Target="http://www.nevo.co.il/law/4216" TargetMode="External"/><Relationship Id="rId73" Type="http://schemas.openxmlformats.org/officeDocument/2006/relationships/hyperlink" Target="http://www.nevo.co.il/case/18793360" TargetMode="External"/><Relationship Id="rId72" Type="http://schemas.openxmlformats.org/officeDocument/2006/relationships/hyperlink" Target="http://www.nevo.co.il/case/20787902" TargetMode="External"/><Relationship Id="rId75" Type="http://schemas.openxmlformats.org/officeDocument/2006/relationships/hyperlink" Target="http://www.nevo.co.il/case/18793360" TargetMode="External"/><Relationship Id="rId74" Type="http://schemas.openxmlformats.org/officeDocument/2006/relationships/hyperlink" Target="http://www.nevo.co.il/case/18793360" TargetMode="External"/><Relationship Id="rId77" Type="http://schemas.openxmlformats.org/officeDocument/2006/relationships/hyperlink" Target="http://www.nevo.co.il/case/25193405" TargetMode="External"/><Relationship Id="rId76" Type="http://schemas.openxmlformats.org/officeDocument/2006/relationships/hyperlink" Target="http://www.nevo.co.il/case/18793360" TargetMode="External"/><Relationship Id="rId79" Type="http://schemas.openxmlformats.org/officeDocument/2006/relationships/hyperlink" Target="http://www.nevo.co.il/case/25193405" TargetMode="External"/><Relationship Id="rId78" Type="http://schemas.openxmlformats.org/officeDocument/2006/relationships/hyperlink" Target="http://www.nevo.co.il/case/25193405" TargetMode="External"/><Relationship Id="rId71" Type="http://schemas.openxmlformats.org/officeDocument/2006/relationships/hyperlink" Target="http://www.nevo.co.il/case/20787902" TargetMode="External"/><Relationship Id="rId70" Type="http://schemas.openxmlformats.org/officeDocument/2006/relationships/hyperlink" Target="http://www.nevo.co.il/case/20787902" TargetMode="External"/><Relationship Id="rId139" Type="http://schemas.openxmlformats.org/officeDocument/2006/relationships/hyperlink" Target="http://www.nevo.co.il/case/25982186" TargetMode="External"/><Relationship Id="rId138" Type="http://schemas.openxmlformats.org/officeDocument/2006/relationships/hyperlink" Target="http://www.nevo.co.il/case/25066135" TargetMode="External"/><Relationship Id="rId137" Type="http://schemas.openxmlformats.org/officeDocument/2006/relationships/hyperlink" Target="http://www.nevo.co.il/case/25066135" TargetMode="External"/><Relationship Id="rId132" Type="http://schemas.openxmlformats.org/officeDocument/2006/relationships/hyperlink" Target="http://www.nevo.co.il/case/25066135" TargetMode="External"/><Relationship Id="rId131" Type="http://schemas.openxmlformats.org/officeDocument/2006/relationships/hyperlink" Target="http://www.nevo.co.il/case/25066135" TargetMode="External"/><Relationship Id="rId130" Type="http://schemas.openxmlformats.org/officeDocument/2006/relationships/hyperlink" Target="http://www.nevo.co.il/case/22978420" TargetMode="External"/><Relationship Id="rId136" Type="http://schemas.openxmlformats.org/officeDocument/2006/relationships/hyperlink" Target="http://www.nevo.co.il/case/25066135" TargetMode="External"/><Relationship Id="rId135" Type="http://schemas.openxmlformats.org/officeDocument/2006/relationships/hyperlink" Target="http://www.nevo.co.il/case/25066135" TargetMode="External"/><Relationship Id="rId134" Type="http://schemas.openxmlformats.org/officeDocument/2006/relationships/hyperlink" Target="http://www.nevo.co.il/case/25066135" TargetMode="External"/><Relationship Id="rId133" Type="http://schemas.openxmlformats.org/officeDocument/2006/relationships/hyperlink" Target="http://www.nevo.co.il/case/25066135" TargetMode="External"/><Relationship Id="rId62" Type="http://schemas.openxmlformats.org/officeDocument/2006/relationships/hyperlink" Target="http://www.nevo.co.il/case/27151873" TargetMode="External"/><Relationship Id="rId61" Type="http://schemas.openxmlformats.org/officeDocument/2006/relationships/hyperlink" Target="http://www.nevo.co.il/case/27151873" TargetMode="External"/><Relationship Id="rId64" Type="http://schemas.openxmlformats.org/officeDocument/2006/relationships/hyperlink" Target="http://www.nevo.co.il/case/27151873" TargetMode="External"/><Relationship Id="rId63" Type="http://schemas.openxmlformats.org/officeDocument/2006/relationships/hyperlink" Target="http://www.nevo.co.il/case/27151873" TargetMode="External"/><Relationship Id="rId66" Type="http://schemas.openxmlformats.org/officeDocument/2006/relationships/hyperlink" Target="http://www.nevo.co.il/case/25977712" TargetMode="External"/><Relationship Id="rId172" Type="http://schemas.openxmlformats.org/officeDocument/2006/relationships/footer" Target="footer2.xml"/><Relationship Id="rId65" Type="http://schemas.openxmlformats.org/officeDocument/2006/relationships/hyperlink" Target="http://www.nevo.co.il/case/25977712" TargetMode="External"/><Relationship Id="rId171" Type="http://schemas.openxmlformats.org/officeDocument/2006/relationships/header" Target="header1.xml"/><Relationship Id="rId68" Type="http://schemas.openxmlformats.org/officeDocument/2006/relationships/hyperlink" Target="http://www.nevo.co.il/case/25977712" TargetMode="External"/><Relationship Id="rId170" Type="http://schemas.openxmlformats.org/officeDocument/2006/relationships/header" Target="header2.xml"/><Relationship Id="rId67" Type="http://schemas.openxmlformats.org/officeDocument/2006/relationships/hyperlink" Target="http://www.nevo.co.il/case/25977712" TargetMode="External"/><Relationship Id="rId60" Type="http://schemas.openxmlformats.org/officeDocument/2006/relationships/hyperlink" Target="http://www.nevo.co.il/case/5738608" TargetMode="External"/><Relationship Id="rId165" Type="http://schemas.openxmlformats.org/officeDocument/2006/relationships/hyperlink" Target="http://www.nevo.co.il/advertisements/nevo-100.doc" TargetMode="External"/><Relationship Id="rId69" Type="http://schemas.openxmlformats.org/officeDocument/2006/relationships/hyperlink" Target="http://www.nevo.co.il/case/20787902" TargetMode="External"/><Relationship Id="rId164" Type="http://schemas.openxmlformats.org/officeDocument/2006/relationships/hyperlink" Target="http://www.nevo.co.il/advertisements/nevo-100.doc" TargetMode="External"/><Relationship Id="rId163" Type="http://schemas.openxmlformats.org/officeDocument/2006/relationships/hyperlink" Target="http://www.nevo.co.il/advertisements/nevo-100.doc" TargetMode="External"/><Relationship Id="rId162" Type="http://schemas.openxmlformats.org/officeDocument/2006/relationships/hyperlink" Target="http://www.nevo.co.il/advertisements/nevo-100.doc" TargetMode="External"/><Relationship Id="rId169" Type="http://schemas.openxmlformats.org/officeDocument/2006/relationships/hyperlink" Target="http://www.nevo.co.il/advertisements/nevo-100.doc" TargetMode="External"/><Relationship Id="rId168" Type="http://schemas.openxmlformats.org/officeDocument/2006/relationships/hyperlink" Target="http://www.nevo.co.il/advertisements/nevo-100.doc" TargetMode="External"/><Relationship Id="rId167" Type="http://schemas.openxmlformats.org/officeDocument/2006/relationships/hyperlink" Target="http://www.nevo.co.il/advertisements/nevo-100.doc" TargetMode="External"/><Relationship Id="rId166" Type="http://schemas.openxmlformats.org/officeDocument/2006/relationships/hyperlink" Target="http://www.nevo.co.il/advertisements/nevo-100.doc" TargetMode="External"/><Relationship Id="rId51" Type="http://schemas.openxmlformats.org/officeDocument/2006/relationships/hyperlink" Target="http://www.nevo.co.il/law/4216/7.c" TargetMode="External"/><Relationship Id="rId50" Type="http://schemas.openxmlformats.org/officeDocument/2006/relationships/hyperlink" Target="http://www.nevo.co.il/law/4216/7.c" TargetMode="External"/><Relationship Id="rId53" Type="http://schemas.openxmlformats.org/officeDocument/2006/relationships/hyperlink" Target="http://www.nevo.co.il/case/17954217" TargetMode="External"/><Relationship Id="rId52" Type="http://schemas.openxmlformats.org/officeDocument/2006/relationships/hyperlink" Target="http://www.nevo.co.il/law/4216/7.c" TargetMode="External"/><Relationship Id="rId55" Type="http://schemas.openxmlformats.org/officeDocument/2006/relationships/hyperlink" Target="http://www.nevo.co.il/case/17954217" TargetMode="External"/><Relationship Id="rId161" Type="http://schemas.openxmlformats.org/officeDocument/2006/relationships/hyperlink" Target="http://www.nevo.co.il/advertisements/nevo-100.doc" TargetMode="External"/><Relationship Id="rId54" Type="http://schemas.openxmlformats.org/officeDocument/2006/relationships/hyperlink" Target="http://www.nevo.co.il/case/17954217" TargetMode="External"/><Relationship Id="rId160" Type="http://schemas.openxmlformats.org/officeDocument/2006/relationships/hyperlink" Target="http://www.nevo.co.il/advertisements/nevo-100.doc" TargetMode="External"/><Relationship Id="rId57" Type="http://schemas.openxmlformats.org/officeDocument/2006/relationships/hyperlink" Target="http://www.nevo.co.il/case/5738608" TargetMode="External"/><Relationship Id="rId56" Type="http://schemas.openxmlformats.org/officeDocument/2006/relationships/hyperlink" Target="http://www.nevo.co.il/case/17954217" TargetMode="External"/><Relationship Id="rId159" Type="http://schemas.openxmlformats.org/officeDocument/2006/relationships/hyperlink" Target="http://www.nevo.co.il/advertisements/nevo-100.doc" TargetMode="External"/><Relationship Id="rId59" Type="http://schemas.openxmlformats.org/officeDocument/2006/relationships/hyperlink" Target="http://www.nevo.co.il/case/5738608" TargetMode="External"/><Relationship Id="rId154" Type="http://schemas.openxmlformats.org/officeDocument/2006/relationships/hyperlink" Target="http://www.nevo.co.il/advertisements/nevo-100.doc" TargetMode="External"/><Relationship Id="rId58" Type="http://schemas.openxmlformats.org/officeDocument/2006/relationships/hyperlink" Target="http://www.nevo.co.il/case/5738608" TargetMode="External"/><Relationship Id="rId153" Type="http://schemas.openxmlformats.org/officeDocument/2006/relationships/hyperlink" Target="http://www.nevo.co.il/advertisements/nevo-100.doc" TargetMode="External"/><Relationship Id="rId152" Type="http://schemas.openxmlformats.org/officeDocument/2006/relationships/hyperlink" Target="http://www.nevo.co.il/advertisements/nevo-100.doc" TargetMode="External"/><Relationship Id="rId151" Type="http://schemas.openxmlformats.org/officeDocument/2006/relationships/hyperlink" Target="http://www.nevo.co.il/advertisements/nevo-100.doc" TargetMode="External"/><Relationship Id="rId158" Type="http://schemas.openxmlformats.org/officeDocument/2006/relationships/hyperlink" Target="http://www.nevo.co.il/advertisements/nevo-100.doc" TargetMode="External"/><Relationship Id="rId157" Type="http://schemas.openxmlformats.org/officeDocument/2006/relationships/hyperlink" Target="http://www.nevo.co.il/advertisements/nevo-100.doc" TargetMode="External"/><Relationship Id="rId156" Type="http://schemas.openxmlformats.org/officeDocument/2006/relationships/hyperlink" Target="http://www.nevo.co.il/advertisements/nevo-100.doc" TargetMode="External"/><Relationship Id="rId155" Type="http://schemas.openxmlformats.org/officeDocument/2006/relationships/hyperlink" Target="http://www.nevo.co.il/advertisements/nevo-100.doc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klvc2kH0A2SDIeqrYVeNWgfcA==">CgMxLjAyCWlkLmdqZGd4czIKaWQuMzBqMHpsbDIKaWQuMWZvYjl0ZTIKaWQuM3pueXNoNzIKaWQuMmV0OTJwMDIJaWQudHlqY3d0MgppZC4zZHk2dmttMgppZC4xdDNoNXNmMgppZC40ZDM0b2c4OAByITFZOUE2SFE0dmtieGE5MjRlN2FRM1dXb1Z0QnpjaGY3dA==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2024-12-03T08:37:00Z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46424</vt:lpwstr>
  </property>
  <property fmtid="{D5CDD505-2E9C-101B-9397-08002B2CF9AE}" pid="6" name="NEWPARTB">
    <vt:lpwstr>05</vt:lpwstr>
  </property>
  <property fmtid="{D5CDD505-2E9C-101B-9397-08002B2CF9AE}" pid="7" name="NEWPARTC">
    <vt:lpwstr>24</vt:lpwstr>
  </property>
  <property fmtid="{D5CDD505-2E9C-101B-9397-08002B2CF9AE}" pid="8" name="APPELLANT">
    <vt:lpwstr>מדינת ישראל</vt:lpwstr>
  </property>
  <property fmtid="{D5CDD505-2E9C-101B-9397-08002B2CF9AE}" pid="9" name="APPELLEE">
    <vt:lpwstr>סטניסלב טרבה</vt:lpwstr>
  </property>
  <property fmtid="{D5CDD505-2E9C-101B-9397-08002B2CF9AE}" pid="10" name="LAWYER">
    <vt:lpwstr>שירלי הדר;אלעד אלקיס</vt:lpwstr>
  </property>
  <property fmtid="{D5CDD505-2E9C-101B-9397-08002B2CF9AE}" pid="11" name="JUDGE">
    <vt:lpwstr>גיל אדלמן</vt:lpwstr>
  </property>
  <property fmtid="{D5CDD505-2E9C-101B-9397-08002B2CF9AE}" pid="12" name="CITY">
    <vt:lpwstr>אי'</vt:lpwstr>
  </property>
  <property fmtid="{D5CDD505-2E9C-101B-9397-08002B2CF9AE}" pid="13" name="DATE">
    <vt:lpwstr>20241014</vt:lpwstr>
  </property>
  <property fmtid="{D5CDD505-2E9C-101B-9397-08002B2CF9AE}" pid="14" name="TYPE_N_DATE">
    <vt:lpwstr>38020241014</vt:lpwstr>
  </property>
  <property fmtid="{D5CDD505-2E9C-101B-9397-08002B2CF9AE}" pid="15" name="CASESLISTTMP1">
    <vt:lpwstr>17954217;5738608;27151873;25977712;20787902;18793360;25193405;30039121;28279065;29311607;25981371;25777732;22997635;22978420;25066135;25982186</vt:lpwstr>
  </property>
  <property fmtid="{D5CDD505-2E9C-101B-9397-08002B2CF9AE}" pid="16" name="CASENOTES1">
    <vt:lpwstr>ProcID=213&amp;PartA=200&amp;PartC=50</vt:lpwstr>
  </property>
  <property fmtid="{D5CDD505-2E9C-101B-9397-08002B2CF9AE}" pid="17" name="ISABSTRACT">
    <vt:lpwstr>Y</vt:lpwstr>
  </property>
  <property fmtid="{D5CDD505-2E9C-101B-9397-08002B2CF9AE}" pid="18" name="WORDNUMPAGES">
    <vt:lpwstr>12</vt:lpwstr>
  </property>
  <property fmtid="{D5CDD505-2E9C-101B-9397-08002B2CF9AE}" pid="19" name="TYPE_ABS_DATE">
    <vt:lpwstr>380020241014</vt:lpwstr>
  </property>
  <property fmtid="{D5CDD505-2E9C-101B-9397-08002B2CF9AE}" pid="20" name="LAWLISTTMP1">
    <vt:lpwstr>4216/013:4;019a:4;007.a:2;007.c:2</vt:lpwstr>
  </property>
  <property fmtid="{D5CDD505-2E9C-101B-9397-08002B2CF9AE}" pid="21" name="APPELLANT1">
    <vt:lpwstr/>
  </property>
  <property fmtid="{D5CDD505-2E9C-101B-9397-08002B2CF9AE}" pid="22" name="APPELLANT2">
    <vt:lpwstr/>
  </property>
  <property fmtid="{D5CDD505-2E9C-101B-9397-08002B2CF9AE}" pid="23" name="APPELLEE1">
    <vt:lpwstr/>
  </property>
  <property fmtid="{D5CDD505-2E9C-101B-9397-08002B2CF9AE}" pid="24" name="APPELLEE2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VOLUME">
    <vt:lpwstr/>
  </property>
  <property fmtid="{D5CDD505-2E9C-101B-9397-08002B2CF9AE}" pid="29" name="PART">
    <vt:lpwstr/>
  </property>
  <property fmtid="{D5CDD505-2E9C-101B-9397-08002B2CF9AE}" pid="30" name="PAGE">
    <vt:lpwstr/>
  </property>
  <property fmtid="{D5CDD505-2E9C-101B-9397-08002B2CF9AE}" pid="31" name="PADIMAIL">
    <vt:lpwstr/>
  </property>
  <property fmtid="{D5CDD505-2E9C-101B-9397-08002B2CF9AE}" pid="32" name="DELEMATA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</Properties>
</file>