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1"/>
        <w:gridCol w:w="3660"/>
      </w:tblGrid>
      <w:tr w:rsidR="005C6760" w:rsidRPr="00627CA3" w14:paraId="15154D62" w14:textId="77777777" w:rsidTr="00E23966">
        <w:trPr>
          <w:trHeight w:hRule="exact" w:val="418"/>
          <w:jc w:val="center"/>
        </w:trPr>
        <w:tc>
          <w:tcPr>
            <w:tcW w:w="8721" w:type="dxa"/>
            <w:gridSpan w:val="2"/>
          </w:tcPr>
          <w:p w14:paraId="4105C2F7" w14:textId="77777777" w:rsidR="005C6760" w:rsidRPr="00627CA3" w:rsidRDefault="005C6760" w:rsidP="00654456">
            <w:pPr>
              <w:pStyle w:val="a3"/>
              <w:jc w:val="center"/>
              <w:rPr>
                <w:rFonts w:ascii="Tahoma" w:hAnsi="Tahoma" w:cs="Tahoma"/>
                <w:color w:val="000080"/>
                <w:rtl/>
              </w:rPr>
            </w:pPr>
            <w:bookmarkStart w:id="0" w:name="FirstLawyer"/>
            <w:bookmarkStart w:id="1" w:name="LastJudge"/>
            <w:r w:rsidRPr="00627CA3">
              <w:rPr>
                <w:rFonts w:ascii="Tahoma" w:hAnsi="Tahoma" w:cs="Tahoma"/>
                <w:b/>
                <w:bCs/>
                <w:color w:val="000080"/>
                <w:rtl/>
              </w:rPr>
              <w:t>בית המשפט המחוזי בחיפה</w:t>
            </w:r>
          </w:p>
        </w:tc>
      </w:tr>
      <w:tr w:rsidR="005C6760" w:rsidRPr="00627CA3" w14:paraId="52CD0094" w14:textId="77777777" w:rsidTr="00E23966">
        <w:trPr>
          <w:trHeight w:val="337"/>
          <w:jc w:val="center"/>
        </w:trPr>
        <w:tc>
          <w:tcPr>
            <w:tcW w:w="5061" w:type="dxa"/>
          </w:tcPr>
          <w:p w14:paraId="6D465F4C" w14:textId="77777777" w:rsidR="005C6760" w:rsidRPr="00627CA3" w:rsidRDefault="005C6760" w:rsidP="00654456">
            <w:pPr>
              <w:rPr>
                <w:rFonts w:cs="FrankRuehl"/>
                <w:sz w:val="28"/>
                <w:szCs w:val="28"/>
                <w:rtl/>
              </w:rPr>
            </w:pPr>
            <w:r w:rsidRPr="00627CA3">
              <w:rPr>
                <w:rFonts w:cs="FrankRuehl"/>
                <w:sz w:val="28"/>
                <w:szCs w:val="28"/>
                <w:rtl/>
              </w:rPr>
              <w:t>ת"פ</w:t>
            </w:r>
            <w:r w:rsidRPr="00627CA3">
              <w:rPr>
                <w:rFonts w:cs="FrankRuehl" w:hint="cs"/>
                <w:sz w:val="28"/>
                <w:szCs w:val="28"/>
                <w:rtl/>
              </w:rPr>
              <w:t xml:space="preserve"> </w:t>
            </w:r>
            <w:r w:rsidRPr="00627CA3">
              <w:rPr>
                <w:rFonts w:cs="FrankRuehl"/>
                <w:sz w:val="28"/>
                <w:szCs w:val="28"/>
                <w:rtl/>
              </w:rPr>
              <w:t>16420-10-16</w:t>
            </w:r>
            <w:r w:rsidRPr="00627CA3">
              <w:rPr>
                <w:rFonts w:cs="FrankRuehl" w:hint="cs"/>
                <w:sz w:val="28"/>
                <w:szCs w:val="28"/>
                <w:rtl/>
              </w:rPr>
              <w:t xml:space="preserve"> </w:t>
            </w:r>
            <w:r w:rsidRPr="00627CA3">
              <w:rPr>
                <w:rFonts w:cs="FrankRuehl"/>
                <w:sz w:val="28"/>
                <w:szCs w:val="28"/>
                <w:rtl/>
              </w:rPr>
              <w:t>מדינת ישראל נ' אגבאריה(עציר)</w:t>
            </w:r>
          </w:p>
          <w:p w14:paraId="3FC2D760" w14:textId="77777777" w:rsidR="005C6760" w:rsidRPr="00627CA3" w:rsidRDefault="005C6760" w:rsidP="00654456">
            <w:pPr>
              <w:pStyle w:val="a3"/>
              <w:rPr>
                <w:rFonts w:cs="FrankRuehl"/>
                <w:sz w:val="28"/>
                <w:szCs w:val="28"/>
                <w:rtl/>
              </w:rPr>
            </w:pPr>
          </w:p>
        </w:tc>
        <w:tc>
          <w:tcPr>
            <w:tcW w:w="3660" w:type="dxa"/>
          </w:tcPr>
          <w:p w14:paraId="30CD65F4" w14:textId="77777777" w:rsidR="005C6760" w:rsidRPr="00627CA3" w:rsidRDefault="005C6760" w:rsidP="00654456">
            <w:pPr>
              <w:pStyle w:val="a3"/>
              <w:jc w:val="right"/>
              <w:rPr>
                <w:rFonts w:cs="FrankRuehl"/>
                <w:sz w:val="28"/>
                <w:szCs w:val="28"/>
                <w:rtl/>
              </w:rPr>
            </w:pPr>
          </w:p>
        </w:tc>
      </w:tr>
    </w:tbl>
    <w:p w14:paraId="1D9C1DC9" w14:textId="77777777" w:rsidR="005C6760" w:rsidRPr="00627CA3" w:rsidRDefault="005C6760" w:rsidP="005C6760">
      <w:pPr>
        <w:pStyle w:val="a3"/>
        <w:rPr>
          <w:rtl/>
        </w:rPr>
      </w:pPr>
      <w:r w:rsidRPr="00627CA3">
        <w:rPr>
          <w:rFonts w:hint="cs"/>
          <w:rtl/>
        </w:rPr>
        <w:t xml:space="preserve"> </w:t>
      </w:r>
    </w:p>
    <w:p w14:paraId="092F70B4" w14:textId="77777777" w:rsidR="005C6760" w:rsidRPr="00627CA3" w:rsidRDefault="005C6760" w:rsidP="005C6760">
      <w:pPr>
        <w:spacing w:line="360" w:lineRule="auto"/>
        <w:jc w:val="both"/>
        <w:rPr>
          <w:rtl/>
        </w:rPr>
      </w:pPr>
    </w:p>
    <w:tbl>
      <w:tblPr>
        <w:bidiVisual/>
        <w:tblW w:w="8536" w:type="dxa"/>
        <w:jc w:val="center"/>
        <w:tblLook w:val="01E0" w:firstRow="1" w:lastRow="1" w:firstColumn="1" w:lastColumn="1" w:noHBand="0" w:noVBand="0"/>
      </w:tblPr>
      <w:tblGrid>
        <w:gridCol w:w="743"/>
        <w:gridCol w:w="2506"/>
        <w:gridCol w:w="5287"/>
      </w:tblGrid>
      <w:tr w:rsidR="005C6760" w:rsidRPr="00627CA3" w14:paraId="069EE678" w14:textId="77777777" w:rsidTr="005C6760">
        <w:trPr>
          <w:jc w:val="center"/>
        </w:trPr>
        <w:tc>
          <w:tcPr>
            <w:tcW w:w="743" w:type="dxa"/>
            <w:shd w:val="clear" w:color="auto" w:fill="auto"/>
          </w:tcPr>
          <w:p w14:paraId="7C036435" w14:textId="77777777" w:rsidR="005C6760" w:rsidRPr="00627CA3" w:rsidRDefault="005C6760" w:rsidP="005C6760">
            <w:pPr>
              <w:jc w:val="both"/>
              <w:rPr>
                <w:rFonts w:ascii="Arial" w:hAnsi="Arial"/>
                <w:b/>
                <w:bCs/>
                <w:sz w:val="26"/>
                <w:szCs w:val="26"/>
              </w:rPr>
            </w:pPr>
            <w:r w:rsidRPr="00627CA3">
              <w:rPr>
                <w:rFonts w:ascii="Arial" w:hAnsi="Arial" w:hint="cs"/>
                <w:b/>
                <w:bCs/>
                <w:sz w:val="26"/>
                <w:szCs w:val="26"/>
                <w:rtl/>
              </w:rPr>
              <w:t xml:space="preserve">בפני </w:t>
            </w:r>
          </w:p>
        </w:tc>
        <w:tc>
          <w:tcPr>
            <w:tcW w:w="7793" w:type="dxa"/>
            <w:gridSpan w:val="2"/>
            <w:shd w:val="clear" w:color="auto" w:fill="auto"/>
          </w:tcPr>
          <w:p w14:paraId="292835A6" w14:textId="77777777" w:rsidR="005C6760" w:rsidRPr="00627CA3" w:rsidRDefault="005C6760" w:rsidP="00654456">
            <w:pPr>
              <w:rPr>
                <w:rFonts w:ascii="Arial" w:hAnsi="Arial"/>
                <w:b/>
                <w:bCs/>
                <w:sz w:val="26"/>
                <w:szCs w:val="26"/>
              </w:rPr>
            </w:pPr>
            <w:r w:rsidRPr="00627CA3">
              <w:rPr>
                <w:rFonts w:ascii="Arial" w:hAnsi="Arial" w:hint="cs"/>
                <w:b/>
                <w:bCs/>
                <w:sz w:val="26"/>
                <w:szCs w:val="26"/>
                <w:rtl/>
              </w:rPr>
              <w:t>כבוד השופט  דניאל פיש</w:t>
            </w:r>
          </w:p>
        </w:tc>
      </w:tr>
      <w:tr w:rsidR="005C6760" w:rsidRPr="00627CA3" w14:paraId="48DF8015" w14:textId="77777777" w:rsidTr="005C6760">
        <w:trPr>
          <w:jc w:val="center"/>
        </w:trPr>
        <w:tc>
          <w:tcPr>
            <w:tcW w:w="3249" w:type="dxa"/>
            <w:gridSpan w:val="2"/>
            <w:shd w:val="clear" w:color="auto" w:fill="auto"/>
          </w:tcPr>
          <w:p w14:paraId="18FC2FCF" w14:textId="77777777" w:rsidR="005C6760" w:rsidRPr="00627CA3" w:rsidRDefault="005C6760" w:rsidP="00654456">
            <w:pPr>
              <w:rPr>
                <w:rFonts w:ascii="Arial" w:hAnsi="Arial"/>
                <w:b/>
                <w:bCs/>
                <w:sz w:val="26"/>
                <w:szCs w:val="26"/>
                <w:rtl/>
              </w:rPr>
            </w:pPr>
            <w:bookmarkStart w:id="2" w:name="FirstAppellant"/>
          </w:p>
          <w:p w14:paraId="1DC2E41B" w14:textId="77777777" w:rsidR="005C6760" w:rsidRPr="00627CA3" w:rsidRDefault="005C6760" w:rsidP="00654456">
            <w:pPr>
              <w:rPr>
                <w:rFonts w:ascii="Arial" w:hAnsi="Arial"/>
                <w:b/>
                <w:bCs/>
                <w:sz w:val="26"/>
                <w:szCs w:val="26"/>
              </w:rPr>
            </w:pPr>
            <w:r w:rsidRPr="00627CA3">
              <w:rPr>
                <w:rFonts w:ascii="Arial" w:hAnsi="Arial" w:hint="cs"/>
                <w:b/>
                <w:bCs/>
                <w:sz w:val="26"/>
                <w:szCs w:val="26"/>
                <w:rtl/>
              </w:rPr>
              <w:t>המאשימה</w:t>
            </w:r>
          </w:p>
        </w:tc>
        <w:tc>
          <w:tcPr>
            <w:tcW w:w="5287" w:type="dxa"/>
            <w:shd w:val="clear" w:color="auto" w:fill="auto"/>
          </w:tcPr>
          <w:p w14:paraId="58B5935C" w14:textId="77777777" w:rsidR="005C6760" w:rsidRPr="00627CA3" w:rsidRDefault="005C6760" w:rsidP="00654456">
            <w:pPr>
              <w:rPr>
                <w:rFonts w:ascii="Arial" w:hAnsi="Arial"/>
                <w:b/>
                <w:bCs/>
                <w:sz w:val="26"/>
                <w:szCs w:val="26"/>
              </w:rPr>
            </w:pPr>
          </w:p>
          <w:p w14:paraId="48E30910" w14:textId="77777777" w:rsidR="005C6760" w:rsidRPr="00627CA3" w:rsidRDefault="005C6760" w:rsidP="00654456">
            <w:pPr>
              <w:rPr>
                <w:b/>
                <w:bCs/>
                <w:sz w:val="26"/>
                <w:szCs w:val="26"/>
                <w:rtl/>
              </w:rPr>
            </w:pPr>
            <w:r w:rsidRPr="00627CA3">
              <w:rPr>
                <w:rFonts w:ascii="Arial" w:hAnsi="Arial" w:hint="cs"/>
                <w:b/>
                <w:bCs/>
                <w:sz w:val="26"/>
                <w:szCs w:val="26"/>
                <w:rtl/>
              </w:rPr>
              <w:t>מדינת ישראל</w:t>
            </w:r>
            <w:r w:rsidRPr="00627CA3">
              <w:rPr>
                <w:rFonts w:ascii="Arial" w:hAnsi="Arial" w:hint="cs"/>
                <w:b/>
                <w:bCs/>
                <w:sz w:val="26"/>
                <w:szCs w:val="26"/>
                <w:rtl/>
              </w:rPr>
              <w:br/>
            </w:r>
            <w:r w:rsidRPr="00627CA3">
              <w:rPr>
                <w:rFonts w:hint="cs"/>
                <w:b/>
                <w:bCs/>
                <w:sz w:val="26"/>
                <w:szCs w:val="26"/>
                <w:rtl/>
              </w:rPr>
              <w:t xml:space="preserve">ע"י ב"כ עו"ד יאיר גויכמן מפרקליטות מחוז חיפה – פלילי </w:t>
            </w:r>
          </w:p>
        </w:tc>
      </w:tr>
      <w:bookmarkEnd w:id="2"/>
      <w:tr w:rsidR="005C6760" w:rsidRPr="00627CA3" w14:paraId="093B7A88" w14:textId="77777777" w:rsidTr="005C6760">
        <w:trPr>
          <w:jc w:val="center"/>
        </w:trPr>
        <w:tc>
          <w:tcPr>
            <w:tcW w:w="8536" w:type="dxa"/>
            <w:gridSpan w:val="3"/>
            <w:shd w:val="clear" w:color="auto" w:fill="auto"/>
          </w:tcPr>
          <w:p w14:paraId="4141743B" w14:textId="77777777" w:rsidR="005C6760" w:rsidRPr="00627CA3" w:rsidRDefault="005C6760" w:rsidP="00654456">
            <w:pPr>
              <w:rPr>
                <w:rFonts w:ascii="Arial" w:hAnsi="Arial"/>
                <w:b/>
                <w:bCs/>
                <w:sz w:val="26"/>
                <w:szCs w:val="26"/>
                <w:rtl/>
              </w:rPr>
            </w:pPr>
          </w:p>
          <w:p w14:paraId="0714C3AB" w14:textId="77777777" w:rsidR="005C6760" w:rsidRPr="00627CA3" w:rsidRDefault="005C6760" w:rsidP="005C6760">
            <w:pPr>
              <w:jc w:val="center"/>
              <w:rPr>
                <w:rFonts w:ascii="Arial" w:hAnsi="Arial"/>
                <w:b/>
                <w:bCs/>
                <w:sz w:val="26"/>
                <w:szCs w:val="26"/>
              </w:rPr>
            </w:pPr>
            <w:r w:rsidRPr="00627CA3">
              <w:rPr>
                <w:rFonts w:ascii="Arial" w:hAnsi="Arial" w:hint="cs"/>
                <w:b/>
                <w:bCs/>
                <w:sz w:val="26"/>
                <w:szCs w:val="26"/>
                <w:rtl/>
              </w:rPr>
              <w:t>נגד</w:t>
            </w:r>
          </w:p>
          <w:p w14:paraId="42A32E7E" w14:textId="77777777" w:rsidR="005C6760" w:rsidRPr="00627CA3" w:rsidRDefault="005C6760" w:rsidP="005C6760">
            <w:pPr>
              <w:jc w:val="center"/>
              <w:rPr>
                <w:rFonts w:ascii="Arial" w:hAnsi="Arial"/>
                <w:b/>
                <w:bCs/>
                <w:sz w:val="26"/>
                <w:szCs w:val="26"/>
                <w:rtl/>
              </w:rPr>
            </w:pPr>
          </w:p>
        </w:tc>
      </w:tr>
      <w:tr w:rsidR="005C6760" w:rsidRPr="00627CA3" w14:paraId="7DF963CB" w14:textId="77777777" w:rsidTr="005C6760">
        <w:trPr>
          <w:jc w:val="center"/>
        </w:trPr>
        <w:tc>
          <w:tcPr>
            <w:tcW w:w="3249" w:type="dxa"/>
            <w:gridSpan w:val="2"/>
            <w:shd w:val="clear" w:color="auto" w:fill="auto"/>
          </w:tcPr>
          <w:p w14:paraId="49D87651" w14:textId="77777777" w:rsidR="005C6760" w:rsidRPr="00627CA3" w:rsidRDefault="005C6760" w:rsidP="00654456">
            <w:pPr>
              <w:rPr>
                <w:rFonts w:ascii="Arial" w:hAnsi="Arial"/>
                <w:b/>
                <w:bCs/>
                <w:sz w:val="26"/>
                <w:szCs w:val="26"/>
                <w:rtl/>
              </w:rPr>
            </w:pPr>
            <w:r w:rsidRPr="00627CA3">
              <w:rPr>
                <w:rFonts w:ascii="Arial" w:hAnsi="Arial" w:hint="cs"/>
                <w:b/>
                <w:bCs/>
                <w:sz w:val="26"/>
                <w:szCs w:val="26"/>
                <w:rtl/>
              </w:rPr>
              <w:t>הנאשם</w:t>
            </w:r>
          </w:p>
        </w:tc>
        <w:tc>
          <w:tcPr>
            <w:tcW w:w="5287" w:type="dxa"/>
            <w:shd w:val="clear" w:color="auto" w:fill="auto"/>
          </w:tcPr>
          <w:p w14:paraId="103FE323" w14:textId="77777777" w:rsidR="005C6760" w:rsidRPr="00627CA3" w:rsidRDefault="005C6760" w:rsidP="00654456">
            <w:pPr>
              <w:rPr>
                <w:b/>
                <w:bCs/>
                <w:sz w:val="26"/>
                <w:szCs w:val="26"/>
                <w:rtl/>
              </w:rPr>
            </w:pPr>
            <w:r w:rsidRPr="00627CA3">
              <w:rPr>
                <w:rFonts w:ascii="Arial" w:hAnsi="Arial" w:hint="cs"/>
                <w:b/>
                <w:bCs/>
                <w:sz w:val="26"/>
                <w:szCs w:val="26"/>
                <w:rtl/>
              </w:rPr>
              <w:t>מוהנד אגאבריה</w:t>
            </w:r>
            <w:r w:rsidRPr="00627CA3">
              <w:rPr>
                <w:b/>
                <w:bCs/>
                <w:sz w:val="26"/>
                <w:szCs w:val="26"/>
                <w:rtl/>
              </w:rPr>
              <w:br/>
            </w:r>
            <w:r w:rsidRPr="00627CA3">
              <w:rPr>
                <w:rFonts w:hint="cs"/>
                <w:b/>
                <w:bCs/>
                <w:sz w:val="26"/>
                <w:szCs w:val="26"/>
                <w:rtl/>
              </w:rPr>
              <w:t xml:space="preserve">ע"י ב"כ עו"ד ישי ניב [סנגוריה ציבורית] </w:t>
            </w:r>
          </w:p>
        </w:tc>
      </w:tr>
    </w:tbl>
    <w:p w14:paraId="637657C8" w14:textId="77777777" w:rsidR="005C6760" w:rsidRPr="00627CA3" w:rsidRDefault="005C6760" w:rsidP="005C6760">
      <w:pPr>
        <w:spacing w:line="360" w:lineRule="auto"/>
        <w:jc w:val="both"/>
        <w:rPr>
          <w:rtl/>
        </w:rPr>
      </w:pPr>
    </w:p>
    <w:p w14:paraId="4E12895E" w14:textId="77777777" w:rsidR="005C6760" w:rsidRPr="00627CA3" w:rsidRDefault="005C6760" w:rsidP="005C6760">
      <w:pPr>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6760" w:rsidRPr="00627CA3" w14:paraId="283627EB" w14:textId="77777777" w:rsidTr="005C6760">
        <w:trPr>
          <w:trHeight w:val="355"/>
          <w:jc w:val="center"/>
        </w:trPr>
        <w:tc>
          <w:tcPr>
            <w:tcW w:w="8820" w:type="dxa"/>
            <w:tcBorders>
              <w:top w:val="nil"/>
              <w:left w:val="nil"/>
              <w:bottom w:val="nil"/>
              <w:right w:val="nil"/>
            </w:tcBorders>
            <w:shd w:val="clear" w:color="auto" w:fill="auto"/>
          </w:tcPr>
          <w:p w14:paraId="382CC2B3" w14:textId="77777777" w:rsidR="005C6760" w:rsidRPr="00627CA3" w:rsidRDefault="005C6760" w:rsidP="005C6760">
            <w:pPr>
              <w:jc w:val="center"/>
              <w:rPr>
                <w:rFonts w:ascii="Arial" w:hAnsi="Arial" w:cs="FrankRuehl"/>
                <w:b/>
                <w:bCs/>
                <w:sz w:val="32"/>
                <w:szCs w:val="32"/>
                <w:rtl/>
              </w:rPr>
            </w:pPr>
          </w:p>
        </w:tc>
      </w:tr>
      <w:tr w:rsidR="005C6760" w14:paraId="751C082C" w14:textId="77777777" w:rsidTr="005C6760">
        <w:trPr>
          <w:trHeight w:val="355"/>
          <w:jc w:val="center"/>
        </w:trPr>
        <w:tc>
          <w:tcPr>
            <w:tcW w:w="8820" w:type="dxa"/>
            <w:tcBorders>
              <w:top w:val="nil"/>
              <w:left w:val="nil"/>
              <w:bottom w:val="nil"/>
              <w:right w:val="nil"/>
            </w:tcBorders>
            <w:shd w:val="clear" w:color="auto" w:fill="auto"/>
          </w:tcPr>
          <w:p w14:paraId="40A62283" w14:textId="77777777" w:rsidR="008A2693" w:rsidRDefault="008A2693" w:rsidP="00627CA3">
            <w:pPr>
              <w:jc w:val="center"/>
              <w:rPr>
                <w:rFonts w:ascii="Arial" w:hAnsi="Arial" w:cs="FrankRuehl"/>
                <w:sz w:val="32"/>
                <w:szCs w:val="32"/>
                <w:rtl/>
              </w:rPr>
            </w:pPr>
            <w:bookmarkStart w:id="3" w:name="PsakDin" w:colFirst="0" w:colLast="0"/>
            <w:bookmarkStart w:id="4" w:name="LawTable"/>
            <w:bookmarkEnd w:id="0"/>
            <w:bookmarkEnd w:id="1"/>
            <w:bookmarkEnd w:id="4"/>
          </w:p>
          <w:p w14:paraId="4086C1A6" w14:textId="77777777" w:rsidR="008A2693" w:rsidRPr="008A2693" w:rsidRDefault="008A2693" w:rsidP="008A2693">
            <w:pPr>
              <w:spacing w:after="120" w:line="240" w:lineRule="exact"/>
              <w:ind w:left="283" w:hanging="283"/>
              <w:jc w:val="both"/>
              <w:rPr>
                <w:rFonts w:ascii="FrankRuehl" w:hAnsi="FrankRuehl" w:cs="FrankRuehl"/>
                <w:rtl/>
              </w:rPr>
            </w:pPr>
          </w:p>
          <w:p w14:paraId="0CBFD0C7" w14:textId="77777777" w:rsidR="008A2693" w:rsidRPr="008A2693" w:rsidRDefault="008A2693" w:rsidP="008A2693">
            <w:pPr>
              <w:spacing w:after="120" w:line="240" w:lineRule="exact"/>
              <w:ind w:left="283" w:hanging="283"/>
              <w:jc w:val="both"/>
              <w:rPr>
                <w:rFonts w:ascii="FrankRuehl" w:hAnsi="FrankRuehl" w:cs="FrankRuehl"/>
                <w:rtl/>
              </w:rPr>
            </w:pPr>
            <w:r w:rsidRPr="008A2693">
              <w:rPr>
                <w:rFonts w:ascii="FrankRuehl" w:hAnsi="FrankRuehl" w:cs="FrankRuehl"/>
                <w:rtl/>
              </w:rPr>
              <w:t xml:space="preserve">חקיקה שאוזכרה: </w:t>
            </w:r>
          </w:p>
          <w:p w14:paraId="35B9231B" w14:textId="77777777" w:rsidR="008A2693" w:rsidRPr="008A2693" w:rsidRDefault="008A2693" w:rsidP="008A2693">
            <w:pPr>
              <w:spacing w:after="120" w:line="240" w:lineRule="exact"/>
              <w:ind w:left="283" w:hanging="283"/>
              <w:jc w:val="both"/>
              <w:rPr>
                <w:rFonts w:ascii="FrankRuehl" w:hAnsi="FrankRuehl" w:cs="FrankRuehl"/>
                <w:rtl/>
              </w:rPr>
            </w:pPr>
            <w:hyperlink r:id="rId6" w:history="1">
              <w:r w:rsidRPr="008A2693">
                <w:rPr>
                  <w:rFonts w:ascii="FrankRuehl" w:hAnsi="FrankRuehl" w:cs="FrankRuehl"/>
                  <w:color w:val="0000FF"/>
                  <w:u w:val="single"/>
                  <w:rtl/>
                </w:rPr>
                <w:t>חוק העונשין, תשל"ז-1977</w:t>
              </w:r>
            </w:hyperlink>
            <w:r w:rsidRPr="008A2693">
              <w:rPr>
                <w:rFonts w:ascii="FrankRuehl" w:hAnsi="FrankRuehl" w:cs="FrankRuehl"/>
                <w:rtl/>
              </w:rPr>
              <w:t xml:space="preserve">: סע'  </w:t>
            </w:r>
            <w:hyperlink r:id="rId7" w:history="1">
              <w:r w:rsidRPr="008A2693">
                <w:rPr>
                  <w:rFonts w:ascii="FrankRuehl" w:hAnsi="FrankRuehl" w:cs="FrankRuehl"/>
                  <w:color w:val="0000FF"/>
                  <w:u w:val="single"/>
                  <w:rtl/>
                </w:rPr>
                <w:t>144(א)</w:t>
              </w:r>
            </w:hyperlink>
            <w:r w:rsidRPr="008A2693">
              <w:rPr>
                <w:rFonts w:ascii="FrankRuehl" w:hAnsi="FrankRuehl" w:cs="FrankRuehl"/>
                <w:rtl/>
              </w:rPr>
              <w:t xml:space="preserve">, </w:t>
            </w:r>
            <w:hyperlink r:id="rId8" w:history="1">
              <w:r w:rsidRPr="008A2693">
                <w:rPr>
                  <w:rFonts w:ascii="FrankRuehl" w:hAnsi="FrankRuehl" w:cs="FrankRuehl"/>
                  <w:color w:val="0000FF"/>
                  <w:u w:val="single"/>
                  <w:rtl/>
                </w:rPr>
                <w:t>144(ב)</w:t>
              </w:r>
            </w:hyperlink>
            <w:r w:rsidRPr="008A2693">
              <w:rPr>
                <w:rFonts w:ascii="FrankRuehl" w:hAnsi="FrankRuehl" w:cs="FrankRuehl"/>
                <w:rtl/>
              </w:rPr>
              <w:t xml:space="preserve">, </w:t>
            </w:r>
            <w:hyperlink r:id="rId9" w:history="1">
              <w:r w:rsidRPr="008A2693">
                <w:rPr>
                  <w:rFonts w:ascii="FrankRuehl" w:hAnsi="FrankRuehl" w:cs="FrankRuehl"/>
                  <w:color w:val="0000FF"/>
                  <w:u w:val="single"/>
                  <w:rtl/>
                </w:rPr>
                <w:t>329(1)</w:t>
              </w:r>
            </w:hyperlink>
            <w:r w:rsidRPr="008A2693">
              <w:rPr>
                <w:rFonts w:ascii="FrankRuehl" w:hAnsi="FrankRuehl" w:cs="FrankRuehl"/>
                <w:rtl/>
              </w:rPr>
              <w:t xml:space="preserve">, </w:t>
            </w:r>
            <w:hyperlink r:id="rId10" w:history="1">
              <w:r w:rsidRPr="008A2693">
                <w:rPr>
                  <w:rFonts w:ascii="FrankRuehl" w:hAnsi="FrankRuehl" w:cs="FrankRuehl"/>
                  <w:color w:val="0000FF"/>
                  <w:u w:val="single"/>
                  <w:rtl/>
                </w:rPr>
                <w:t>329.א.1.</w:t>
              </w:r>
            </w:hyperlink>
            <w:r w:rsidRPr="008A2693">
              <w:rPr>
                <w:rFonts w:ascii="FrankRuehl" w:hAnsi="FrankRuehl" w:cs="FrankRuehl"/>
                <w:rtl/>
              </w:rPr>
              <w:t xml:space="preserve">, </w:t>
            </w:r>
            <w:hyperlink r:id="rId11" w:history="1">
              <w:r w:rsidRPr="008A2693">
                <w:rPr>
                  <w:rFonts w:ascii="FrankRuehl" w:hAnsi="FrankRuehl" w:cs="FrankRuehl"/>
                  <w:color w:val="0000FF"/>
                  <w:u w:val="single"/>
                  <w:rtl/>
                </w:rPr>
                <w:t>329.א.2</w:t>
              </w:r>
            </w:hyperlink>
          </w:p>
          <w:p w14:paraId="1A84A139" w14:textId="77777777" w:rsidR="008A2693" w:rsidRPr="008A2693" w:rsidRDefault="008A2693" w:rsidP="008A2693">
            <w:pPr>
              <w:spacing w:after="120" w:line="240" w:lineRule="exact"/>
              <w:ind w:left="283" w:hanging="283"/>
              <w:jc w:val="both"/>
              <w:rPr>
                <w:rFonts w:ascii="FrankRuehl" w:hAnsi="FrankRuehl" w:cs="FrankRuehl"/>
                <w:rtl/>
              </w:rPr>
            </w:pPr>
          </w:p>
          <w:p w14:paraId="6D29B616" w14:textId="77777777" w:rsidR="008A2693" w:rsidRPr="008A2693" w:rsidRDefault="008A2693" w:rsidP="00627CA3">
            <w:pPr>
              <w:jc w:val="center"/>
              <w:rPr>
                <w:rFonts w:ascii="Arial" w:hAnsi="Arial" w:cs="FrankRuehl"/>
                <w:sz w:val="32"/>
                <w:szCs w:val="32"/>
                <w:rtl/>
              </w:rPr>
            </w:pPr>
            <w:bookmarkStart w:id="5" w:name="LawTable_End"/>
            <w:bookmarkEnd w:id="5"/>
          </w:p>
          <w:p w14:paraId="743B548A" w14:textId="77777777" w:rsidR="009B29E0" w:rsidRPr="009B29E0" w:rsidRDefault="009B29E0" w:rsidP="00627CA3">
            <w:pPr>
              <w:jc w:val="center"/>
              <w:rPr>
                <w:rFonts w:ascii="Arial" w:hAnsi="Arial" w:cs="FrankRuehl"/>
                <w:sz w:val="32"/>
                <w:szCs w:val="32"/>
                <w:rtl/>
              </w:rPr>
            </w:pPr>
          </w:p>
          <w:p w14:paraId="2327175D" w14:textId="77777777" w:rsidR="00627CA3" w:rsidRPr="00627CA3" w:rsidRDefault="00627CA3" w:rsidP="00627CA3">
            <w:pPr>
              <w:jc w:val="center"/>
              <w:rPr>
                <w:rFonts w:ascii="Arial" w:hAnsi="Arial" w:cs="FrankRuehl"/>
                <w:sz w:val="32"/>
                <w:szCs w:val="32"/>
                <w:rtl/>
              </w:rPr>
            </w:pPr>
          </w:p>
          <w:p w14:paraId="2DB80D8C" w14:textId="77777777" w:rsidR="00627CA3" w:rsidRPr="00627CA3" w:rsidRDefault="00627CA3" w:rsidP="00627CA3">
            <w:pPr>
              <w:jc w:val="center"/>
              <w:rPr>
                <w:rFonts w:ascii="Arial" w:hAnsi="Arial" w:cs="FrankRuehl"/>
                <w:b/>
                <w:bCs/>
                <w:sz w:val="32"/>
                <w:szCs w:val="32"/>
                <w:u w:val="single"/>
                <w:rtl/>
              </w:rPr>
            </w:pPr>
            <w:r w:rsidRPr="00627CA3">
              <w:rPr>
                <w:rFonts w:ascii="Arial" w:hAnsi="Arial" w:cs="FrankRuehl"/>
                <w:b/>
                <w:bCs/>
                <w:sz w:val="32"/>
                <w:szCs w:val="32"/>
                <w:u w:val="single"/>
                <w:rtl/>
              </w:rPr>
              <w:t>גזר דין</w:t>
            </w:r>
          </w:p>
          <w:p w14:paraId="08EC87A2" w14:textId="77777777" w:rsidR="005C6760" w:rsidRPr="00627CA3" w:rsidRDefault="005C6760" w:rsidP="00627CA3">
            <w:pPr>
              <w:jc w:val="center"/>
              <w:rPr>
                <w:rFonts w:ascii="Arial" w:hAnsi="Arial" w:cs="FrankRuehl"/>
                <w:bCs/>
                <w:sz w:val="32"/>
                <w:szCs w:val="32"/>
                <w:u w:val="single"/>
              </w:rPr>
            </w:pPr>
          </w:p>
        </w:tc>
      </w:tr>
      <w:bookmarkEnd w:id="3"/>
    </w:tbl>
    <w:p w14:paraId="4F727446" w14:textId="77777777" w:rsidR="005C6760" w:rsidRDefault="005C6760" w:rsidP="005C6760">
      <w:pPr>
        <w:rPr>
          <w:rFonts w:ascii="Arial" w:hAnsi="Arial"/>
          <w:b/>
          <w:bCs/>
          <w:u w:val="single"/>
          <w:rtl/>
        </w:rPr>
      </w:pPr>
    </w:p>
    <w:p w14:paraId="74E377AB" w14:textId="77777777" w:rsidR="005C6760" w:rsidRDefault="005C6760" w:rsidP="005C6760">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הורשע על פי הכרעת דין בעבירות של חבלה בכוונה מחמירה לפי </w:t>
      </w:r>
      <w:hyperlink r:id="rId12" w:history="1">
        <w:r w:rsidR="009B29E0" w:rsidRPr="009B29E0">
          <w:rPr>
            <w:rFonts w:ascii="Arial" w:hAnsi="Arial"/>
            <w:color w:val="0000FF"/>
            <w:u w:val="single"/>
            <w:rtl/>
          </w:rPr>
          <w:t>סעיף 329(א)(1)+(2)</w:t>
        </w:r>
      </w:hyperlink>
      <w:r>
        <w:rPr>
          <w:rFonts w:ascii="Arial" w:hAnsi="Arial" w:hint="cs"/>
          <w:rtl/>
        </w:rPr>
        <w:t xml:space="preserve"> ל</w:t>
      </w:r>
      <w:hyperlink r:id="rId13" w:history="1">
        <w:r w:rsidR="00627CA3" w:rsidRPr="00627CA3">
          <w:rPr>
            <w:rFonts w:ascii="Arial" w:hAnsi="Arial"/>
            <w:color w:val="0000FF"/>
            <w:u w:val="single"/>
            <w:rtl/>
          </w:rPr>
          <w:t>חוק העונשין</w:t>
        </w:r>
      </w:hyperlink>
      <w:r>
        <w:rPr>
          <w:rFonts w:ascii="Arial" w:hAnsi="Arial" w:hint="cs"/>
          <w:rtl/>
        </w:rPr>
        <w:t xml:space="preserve">, התשל"ז-1977 והחזקת ונשיאת נשק ותחמושת לפי </w:t>
      </w:r>
      <w:hyperlink r:id="rId14" w:history="1">
        <w:r w:rsidR="009B29E0" w:rsidRPr="009B29E0">
          <w:rPr>
            <w:rFonts w:ascii="Arial" w:hAnsi="Arial"/>
            <w:color w:val="0000FF"/>
            <w:u w:val="single"/>
            <w:rtl/>
          </w:rPr>
          <w:t>סעיפים 144(א)</w:t>
        </w:r>
      </w:hyperlink>
      <w:r>
        <w:rPr>
          <w:rFonts w:ascii="Arial" w:hAnsi="Arial" w:hint="cs"/>
          <w:rtl/>
        </w:rPr>
        <w:t xml:space="preserve"> רישא וסיפא + </w:t>
      </w:r>
      <w:hyperlink r:id="rId15" w:history="1">
        <w:r w:rsidR="009B29E0" w:rsidRPr="009B29E0">
          <w:rPr>
            <w:rFonts w:ascii="Arial" w:hAnsi="Arial"/>
            <w:color w:val="0000FF"/>
            <w:u w:val="single"/>
            <w:rtl/>
          </w:rPr>
          <w:t>144(ב)</w:t>
        </w:r>
      </w:hyperlink>
      <w:r>
        <w:rPr>
          <w:rFonts w:ascii="Arial" w:hAnsi="Arial" w:hint="cs"/>
          <w:rtl/>
        </w:rPr>
        <w:t xml:space="preserve"> רישא וסיפא לחוק העונשין.</w:t>
      </w:r>
    </w:p>
    <w:p w14:paraId="5572DDF2" w14:textId="77777777" w:rsidR="005C6760" w:rsidRDefault="005C6760" w:rsidP="005C6760">
      <w:pPr>
        <w:spacing w:line="360" w:lineRule="auto"/>
        <w:ind w:left="720"/>
        <w:jc w:val="both"/>
        <w:rPr>
          <w:rFonts w:ascii="Arial" w:hAnsi="Arial"/>
          <w:rtl/>
        </w:rPr>
      </w:pPr>
    </w:p>
    <w:p w14:paraId="32B96C73" w14:textId="77777777" w:rsidR="005C6760" w:rsidRDefault="005C6760" w:rsidP="005C6760">
      <w:pPr>
        <w:spacing w:line="360" w:lineRule="auto"/>
        <w:ind w:left="720" w:hanging="720"/>
        <w:jc w:val="both"/>
        <w:rPr>
          <w:rFonts w:ascii="Arial" w:hAnsi="Arial"/>
          <w:rtl/>
        </w:rPr>
      </w:pPr>
      <w:r>
        <w:rPr>
          <w:rFonts w:ascii="Arial" w:hAnsi="Arial" w:hint="cs"/>
          <w:rtl/>
        </w:rPr>
        <w:t>2.</w:t>
      </w:r>
      <w:r>
        <w:rPr>
          <w:rFonts w:ascii="Arial" w:hAnsi="Arial" w:hint="cs"/>
          <w:rtl/>
        </w:rPr>
        <w:tab/>
        <w:t>כאמור בהכרעת הדין על רקע סכסוך משפחתי הגיע הנאשם מול ביתו של המתלונן כשהוא ואחיו שיפצו קיר מחוץ לבית, כאשר הוא הוסע במכונית על ידי אחר וירה עליהם באמצעות נשק חם- תת מקלע. כדור אחד פגע ברגלו של המתלונן. המתלונן אושפז למשך חמישה ימים ועבר מספר ניתוחים.</w:t>
      </w:r>
    </w:p>
    <w:p w14:paraId="0E8241F6" w14:textId="77777777" w:rsidR="005C6760" w:rsidRDefault="005C6760" w:rsidP="005C6760">
      <w:pPr>
        <w:rPr>
          <w:rFonts w:ascii="Arial" w:hAnsi="Arial"/>
          <w:b/>
          <w:bCs/>
          <w:u w:val="single"/>
          <w:rtl/>
        </w:rPr>
      </w:pPr>
    </w:p>
    <w:p w14:paraId="3629271A" w14:textId="77777777" w:rsidR="005C6760" w:rsidRDefault="005C6760" w:rsidP="005C6760">
      <w:pPr>
        <w:rPr>
          <w:rFonts w:ascii="Arial" w:hAnsi="Arial"/>
          <w:b/>
          <w:bCs/>
          <w:u w:val="single"/>
          <w:rtl/>
        </w:rPr>
      </w:pPr>
      <w:bookmarkStart w:id="7" w:name="ABSTRACT_END"/>
      <w:bookmarkEnd w:id="7"/>
      <w:r>
        <w:rPr>
          <w:rFonts w:ascii="Arial" w:hAnsi="Arial" w:hint="cs"/>
          <w:b/>
          <w:bCs/>
          <w:u w:val="single"/>
          <w:rtl/>
        </w:rPr>
        <w:t>עמדת המדינה</w:t>
      </w:r>
    </w:p>
    <w:p w14:paraId="63CDD4C7" w14:textId="77777777" w:rsidR="005C6760" w:rsidRDefault="005C6760" w:rsidP="005C6760">
      <w:pPr>
        <w:rPr>
          <w:rFonts w:ascii="Arial" w:hAnsi="Arial"/>
          <w:b/>
          <w:bCs/>
          <w:u w:val="single"/>
          <w:rtl/>
        </w:rPr>
      </w:pPr>
    </w:p>
    <w:p w14:paraId="6A68C94E" w14:textId="77777777" w:rsidR="005C6760" w:rsidRDefault="005C6760" w:rsidP="005C6760">
      <w:pPr>
        <w:spacing w:line="360" w:lineRule="auto"/>
        <w:ind w:left="720" w:hanging="720"/>
        <w:jc w:val="both"/>
        <w:rPr>
          <w:rFonts w:ascii="Arial" w:hAnsi="Arial"/>
          <w:rtl/>
        </w:rPr>
      </w:pPr>
      <w:r>
        <w:rPr>
          <w:rFonts w:ascii="Arial" w:hAnsi="Arial" w:hint="cs"/>
          <w:rtl/>
        </w:rPr>
        <w:lastRenderedPageBreak/>
        <w:t>3.</w:t>
      </w:r>
      <w:r>
        <w:rPr>
          <w:rFonts w:ascii="Arial" w:hAnsi="Arial" w:hint="cs"/>
          <w:rtl/>
        </w:rPr>
        <w:tab/>
        <w:t xml:space="preserve">המדינה פתחה את טיעוניה  באזכור מתוך </w:t>
      </w:r>
      <w:hyperlink r:id="rId16" w:history="1">
        <w:r w:rsidR="00627CA3" w:rsidRPr="00627CA3">
          <w:rPr>
            <w:rFonts w:ascii="Arial" w:hAnsi="Arial"/>
            <w:color w:val="0000FF"/>
            <w:u w:val="single"/>
            <w:rtl/>
          </w:rPr>
          <w:t>ע"פ 4697/11</w:t>
        </w:r>
      </w:hyperlink>
      <w:r>
        <w:rPr>
          <w:rFonts w:ascii="Arial" w:hAnsi="Arial" w:hint="cs"/>
          <w:rtl/>
        </w:rPr>
        <w:t xml:space="preserve"> </w:t>
      </w:r>
      <w:r>
        <w:rPr>
          <w:rFonts w:ascii="Arial" w:hAnsi="Arial" w:hint="cs"/>
          <w:b/>
          <w:bCs/>
          <w:rtl/>
        </w:rPr>
        <w:t>מדינת ישראל נ' אלצאנע</w:t>
      </w:r>
      <w:r>
        <w:rPr>
          <w:rFonts w:ascii="Arial" w:hAnsi="Arial" w:hint="cs"/>
          <w:rtl/>
        </w:rPr>
        <w:t xml:space="preserve"> (24.3.2013) לפיה יש להחמיר בענישה ביחס לעבירות של פתרון סכסוכים בנשק חם או קר ואף להגיע לרמת ענישה "בן שתי ספרות". באותו מקרה החמיר בית המשפט העליון את עונשו של נאשם שירה בגבה של מתלוננת שתי יריות, משמונה שנות מאסר בפועל לתשע שנות מאסר (ולא מיצה את הדין לאור נסיבות אישיות טרגיות). </w:t>
      </w:r>
    </w:p>
    <w:p w14:paraId="50FFAE92" w14:textId="77777777" w:rsidR="005C6760" w:rsidRDefault="005C6760" w:rsidP="005C6760">
      <w:pPr>
        <w:spacing w:line="360" w:lineRule="auto"/>
        <w:ind w:left="720"/>
        <w:jc w:val="both"/>
        <w:rPr>
          <w:rFonts w:ascii="Arial" w:hAnsi="Arial"/>
          <w:rtl/>
        </w:rPr>
      </w:pPr>
    </w:p>
    <w:p w14:paraId="7BD8ECD4" w14:textId="77777777" w:rsidR="005C6760" w:rsidRDefault="005C6760" w:rsidP="005C6760">
      <w:pPr>
        <w:spacing w:line="360" w:lineRule="auto"/>
        <w:ind w:left="720" w:hanging="720"/>
        <w:jc w:val="both"/>
        <w:rPr>
          <w:rFonts w:ascii="Arial" w:hAnsi="Arial"/>
          <w:rtl/>
        </w:rPr>
      </w:pPr>
      <w:r>
        <w:rPr>
          <w:rFonts w:ascii="Arial" w:hAnsi="Arial" w:hint="cs"/>
          <w:rtl/>
        </w:rPr>
        <w:t>4.</w:t>
      </w:r>
      <w:r>
        <w:rPr>
          <w:rFonts w:ascii="Arial" w:hAnsi="Arial" w:hint="cs"/>
          <w:rtl/>
        </w:rPr>
        <w:tab/>
        <w:t xml:space="preserve">נטען כי במקרה דנן מדובר בהתנהגות ברוטלית ואכזרית שלא עומדת מאחוריה  הצדקה כלשהי אלא רצון לפגוע במתלונן ומשקפת דפוסים עברייניים בולטים וזאת חרף הרשעות קודמות לחובת הנאשם. </w:t>
      </w:r>
    </w:p>
    <w:p w14:paraId="4C028065" w14:textId="77777777" w:rsidR="005C6760" w:rsidRDefault="005C6760" w:rsidP="005C6760">
      <w:pPr>
        <w:spacing w:line="360" w:lineRule="auto"/>
        <w:ind w:left="720"/>
        <w:jc w:val="both"/>
        <w:rPr>
          <w:rFonts w:ascii="Arial" w:hAnsi="Arial"/>
          <w:rtl/>
        </w:rPr>
      </w:pPr>
    </w:p>
    <w:p w14:paraId="17047471" w14:textId="77777777" w:rsidR="005C6760" w:rsidRDefault="005C6760" w:rsidP="005C6760">
      <w:pPr>
        <w:spacing w:line="360" w:lineRule="auto"/>
        <w:ind w:left="720" w:hanging="720"/>
        <w:jc w:val="both"/>
        <w:rPr>
          <w:rFonts w:ascii="Arial" w:hAnsi="Arial"/>
          <w:rtl/>
        </w:rPr>
      </w:pPr>
      <w:r>
        <w:rPr>
          <w:rFonts w:ascii="Arial" w:hAnsi="Arial" w:hint="cs"/>
          <w:rtl/>
        </w:rPr>
        <w:t>5.</w:t>
      </w:r>
      <w:r>
        <w:rPr>
          <w:rFonts w:ascii="Arial" w:hAnsi="Arial" w:hint="cs"/>
          <w:rtl/>
        </w:rPr>
        <w:tab/>
        <w:t xml:space="preserve">הוספו טענות באשר להתפשטות השימוש בנשק חם ליישוב סכסוכים שהפכה לפי הטענה למכת מדינה. נטען שרק ענישה כבדה ומכאיבה תהא בה עונש ראוי לנאשם. </w:t>
      </w:r>
    </w:p>
    <w:p w14:paraId="20F3CD0C" w14:textId="77777777" w:rsidR="005C6760" w:rsidRDefault="005C6760" w:rsidP="005C6760">
      <w:pPr>
        <w:spacing w:line="360" w:lineRule="auto"/>
        <w:ind w:left="720"/>
        <w:jc w:val="both"/>
        <w:rPr>
          <w:rFonts w:ascii="Arial" w:hAnsi="Arial"/>
          <w:rtl/>
        </w:rPr>
      </w:pPr>
    </w:p>
    <w:p w14:paraId="440E0F77" w14:textId="77777777" w:rsidR="005C6760" w:rsidRDefault="005C6760" w:rsidP="005C6760">
      <w:pPr>
        <w:spacing w:line="360" w:lineRule="auto"/>
        <w:ind w:left="720" w:hanging="720"/>
        <w:jc w:val="both"/>
        <w:rPr>
          <w:rFonts w:ascii="Arial" w:hAnsi="Arial"/>
          <w:rtl/>
        </w:rPr>
      </w:pPr>
      <w:r>
        <w:rPr>
          <w:rFonts w:ascii="Arial" w:hAnsi="Arial" w:hint="cs"/>
          <w:rtl/>
        </w:rPr>
        <w:t>6.</w:t>
      </w:r>
      <w:r>
        <w:rPr>
          <w:rFonts w:ascii="Arial" w:hAnsi="Arial" w:hint="cs"/>
          <w:rtl/>
        </w:rPr>
        <w:tab/>
        <w:t xml:space="preserve">נטען שרק במזל לא נגרמה תוצאה הרסנית כאשר הנאשם ניסה לחבול הן במתלונן והן באחיו. נטען שמי שנוקט בעבירות מעין אלה נותן ביטוי לדרך חיים עבריינית וחייב לשלם על כך. </w:t>
      </w:r>
    </w:p>
    <w:p w14:paraId="6A74145B" w14:textId="77777777" w:rsidR="005C6760" w:rsidRDefault="005C6760" w:rsidP="005C6760">
      <w:pPr>
        <w:spacing w:line="360" w:lineRule="auto"/>
        <w:ind w:left="720"/>
        <w:jc w:val="both"/>
        <w:rPr>
          <w:rFonts w:ascii="Arial" w:hAnsi="Arial"/>
          <w:rtl/>
        </w:rPr>
      </w:pPr>
    </w:p>
    <w:p w14:paraId="023DD5E2" w14:textId="77777777" w:rsidR="005C6760" w:rsidRDefault="005C6760" w:rsidP="005C6760">
      <w:pPr>
        <w:spacing w:line="360" w:lineRule="auto"/>
        <w:ind w:left="720" w:hanging="720"/>
        <w:jc w:val="both"/>
        <w:rPr>
          <w:rFonts w:ascii="Arial" w:hAnsi="Arial"/>
          <w:rtl/>
        </w:rPr>
      </w:pPr>
      <w:r>
        <w:rPr>
          <w:rFonts w:ascii="Arial" w:hAnsi="Arial" w:hint="cs"/>
          <w:rtl/>
        </w:rPr>
        <w:t>7.</w:t>
      </w:r>
      <w:r>
        <w:rPr>
          <w:rFonts w:ascii="Arial" w:hAnsi="Arial" w:hint="cs"/>
          <w:rtl/>
        </w:rPr>
        <w:tab/>
        <w:t xml:space="preserve">נטען שחרף הכרעת הדין הנאשם אינו מרכין ראש אלא טוען שהמתלונן הותקף ונורה על ידי אדם אחר. </w:t>
      </w:r>
    </w:p>
    <w:p w14:paraId="1942E505" w14:textId="77777777" w:rsidR="005C6760" w:rsidRDefault="005C6760" w:rsidP="005C6760">
      <w:pPr>
        <w:spacing w:line="360" w:lineRule="auto"/>
        <w:ind w:left="720"/>
        <w:jc w:val="both"/>
        <w:rPr>
          <w:rFonts w:ascii="Arial" w:hAnsi="Arial"/>
          <w:rtl/>
        </w:rPr>
      </w:pPr>
    </w:p>
    <w:p w14:paraId="3658A0D9" w14:textId="77777777" w:rsidR="005C6760" w:rsidRDefault="005C6760" w:rsidP="005C6760">
      <w:pPr>
        <w:spacing w:line="360" w:lineRule="auto"/>
        <w:ind w:left="720" w:hanging="720"/>
        <w:jc w:val="both"/>
        <w:rPr>
          <w:rFonts w:ascii="Arial" w:hAnsi="Arial"/>
          <w:rtl/>
        </w:rPr>
      </w:pPr>
      <w:r>
        <w:rPr>
          <w:rFonts w:ascii="Arial" w:hAnsi="Arial" w:hint="cs"/>
          <w:rtl/>
        </w:rPr>
        <w:t>8.</w:t>
      </w:r>
      <w:r>
        <w:rPr>
          <w:rFonts w:ascii="Arial" w:hAnsi="Arial" w:hint="cs"/>
          <w:rtl/>
        </w:rPr>
        <w:tab/>
        <w:t xml:space="preserve">נטען שאמנם לנאשם זכות לנהל את משפטו עד תומו אך משהורשע לא יזכה להקלות שהן מנת חלקם של מי שמודה. </w:t>
      </w:r>
    </w:p>
    <w:p w14:paraId="011F7FE0" w14:textId="77777777" w:rsidR="005C6760" w:rsidRDefault="005C6760" w:rsidP="005C6760">
      <w:pPr>
        <w:spacing w:line="360" w:lineRule="auto"/>
        <w:ind w:left="720"/>
        <w:jc w:val="both"/>
        <w:rPr>
          <w:rFonts w:ascii="Arial" w:hAnsi="Arial"/>
          <w:rtl/>
        </w:rPr>
      </w:pPr>
    </w:p>
    <w:p w14:paraId="30795C17" w14:textId="77777777" w:rsidR="005C6760" w:rsidRDefault="005C6760" w:rsidP="005C6760">
      <w:pPr>
        <w:spacing w:line="360" w:lineRule="auto"/>
        <w:jc w:val="both"/>
        <w:rPr>
          <w:rFonts w:ascii="Arial" w:hAnsi="Arial"/>
          <w:rtl/>
        </w:rPr>
      </w:pPr>
      <w:r>
        <w:rPr>
          <w:rFonts w:ascii="Arial" w:hAnsi="Arial" w:hint="cs"/>
          <w:rtl/>
        </w:rPr>
        <w:t>9.</w:t>
      </w:r>
      <w:r>
        <w:rPr>
          <w:rFonts w:ascii="Arial" w:hAnsi="Arial" w:hint="cs"/>
          <w:rtl/>
        </w:rPr>
        <w:tab/>
        <w:t xml:space="preserve">נטען עוד שהנשק ששימש לביצוע העבירות לא נמצא או הוסגר עד היום. </w:t>
      </w:r>
    </w:p>
    <w:p w14:paraId="3ACE9C2C" w14:textId="77777777" w:rsidR="005C6760" w:rsidRDefault="005C6760" w:rsidP="005C6760">
      <w:pPr>
        <w:spacing w:line="360" w:lineRule="auto"/>
        <w:ind w:left="720"/>
        <w:jc w:val="both"/>
        <w:rPr>
          <w:rFonts w:ascii="Arial" w:hAnsi="Arial"/>
          <w:rtl/>
        </w:rPr>
      </w:pPr>
    </w:p>
    <w:p w14:paraId="234A23B5" w14:textId="77777777" w:rsidR="005C6760" w:rsidRDefault="005C6760" w:rsidP="005C6760">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בנוסף נטען שהתקיים תכנון משמעותי כולל הכנה המוקדמת של הרכב ושחלקו היחסי של הנאשם היה דומיננטי ביותר ושהיה צפוי להיגרם נזק גדול בהרבה כתוצאה מהירי הפרוע. נטען שהנסיבות שהביאו את הנאשם לביצוע העבירה- סכסוך משפחתי, מצביעות על חומרה יתרה שיש במעשיו. </w:t>
      </w:r>
    </w:p>
    <w:p w14:paraId="6E489F22" w14:textId="77777777" w:rsidR="005C6760" w:rsidRDefault="005C6760" w:rsidP="005C6760">
      <w:pPr>
        <w:spacing w:line="360" w:lineRule="auto"/>
        <w:ind w:left="720"/>
        <w:jc w:val="both"/>
        <w:rPr>
          <w:rFonts w:ascii="Arial" w:hAnsi="Arial"/>
          <w:rtl/>
        </w:rPr>
      </w:pPr>
    </w:p>
    <w:p w14:paraId="730DC705" w14:textId="77777777" w:rsidR="005C6760" w:rsidRDefault="005C6760" w:rsidP="005C6760">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נטען שהנאשם בהיותו בגיר ואדם אינטליגנט, יכל להבין את אשר הוא עשה ולהימנע מעשיית המעשים. </w:t>
      </w:r>
    </w:p>
    <w:p w14:paraId="72990BC4" w14:textId="77777777" w:rsidR="005C6760" w:rsidRDefault="005C6760" w:rsidP="005C6760">
      <w:pPr>
        <w:spacing w:line="360" w:lineRule="auto"/>
        <w:ind w:left="720"/>
        <w:jc w:val="both"/>
        <w:rPr>
          <w:rFonts w:ascii="Arial" w:hAnsi="Arial"/>
          <w:rtl/>
        </w:rPr>
      </w:pPr>
    </w:p>
    <w:p w14:paraId="74654F44" w14:textId="77777777" w:rsidR="005C6760" w:rsidRDefault="005C6760" w:rsidP="005C6760">
      <w:pPr>
        <w:spacing w:line="360" w:lineRule="auto"/>
        <w:jc w:val="both"/>
        <w:rPr>
          <w:rFonts w:ascii="Arial" w:hAnsi="Arial"/>
          <w:rtl/>
        </w:rPr>
      </w:pPr>
      <w:r>
        <w:rPr>
          <w:rFonts w:ascii="Arial" w:hAnsi="Arial" w:hint="cs"/>
          <w:rtl/>
        </w:rPr>
        <w:t>12.</w:t>
      </w:r>
      <w:r>
        <w:rPr>
          <w:rFonts w:ascii="Arial" w:hAnsi="Arial" w:hint="cs"/>
          <w:rtl/>
        </w:rPr>
        <w:tab/>
        <w:t>נטען שבמקרים דומים נגזרו עונשי מאסר משמעותיים כאשר נטען שעונשו של הנאשם כאן</w:t>
      </w:r>
      <w:r>
        <w:rPr>
          <w:rFonts w:ascii="Arial" w:hAnsi="Arial" w:hint="cs"/>
          <w:rtl/>
        </w:rPr>
        <w:tab/>
        <w:t xml:space="preserve">צריך להיות חמור יותר מאותם מקרים. </w:t>
      </w:r>
    </w:p>
    <w:p w14:paraId="6D9EE7A6" w14:textId="77777777" w:rsidR="005C6760" w:rsidRDefault="005C6760" w:rsidP="005C6760">
      <w:pPr>
        <w:spacing w:line="360" w:lineRule="auto"/>
        <w:ind w:left="720"/>
        <w:jc w:val="both"/>
        <w:rPr>
          <w:rFonts w:ascii="Arial" w:hAnsi="Arial"/>
          <w:rtl/>
        </w:rPr>
      </w:pPr>
    </w:p>
    <w:p w14:paraId="0429C691" w14:textId="77777777" w:rsidR="005C6760" w:rsidRDefault="005C6760" w:rsidP="005C6760">
      <w:pPr>
        <w:spacing w:line="360" w:lineRule="auto"/>
        <w:jc w:val="both"/>
        <w:rPr>
          <w:rFonts w:ascii="Arial" w:hAnsi="Arial"/>
          <w:rtl/>
        </w:rPr>
      </w:pPr>
      <w:r>
        <w:rPr>
          <w:rFonts w:ascii="Arial" w:hAnsi="Arial" w:hint="cs"/>
          <w:rtl/>
        </w:rPr>
        <w:t>13.</w:t>
      </w:r>
      <w:r>
        <w:rPr>
          <w:rFonts w:ascii="Arial" w:hAnsi="Arial" w:hint="cs"/>
          <w:rtl/>
        </w:rPr>
        <w:tab/>
        <w:t>אוזכרו המקרים הבאים:</w:t>
      </w:r>
    </w:p>
    <w:p w14:paraId="51B35482" w14:textId="77777777" w:rsidR="005C6760" w:rsidRDefault="005C6760" w:rsidP="005C6760">
      <w:pPr>
        <w:spacing w:line="360" w:lineRule="auto"/>
        <w:ind w:left="720"/>
        <w:jc w:val="both"/>
        <w:rPr>
          <w:rFonts w:ascii="Arial" w:hAnsi="Arial"/>
          <w:rtl/>
        </w:rPr>
      </w:pPr>
    </w:p>
    <w:p w14:paraId="67BDE307" w14:textId="77777777" w:rsidR="005C6760" w:rsidRDefault="00627CA3" w:rsidP="005C6760">
      <w:pPr>
        <w:spacing w:line="360" w:lineRule="auto"/>
        <w:ind w:left="720"/>
        <w:jc w:val="both"/>
        <w:rPr>
          <w:rFonts w:ascii="Arial" w:hAnsi="Arial"/>
          <w:rtl/>
        </w:rPr>
      </w:pPr>
      <w:hyperlink r:id="rId17" w:history="1">
        <w:r w:rsidRPr="00627CA3">
          <w:rPr>
            <w:rFonts w:ascii="Arial" w:hAnsi="Arial"/>
            <w:color w:val="0000FF"/>
            <w:u w:val="single"/>
            <w:rtl/>
          </w:rPr>
          <w:t>ע"פ 6459/17</w:t>
        </w:r>
      </w:hyperlink>
      <w:r w:rsidR="005C6760">
        <w:rPr>
          <w:rFonts w:ascii="Arial" w:hAnsi="Arial" w:hint="cs"/>
          <w:rtl/>
        </w:rPr>
        <w:t xml:space="preserve"> </w:t>
      </w:r>
      <w:r w:rsidR="005C6760">
        <w:rPr>
          <w:rFonts w:ascii="Arial" w:hAnsi="Arial" w:hint="cs"/>
          <w:b/>
          <w:bCs/>
          <w:rtl/>
        </w:rPr>
        <w:t>מדינת ישראל נ' אור קדושי</w:t>
      </w:r>
      <w:r w:rsidR="005C6760">
        <w:rPr>
          <w:rFonts w:ascii="Arial" w:hAnsi="Arial" w:hint="cs"/>
          <w:rtl/>
        </w:rPr>
        <w:t xml:space="preserve"> (27.2.2018) שם הורשעו המשיבים יחד עם אדם נוסף על פי הודאתם במסגרת הסדר טיעון כאשר יוחסו להם עבירות של קשירת קשר וחבלה בכוונה מחמירה ונשיאת נשק ועוד שיבוש מהלכי משפט. המשיבים הצטיידו בקסדה, קטנוע  ובאקדח מסוג גלוק וחלפו בסמוך למתלונן ואחד מהם ירה קליע בחזהו. על היורה הוטלו 6 שנות מאסר בפועל ועל המסיע 5 שנות מאסר בפועל. בערעור עונשם הוחמר לשמונה שנות מאסר בפועל, כל אחד. </w:t>
      </w:r>
    </w:p>
    <w:p w14:paraId="7ABB81A5" w14:textId="77777777" w:rsidR="005C6760" w:rsidRDefault="005C6760" w:rsidP="005C6760">
      <w:pPr>
        <w:spacing w:line="360" w:lineRule="auto"/>
        <w:ind w:left="720"/>
        <w:jc w:val="both"/>
        <w:rPr>
          <w:rFonts w:ascii="Arial" w:hAnsi="Arial"/>
          <w:rtl/>
        </w:rPr>
      </w:pPr>
    </w:p>
    <w:p w14:paraId="06698BAF" w14:textId="77777777" w:rsidR="005C6760" w:rsidRDefault="005C6760" w:rsidP="005C6760">
      <w:pPr>
        <w:spacing w:line="360" w:lineRule="auto"/>
        <w:ind w:left="720"/>
        <w:jc w:val="both"/>
        <w:rPr>
          <w:rFonts w:ascii="Arial" w:hAnsi="Arial"/>
          <w:rtl/>
        </w:rPr>
      </w:pPr>
      <w:r>
        <w:rPr>
          <w:rFonts w:ascii="Arial" w:hAnsi="Arial" w:hint="cs"/>
          <w:rtl/>
        </w:rPr>
        <w:t>ב</w:t>
      </w:r>
      <w:hyperlink r:id="rId18" w:history="1">
        <w:r w:rsidR="00627CA3" w:rsidRPr="00627CA3">
          <w:rPr>
            <w:rFonts w:ascii="Arial" w:hAnsi="Arial"/>
            <w:color w:val="0000FF"/>
            <w:u w:val="single"/>
            <w:rtl/>
          </w:rPr>
          <w:t>ע"פ 6101/16</w:t>
        </w:r>
      </w:hyperlink>
      <w:r>
        <w:rPr>
          <w:rFonts w:ascii="Arial" w:hAnsi="Arial" w:hint="cs"/>
          <w:rtl/>
        </w:rPr>
        <w:t xml:space="preserve"> </w:t>
      </w:r>
      <w:r>
        <w:rPr>
          <w:rFonts w:ascii="Arial" w:hAnsi="Arial" w:hint="cs"/>
          <w:b/>
          <w:bCs/>
          <w:rtl/>
        </w:rPr>
        <w:t>אחמד עווד נ' מדינת ישראל</w:t>
      </w:r>
      <w:r>
        <w:rPr>
          <w:rFonts w:ascii="Arial" w:hAnsi="Arial" w:hint="cs"/>
          <w:rtl/>
        </w:rPr>
        <w:t xml:space="preserve"> (28.6.2017) בערכאה הדיונית הורשע המערער בירי לעבר שתי רגליו של מתלונן על רקע סכסוך ביניהם כאשר המערער חשד בקשר בין רעייתו לבין המתלונן. בערכאה הדיונית הוטלו 9 שנות מאסר בפועל ובערעור הופחת העונש לשמונה שנות מאסר. </w:t>
      </w:r>
    </w:p>
    <w:p w14:paraId="1A206C0D" w14:textId="77777777" w:rsidR="005C6760" w:rsidRDefault="005C6760" w:rsidP="005C6760">
      <w:pPr>
        <w:spacing w:line="360" w:lineRule="auto"/>
        <w:ind w:left="720"/>
        <w:jc w:val="both"/>
        <w:rPr>
          <w:rFonts w:ascii="Arial" w:hAnsi="Arial"/>
          <w:rtl/>
        </w:rPr>
      </w:pPr>
    </w:p>
    <w:p w14:paraId="68DE0064" w14:textId="77777777" w:rsidR="005C6760" w:rsidRDefault="005C6760" w:rsidP="005C6760">
      <w:pPr>
        <w:spacing w:line="360" w:lineRule="auto"/>
        <w:ind w:left="720"/>
        <w:jc w:val="both"/>
        <w:rPr>
          <w:rFonts w:ascii="Arial" w:hAnsi="Arial"/>
          <w:rtl/>
        </w:rPr>
      </w:pPr>
      <w:r>
        <w:rPr>
          <w:rFonts w:ascii="Arial" w:hAnsi="Arial" w:hint="cs"/>
          <w:rtl/>
        </w:rPr>
        <w:t>ב</w:t>
      </w:r>
      <w:hyperlink r:id="rId19" w:history="1">
        <w:r w:rsidR="00627CA3" w:rsidRPr="00627CA3">
          <w:rPr>
            <w:rFonts w:ascii="Arial" w:hAnsi="Arial"/>
            <w:color w:val="0000FF"/>
            <w:u w:val="single"/>
            <w:rtl/>
          </w:rPr>
          <w:t>ע"פ 1186/15</w:t>
        </w:r>
      </w:hyperlink>
      <w:r>
        <w:rPr>
          <w:rFonts w:ascii="Arial" w:hAnsi="Arial" w:hint="cs"/>
          <w:rtl/>
        </w:rPr>
        <w:t xml:space="preserve"> </w:t>
      </w:r>
      <w:r>
        <w:rPr>
          <w:rFonts w:ascii="Arial" w:hAnsi="Arial" w:hint="cs"/>
          <w:b/>
          <w:bCs/>
          <w:rtl/>
        </w:rPr>
        <w:t>מוחמד יונס נ' מדינת ישראל</w:t>
      </w:r>
      <w:r>
        <w:rPr>
          <w:rFonts w:ascii="Arial" w:hAnsi="Arial" w:hint="cs"/>
          <w:rtl/>
        </w:rPr>
        <w:t xml:space="preserve"> (23.11.2018) ירה המערער 4 יריות לעבר המתלונן על מנת לפגוע בפלג גופו התחתון על רקע כעסו על כך שהוא אמור להעיד נגדו בהליך פלילי. המערער עשה את המעשים בהיותו במעצר בית מלא ובערכאה הדיונית הוא הורשע לאחר ניהול הליך מלא ונידון ל-11 שנות מאסר. בערעור הופחת עונשו ל-9 שנים ו-4 חודשים. </w:t>
      </w:r>
    </w:p>
    <w:p w14:paraId="27C1FC15" w14:textId="77777777" w:rsidR="005C6760" w:rsidRDefault="005C6760" w:rsidP="005C6760">
      <w:pPr>
        <w:spacing w:line="360" w:lineRule="auto"/>
        <w:ind w:left="720"/>
        <w:jc w:val="both"/>
        <w:rPr>
          <w:rFonts w:ascii="Arial" w:hAnsi="Arial"/>
          <w:rtl/>
        </w:rPr>
      </w:pPr>
    </w:p>
    <w:p w14:paraId="57F07FDA" w14:textId="77777777" w:rsidR="005C6760" w:rsidRDefault="005C6760" w:rsidP="005C6760">
      <w:pPr>
        <w:spacing w:line="360" w:lineRule="auto"/>
        <w:ind w:left="720"/>
        <w:jc w:val="both"/>
        <w:rPr>
          <w:rFonts w:ascii="Arial" w:hAnsi="Arial"/>
          <w:rtl/>
        </w:rPr>
      </w:pPr>
      <w:r>
        <w:rPr>
          <w:rFonts w:ascii="Arial" w:hAnsi="Arial" w:hint="cs"/>
          <w:rtl/>
        </w:rPr>
        <w:t>ב</w:t>
      </w:r>
      <w:hyperlink r:id="rId20" w:history="1">
        <w:r w:rsidR="00627CA3" w:rsidRPr="00627CA3">
          <w:rPr>
            <w:rFonts w:ascii="Arial" w:hAnsi="Arial"/>
            <w:color w:val="0000FF"/>
            <w:u w:val="single"/>
            <w:rtl/>
          </w:rPr>
          <w:t>ע"פ 8721/14</w:t>
        </w:r>
      </w:hyperlink>
      <w:r>
        <w:rPr>
          <w:rFonts w:ascii="Arial" w:hAnsi="Arial" w:hint="cs"/>
          <w:rtl/>
        </w:rPr>
        <w:t xml:space="preserve"> </w:t>
      </w:r>
      <w:r>
        <w:rPr>
          <w:rFonts w:ascii="Arial" w:hAnsi="Arial" w:hint="cs"/>
          <w:b/>
          <w:bCs/>
          <w:rtl/>
        </w:rPr>
        <w:t>מוחמד אבו לבן נ' מדינת ישראל</w:t>
      </w:r>
      <w:r>
        <w:rPr>
          <w:rFonts w:ascii="Arial" w:hAnsi="Arial" w:hint="cs"/>
          <w:rtl/>
        </w:rPr>
        <w:t xml:space="preserve"> (28.9.2016) בערכאה הדיונית הודה המערער בכך שהוא שלף אקדח וירה לעבר משפחת ארוסתו לשעבר מספר יריות שגרמו למתלונן פציעה ברגלו ושכנה שהייתה במקום נפגעה בגבה. הוטלו 9.5 שנות מאסר והערעור נדחה.</w:t>
      </w:r>
    </w:p>
    <w:p w14:paraId="4065C050" w14:textId="77777777" w:rsidR="005C6760" w:rsidRDefault="005C6760" w:rsidP="005C6760">
      <w:pPr>
        <w:spacing w:line="360" w:lineRule="auto"/>
        <w:ind w:left="720"/>
        <w:jc w:val="both"/>
        <w:rPr>
          <w:rFonts w:ascii="Arial" w:hAnsi="Arial"/>
          <w:rtl/>
        </w:rPr>
      </w:pPr>
    </w:p>
    <w:p w14:paraId="1A8F890B" w14:textId="77777777" w:rsidR="005C6760" w:rsidRDefault="005C6760" w:rsidP="005C6760">
      <w:pPr>
        <w:spacing w:line="360" w:lineRule="auto"/>
        <w:ind w:left="720"/>
        <w:jc w:val="both"/>
        <w:rPr>
          <w:rFonts w:ascii="Arial" w:hAnsi="Arial"/>
          <w:rtl/>
        </w:rPr>
      </w:pPr>
      <w:r>
        <w:rPr>
          <w:rFonts w:ascii="Arial" w:hAnsi="Arial" w:hint="cs"/>
          <w:rtl/>
        </w:rPr>
        <w:t>ב</w:t>
      </w:r>
      <w:hyperlink r:id="rId21" w:history="1">
        <w:r w:rsidR="00627CA3" w:rsidRPr="00627CA3">
          <w:rPr>
            <w:rFonts w:ascii="Arial" w:hAnsi="Arial"/>
            <w:color w:val="0000FF"/>
            <w:u w:val="single"/>
            <w:rtl/>
          </w:rPr>
          <w:t>ע"פ 4375/02</w:t>
        </w:r>
      </w:hyperlink>
      <w:r>
        <w:rPr>
          <w:rFonts w:ascii="Arial" w:hAnsi="Arial" w:hint="cs"/>
          <w:rtl/>
        </w:rPr>
        <w:t xml:space="preserve"> </w:t>
      </w:r>
      <w:r>
        <w:rPr>
          <w:rFonts w:ascii="Arial" w:hAnsi="Arial" w:hint="cs"/>
          <w:b/>
          <w:bCs/>
          <w:rtl/>
        </w:rPr>
        <w:t>לזר דיין נ' מדינת ישראל</w:t>
      </w:r>
      <w:r>
        <w:rPr>
          <w:rFonts w:ascii="Arial" w:hAnsi="Arial" w:hint="cs"/>
          <w:rtl/>
        </w:rPr>
        <w:t xml:space="preserve"> (09.01.2003) נאשם בעל משפחה ללא עבר פלילי עם בריאות לקויה, ירה בממונה עליו בעבודה ונידון ל-13 שנות מאסר בערכאה הדיונית. בית המשפט העליון לא התערב בתוצאה.</w:t>
      </w:r>
    </w:p>
    <w:p w14:paraId="0F892585" w14:textId="77777777" w:rsidR="005C6760" w:rsidRDefault="005C6760" w:rsidP="005C6760">
      <w:pPr>
        <w:spacing w:line="360" w:lineRule="auto"/>
        <w:ind w:left="720"/>
        <w:jc w:val="both"/>
        <w:rPr>
          <w:rFonts w:ascii="Arial" w:hAnsi="Arial"/>
          <w:rtl/>
        </w:rPr>
      </w:pPr>
    </w:p>
    <w:p w14:paraId="1B710D7A" w14:textId="77777777" w:rsidR="005C6760" w:rsidRDefault="005C6760" w:rsidP="005C6760">
      <w:pPr>
        <w:spacing w:line="360" w:lineRule="auto"/>
        <w:ind w:left="720" w:hanging="720"/>
        <w:jc w:val="both"/>
        <w:rPr>
          <w:rFonts w:ascii="Arial" w:hAnsi="Arial"/>
          <w:rtl/>
        </w:rPr>
      </w:pPr>
      <w:r>
        <w:rPr>
          <w:rFonts w:ascii="Arial" w:hAnsi="Arial" w:hint="cs"/>
          <w:rtl/>
        </w:rPr>
        <w:t>14.</w:t>
      </w:r>
      <w:r>
        <w:rPr>
          <w:rFonts w:ascii="Arial" w:hAnsi="Arial" w:hint="cs"/>
          <w:rtl/>
        </w:rPr>
        <w:tab/>
        <w:t>המאשימה טענה שמתחם העונש ההולם נמצא בין 8-12 שנות מאסר בפועל וביקשה לאור החומרה היתרה שבמעשים שהעונש יפסק ברף האמצעי. התבקש בנוסף מאסר על תנאי, קנס כספי כבד ופיצוי הולם למתלונן.</w:t>
      </w:r>
    </w:p>
    <w:p w14:paraId="5B1EB099" w14:textId="77777777" w:rsidR="005C6760" w:rsidRDefault="005C6760" w:rsidP="005C6760">
      <w:pPr>
        <w:spacing w:line="360" w:lineRule="auto"/>
        <w:ind w:left="720"/>
        <w:jc w:val="both"/>
        <w:rPr>
          <w:rFonts w:ascii="Arial" w:hAnsi="Arial"/>
          <w:rtl/>
        </w:rPr>
      </w:pPr>
    </w:p>
    <w:p w14:paraId="4369CF06" w14:textId="77777777" w:rsidR="005C6760" w:rsidRDefault="005C6760" w:rsidP="005C6760">
      <w:pPr>
        <w:rPr>
          <w:rFonts w:ascii="Arial" w:hAnsi="Arial"/>
          <w:b/>
          <w:bCs/>
          <w:u w:val="single"/>
          <w:rtl/>
        </w:rPr>
      </w:pPr>
      <w:r>
        <w:rPr>
          <w:rFonts w:ascii="Arial" w:hAnsi="Arial" w:hint="cs"/>
          <w:b/>
          <w:bCs/>
          <w:u w:val="single"/>
          <w:rtl/>
        </w:rPr>
        <w:t>עמדת הנאשם</w:t>
      </w:r>
    </w:p>
    <w:p w14:paraId="4D37F32B" w14:textId="77777777" w:rsidR="005C6760" w:rsidRDefault="005C6760" w:rsidP="005C6760">
      <w:pPr>
        <w:rPr>
          <w:rFonts w:ascii="Arial" w:hAnsi="Arial"/>
          <w:b/>
          <w:bCs/>
          <w:u w:val="single"/>
          <w:rtl/>
        </w:rPr>
      </w:pPr>
    </w:p>
    <w:p w14:paraId="7678983A" w14:textId="77777777" w:rsidR="005C6760" w:rsidRDefault="005C6760" w:rsidP="005C6760">
      <w:pPr>
        <w:spacing w:line="360" w:lineRule="auto"/>
        <w:ind w:left="720" w:hanging="720"/>
        <w:jc w:val="both"/>
        <w:rPr>
          <w:rFonts w:ascii="Arial" w:hAnsi="Arial"/>
          <w:rtl/>
        </w:rPr>
      </w:pPr>
      <w:r>
        <w:rPr>
          <w:rFonts w:ascii="Arial" w:hAnsi="Arial" w:hint="cs"/>
          <w:rtl/>
        </w:rPr>
        <w:t>15.</w:t>
      </w:r>
      <w:r>
        <w:rPr>
          <w:rFonts w:ascii="Arial" w:hAnsi="Arial" w:hint="cs"/>
          <w:rtl/>
        </w:rPr>
        <w:tab/>
        <w:t>ב"כ הנאשם ציין שהנאשם עצור מיום האירוע, 18.9.16, ועד היום. צוין שהעבירה בה הורשע למעשה היא ירי מרכב עם אחר שנוהג ברכב לעבר המתלונן ואחיו כאשר המתלונן נפגע ברגלו, כאשר לפי הטענה הפגיעה לא חמורה שבגינה אושפז 5 ימים ושלא נותרה נכות כלשהי. נטען שהנאשם ממשיך להאמין בחפותו וכי מצב זה מקשה מסיבה מובנת על הטיעון לעונש. נטען שמתחם הענישה שהוצג על ידי המאשימה מתאים לעבירות הריגה וסיוע לרצח אך אינו מתאים לעבירה נשוא כתב האישום, בוודאי לא בן אדם שהיה נורמטיבי ללא עבר פלילי עד לאירוע. נטען למתחם ענישה הולם שבין 2-4 שנות מאסר. אוזכרו המקרים הבאים:</w:t>
      </w:r>
    </w:p>
    <w:p w14:paraId="0B74E096" w14:textId="77777777" w:rsidR="005C6760" w:rsidRDefault="005C6760" w:rsidP="005C6760">
      <w:pPr>
        <w:spacing w:line="360" w:lineRule="auto"/>
        <w:ind w:left="720"/>
        <w:jc w:val="both"/>
        <w:rPr>
          <w:rFonts w:ascii="Arial" w:hAnsi="Arial"/>
          <w:rtl/>
        </w:rPr>
      </w:pPr>
    </w:p>
    <w:p w14:paraId="1DD8832E" w14:textId="77777777" w:rsidR="005C6760" w:rsidRDefault="005C6760" w:rsidP="005C6760">
      <w:pPr>
        <w:spacing w:line="360" w:lineRule="auto"/>
        <w:ind w:left="720"/>
        <w:jc w:val="both"/>
        <w:rPr>
          <w:rFonts w:ascii="Arial" w:hAnsi="Arial"/>
          <w:rtl/>
        </w:rPr>
      </w:pPr>
      <w:r>
        <w:rPr>
          <w:rFonts w:ascii="Arial" w:hAnsi="Arial" w:hint="cs"/>
          <w:rtl/>
        </w:rPr>
        <w:t>ב</w:t>
      </w:r>
      <w:hyperlink r:id="rId22" w:history="1">
        <w:r w:rsidR="00627CA3" w:rsidRPr="00627CA3">
          <w:rPr>
            <w:rFonts w:ascii="Arial" w:hAnsi="Arial"/>
            <w:color w:val="0000FF"/>
            <w:u w:val="single"/>
            <w:rtl/>
          </w:rPr>
          <w:t>ת"פ (ב"ש) 8133/00</w:t>
        </w:r>
      </w:hyperlink>
      <w:r>
        <w:rPr>
          <w:rFonts w:ascii="Arial" w:hAnsi="Arial" w:hint="cs"/>
          <w:rtl/>
        </w:rPr>
        <w:t xml:space="preserve"> </w:t>
      </w:r>
      <w:r>
        <w:rPr>
          <w:rFonts w:ascii="Arial" w:hAnsi="Arial" w:hint="cs"/>
          <w:b/>
          <w:bCs/>
          <w:rtl/>
        </w:rPr>
        <w:t>מדינת ישראל נ' אילן אלימלך</w:t>
      </w:r>
      <w:r>
        <w:rPr>
          <w:rFonts w:ascii="Arial" w:hAnsi="Arial" w:hint="cs"/>
          <w:rtl/>
        </w:rPr>
        <w:t xml:space="preserve"> (11.12.2001) הורשע נאשם לאחר שמיעת הראיות בביצוע עבירה לפי </w:t>
      </w:r>
      <w:hyperlink r:id="rId23" w:history="1">
        <w:r w:rsidR="009B29E0" w:rsidRPr="009B29E0">
          <w:rPr>
            <w:rFonts w:ascii="Arial" w:hAnsi="Arial"/>
            <w:color w:val="0000FF"/>
            <w:u w:val="single"/>
            <w:rtl/>
          </w:rPr>
          <w:t>סעיף 329(1)</w:t>
        </w:r>
      </w:hyperlink>
      <w:r>
        <w:rPr>
          <w:rFonts w:ascii="Arial" w:hAnsi="Arial" w:hint="cs"/>
          <w:rtl/>
        </w:rPr>
        <w:t xml:space="preserve"> ל</w:t>
      </w:r>
      <w:hyperlink r:id="rId24" w:history="1">
        <w:r w:rsidR="00627CA3" w:rsidRPr="00627CA3">
          <w:rPr>
            <w:rFonts w:ascii="Arial" w:hAnsi="Arial"/>
            <w:color w:val="0000FF"/>
            <w:u w:val="single"/>
            <w:rtl/>
          </w:rPr>
          <w:t>חוק העונשין</w:t>
        </w:r>
      </w:hyperlink>
      <w:r>
        <w:rPr>
          <w:rFonts w:ascii="Arial" w:hAnsi="Arial" w:hint="cs"/>
          <w:rtl/>
        </w:rPr>
        <w:t xml:space="preserve"> ונשיאת נשק לפי </w:t>
      </w:r>
      <w:hyperlink r:id="rId25" w:history="1">
        <w:r w:rsidR="009B29E0" w:rsidRPr="009B29E0">
          <w:rPr>
            <w:rFonts w:ascii="Arial" w:hAnsi="Arial"/>
            <w:color w:val="0000FF"/>
            <w:u w:val="single"/>
            <w:rtl/>
          </w:rPr>
          <w:t>סעיף 144(ב)</w:t>
        </w:r>
      </w:hyperlink>
      <w:r>
        <w:rPr>
          <w:rFonts w:ascii="Arial" w:hAnsi="Arial" w:hint="cs"/>
          <w:rtl/>
        </w:rPr>
        <w:t xml:space="preserve"> לחוק. הנאשם הסתכסך עם אחר בקשר לבחורה ששהתה במועדון והנאשם ירה ברגלו של המתלונן שניים או שלושה כדורים. הנאשם היה בעל קווים עברייניים באישיותו ובמעשיו. בית המשפט הטיל עליו מאסר בפועל למשך ארבע שנים. המתלונן החלים מפצעיו. </w:t>
      </w:r>
    </w:p>
    <w:p w14:paraId="162D4764" w14:textId="77777777" w:rsidR="005C6760" w:rsidRDefault="005C6760" w:rsidP="005C6760">
      <w:pPr>
        <w:spacing w:line="360" w:lineRule="auto"/>
        <w:ind w:left="720"/>
        <w:jc w:val="both"/>
        <w:rPr>
          <w:rFonts w:ascii="Arial" w:hAnsi="Arial"/>
          <w:rtl/>
        </w:rPr>
      </w:pPr>
    </w:p>
    <w:p w14:paraId="62188C56" w14:textId="77777777" w:rsidR="005C6760" w:rsidRDefault="005C6760" w:rsidP="005C6760">
      <w:pPr>
        <w:spacing w:line="360" w:lineRule="auto"/>
        <w:ind w:left="720"/>
        <w:jc w:val="both"/>
        <w:rPr>
          <w:rFonts w:ascii="Arial" w:hAnsi="Arial"/>
          <w:rtl/>
        </w:rPr>
      </w:pPr>
      <w:r>
        <w:rPr>
          <w:rFonts w:ascii="Arial" w:hAnsi="Arial" w:hint="cs"/>
          <w:rtl/>
        </w:rPr>
        <w:t xml:space="preserve">בת"פ (ת"א) </w:t>
      </w:r>
      <w:hyperlink r:id="rId26" w:history="1">
        <w:r w:rsidR="008A2693" w:rsidRPr="008A2693">
          <w:rPr>
            <w:rFonts w:ascii="Arial" w:hAnsi="Arial"/>
            <w:color w:val="0000FF"/>
            <w:u w:val="single"/>
            <w:rtl/>
          </w:rPr>
          <w:t xml:space="preserve">1119/02 </w:t>
        </w:r>
      </w:hyperlink>
      <w:r>
        <w:rPr>
          <w:rFonts w:ascii="Arial" w:hAnsi="Arial" w:hint="cs"/>
          <w:rtl/>
        </w:rPr>
        <w:t xml:space="preserve"> </w:t>
      </w:r>
      <w:r>
        <w:rPr>
          <w:rFonts w:ascii="Arial" w:hAnsi="Arial" w:hint="cs"/>
          <w:b/>
          <w:bCs/>
          <w:rtl/>
        </w:rPr>
        <w:t xml:space="preserve">מדינת ישראל נ' וואיל בן עודה חטיב </w:t>
      </w:r>
      <w:r>
        <w:rPr>
          <w:rFonts w:ascii="Arial" w:hAnsi="Arial" w:hint="cs"/>
          <w:rtl/>
        </w:rPr>
        <w:t>(23.1.2003) במסגרת הסדר טיעון בו הודו הנאשמים (שלושה) והם הורשעו- נאשם 1 בנשיאת נשק שלא כדין וגרימת חבלה חמורה בכוונה מחמירה; נאשם 2- גרימת חבלה חמורה בנסיבות מחמירות; נאשם 3- הריגה. שלושת הנאשמים היו אחים שפגשו באקראי בסמוך לבריכת שחייה באנשים מפלג אחר של המשפחה שהחלו להכות את הנאשם 1. במהלך הקטטה הוא שלף אקדח וירה מספר כדורים לכיוון הרכב השני ופצע שלושה מיושביו. בהמשך הגיעו אנשים נוספים והתפתחה תגרה תוך כדי שימוש בנשק קר. במסגרת התגרה נאשם  3 הכה פצועים, איים על רופאים ואחיות שהגיעו לטפל בהם ודקר אחד מיריביו וגרם למותו. על הנאשם 1 הוטלו שלוש שנות מאסר בפועל, על נאשם 2 שנתיים וחצי מאסר בפועל, ועל נאשם 3 עשר שנות מאסר בפועל. צוין שהתביעה לא העמידה לדין את הפלג השני של המשפחה בשל מעורבותו באירוע.</w:t>
      </w:r>
    </w:p>
    <w:p w14:paraId="62CCA43E" w14:textId="77777777" w:rsidR="005C6760" w:rsidRDefault="005C6760" w:rsidP="005C6760">
      <w:pPr>
        <w:spacing w:line="360" w:lineRule="auto"/>
        <w:ind w:left="720"/>
        <w:jc w:val="both"/>
        <w:rPr>
          <w:rFonts w:ascii="Arial" w:hAnsi="Arial"/>
          <w:rtl/>
        </w:rPr>
      </w:pPr>
    </w:p>
    <w:p w14:paraId="5FC5D908" w14:textId="77777777" w:rsidR="005C6760" w:rsidRDefault="005C6760" w:rsidP="005C6760">
      <w:pPr>
        <w:spacing w:line="360" w:lineRule="auto"/>
        <w:ind w:left="720"/>
        <w:jc w:val="both"/>
        <w:rPr>
          <w:rFonts w:ascii="Arial" w:hAnsi="Arial"/>
          <w:rtl/>
        </w:rPr>
      </w:pPr>
      <w:r>
        <w:rPr>
          <w:rFonts w:ascii="Arial" w:hAnsi="Arial" w:hint="cs"/>
          <w:rtl/>
        </w:rPr>
        <w:t>ב</w:t>
      </w:r>
      <w:hyperlink r:id="rId27" w:history="1">
        <w:r w:rsidR="00627CA3" w:rsidRPr="00627CA3">
          <w:rPr>
            <w:rFonts w:ascii="Arial" w:hAnsi="Arial"/>
            <w:color w:val="0000FF"/>
            <w:u w:val="single"/>
            <w:rtl/>
          </w:rPr>
          <w:t>ת"פ 33577-04-12</w:t>
        </w:r>
      </w:hyperlink>
      <w:r>
        <w:rPr>
          <w:rFonts w:ascii="Arial" w:hAnsi="Arial" w:hint="cs"/>
          <w:rtl/>
        </w:rPr>
        <w:t xml:space="preserve"> </w:t>
      </w:r>
      <w:r>
        <w:rPr>
          <w:rFonts w:ascii="Arial" w:hAnsi="Arial" w:hint="cs"/>
          <w:b/>
          <w:bCs/>
          <w:rtl/>
        </w:rPr>
        <w:t>מדינת ישראל נ' בן שטרית</w:t>
      </w:r>
      <w:r>
        <w:rPr>
          <w:rFonts w:ascii="Arial" w:hAnsi="Arial" w:hint="cs"/>
          <w:rtl/>
        </w:rPr>
        <w:t xml:space="preserve"> (31.1.2013) בגין עבירות של אחזקת נשק, נשיאת נשק, חבלה בכוונה מחמירה ויריות באזור מגורים הוטלו 4 שנות מאסר בפועל על הנאשם כאשר האירוע התרחש כאשר פגש במתלונן באזור מגורים בשעת לילה מאוחרת. המתלונן זרק כוס לכיוון הנאשם ובתגובה שלף הנאשם אקדח שהיה ברשותו שלא כדין וירה לעברו שלוש יריות כאשר רק השלישית פגעה בו ושרטה את ברכו הימנית.</w:t>
      </w:r>
    </w:p>
    <w:p w14:paraId="4423E112" w14:textId="77777777" w:rsidR="005C6760" w:rsidRDefault="005C6760" w:rsidP="005C6760">
      <w:pPr>
        <w:spacing w:line="360" w:lineRule="auto"/>
        <w:ind w:left="720"/>
        <w:jc w:val="both"/>
        <w:rPr>
          <w:rFonts w:ascii="Arial" w:hAnsi="Arial"/>
          <w:rtl/>
        </w:rPr>
      </w:pPr>
    </w:p>
    <w:p w14:paraId="2F7E4F39" w14:textId="77777777" w:rsidR="005C6760" w:rsidRDefault="005C6760" w:rsidP="005C6760">
      <w:pPr>
        <w:spacing w:line="360" w:lineRule="auto"/>
        <w:ind w:left="720"/>
        <w:jc w:val="both"/>
        <w:rPr>
          <w:rFonts w:ascii="Arial" w:hAnsi="Arial"/>
          <w:rtl/>
        </w:rPr>
      </w:pPr>
      <w:r>
        <w:rPr>
          <w:rFonts w:ascii="Arial" w:hAnsi="Arial" w:hint="cs"/>
          <w:rtl/>
        </w:rPr>
        <w:t xml:space="preserve">בת"פ 55014/08 </w:t>
      </w:r>
      <w:r>
        <w:rPr>
          <w:rFonts w:ascii="Arial" w:hAnsi="Arial" w:hint="cs"/>
          <w:b/>
          <w:bCs/>
          <w:rtl/>
        </w:rPr>
        <w:t>מדינת ישראל נ' פלוני (</w:t>
      </w:r>
      <w:r>
        <w:rPr>
          <w:rFonts w:ascii="Arial" w:hAnsi="Arial" w:hint="cs"/>
          <w:rtl/>
        </w:rPr>
        <w:t xml:space="preserve">20.10.2009) בגין עבירות של ניסיון לחבלה בכוונה מחמירה, נשיאה והובלת נשק, ירי באזור מגורים ואיומים הוטלו על נאשם קטין מאסר בפועל למשך שלושים חודשים. באותו מקרה הגיע הנאשם לגינה ציבורית בשעת לילה מאוחרת, שם בילתה חבורה של אנשים. הנאשם קילל את הנוכחים, עזב את המקום וחזר שניות לאחר מכן עם אקדח וירה שישה כדורים לעברם כשהוא מנסה לפגוע באחד מהם. </w:t>
      </w:r>
    </w:p>
    <w:p w14:paraId="1BB215D3" w14:textId="77777777" w:rsidR="005C6760" w:rsidRDefault="005C6760" w:rsidP="005C6760">
      <w:pPr>
        <w:spacing w:line="360" w:lineRule="auto"/>
        <w:ind w:left="720"/>
        <w:jc w:val="both"/>
        <w:rPr>
          <w:rFonts w:ascii="Arial" w:hAnsi="Arial"/>
          <w:rtl/>
        </w:rPr>
      </w:pPr>
    </w:p>
    <w:p w14:paraId="19FC0A82" w14:textId="77777777" w:rsidR="005C6760" w:rsidRDefault="005C6760" w:rsidP="005C6760">
      <w:pPr>
        <w:spacing w:line="360" w:lineRule="auto"/>
        <w:ind w:left="720" w:hanging="720"/>
        <w:jc w:val="both"/>
        <w:rPr>
          <w:rtl/>
        </w:rPr>
      </w:pPr>
      <w:r>
        <w:rPr>
          <w:rFonts w:hint="cs"/>
          <w:rtl/>
        </w:rPr>
        <w:t>16.</w:t>
      </w:r>
      <w:r>
        <w:rPr>
          <w:rFonts w:hint="cs"/>
          <w:rtl/>
        </w:rPr>
        <w:tab/>
        <w:t xml:space="preserve">בדבריו הנאשם במקרה דנן הצהיר שהוא מכבד את החלטת בית המשפט אך ממשיך לטעון לחפותו וטען שהוא הקורבן ולא התוקף. </w:t>
      </w:r>
    </w:p>
    <w:p w14:paraId="752BE24F" w14:textId="77777777" w:rsidR="005C6760" w:rsidRDefault="005C6760" w:rsidP="005C6760">
      <w:pPr>
        <w:spacing w:line="360" w:lineRule="auto"/>
        <w:ind w:left="720"/>
        <w:jc w:val="both"/>
        <w:rPr>
          <w:rtl/>
        </w:rPr>
      </w:pPr>
    </w:p>
    <w:p w14:paraId="2F95DCAC" w14:textId="77777777" w:rsidR="005C6760" w:rsidRDefault="005C6760" w:rsidP="005C6760">
      <w:pPr>
        <w:rPr>
          <w:b/>
          <w:bCs/>
          <w:u w:val="single"/>
          <w:rtl/>
        </w:rPr>
      </w:pPr>
      <w:r>
        <w:rPr>
          <w:rFonts w:ascii="Arial" w:hAnsi="Arial" w:hint="cs"/>
          <w:b/>
          <w:bCs/>
          <w:u w:val="single"/>
          <w:rtl/>
        </w:rPr>
        <w:t>דיון</w:t>
      </w:r>
    </w:p>
    <w:p w14:paraId="233F8296" w14:textId="77777777" w:rsidR="005C6760" w:rsidRDefault="005C6760" w:rsidP="005C6760">
      <w:pPr>
        <w:rPr>
          <w:rtl/>
        </w:rPr>
      </w:pPr>
    </w:p>
    <w:p w14:paraId="56816EA3" w14:textId="77777777" w:rsidR="005C6760" w:rsidRDefault="005C6760" w:rsidP="005C6760">
      <w:pPr>
        <w:spacing w:line="360" w:lineRule="auto"/>
        <w:ind w:left="720" w:hanging="720"/>
        <w:jc w:val="both"/>
        <w:rPr>
          <w:rtl/>
        </w:rPr>
      </w:pPr>
      <w:r>
        <w:rPr>
          <w:rFonts w:hint="cs"/>
          <w:rtl/>
        </w:rPr>
        <w:t>17.</w:t>
      </w:r>
      <w:r>
        <w:rPr>
          <w:rFonts w:hint="cs"/>
          <w:rtl/>
        </w:rPr>
        <w:tab/>
        <w:t xml:space="preserve">הערכים המוגנים שנפגעו היו שלמות הגוף ושמירה על שלום הציבור. מידת הפגיעה בהם הייתה יחסית חמורה בהתחשב בכך שבוצע ירי לאור יום מרכב חולף בשכונת מגורים לתוך חצרם של המתלונן ואחיו וגרם לפגיעה בגופו של המתלונן. </w:t>
      </w:r>
    </w:p>
    <w:p w14:paraId="3E7E3B42" w14:textId="77777777" w:rsidR="005C6760" w:rsidRDefault="005C6760" w:rsidP="005C6760">
      <w:pPr>
        <w:spacing w:line="360" w:lineRule="auto"/>
        <w:ind w:left="720"/>
        <w:jc w:val="both"/>
        <w:rPr>
          <w:rtl/>
        </w:rPr>
      </w:pPr>
    </w:p>
    <w:p w14:paraId="0BB416DD" w14:textId="77777777" w:rsidR="005C6760" w:rsidRDefault="005C6760" w:rsidP="005C6760">
      <w:pPr>
        <w:spacing w:line="360" w:lineRule="auto"/>
        <w:ind w:left="720" w:hanging="720"/>
        <w:jc w:val="both"/>
        <w:rPr>
          <w:rtl/>
        </w:rPr>
      </w:pPr>
      <w:r>
        <w:rPr>
          <w:rFonts w:hint="cs"/>
          <w:rtl/>
        </w:rPr>
        <w:t>18.</w:t>
      </w:r>
      <w:r>
        <w:rPr>
          <w:rFonts w:hint="cs"/>
          <w:rtl/>
        </w:rPr>
        <w:tab/>
        <w:t>ברור שהתקיים תכנון מוקדם, הן בכל הקשור להצטיידות בנשק והן בגיוס רכב ונהג לצורך ביצוע הירי. חלקו של הנאשם היה דומיננטי כאשר הוא זה שהיה בסכסוך עם המתלוננים והוא עצמו ביצע את הירי. היה צפוי להיגרם נזק משמעותי היות שמדובר בשימוש בנשק חם ונורו מספר כדורים שפגעו בקרבתם של המתלונן ואחיו.</w:t>
      </w:r>
    </w:p>
    <w:p w14:paraId="16DDE57E" w14:textId="77777777" w:rsidR="005C6760" w:rsidRDefault="005C6760" w:rsidP="005C6760">
      <w:pPr>
        <w:spacing w:line="360" w:lineRule="auto"/>
        <w:ind w:left="720"/>
        <w:jc w:val="both"/>
        <w:rPr>
          <w:rtl/>
        </w:rPr>
      </w:pPr>
    </w:p>
    <w:p w14:paraId="59B9D802" w14:textId="77777777" w:rsidR="005C6760" w:rsidRDefault="005C6760" w:rsidP="005C6760">
      <w:pPr>
        <w:spacing w:line="360" w:lineRule="auto"/>
        <w:ind w:left="720" w:hanging="720"/>
        <w:jc w:val="both"/>
        <w:rPr>
          <w:rtl/>
        </w:rPr>
      </w:pPr>
      <w:r>
        <w:rPr>
          <w:rFonts w:hint="cs"/>
          <w:rtl/>
        </w:rPr>
        <w:t>19.</w:t>
      </w:r>
      <w:r>
        <w:rPr>
          <w:rFonts w:hint="cs"/>
          <w:rtl/>
        </w:rPr>
        <w:tab/>
        <w:t xml:space="preserve">הסיבות שהביאו את הנאשם לביצוע העבירה היו פסולות, כאשר אין הצדקה לנטילת החוק לידיים גם אם הנאשם היה מסוכסך ואף מאוים (טענות שלא התקבלו). הנאשם היה צריך לדעת אודות הפסול במעשיו ולהימנע מהם. </w:t>
      </w:r>
    </w:p>
    <w:p w14:paraId="49A09845" w14:textId="77777777" w:rsidR="005C6760" w:rsidRDefault="005C6760" w:rsidP="005C6760">
      <w:pPr>
        <w:spacing w:line="360" w:lineRule="auto"/>
        <w:ind w:left="720"/>
        <w:jc w:val="both"/>
        <w:rPr>
          <w:rtl/>
        </w:rPr>
      </w:pPr>
    </w:p>
    <w:p w14:paraId="30FE7D36" w14:textId="77777777" w:rsidR="005C6760" w:rsidRDefault="005C6760" w:rsidP="005C6760">
      <w:pPr>
        <w:spacing w:line="360" w:lineRule="auto"/>
        <w:ind w:left="720" w:hanging="720"/>
        <w:jc w:val="both"/>
        <w:rPr>
          <w:rtl/>
        </w:rPr>
      </w:pPr>
      <w:r>
        <w:rPr>
          <w:rFonts w:hint="cs"/>
          <w:rtl/>
        </w:rPr>
        <w:t>20.</w:t>
      </w:r>
      <w:r>
        <w:rPr>
          <w:rFonts w:hint="cs"/>
          <w:rtl/>
        </w:rPr>
        <w:tab/>
        <w:t xml:space="preserve">מתוך כל האמור לעיל הגעתי למסקנה שמתחם הענישה ההולם נע בין 6-10 שנות מאסר בפועל. </w:t>
      </w:r>
    </w:p>
    <w:p w14:paraId="2E165AE8" w14:textId="77777777" w:rsidR="005C6760" w:rsidRDefault="005C6760" w:rsidP="005C6760">
      <w:pPr>
        <w:spacing w:line="360" w:lineRule="auto"/>
        <w:ind w:left="720"/>
        <w:jc w:val="both"/>
        <w:rPr>
          <w:rtl/>
        </w:rPr>
      </w:pPr>
    </w:p>
    <w:p w14:paraId="2AAA4B67" w14:textId="77777777" w:rsidR="005C6760" w:rsidRDefault="005C6760" w:rsidP="005C6760">
      <w:pPr>
        <w:spacing w:line="360" w:lineRule="auto"/>
        <w:ind w:left="720" w:hanging="720"/>
        <w:jc w:val="both"/>
        <w:rPr>
          <w:rtl/>
        </w:rPr>
      </w:pPr>
      <w:r>
        <w:rPr>
          <w:rFonts w:hint="cs"/>
          <w:rtl/>
        </w:rPr>
        <w:t>21.</w:t>
      </w:r>
      <w:r>
        <w:rPr>
          <w:rFonts w:hint="cs"/>
          <w:rtl/>
        </w:rPr>
        <w:tab/>
        <w:t xml:space="preserve">בהטלת העונש בתוך המתחם יש להתחשב בכך שהנאשם הוא נעדר עבר פלילי בעוד שהענישה תפגע בו ובמשפחתו. לעומת זאת, אין הוא נוטל אחריות גם לאחר שהוא הורשע. </w:t>
      </w:r>
    </w:p>
    <w:p w14:paraId="621B6F14" w14:textId="77777777" w:rsidR="005C6760" w:rsidRDefault="005C6760" w:rsidP="005C6760">
      <w:pPr>
        <w:spacing w:line="360" w:lineRule="auto"/>
        <w:ind w:left="720"/>
        <w:jc w:val="both"/>
        <w:rPr>
          <w:rtl/>
        </w:rPr>
      </w:pPr>
    </w:p>
    <w:p w14:paraId="5181491A" w14:textId="77777777" w:rsidR="005C6760" w:rsidRDefault="005C6760" w:rsidP="005C6760">
      <w:pPr>
        <w:spacing w:line="360" w:lineRule="auto"/>
        <w:ind w:left="720"/>
        <w:jc w:val="both"/>
        <w:rPr>
          <w:b/>
          <w:bCs/>
          <w:u w:val="single"/>
          <w:rtl/>
        </w:rPr>
      </w:pPr>
      <w:r>
        <w:rPr>
          <w:rFonts w:hint="cs"/>
          <w:b/>
          <w:bCs/>
          <w:u w:val="single"/>
          <w:rtl/>
        </w:rPr>
        <w:t>הגעתי למסקנה שיש להטיל עונשים כדלקמן:</w:t>
      </w:r>
    </w:p>
    <w:p w14:paraId="67DE476E" w14:textId="77777777" w:rsidR="005C6760" w:rsidRDefault="005C6760" w:rsidP="005C6760">
      <w:pPr>
        <w:spacing w:line="360" w:lineRule="auto"/>
        <w:ind w:left="720"/>
        <w:jc w:val="both"/>
        <w:rPr>
          <w:b/>
          <w:bCs/>
          <w:u w:val="single"/>
          <w:rtl/>
        </w:rPr>
      </w:pPr>
    </w:p>
    <w:p w14:paraId="556730C2" w14:textId="77777777" w:rsidR="005C6760" w:rsidRDefault="005C6760" w:rsidP="005C6760">
      <w:pPr>
        <w:spacing w:line="360" w:lineRule="auto"/>
        <w:ind w:left="1440" w:hanging="720"/>
        <w:jc w:val="both"/>
        <w:rPr>
          <w:rtl/>
        </w:rPr>
      </w:pPr>
      <w:r>
        <w:rPr>
          <w:rFonts w:hint="cs"/>
          <w:rtl/>
        </w:rPr>
        <w:t>א.</w:t>
      </w:r>
      <w:r>
        <w:rPr>
          <w:rFonts w:hint="cs"/>
          <w:rtl/>
        </w:rPr>
        <w:tab/>
        <w:t xml:space="preserve">7 שנות מאסר בפועל כאשר יש לנכות את התקופה בה הנאשם שוהה במעצר החל מיום 18.9.16. </w:t>
      </w:r>
    </w:p>
    <w:p w14:paraId="72C66E98" w14:textId="77777777" w:rsidR="005C6760" w:rsidRDefault="005C6760" w:rsidP="005C6760">
      <w:pPr>
        <w:spacing w:line="360" w:lineRule="auto"/>
        <w:ind w:left="720"/>
        <w:jc w:val="both"/>
        <w:rPr>
          <w:rtl/>
        </w:rPr>
      </w:pPr>
    </w:p>
    <w:p w14:paraId="418DC18B" w14:textId="77777777" w:rsidR="005C6760" w:rsidRDefault="005C6760" w:rsidP="005C6760">
      <w:pPr>
        <w:spacing w:line="360" w:lineRule="auto"/>
        <w:ind w:left="1440" w:hanging="720"/>
        <w:jc w:val="both"/>
        <w:rPr>
          <w:rtl/>
        </w:rPr>
      </w:pPr>
      <w:r>
        <w:rPr>
          <w:rFonts w:hint="cs"/>
          <w:rtl/>
        </w:rPr>
        <w:t>ב.</w:t>
      </w:r>
      <w:r>
        <w:rPr>
          <w:rFonts w:hint="cs"/>
          <w:rtl/>
        </w:rPr>
        <w:tab/>
        <w:t xml:space="preserve">מאסר על תנאי לתקופה של 24 חודשים למשך 3 שנים מיום שחרורו כאשר התנאי יופעל במידה והנאשם יעבור כל אחת מהעבירות בהן הוא הורשע. </w:t>
      </w:r>
    </w:p>
    <w:p w14:paraId="7646C2F1" w14:textId="77777777" w:rsidR="005C6760" w:rsidRDefault="005C6760" w:rsidP="005C6760">
      <w:pPr>
        <w:spacing w:line="360" w:lineRule="auto"/>
        <w:ind w:left="720"/>
        <w:jc w:val="both"/>
        <w:rPr>
          <w:rtl/>
        </w:rPr>
      </w:pPr>
    </w:p>
    <w:p w14:paraId="13B18267" w14:textId="77777777" w:rsidR="005C6760" w:rsidRDefault="005C6760" w:rsidP="005C6760">
      <w:pPr>
        <w:spacing w:line="360" w:lineRule="auto"/>
        <w:ind w:left="1440" w:hanging="720"/>
        <w:jc w:val="both"/>
        <w:rPr>
          <w:rtl/>
        </w:rPr>
      </w:pPr>
      <w:r>
        <w:rPr>
          <w:rFonts w:hint="cs"/>
          <w:rtl/>
        </w:rPr>
        <w:t>ג.</w:t>
      </w:r>
      <w:r>
        <w:rPr>
          <w:rFonts w:hint="cs"/>
          <w:rtl/>
        </w:rPr>
        <w:tab/>
        <w:t>קנס בסך 5,000 ₪ ופיצויי למתלוננים כדלקמן: לסאהר סך של 25,000 ₪ ולמחמוד סך של 5,000 ₪ לתשלום עד ליום 31.1.2019.</w:t>
      </w:r>
    </w:p>
    <w:p w14:paraId="1BE45DCC" w14:textId="77777777" w:rsidR="005C6760" w:rsidRPr="00B05847" w:rsidRDefault="005C6760" w:rsidP="005C6760">
      <w:pPr>
        <w:rPr>
          <w:rFonts w:ascii="Arial" w:hAnsi="Arial"/>
          <w:rtl/>
        </w:rPr>
      </w:pPr>
    </w:p>
    <w:p w14:paraId="22EF0D50" w14:textId="77777777" w:rsidR="005C6760" w:rsidRPr="00627CA3" w:rsidRDefault="00627CA3" w:rsidP="005C6760">
      <w:pPr>
        <w:rPr>
          <w:color w:val="FFFFFF"/>
          <w:sz w:val="2"/>
          <w:szCs w:val="2"/>
          <w:rtl/>
        </w:rPr>
      </w:pPr>
      <w:r w:rsidRPr="00627CA3">
        <w:rPr>
          <w:color w:val="FFFFFF"/>
          <w:sz w:val="2"/>
          <w:szCs w:val="2"/>
          <w:rtl/>
        </w:rPr>
        <w:t>5129371</w:t>
      </w:r>
    </w:p>
    <w:p w14:paraId="47DE845D" w14:textId="77777777" w:rsidR="005C6760" w:rsidRDefault="00627CA3" w:rsidP="005C6760">
      <w:pPr>
        <w:rPr>
          <w:rFonts w:cs="FrankRuehl"/>
          <w:sz w:val="28"/>
          <w:szCs w:val="28"/>
          <w:rtl/>
        </w:rPr>
      </w:pPr>
      <w:r w:rsidRPr="00627CA3">
        <w:rPr>
          <w:rFonts w:ascii="Arial" w:hAnsi="Arial"/>
          <w:color w:val="FFFFFF"/>
          <w:sz w:val="2"/>
          <w:szCs w:val="2"/>
          <w:rtl/>
        </w:rPr>
        <w:t>54678313</w:t>
      </w:r>
      <w:r>
        <w:rPr>
          <w:rFonts w:ascii="Arial" w:hAnsi="Arial"/>
          <w:rtl/>
        </w:rPr>
        <w:t xml:space="preserve">ניתן היום,  ט"ז סיוון תשע"ח, 30 מאי 2018, בנוכחות הצדדים. </w:t>
      </w:r>
    </w:p>
    <w:p w14:paraId="3E88B682" w14:textId="77777777" w:rsidR="005C6760" w:rsidRDefault="005C6760" w:rsidP="005C676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DCE6116" w14:textId="77777777" w:rsidR="005C6760" w:rsidRDefault="005C6760" w:rsidP="005C6760">
      <w:pPr>
        <w:jc w:val="center"/>
        <w:rPr>
          <w:rFonts w:ascii="Arial" w:hAnsi="Arial" w:cs="FrankRuehl"/>
          <w:sz w:val="28"/>
          <w:szCs w:val="28"/>
          <w:rtl/>
        </w:rPr>
      </w:pPr>
    </w:p>
    <w:p w14:paraId="116F43E4" w14:textId="77777777" w:rsidR="005C6760" w:rsidRDefault="005C6760" w:rsidP="005C6760">
      <w:pPr>
        <w:rPr>
          <w:rFonts w:cs="FrankRuehl"/>
          <w:sz w:val="28"/>
          <w:szCs w:val="28"/>
          <w:rtl/>
        </w:rPr>
      </w:pPr>
    </w:p>
    <w:p w14:paraId="748C2C76" w14:textId="77777777" w:rsidR="005C6760" w:rsidRDefault="005C6760" w:rsidP="005C6760">
      <w:pPr>
        <w:pStyle w:val="a3"/>
        <w:jc w:val="center"/>
        <w:rPr>
          <w:rtl/>
        </w:rPr>
      </w:pPr>
    </w:p>
    <w:p w14:paraId="40929245" w14:textId="77777777" w:rsidR="00EB7D65" w:rsidRPr="00627CA3" w:rsidRDefault="00EB7D65" w:rsidP="00627CA3">
      <w:pPr>
        <w:keepNext/>
        <w:rPr>
          <w:rFonts w:ascii="David" w:hAnsi="David"/>
          <w:color w:val="000000"/>
          <w:sz w:val="22"/>
          <w:szCs w:val="22"/>
          <w:rtl/>
        </w:rPr>
      </w:pPr>
    </w:p>
    <w:p w14:paraId="52022E04" w14:textId="77777777" w:rsidR="00627CA3" w:rsidRPr="00627CA3" w:rsidRDefault="00627CA3" w:rsidP="00627CA3">
      <w:pPr>
        <w:keepNext/>
        <w:rPr>
          <w:rFonts w:ascii="David" w:hAnsi="David"/>
          <w:color w:val="000000"/>
          <w:sz w:val="22"/>
          <w:szCs w:val="22"/>
          <w:rtl/>
        </w:rPr>
      </w:pPr>
      <w:r w:rsidRPr="00627CA3">
        <w:rPr>
          <w:rFonts w:ascii="David" w:hAnsi="David"/>
          <w:color w:val="000000"/>
          <w:sz w:val="22"/>
          <w:szCs w:val="22"/>
          <w:rtl/>
        </w:rPr>
        <w:t>דניאל פיש 54678313</w:t>
      </w:r>
    </w:p>
    <w:p w14:paraId="38AC3E33" w14:textId="77777777" w:rsidR="00627CA3" w:rsidRDefault="00627CA3" w:rsidP="00627CA3">
      <w:r w:rsidRPr="00627CA3">
        <w:rPr>
          <w:color w:val="000000"/>
          <w:rtl/>
        </w:rPr>
        <w:t>נוסח מסמך זה כפוף לשינויי ניסוח ועריכה</w:t>
      </w:r>
    </w:p>
    <w:p w14:paraId="42DAEFD6" w14:textId="77777777" w:rsidR="00627CA3" w:rsidRDefault="00627CA3" w:rsidP="00627CA3">
      <w:pPr>
        <w:rPr>
          <w:rtl/>
        </w:rPr>
      </w:pPr>
    </w:p>
    <w:p w14:paraId="642FBF41" w14:textId="77777777" w:rsidR="00627CA3" w:rsidRDefault="00627CA3" w:rsidP="00627CA3">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6C90AA4" w14:textId="77777777" w:rsidR="00627CA3" w:rsidRPr="00627CA3" w:rsidRDefault="00627CA3" w:rsidP="00627CA3">
      <w:pPr>
        <w:jc w:val="center"/>
        <w:rPr>
          <w:color w:val="0000FF"/>
          <w:u w:val="single"/>
        </w:rPr>
      </w:pPr>
    </w:p>
    <w:sectPr w:rsidR="00627CA3" w:rsidRPr="00627CA3" w:rsidSect="00627CA3">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BECF" w14:textId="77777777" w:rsidR="00177641" w:rsidRDefault="00177641" w:rsidP="00C61B36">
      <w:r>
        <w:separator/>
      </w:r>
    </w:p>
  </w:endnote>
  <w:endnote w:type="continuationSeparator" w:id="0">
    <w:p w14:paraId="05C45BEA" w14:textId="77777777" w:rsidR="00177641" w:rsidRDefault="00177641" w:rsidP="00C61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B858" w14:textId="77777777" w:rsidR="00627CA3" w:rsidRDefault="00627CA3" w:rsidP="00627CA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BDD3F3" w14:textId="77777777" w:rsidR="00654456" w:rsidRPr="00627CA3" w:rsidRDefault="00627CA3" w:rsidP="00627CA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25A2" w14:textId="77777777" w:rsidR="00627CA3" w:rsidRDefault="00627CA3" w:rsidP="00627CA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351A">
      <w:rPr>
        <w:rFonts w:ascii="FrankRuehl" w:hAnsi="FrankRuehl" w:cs="FrankRuehl"/>
        <w:noProof/>
        <w:rtl/>
      </w:rPr>
      <w:t>1</w:t>
    </w:r>
    <w:r>
      <w:rPr>
        <w:rFonts w:ascii="FrankRuehl" w:hAnsi="FrankRuehl" w:cs="FrankRuehl"/>
        <w:rtl/>
      </w:rPr>
      <w:fldChar w:fldCharType="end"/>
    </w:r>
  </w:p>
  <w:p w14:paraId="7BC36721" w14:textId="77777777" w:rsidR="00654456" w:rsidRPr="00627CA3" w:rsidRDefault="00627CA3" w:rsidP="00627CA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682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2E56" w14:textId="77777777" w:rsidR="00177641" w:rsidRDefault="00177641" w:rsidP="00C61B36">
      <w:r>
        <w:separator/>
      </w:r>
    </w:p>
  </w:footnote>
  <w:footnote w:type="continuationSeparator" w:id="0">
    <w:p w14:paraId="17632B1B" w14:textId="77777777" w:rsidR="00177641" w:rsidRDefault="00177641" w:rsidP="00C61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7CA5" w14:textId="77777777" w:rsidR="00627CA3" w:rsidRPr="00627CA3" w:rsidRDefault="00627CA3" w:rsidP="00627CA3">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(חי') 16420-10-16</w:t>
    </w:r>
    <w:r>
      <w:rPr>
        <w:rFonts w:ascii="David" w:hAnsi="David"/>
        <w:color w:val="000000"/>
        <w:sz w:val="22"/>
        <w:szCs w:val="22"/>
        <w:rtl/>
      </w:rPr>
      <w:tab/>
      <w:t xml:space="preserve"> מדינת ישראל נ' מוהנד אגאבריה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97DD" w14:textId="77777777" w:rsidR="00627CA3" w:rsidRPr="00627CA3" w:rsidRDefault="00627CA3" w:rsidP="00627CA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16420-10-16</w:t>
    </w:r>
    <w:r>
      <w:rPr>
        <w:rFonts w:ascii="David" w:hAnsi="David"/>
        <w:color w:val="000000"/>
        <w:sz w:val="22"/>
        <w:szCs w:val="22"/>
        <w:rtl/>
      </w:rPr>
      <w:tab/>
      <w:t xml:space="preserve"> מדינת ישראל נ' מוהנד אגאבריה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6760"/>
    <w:rsid w:val="00074EF6"/>
    <w:rsid w:val="00177641"/>
    <w:rsid w:val="002C51FA"/>
    <w:rsid w:val="005C6760"/>
    <w:rsid w:val="00627CA3"/>
    <w:rsid w:val="00654456"/>
    <w:rsid w:val="0080351A"/>
    <w:rsid w:val="008A2693"/>
    <w:rsid w:val="009B29E0"/>
    <w:rsid w:val="00BB0276"/>
    <w:rsid w:val="00C61B36"/>
    <w:rsid w:val="00E13AB4"/>
    <w:rsid w:val="00E23966"/>
    <w:rsid w:val="00EB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B69FF6A"/>
  <w15:chartTrackingRefBased/>
  <w15:docId w15:val="{EC82ABA7-7A5E-4731-9A2F-327D6752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676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6760"/>
    <w:pPr>
      <w:tabs>
        <w:tab w:val="center" w:pos="4153"/>
        <w:tab w:val="right" w:pos="8306"/>
      </w:tabs>
    </w:pPr>
  </w:style>
  <w:style w:type="character" w:customStyle="1" w:styleId="a4">
    <w:name w:val="כותרת עליונה תו"/>
    <w:link w:val="a3"/>
    <w:rsid w:val="005C6760"/>
    <w:rPr>
      <w:rFonts w:ascii="Times New Roman" w:eastAsia="Times New Roman" w:hAnsi="Times New Roman" w:cs="David"/>
      <w:sz w:val="24"/>
      <w:szCs w:val="24"/>
    </w:rPr>
  </w:style>
  <w:style w:type="paragraph" w:styleId="a5">
    <w:name w:val="footer"/>
    <w:basedOn w:val="a"/>
    <w:link w:val="a6"/>
    <w:rsid w:val="005C6760"/>
    <w:pPr>
      <w:tabs>
        <w:tab w:val="center" w:pos="4153"/>
        <w:tab w:val="right" w:pos="8306"/>
      </w:tabs>
    </w:pPr>
  </w:style>
  <w:style w:type="character" w:customStyle="1" w:styleId="a6">
    <w:name w:val="כותרת תחתונה תו"/>
    <w:link w:val="a5"/>
    <w:rsid w:val="005C6760"/>
    <w:rPr>
      <w:rFonts w:ascii="Times New Roman" w:eastAsia="Times New Roman" w:hAnsi="Times New Roman" w:cs="David"/>
      <w:sz w:val="24"/>
      <w:szCs w:val="24"/>
    </w:rPr>
  </w:style>
  <w:style w:type="table" w:styleId="a7">
    <w:name w:val="Table Grid"/>
    <w:basedOn w:val="a1"/>
    <w:rsid w:val="005C676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6760"/>
  </w:style>
  <w:style w:type="character" w:styleId="Hyperlink">
    <w:name w:val="Hyperlink"/>
    <w:rsid w:val="00627CA3"/>
    <w:rPr>
      <w:color w:val="0563C1"/>
      <w:u w:val="single"/>
    </w:rPr>
  </w:style>
  <w:style w:type="character" w:styleId="a9">
    <w:name w:val="Unresolved Mention"/>
    <w:uiPriority w:val="99"/>
    <w:semiHidden/>
    <w:unhideWhenUsed/>
    <w:rsid w:val="008A2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1476990" TargetMode="External"/><Relationship Id="rId26" Type="http://schemas.openxmlformats.org/officeDocument/2006/relationships/hyperlink" Target="http://www.nevo.co.il/case/262007" TargetMode="External"/><Relationship Id="rId3" Type="http://schemas.openxmlformats.org/officeDocument/2006/relationships/webSettings" Target="webSettings.xml"/><Relationship Id="rId21" Type="http://schemas.openxmlformats.org/officeDocument/2006/relationships/hyperlink" Target="http://www.nevo.co.il/case/5953678" TargetMode="External"/><Relationship Id="rId34" Type="http://schemas.openxmlformats.org/officeDocument/2006/relationships/theme" Target="theme/theme1.xml"/><Relationship Id="rId7" Type="http://schemas.openxmlformats.org/officeDocument/2006/relationships/hyperlink" Target="http://www.nevo.co.il/law/70301/144.a" TargetMode="External"/><Relationship Id="rId12" Type="http://schemas.openxmlformats.org/officeDocument/2006/relationships/hyperlink" Target="http://www.nevo.co.il/law/70301/329.a.1.;329.a.2" TargetMode="External"/><Relationship Id="rId17" Type="http://schemas.openxmlformats.org/officeDocument/2006/relationships/hyperlink" Target="http://www.nevo.co.il/case/22919929" TargetMode="External"/><Relationship Id="rId25" Type="http://schemas.openxmlformats.org/officeDocument/2006/relationships/hyperlink" Target="http://www.nevo.co.il/law/70301/144.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753941" TargetMode="External"/><Relationship Id="rId20" Type="http://schemas.openxmlformats.org/officeDocument/2006/relationships/hyperlink" Target="http://www.nevo.co.il/case/18749756"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2"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329.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29.a.1." TargetMode="External"/><Relationship Id="rId19" Type="http://schemas.openxmlformats.org/officeDocument/2006/relationships/hyperlink" Target="http://www.nevo.co.il/case/20032343"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29.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191305" TargetMode="External"/><Relationship Id="rId27" Type="http://schemas.openxmlformats.org/officeDocument/2006/relationships/hyperlink" Target="http://www.nevo.co.il/case/4243878" TargetMode="External"/><Relationship Id="rId30" Type="http://schemas.openxmlformats.org/officeDocument/2006/relationships/header" Target="header2.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1555</Words>
  <Characters>7778</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9315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3145842</vt:i4>
      </vt:variant>
      <vt:variant>
        <vt:i4>63</vt:i4>
      </vt:variant>
      <vt:variant>
        <vt:i4>0</vt:i4>
      </vt:variant>
      <vt:variant>
        <vt:i4>5</vt:i4>
      </vt:variant>
      <vt:variant>
        <vt:lpwstr>http://www.nevo.co.il/case/4243878</vt:lpwstr>
      </vt:variant>
      <vt:variant>
        <vt:lpwstr/>
      </vt:variant>
      <vt:variant>
        <vt:i4>66</vt:i4>
      </vt:variant>
      <vt:variant>
        <vt:i4>60</vt:i4>
      </vt:variant>
      <vt:variant>
        <vt:i4>0</vt:i4>
      </vt:variant>
      <vt:variant>
        <vt:i4>5</vt:i4>
      </vt:variant>
      <vt:variant>
        <vt:lpwstr>http://www.nevo.co.il/case/262007</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4784223</vt:i4>
      </vt:variant>
      <vt:variant>
        <vt:i4>51</vt:i4>
      </vt:variant>
      <vt:variant>
        <vt:i4>0</vt:i4>
      </vt:variant>
      <vt:variant>
        <vt:i4>5</vt:i4>
      </vt:variant>
      <vt:variant>
        <vt:lpwstr>http://www.nevo.co.il/law/70301/329.1</vt:lpwstr>
      </vt:variant>
      <vt:variant>
        <vt:lpwstr/>
      </vt:variant>
      <vt:variant>
        <vt:i4>78</vt:i4>
      </vt:variant>
      <vt:variant>
        <vt:i4>48</vt:i4>
      </vt:variant>
      <vt:variant>
        <vt:i4>0</vt:i4>
      </vt:variant>
      <vt:variant>
        <vt:i4>5</vt:i4>
      </vt:variant>
      <vt:variant>
        <vt:lpwstr>http://www.nevo.co.il/case/191305</vt:lpwstr>
      </vt:variant>
      <vt:variant>
        <vt:lpwstr/>
      </vt:variant>
      <vt:variant>
        <vt:i4>4063353</vt:i4>
      </vt:variant>
      <vt:variant>
        <vt:i4>45</vt:i4>
      </vt:variant>
      <vt:variant>
        <vt:i4>0</vt:i4>
      </vt:variant>
      <vt:variant>
        <vt:i4>5</vt:i4>
      </vt:variant>
      <vt:variant>
        <vt:lpwstr>http://www.nevo.co.il/case/5953678</vt:lpwstr>
      </vt:variant>
      <vt:variant>
        <vt:lpwstr/>
      </vt:variant>
      <vt:variant>
        <vt:i4>3801215</vt:i4>
      </vt:variant>
      <vt:variant>
        <vt:i4>42</vt:i4>
      </vt:variant>
      <vt:variant>
        <vt:i4>0</vt:i4>
      </vt:variant>
      <vt:variant>
        <vt:i4>5</vt:i4>
      </vt:variant>
      <vt:variant>
        <vt:lpwstr>http://www.nevo.co.il/case/18749756</vt:lpwstr>
      </vt:variant>
      <vt:variant>
        <vt:lpwstr/>
      </vt:variant>
      <vt:variant>
        <vt:i4>3407988</vt:i4>
      </vt:variant>
      <vt:variant>
        <vt:i4>39</vt:i4>
      </vt:variant>
      <vt:variant>
        <vt:i4>0</vt:i4>
      </vt:variant>
      <vt:variant>
        <vt:i4>5</vt:i4>
      </vt:variant>
      <vt:variant>
        <vt:lpwstr>http://www.nevo.co.il/case/20032343</vt:lpwstr>
      </vt:variant>
      <vt:variant>
        <vt:lpwstr/>
      </vt:variant>
      <vt:variant>
        <vt:i4>3735675</vt:i4>
      </vt:variant>
      <vt:variant>
        <vt:i4>36</vt:i4>
      </vt:variant>
      <vt:variant>
        <vt:i4>0</vt:i4>
      </vt:variant>
      <vt:variant>
        <vt:i4>5</vt:i4>
      </vt:variant>
      <vt:variant>
        <vt:lpwstr>http://www.nevo.co.il/case/21476990</vt:lpwstr>
      </vt:variant>
      <vt:variant>
        <vt:lpwstr/>
      </vt:variant>
      <vt:variant>
        <vt:i4>3145854</vt:i4>
      </vt:variant>
      <vt:variant>
        <vt:i4>33</vt:i4>
      </vt:variant>
      <vt:variant>
        <vt:i4>0</vt:i4>
      </vt:variant>
      <vt:variant>
        <vt:i4>5</vt:i4>
      </vt:variant>
      <vt:variant>
        <vt:lpwstr>http://www.nevo.co.il/case/22919929</vt:lpwstr>
      </vt:variant>
      <vt:variant>
        <vt:lpwstr/>
      </vt:variant>
      <vt:variant>
        <vt:i4>3670132</vt:i4>
      </vt:variant>
      <vt:variant>
        <vt:i4>30</vt:i4>
      </vt:variant>
      <vt:variant>
        <vt:i4>0</vt:i4>
      </vt:variant>
      <vt:variant>
        <vt:i4>5</vt:i4>
      </vt:variant>
      <vt:variant>
        <vt:lpwstr>http://www.nevo.co.il/case/5753941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1048582</vt:i4>
      </vt:variant>
      <vt:variant>
        <vt:i4>18</vt:i4>
      </vt:variant>
      <vt:variant>
        <vt:i4>0</vt:i4>
      </vt:variant>
      <vt:variant>
        <vt:i4>5</vt:i4>
      </vt:variant>
      <vt:variant>
        <vt:lpwstr>http://www.nevo.co.il/law/70301/329.a.1.;329.a.2</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4784143</vt:i4>
      </vt:variant>
      <vt:variant>
        <vt:i4>12</vt:i4>
      </vt:variant>
      <vt:variant>
        <vt:i4>0</vt:i4>
      </vt:variant>
      <vt:variant>
        <vt:i4>5</vt:i4>
      </vt:variant>
      <vt:variant>
        <vt:lpwstr>http://www.nevo.co.il/law/70301/329.a.1.</vt:lpwstr>
      </vt:variant>
      <vt:variant>
        <vt:lpwstr/>
      </vt:variant>
      <vt:variant>
        <vt:i4>4784223</vt:i4>
      </vt:variant>
      <vt:variant>
        <vt:i4>9</vt:i4>
      </vt:variant>
      <vt:variant>
        <vt:i4>0</vt:i4>
      </vt:variant>
      <vt:variant>
        <vt:i4>5</vt:i4>
      </vt:variant>
      <vt:variant>
        <vt:lpwstr>http://www.nevo.co.il/law/70301/329.1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2023-12-07T11:43:00Z</dcterms:created>
  <dcterms:modified xsi:type="dcterms:W3CDTF">2023-12-07T11:43:00Z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16420</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מוהנד אגאבריה</vt:lpwstr>
  </property>
  <property fmtid="{D5CDD505-2E9C-101B-9397-08002B2CF9AE}" pid="10" name="LAWYER">
    <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20180530</vt:lpwstr>
  </property>
  <property fmtid="{D5CDD505-2E9C-101B-9397-08002B2CF9AE}" pid="14" name="TYPE_N_DATE">
    <vt:lpwstr>39020180530</vt:lpwstr>
  </property>
  <property fmtid="{D5CDD505-2E9C-101B-9397-08002B2CF9AE}" pid="15" name="WORDNUMPAGES">
    <vt:lpwstr>6</vt:lpwstr>
  </property>
  <property fmtid="{D5CDD505-2E9C-101B-9397-08002B2CF9AE}" pid="16" name="TYPE_ABS_DATE">
    <vt:lpwstr>390020180530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5753941;22919929;21476990;20032343;18749756;5953678;191305;262007;4243878</vt:lpwstr>
  </property>
  <property fmtid="{D5CDD505-2E9C-101B-9397-08002B2CF9AE}" pid="36" name="LAWLISTTMP1">
    <vt:lpwstr>70301/329.a.1;329.a.2;144.a;144.b:2;329.1</vt:lpwstr>
  </property>
</Properties>
</file>