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6"/>
        <w:gridCol w:w="3675"/>
      </w:tblGrid>
      <w:tr w:rsidR="0091491C" w:rsidRPr="00352532" w14:paraId="189B6AA6" w14:textId="77777777" w:rsidTr="00C14688">
        <w:trPr>
          <w:trHeight w:hRule="exact" w:val="567"/>
          <w:jc w:val="center"/>
        </w:trPr>
        <w:tc>
          <w:tcPr>
            <w:tcW w:w="8721" w:type="dxa"/>
            <w:gridSpan w:val="2"/>
          </w:tcPr>
          <w:p w14:paraId="0D7D3D0A" w14:textId="77777777" w:rsidR="0091491C" w:rsidRPr="00C14688" w:rsidRDefault="0091491C" w:rsidP="00AA6466">
            <w:pPr>
              <w:pStyle w:val="a3"/>
              <w:jc w:val="center"/>
              <w:rPr>
                <w:rFonts w:ascii="Tahoma" w:hAnsi="Tahoma" w:cs="Tahoma"/>
                <w:color w:val="000080"/>
                <w:rtl/>
              </w:rPr>
            </w:pPr>
            <w:bookmarkStart w:id="0" w:name="LastJudge"/>
            <w:r w:rsidRPr="00C14688">
              <w:rPr>
                <w:rFonts w:ascii="Tahoma" w:hAnsi="Tahoma" w:cs="Tahoma"/>
                <w:b/>
                <w:bCs/>
                <w:color w:val="000080"/>
                <w:rtl/>
              </w:rPr>
              <w:t>בית המשפט המחוזי בירושלים</w:t>
            </w:r>
          </w:p>
        </w:tc>
      </w:tr>
      <w:tr w:rsidR="0091491C" w:rsidRPr="00352532" w14:paraId="709CFB24" w14:textId="77777777" w:rsidTr="00C14688">
        <w:trPr>
          <w:trHeight w:val="337"/>
          <w:jc w:val="center"/>
        </w:trPr>
        <w:tc>
          <w:tcPr>
            <w:tcW w:w="5046" w:type="dxa"/>
          </w:tcPr>
          <w:p w14:paraId="1D5716C2" w14:textId="77777777" w:rsidR="0091491C" w:rsidRPr="00352532" w:rsidRDefault="0091491C" w:rsidP="00AA6466">
            <w:pPr>
              <w:rPr>
                <w:rFonts w:ascii="Tahoma" w:hAnsi="Tahoma" w:cs="Tahoma"/>
                <w:b/>
                <w:bCs/>
                <w:color w:val="000080"/>
                <w:rtl/>
              </w:rPr>
            </w:pPr>
            <w:r w:rsidRPr="00352532">
              <w:rPr>
                <w:rFonts w:ascii="Tahoma" w:hAnsi="Tahoma" w:cs="Tahoma" w:hint="cs"/>
                <w:b/>
                <w:bCs/>
                <w:color w:val="000080"/>
                <w:rtl/>
              </w:rPr>
              <w:t>לפני כב' השופט רפי כרמל</w:t>
            </w:r>
          </w:p>
          <w:p w14:paraId="3110C9A6" w14:textId="77777777" w:rsidR="0091491C" w:rsidRPr="00352532" w:rsidRDefault="0091491C" w:rsidP="00AA6466">
            <w:pPr>
              <w:pStyle w:val="a3"/>
              <w:rPr>
                <w:rFonts w:ascii="Tahoma" w:hAnsi="Tahoma" w:cs="Tahoma"/>
                <w:b/>
                <w:bCs/>
                <w:color w:val="000080"/>
                <w:sz w:val="12"/>
                <w:szCs w:val="12"/>
                <w:rtl/>
              </w:rPr>
            </w:pPr>
          </w:p>
        </w:tc>
        <w:tc>
          <w:tcPr>
            <w:tcW w:w="3675" w:type="dxa"/>
          </w:tcPr>
          <w:p w14:paraId="6C14AF7B" w14:textId="77777777" w:rsidR="0091491C" w:rsidRPr="00C14688" w:rsidRDefault="0091491C" w:rsidP="00AA6466">
            <w:pPr>
              <w:pStyle w:val="a3"/>
              <w:jc w:val="right"/>
              <w:rPr>
                <w:rFonts w:ascii="Tahoma" w:hAnsi="Tahoma" w:cs="Tahoma"/>
                <w:b/>
                <w:bCs/>
                <w:color w:val="000080"/>
                <w:rtl/>
              </w:rPr>
            </w:pPr>
            <w:r w:rsidRPr="00C14688">
              <w:rPr>
                <w:rFonts w:ascii="Tahoma" w:hAnsi="Tahoma" w:cs="Tahoma"/>
                <w:b/>
                <w:bCs/>
                <w:color w:val="000080"/>
                <w:rtl/>
              </w:rPr>
              <w:t>ת"פ</w:t>
            </w:r>
            <w:r w:rsidRPr="00C14688">
              <w:rPr>
                <w:rFonts w:ascii="Tahoma" w:hAnsi="Tahoma" w:cs="Tahoma" w:hint="cs"/>
                <w:b/>
                <w:bCs/>
                <w:color w:val="000080"/>
                <w:rtl/>
              </w:rPr>
              <w:t xml:space="preserve"> </w:t>
            </w:r>
            <w:r w:rsidRPr="00C14688">
              <w:rPr>
                <w:rFonts w:ascii="Tahoma" w:hAnsi="Tahoma" w:cs="Tahoma"/>
                <w:b/>
                <w:bCs/>
                <w:color w:val="000080"/>
                <w:rtl/>
              </w:rPr>
              <w:t>31661-09-17</w:t>
            </w:r>
          </w:p>
        </w:tc>
      </w:tr>
    </w:tbl>
    <w:p w14:paraId="515B7EDA" w14:textId="77777777" w:rsidR="0091491C" w:rsidRPr="00352532" w:rsidRDefault="0091491C" w:rsidP="0091491C">
      <w:pPr>
        <w:pStyle w:val="a3"/>
        <w:rPr>
          <w:sz w:val="68"/>
          <w:szCs w:val="68"/>
          <w:rtl/>
        </w:rPr>
      </w:pPr>
      <w:r w:rsidRPr="00352532">
        <w:rPr>
          <w:rFonts w:hint="cs"/>
          <w:rtl/>
        </w:rPr>
        <w:t xml:space="preserve"> </w:t>
      </w:r>
    </w:p>
    <w:p w14:paraId="3E1E44E4" w14:textId="77777777" w:rsidR="0091491C" w:rsidRPr="00352532" w:rsidRDefault="0091491C" w:rsidP="0091491C">
      <w:pPr>
        <w:rPr>
          <w:rtl/>
        </w:rPr>
      </w:pPr>
    </w:p>
    <w:tbl>
      <w:tblPr>
        <w:bidiVisual/>
        <w:tblW w:w="8802" w:type="dxa"/>
        <w:tblInd w:w="-28" w:type="dxa"/>
        <w:tblLook w:val="01E0" w:firstRow="1" w:lastRow="1" w:firstColumn="1" w:lastColumn="1" w:noHBand="0" w:noVBand="0"/>
      </w:tblPr>
      <w:tblGrid>
        <w:gridCol w:w="2880"/>
        <w:gridCol w:w="5922"/>
      </w:tblGrid>
      <w:tr w:rsidR="0091491C" w:rsidRPr="00352532" w14:paraId="255B33CA" w14:textId="77777777" w:rsidTr="00AA6466">
        <w:tc>
          <w:tcPr>
            <w:tcW w:w="2880" w:type="dxa"/>
            <w:shd w:val="clear" w:color="auto" w:fill="auto"/>
          </w:tcPr>
          <w:p w14:paraId="2A45B48C" w14:textId="77777777" w:rsidR="0091491C" w:rsidRPr="00352532" w:rsidRDefault="0091491C" w:rsidP="00C14688">
            <w:pPr>
              <w:spacing w:before="120" w:after="120" w:line="240" w:lineRule="exact"/>
              <w:ind w:left="26"/>
              <w:rPr>
                <w:b/>
                <w:bCs/>
                <w:sz w:val="28"/>
                <w:szCs w:val="28"/>
              </w:rPr>
            </w:pPr>
            <w:bookmarkStart w:id="1" w:name="FirstAppellant"/>
            <w:r w:rsidRPr="00352532">
              <w:rPr>
                <w:rFonts w:hint="cs"/>
                <w:b/>
                <w:bCs/>
                <w:sz w:val="28"/>
                <w:szCs w:val="28"/>
                <w:rtl/>
              </w:rPr>
              <w:t>המאשימה</w:t>
            </w:r>
          </w:p>
        </w:tc>
        <w:tc>
          <w:tcPr>
            <w:tcW w:w="5922" w:type="dxa"/>
            <w:shd w:val="clear" w:color="auto" w:fill="auto"/>
          </w:tcPr>
          <w:p w14:paraId="4F2C30E8" w14:textId="77777777" w:rsidR="0091491C" w:rsidRPr="00352532" w:rsidRDefault="0091491C" w:rsidP="00C14688">
            <w:pPr>
              <w:spacing w:before="120" w:after="120" w:line="240" w:lineRule="exact"/>
              <w:rPr>
                <w:b/>
                <w:bCs/>
                <w:sz w:val="28"/>
                <w:szCs w:val="28"/>
                <w:rtl/>
              </w:rPr>
            </w:pPr>
            <w:r w:rsidRPr="00352532">
              <w:rPr>
                <w:rFonts w:hint="cs"/>
                <w:b/>
                <w:bCs/>
                <w:sz w:val="28"/>
                <w:szCs w:val="28"/>
                <w:rtl/>
              </w:rPr>
              <w:t xml:space="preserve"> מדינת ישראל</w:t>
            </w:r>
          </w:p>
          <w:p w14:paraId="6D5D0A26" w14:textId="77777777" w:rsidR="0091491C" w:rsidRPr="00352532" w:rsidRDefault="0091491C" w:rsidP="00C14688">
            <w:pPr>
              <w:spacing w:before="120" w:after="120" w:line="240" w:lineRule="exact"/>
              <w:rPr>
                <w:b/>
                <w:bCs/>
                <w:sz w:val="28"/>
                <w:szCs w:val="28"/>
                <w:rtl/>
              </w:rPr>
            </w:pPr>
            <w:r w:rsidRPr="00352532">
              <w:rPr>
                <w:rFonts w:hint="cs"/>
                <w:b/>
                <w:bCs/>
                <w:sz w:val="28"/>
                <w:szCs w:val="28"/>
                <w:rtl/>
              </w:rPr>
              <w:t>באמצעות פרקליטות מחוז ירושלים</w:t>
            </w:r>
          </w:p>
        </w:tc>
      </w:tr>
      <w:bookmarkEnd w:id="1"/>
      <w:tr w:rsidR="0091491C" w:rsidRPr="00352532" w14:paraId="711341DD" w14:textId="77777777" w:rsidTr="00AA6466">
        <w:tc>
          <w:tcPr>
            <w:tcW w:w="8802" w:type="dxa"/>
            <w:gridSpan w:val="2"/>
            <w:shd w:val="clear" w:color="auto" w:fill="auto"/>
          </w:tcPr>
          <w:p w14:paraId="36DE9A16" w14:textId="77777777" w:rsidR="0091491C" w:rsidRPr="00352532" w:rsidRDefault="0091491C" w:rsidP="00C14688">
            <w:pPr>
              <w:spacing w:before="120" w:after="120" w:line="240" w:lineRule="exact"/>
              <w:jc w:val="both"/>
              <w:rPr>
                <w:rFonts w:ascii="Arial" w:hAnsi="Arial"/>
                <w:b/>
                <w:bCs/>
                <w:sz w:val="28"/>
                <w:szCs w:val="28"/>
                <w:rtl/>
              </w:rPr>
            </w:pPr>
          </w:p>
          <w:p w14:paraId="14C9FF55" w14:textId="77777777" w:rsidR="0091491C" w:rsidRPr="00352532" w:rsidRDefault="0091491C" w:rsidP="00C14688">
            <w:pPr>
              <w:spacing w:before="120" w:after="120" w:line="240" w:lineRule="exact"/>
              <w:jc w:val="center"/>
              <w:rPr>
                <w:rFonts w:ascii="Arial" w:hAnsi="Arial"/>
                <w:b/>
                <w:bCs/>
                <w:sz w:val="28"/>
                <w:szCs w:val="28"/>
                <w:rtl/>
              </w:rPr>
            </w:pPr>
            <w:r w:rsidRPr="00352532">
              <w:rPr>
                <w:rFonts w:ascii="Arial" w:hAnsi="Arial" w:hint="cs"/>
                <w:b/>
                <w:bCs/>
                <w:sz w:val="28"/>
                <w:szCs w:val="28"/>
                <w:rtl/>
              </w:rPr>
              <w:t>נגד</w:t>
            </w:r>
          </w:p>
          <w:p w14:paraId="24552258" w14:textId="77777777" w:rsidR="0091491C" w:rsidRPr="00352532" w:rsidRDefault="0091491C" w:rsidP="00C14688">
            <w:pPr>
              <w:spacing w:before="120" w:after="120" w:line="240" w:lineRule="exact"/>
              <w:jc w:val="center"/>
              <w:rPr>
                <w:rFonts w:ascii="Arial" w:hAnsi="Arial"/>
                <w:b/>
                <w:bCs/>
                <w:sz w:val="28"/>
                <w:szCs w:val="28"/>
                <w:rtl/>
              </w:rPr>
            </w:pPr>
          </w:p>
        </w:tc>
      </w:tr>
      <w:tr w:rsidR="0091491C" w:rsidRPr="00352532" w14:paraId="3B5A636E" w14:textId="77777777" w:rsidTr="00AA6466">
        <w:tc>
          <w:tcPr>
            <w:tcW w:w="2880" w:type="dxa"/>
            <w:shd w:val="clear" w:color="auto" w:fill="auto"/>
          </w:tcPr>
          <w:p w14:paraId="0AD2A876" w14:textId="77777777" w:rsidR="0091491C" w:rsidRPr="00352532" w:rsidRDefault="0091491C" w:rsidP="00C14688">
            <w:pPr>
              <w:spacing w:before="120" w:after="120" w:line="240" w:lineRule="exact"/>
              <w:ind w:left="26"/>
              <w:rPr>
                <w:b/>
                <w:bCs/>
                <w:sz w:val="28"/>
                <w:szCs w:val="28"/>
              </w:rPr>
            </w:pPr>
            <w:r w:rsidRPr="00352532">
              <w:rPr>
                <w:rFonts w:hint="cs"/>
                <w:b/>
                <w:bCs/>
                <w:sz w:val="28"/>
                <w:szCs w:val="28"/>
                <w:rtl/>
              </w:rPr>
              <w:t>הנאשמים</w:t>
            </w:r>
          </w:p>
        </w:tc>
        <w:tc>
          <w:tcPr>
            <w:tcW w:w="5922" w:type="dxa"/>
            <w:shd w:val="clear" w:color="auto" w:fill="auto"/>
          </w:tcPr>
          <w:p w14:paraId="4E955D01" w14:textId="77777777" w:rsidR="0091491C" w:rsidRPr="00352532" w:rsidRDefault="0091491C" w:rsidP="00C14688">
            <w:pPr>
              <w:spacing w:before="120" w:after="120" w:line="240" w:lineRule="exact"/>
              <w:rPr>
                <w:b/>
                <w:bCs/>
                <w:sz w:val="28"/>
                <w:szCs w:val="28"/>
                <w:rtl/>
              </w:rPr>
            </w:pPr>
            <w:r w:rsidRPr="00352532">
              <w:rPr>
                <w:b/>
                <w:bCs/>
                <w:sz w:val="28"/>
                <w:szCs w:val="28"/>
              </w:rPr>
              <w:t>.1</w:t>
            </w:r>
            <w:r w:rsidRPr="00352532">
              <w:rPr>
                <w:rFonts w:hint="cs"/>
                <w:b/>
                <w:bCs/>
                <w:sz w:val="28"/>
                <w:szCs w:val="28"/>
                <w:rtl/>
              </w:rPr>
              <w:t xml:space="preserve"> יואב גלאם </w:t>
            </w:r>
          </w:p>
          <w:p w14:paraId="531DDAA9" w14:textId="77777777" w:rsidR="0091491C" w:rsidRPr="00352532" w:rsidRDefault="0091491C" w:rsidP="00C14688">
            <w:pPr>
              <w:spacing w:before="120" w:after="120" w:line="240" w:lineRule="exact"/>
              <w:rPr>
                <w:rFonts w:hint="cs"/>
                <w:b/>
                <w:bCs/>
                <w:sz w:val="28"/>
                <w:szCs w:val="28"/>
                <w:rtl/>
              </w:rPr>
            </w:pPr>
            <w:r w:rsidRPr="00352532">
              <w:rPr>
                <w:b/>
                <w:bCs/>
                <w:sz w:val="28"/>
                <w:szCs w:val="28"/>
              </w:rPr>
              <w:t>.2</w:t>
            </w:r>
            <w:r w:rsidRPr="00352532">
              <w:rPr>
                <w:rFonts w:hint="cs"/>
                <w:b/>
                <w:bCs/>
                <w:sz w:val="28"/>
                <w:szCs w:val="28"/>
                <w:rtl/>
              </w:rPr>
              <w:t xml:space="preserve"> פנחס גלאם </w:t>
            </w:r>
          </w:p>
        </w:tc>
      </w:tr>
    </w:tbl>
    <w:p w14:paraId="15A54B3B" w14:textId="77777777" w:rsidR="00C14688" w:rsidRPr="00C14688" w:rsidRDefault="00C14688" w:rsidP="00C14688">
      <w:pPr>
        <w:spacing w:after="120" w:line="240" w:lineRule="exact"/>
        <w:ind w:left="283" w:hanging="283"/>
        <w:jc w:val="both"/>
        <w:rPr>
          <w:rFonts w:ascii="FrankRuehl" w:hAnsi="FrankRuehl" w:cs="FrankRuehl"/>
          <w:rtl/>
        </w:rPr>
      </w:pPr>
    </w:p>
    <w:p w14:paraId="0143C8DD" w14:textId="77777777" w:rsidR="00C14688" w:rsidRPr="00C14688" w:rsidRDefault="00C14688" w:rsidP="00C14688">
      <w:pPr>
        <w:spacing w:after="120" w:line="240" w:lineRule="exact"/>
        <w:ind w:left="283" w:hanging="283"/>
        <w:jc w:val="both"/>
        <w:rPr>
          <w:rFonts w:ascii="FrankRuehl" w:hAnsi="FrankRuehl" w:cs="FrankRuehl"/>
          <w:rtl/>
        </w:rPr>
      </w:pPr>
      <w:r w:rsidRPr="00C14688">
        <w:rPr>
          <w:rFonts w:ascii="FrankRuehl" w:hAnsi="FrankRuehl" w:cs="FrankRuehl"/>
          <w:rtl/>
        </w:rPr>
        <w:t xml:space="preserve">חקיקה שאוזכרה: </w:t>
      </w:r>
    </w:p>
    <w:p w14:paraId="207D8321" w14:textId="77777777" w:rsidR="00EC4C60" w:rsidRDefault="00C14688" w:rsidP="00C14688">
      <w:pPr>
        <w:spacing w:after="120" w:line="240" w:lineRule="exact"/>
        <w:ind w:left="283" w:hanging="283"/>
        <w:jc w:val="both"/>
        <w:rPr>
          <w:rFonts w:ascii="FrankRuehl" w:hAnsi="FrankRuehl" w:cs="FrankRuehl"/>
          <w:rtl/>
        </w:rPr>
      </w:pPr>
      <w:hyperlink r:id="rId6" w:history="1">
        <w:r w:rsidRPr="00C14688">
          <w:rPr>
            <w:rFonts w:ascii="FrankRuehl" w:hAnsi="FrankRuehl" w:cs="FrankRuehl"/>
            <w:color w:val="0000FF"/>
            <w:u w:val="single"/>
            <w:rtl/>
          </w:rPr>
          <w:t>חוק העונשין, תשל"ז-1977</w:t>
        </w:r>
      </w:hyperlink>
      <w:r w:rsidRPr="00C14688">
        <w:rPr>
          <w:rFonts w:ascii="FrankRuehl" w:hAnsi="FrankRuehl" w:cs="FrankRuehl"/>
          <w:rtl/>
        </w:rPr>
        <w:t xml:space="preserve">: סע'  </w:t>
      </w:r>
      <w:hyperlink r:id="rId7" w:history="1">
        <w:r w:rsidRPr="00C14688">
          <w:rPr>
            <w:rFonts w:ascii="FrankRuehl" w:hAnsi="FrankRuehl" w:cs="FrankRuehl"/>
            <w:color w:val="0000FF"/>
            <w:u w:val="single"/>
            <w:rtl/>
          </w:rPr>
          <w:t>40ב'</w:t>
        </w:r>
      </w:hyperlink>
      <w:r w:rsidRPr="00C14688">
        <w:rPr>
          <w:rFonts w:ascii="FrankRuehl" w:hAnsi="FrankRuehl" w:cs="FrankRuehl"/>
          <w:rtl/>
        </w:rPr>
        <w:t xml:space="preserve">, </w:t>
      </w:r>
      <w:hyperlink r:id="rId8" w:history="1">
        <w:r w:rsidRPr="00C14688">
          <w:rPr>
            <w:rFonts w:ascii="FrankRuehl" w:hAnsi="FrankRuehl" w:cs="FrankRuehl"/>
            <w:color w:val="0000FF"/>
            <w:u w:val="single"/>
            <w:rtl/>
          </w:rPr>
          <w:t>40ג'</w:t>
        </w:r>
      </w:hyperlink>
      <w:r w:rsidRPr="00C14688">
        <w:rPr>
          <w:rFonts w:ascii="FrankRuehl" w:hAnsi="FrankRuehl" w:cs="FrankRuehl"/>
          <w:rtl/>
        </w:rPr>
        <w:t xml:space="preserve">, </w:t>
      </w:r>
      <w:hyperlink r:id="rId9" w:history="1">
        <w:r w:rsidRPr="00C14688">
          <w:rPr>
            <w:rFonts w:ascii="FrankRuehl" w:hAnsi="FrankRuehl" w:cs="FrankRuehl"/>
            <w:color w:val="0000FF"/>
            <w:u w:val="single"/>
            <w:rtl/>
          </w:rPr>
          <w:t>40ט'</w:t>
        </w:r>
      </w:hyperlink>
      <w:r w:rsidRPr="00C14688">
        <w:rPr>
          <w:rFonts w:ascii="FrankRuehl" w:hAnsi="FrankRuehl" w:cs="FrankRuehl"/>
          <w:rtl/>
        </w:rPr>
        <w:t xml:space="preserve">, </w:t>
      </w:r>
      <w:hyperlink r:id="rId10" w:history="1">
        <w:r w:rsidRPr="00C14688">
          <w:rPr>
            <w:rFonts w:ascii="FrankRuehl" w:hAnsi="FrankRuehl" w:cs="FrankRuehl"/>
            <w:color w:val="0000FF"/>
            <w:u w:val="single"/>
            <w:rtl/>
          </w:rPr>
          <w:t>144 (ב2)</w:t>
        </w:r>
      </w:hyperlink>
      <w:bookmarkStart w:id="2" w:name="LawTable"/>
      <w:bookmarkEnd w:id="2"/>
    </w:p>
    <w:p w14:paraId="0A1C4F5A" w14:textId="77777777" w:rsidR="00EC4C60" w:rsidRPr="00EC4C60" w:rsidRDefault="00EC4C60" w:rsidP="00EC4C60">
      <w:pPr>
        <w:spacing w:after="120" w:line="240" w:lineRule="exact"/>
        <w:ind w:left="283" w:hanging="283"/>
        <w:jc w:val="both"/>
        <w:rPr>
          <w:rFonts w:ascii="FrankRuehl" w:hAnsi="FrankRuehl" w:cs="FrankRuehl"/>
          <w:rtl/>
        </w:rPr>
      </w:pPr>
    </w:p>
    <w:p w14:paraId="7B1CDDCF" w14:textId="77777777" w:rsidR="00EC4C60" w:rsidRPr="00EC4C60" w:rsidRDefault="00EC4C60" w:rsidP="00EC4C60">
      <w:pPr>
        <w:spacing w:after="120" w:line="240" w:lineRule="exact"/>
        <w:ind w:left="283" w:hanging="283"/>
        <w:jc w:val="both"/>
        <w:rPr>
          <w:rFonts w:ascii="FrankRuehl" w:hAnsi="FrankRuehl" w:cs="FrankRuehl"/>
          <w:rtl/>
        </w:rPr>
      </w:pPr>
      <w:r w:rsidRPr="00EC4C60">
        <w:rPr>
          <w:rFonts w:ascii="FrankRuehl" w:hAnsi="FrankRuehl" w:cs="FrankRuehl"/>
          <w:rtl/>
        </w:rPr>
        <w:t xml:space="preserve">חקיקה שאוזכרה: </w:t>
      </w:r>
    </w:p>
    <w:p w14:paraId="1D7659E8" w14:textId="77777777" w:rsidR="00EC4C60" w:rsidRPr="00EC4C60" w:rsidRDefault="00EC4C60" w:rsidP="00EC4C60">
      <w:pPr>
        <w:spacing w:after="120" w:line="240" w:lineRule="exact"/>
        <w:ind w:left="283" w:hanging="283"/>
        <w:jc w:val="both"/>
        <w:rPr>
          <w:rFonts w:ascii="FrankRuehl" w:hAnsi="FrankRuehl" w:cs="FrankRuehl"/>
          <w:rtl/>
        </w:rPr>
      </w:pPr>
      <w:hyperlink r:id="rId11" w:history="1">
        <w:r w:rsidRPr="00EC4C60">
          <w:rPr>
            <w:rFonts w:ascii="FrankRuehl" w:hAnsi="FrankRuehl" w:cs="FrankRuehl"/>
            <w:color w:val="0000FF"/>
            <w:u w:val="single"/>
            <w:rtl/>
          </w:rPr>
          <w:t>חוק העונשין, תשל"ז-1977</w:t>
        </w:r>
      </w:hyperlink>
      <w:r w:rsidRPr="00EC4C60">
        <w:rPr>
          <w:rFonts w:ascii="FrankRuehl" w:hAnsi="FrankRuehl" w:cs="FrankRuehl"/>
          <w:rtl/>
        </w:rPr>
        <w:t xml:space="preserve">: סע'  </w:t>
      </w:r>
      <w:hyperlink r:id="rId12" w:history="1">
        <w:r w:rsidRPr="00EC4C60">
          <w:rPr>
            <w:rFonts w:ascii="FrankRuehl" w:hAnsi="FrankRuehl" w:cs="FrankRuehl"/>
            <w:color w:val="0000FF"/>
            <w:u w:val="single"/>
            <w:rtl/>
          </w:rPr>
          <w:t>40ב'</w:t>
        </w:r>
      </w:hyperlink>
      <w:r w:rsidRPr="00EC4C60">
        <w:rPr>
          <w:rFonts w:ascii="FrankRuehl" w:hAnsi="FrankRuehl" w:cs="FrankRuehl"/>
          <w:rtl/>
        </w:rPr>
        <w:t xml:space="preserve">, </w:t>
      </w:r>
      <w:hyperlink r:id="rId13" w:history="1">
        <w:r w:rsidRPr="00EC4C60">
          <w:rPr>
            <w:rFonts w:ascii="FrankRuehl" w:hAnsi="FrankRuehl" w:cs="FrankRuehl"/>
            <w:color w:val="0000FF"/>
            <w:u w:val="single"/>
            <w:rtl/>
          </w:rPr>
          <w:t>40ג'</w:t>
        </w:r>
      </w:hyperlink>
      <w:r w:rsidRPr="00EC4C60">
        <w:rPr>
          <w:rFonts w:ascii="FrankRuehl" w:hAnsi="FrankRuehl" w:cs="FrankRuehl"/>
          <w:rtl/>
        </w:rPr>
        <w:t xml:space="preserve">, </w:t>
      </w:r>
      <w:hyperlink r:id="rId14" w:history="1">
        <w:r w:rsidRPr="00EC4C60">
          <w:rPr>
            <w:rFonts w:ascii="FrankRuehl" w:hAnsi="FrankRuehl" w:cs="FrankRuehl"/>
            <w:color w:val="0000FF"/>
            <w:u w:val="single"/>
            <w:rtl/>
          </w:rPr>
          <w:t>40ט'</w:t>
        </w:r>
      </w:hyperlink>
      <w:r w:rsidRPr="00EC4C60">
        <w:rPr>
          <w:rFonts w:ascii="FrankRuehl" w:hAnsi="FrankRuehl" w:cs="FrankRuehl"/>
          <w:rtl/>
        </w:rPr>
        <w:t xml:space="preserve">, </w:t>
      </w:r>
      <w:hyperlink r:id="rId15" w:history="1">
        <w:r w:rsidRPr="00EC4C60">
          <w:rPr>
            <w:rFonts w:ascii="FrankRuehl" w:hAnsi="FrankRuehl" w:cs="FrankRuehl"/>
            <w:color w:val="0000FF"/>
            <w:u w:val="single"/>
            <w:rtl/>
          </w:rPr>
          <w:t>144 (ב2)</w:t>
        </w:r>
      </w:hyperlink>
    </w:p>
    <w:p w14:paraId="6063D359" w14:textId="77777777" w:rsidR="00EC4C60" w:rsidRPr="00EC4C60" w:rsidRDefault="00EC4C60" w:rsidP="00EC4C60">
      <w:pPr>
        <w:spacing w:after="120" w:line="240" w:lineRule="exact"/>
        <w:ind w:left="283" w:hanging="283"/>
        <w:jc w:val="both"/>
        <w:rPr>
          <w:rFonts w:ascii="FrankRuehl" w:hAnsi="FrankRuehl" w:cs="FrankRuehl"/>
          <w:rtl/>
        </w:rPr>
      </w:pPr>
    </w:p>
    <w:p w14:paraId="70AFF4C4" w14:textId="77777777" w:rsidR="00EC4C60" w:rsidRPr="00EC4C60" w:rsidRDefault="00EC4C60" w:rsidP="00C14688">
      <w:pPr>
        <w:spacing w:after="120" w:line="240" w:lineRule="exact"/>
        <w:ind w:left="283" w:hanging="283"/>
        <w:jc w:val="both"/>
        <w:rPr>
          <w:rFonts w:ascii="FrankRuehl" w:hAnsi="FrankRuehl" w:cs="FrankRuehl"/>
          <w:rtl/>
        </w:rPr>
      </w:pPr>
      <w:bookmarkStart w:id="3" w:name="LawTable_End"/>
      <w:bookmarkEnd w:id="3"/>
    </w:p>
    <w:p w14:paraId="294DF193" w14:textId="77777777" w:rsidR="00EC4C60" w:rsidRPr="00EC4C60" w:rsidRDefault="00EC4C60" w:rsidP="00C14688">
      <w:pPr>
        <w:spacing w:after="120" w:line="240" w:lineRule="exact"/>
        <w:ind w:left="283" w:hanging="283"/>
        <w:jc w:val="both"/>
        <w:rPr>
          <w:rFonts w:ascii="FrankRuehl" w:hAnsi="FrankRuehl" w:cs="FrankRuehl"/>
          <w:rtl/>
        </w:rPr>
      </w:pPr>
    </w:p>
    <w:p w14:paraId="2E395D4F" w14:textId="77777777" w:rsidR="00C14688" w:rsidRPr="00EC4C60" w:rsidRDefault="00C14688" w:rsidP="00C14688">
      <w:pPr>
        <w:spacing w:after="120" w:line="240" w:lineRule="exact"/>
        <w:ind w:left="283" w:hanging="283"/>
        <w:jc w:val="both"/>
        <w:rPr>
          <w:rFonts w:ascii="FrankRuehl" w:hAnsi="FrankRuehl" w:cs="FrankRuehl"/>
          <w:rtl/>
        </w:rPr>
      </w:pPr>
    </w:p>
    <w:p w14:paraId="69BD6F6C" w14:textId="77777777" w:rsidR="00EC4C60" w:rsidRPr="00EC4C60" w:rsidRDefault="00EC4C60" w:rsidP="00C14688">
      <w:pPr>
        <w:spacing w:after="120" w:line="240" w:lineRule="exact"/>
        <w:ind w:left="283" w:hanging="283"/>
        <w:jc w:val="both"/>
        <w:rPr>
          <w:rFonts w:ascii="FrankRuehl" w:hAnsi="FrankRuehl" w:cs="FrankRuehl"/>
          <w:rtl/>
        </w:rPr>
      </w:pPr>
    </w:p>
    <w:p w14:paraId="23686644" w14:textId="77777777" w:rsidR="00EC4C60" w:rsidRPr="00EC4C60" w:rsidRDefault="00EC4C60" w:rsidP="00C14688">
      <w:pPr>
        <w:spacing w:after="120" w:line="240" w:lineRule="exact"/>
        <w:ind w:left="283" w:hanging="283"/>
        <w:jc w:val="both"/>
        <w:rPr>
          <w:rFonts w:ascii="FrankRuehl" w:hAnsi="FrankRuehl" w:cs="FrankRuehl"/>
          <w:rtl/>
        </w:rPr>
      </w:pPr>
    </w:p>
    <w:p w14:paraId="772804FC" w14:textId="77777777" w:rsidR="00C14688" w:rsidRPr="00EC4C60" w:rsidRDefault="00C14688" w:rsidP="00C14688">
      <w:pPr>
        <w:spacing w:after="120" w:line="240" w:lineRule="exact"/>
        <w:ind w:left="283" w:hanging="283"/>
        <w:jc w:val="both"/>
        <w:rPr>
          <w:rFonts w:ascii="FrankRuehl" w:hAnsi="FrankRuehl" w:cs="FrankRuehl"/>
          <w:rtl/>
        </w:rPr>
      </w:pPr>
    </w:p>
    <w:p w14:paraId="55541FEC" w14:textId="77777777" w:rsidR="00C14688" w:rsidRPr="00352532" w:rsidRDefault="00C14688" w:rsidP="00352532">
      <w:pPr>
        <w:jc w:val="center"/>
        <w:rPr>
          <w:rFonts w:ascii="Arial" w:hAnsi="Arial" w:cs="FrankRuehl"/>
          <w:bCs/>
          <w:sz w:val="40"/>
          <w:szCs w:val="40"/>
          <w:u w:val="single"/>
          <w:rtl/>
        </w:rPr>
      </w:pPr>
      <w:bookmarkStart w:id="4" w:name="PsakDin"/>
      <w:r w:rsidRPr="00352532">
        <w:rPr>
          <w:rFonts w:ascii="Arial" w:hAnsi="Arial" w:cs="FrankRuehl"/>
          <w:bCs/>
          <w:sz w:val="40"/>
          <w:szCs w:val="40"/>
          <w:u w:val="single"/>
          <w:rtl/>
        </w:rPr>
        <w:t>גזר דין</w:t>
      </w:r>
    </w:p>
    <w:bookmarkEnd w:id="4"/>
    <w:p w14:paraId="17597BA0" w14:textId="77777777" w:rsidR="00C14688" w:rsidRPr="0066058C" w:rsidRDefault="00C14688" w:rsidP="00AA6466">
      <w:pPr>
        <w:jc w:val="center"/>
        <w:rPr>
          <w:rFonts w:ascii="Arial" w:hAnsi="Arial" w:cs="FrankRuehl"/>
          <w:sz w:val="32"/>
          <w:szCs w:val="32"/>
          <w:u w:val="single"/>
          <w:rtl/>
        </w:rPr>
      </w:pPr>
      <w:r w:rsidRPr="0066058C">
        <w:rPr>
          <w:rFonts w:ascii="Arial" w:hAnsi="Arial" w:cs="FrankRuehl" w:hint="cs"/>
          <w:sz w:val="40"/>
          <w:szCs w:val="40"/>
          <w:u w:val="single"/>
          <w:rtl/>
        </w:rPr>
        <w:t>בעניינו של נאשם 1</w:t>
      </w:r>
    </w:p>
    <w:bookmarkEnd w:id="0"/>
    <w:p w14:paraId="5EE86943" w14:textId="77777777" w:rsidR="0091491C" w:rsidRPr="00B05847" w:rsidRDefault="0091491C" w:rsidP="0091491C">
      <w:pPr>
        <w:rPr>
          <w:rFonts w:ascii="Arial" w:hAnsi="Arial"/>
          <w:rtl/>
        </w:rPr>
      </w:pPr>
    </w:p>
    <w:p w14:paraId="151B1BC4" w14:textId="77777777" w:rsidR="0091491C" w:rsidRPr="00B05847" w:rsidRDefault="0091491C" w:rsidP="0091491C">
      <w:pPr>
        <w:rPr>
          <w:rtl/>
        </w:rPr>
      </w:pPr>
    </w:p>
    <w:p w14:paraId="4C04DB4F" w14:textId="77777777" w:rsidR="0091491C" w:rsidRDefault="0091491C" w:rsidP="0091491C">
      <w:pPr>
        <w:spacing w:line="360" w:lineRule="auto"/>
        <w:jc w:val="both"/>
        <w:rPr>
          <w:spacing w:val="22"/>
          <w:rtl/>
        </w:rPr>
      </w:pPr>
      <w:r w:rsidRPr="00B85B7C">
        <w:rPr>
          <w:rFonts w:hint="cs"/>
          <w:spacing w:val="22"/>
          <w:rtl/>
        </w:rPr>
        <w:t>1.</w:t>
      </w:r>
      <w:r w:rsidRPr="00B85B7C">
        <w:rPr>
          <w:rFonts w:hint="cs"/>
          <w:spacing w:val="22"/>
          <w:rtl/>
        </w:rPr>
        <w:tab/>
      </w:r>
      <w:bookmarkStart w:id="5" w:name="ABSTRACT_START"/>
      <w:bookmarkEnd w:id="5"/>
      <w:r w:rsidRPr="00B85B7C">
        <w:rPr>
          <w:rFonts w:hint="cs"/>
          <w:spacing w:val="22"/>
          <w:rtl/>
        </w:rPr>
        <w:t>הנאשם הורשע</w:t>
      </w:r>
      <w:r>
        <w:rPr>
          <w:rFonts w:hint="cs"/>
          <w:spacing w:val="22"/>
          <w:rtl/>
        </w:rPr>
        <w:t>,</w:t>
      </w:r>
      <w:r w:rsidRPr="00B85B7C">
        <w:rPr>
          <w:rFonts w:hint="cs"/>
          <w:spacing w:val="22"/>
          <w:rtl/>
        </w:rPr>
        <w:t xml:space="preserve"> על פי הודאתו בכתב אישום מתוקן המחזיק שני אישומים</w:t>
      </w:r>
      <w:r>
        <w:rPr>
          <w:rFonts w:hint="cs"/>
          <w:spacing w:val="22"/>
          <w:rtl/>
        </w:rPr>
        <w:t xml:space="preserve"> כלהלן: בגדר</w:t>
      </w:r>
      <w:r w:rsidRPr="00B85B7C">
        <w:rPr>
          <w:rFonts w:hint="cs"/>
          <w:spacing w:val="22"/>
          <w:rtl/>
        </w:rPr>
        <w:t xml:space="preserve"> </w:t>
      </w:r>
      <w:r w:rsidRPr="00B85B7C">
        <w:rPr>
          <w:rFonts w:hint="cs"/>
          <w:b/>
          <w:bCs/>
          <w:spacing w:val="22"/>
          <w:rtl/>
        </w:rPr>
        <w:t xml:space="preserve">האישום הראשון </w:t>
      </w:r>
      <w:r>
        <w:rPr>
          <w:rFonts w:hint="cs"/>
          <w:spacing w:val="22"/>
          <w:rtl/>
        </w:rPr>
        <w:t xml:space="preserve">הורשע הנאשם בעבירת </w:t>
      </w:r>
      <w:r w:rsidRPr="00B85B7C">
        <w:rPr>
          <w:rFonts w:hint="cs"/>
          <w:spacing w:val="22"/>
          <w:rtl/>
        </w:rPr>
        <w:t xml:space="preserve">סחר ועסקה אחרת בנשק </w:t>
      </w:r>
      <w:r w:rsidRPr="00B85B7C">
        <w:rPr>
          <w:spacing w:val="22"/>
          <w:rtl/>
        </w:rPr>
        <w:t>–</w:t>
      </w:r>
      <w:r w:rsidRPr="00B85B7C">
        <w:rPr>
          <w:rFonts w:hint="cs"/>
          <w:spacing w:val="22"/>
          <w:rtl/>
        </w:rPr>
        <w:t xml:space="preserve">לפי </w:t>
      </w:r>
      <w:hyperlink r:id="rId16" w:history="1">
        <w:r w:rsidR="00C14688" w:rsidRPr="00C14688">
          <w:rPr>
            <w:rStyle w:val="Hyperlink"/>
            <w:rFonts w:hint="eastAsia"/>
            <w:color w:val="0000FF"/>
            <w:spacing w:val="22"/>
            <w:rtl/>
          </w:rPr>
          <w:t>סעיף</w:t>
        </w:r>
        <w:r w:rsidR="00C14688" w:rsidRPr="00C14688">
          <w:rPr>
            <w:rStyle w:val="Hyperlink"/>
            <w:color w:val="0000FF"/>
            <w:spacing w:val="22"/>
            <w:rtl/>
          </w:rPr>
          <w:t xml:space="preserve"> 144 (ב2)</w:t>
        </w:r>
      </w:hyperlink>
      <w:r w:rsidRPr="00B85B7C">
        <w:rPr>
          <w:rFonts w:hint="cs"/>
          <w:b/>
          <w:bCs/>
          <w:spacing w:val="22"/>
          <w:rtl/>
        </w:rPr>
        <w:t xml:space="preserve"> ל</w:t>
      </w:r>
      <w:hyperlink r:id="rId17" w:history="1">
        <w:r w:rsidR="00352532" w:rsidRPr="00352532">
          <w:rPr>
            <w:b/>
            <w:bCs/>
            <w:color w:val="0000FF"/>
            <w:spacing w:val="22"/>
            <w:u w:val="single"/>
            <w:rtl/>
          </w:rPr>
          <w:t>חוק העונשין</w:t>
        </w:r>
      </w:hyperlink>
      <w:r w:rsidRPr="00B85B7C">
        <w:rPr>
          <w:rFonts w:hint="cs"/>
          <w:b/>
          <w:bCs/>
          <w:spacing w:val="22"/>
          <w:rtl/>
        </w:rPr>
        <w:t xml:space="preserve">, תשל"ז </w:t>
      </w:r>
      <w:r w:rsidRPr="00B85B7C">
        <w:rPr>
          <w:b/>
          <w:bCs/>
          <w:spacing w:val="22"/>
          <w:rtl/>
        </w:rPr>
        <w:t>–</w:t>
      </w:r>
      <w:r w:rsidRPr="00B85B7C">
        <w:rPr>
          <w:rFonts w:hint="cs"/>
          <w:b/>
          <w:bCs/>
          <w:spacing w:val="22"/>
          <w:rtl/>
        </w:rPr>
        <w:t xml:space="preserve"> 1977 </w:t>
      </w:r>
      <w:bookmarkStart w:id="6" w:name="ABSTRACT_END"/>
      <w:bookmarkEnd w:id="6"/>
      <w:r w:rsidRPr="00B85B7C">
        <w:rPr>
          <w:rFonts w:hint="cs"/>
          <w:b/>
          <w:bCs/>
          <w:spacing w:val="22"/>
          <w:rtl/>
        </w:rPr>
        <w:t>(להן: "החוק").</w:t>
      </w:r>
      <w:r>
        <w:rPr>
          <w:rFonts w:hint="cs"/>
          <w:b/>
          <w:bCs/>
          <w:spacing w:val="22"/>
          <w:rtl/>
        </w:rPr>
        <w:t xml:space="preserve"> </w:t>
      </w:r>
      <w:r w:rsidRPr="00FF6A2C">
        <w:rPr>
          <w:rFonts w:hint="cs"/>
          <w:spacing w:val="22"/>
          <w:rtl/>
        </w:rPr>
        <w:t>בגדר</w:t>
      </w:r>
      <w:r w:rsidRPr="00B85B7C">
        <w:rPr>
          <w:rFonts w:hint="cs"/>
          <w:b/>
          <w:bCs/>
          <w:spacing w:val="22"/>
          <w:rtl/>
        </w:rPr>
        <w:t xml:space="preserve"> האישום שני </w:t>
      </w:r>
      <w:r>
        <w:rPr>
          <w:rFonts w:hint="cs"/>
          <w:spacing w:val="22"/>
          <w:rtl/>
        </w:rPr>
        <w:t xml:space="preserve">הורשע הנאשם בשתי עבירות סחר ועסקה בנשק. </w:t>
      </w:r>
      <w:r w:rsidRPr="00B85B7C">
        <w:rPr>
          <w:rFonts w:hint="cs"/>
          <w:spacing w:val="22"/>
          <w:rtl/>
        </w:rPr>
        <w:t xml:space="preserve">ואלו המעשים המתוארים באישום הראשון: שלושה חודשים עובר לפני האירועים המתוארים בכתב </w:t>
      </w:r>
      <w:r w:rsidRPr="00B85B7C">
        <w:rPr>
          <w:rFonts w:hint="cs"/>
          <w:spacing w:val="22"/>
          <w:rtl/>
        </w:rPr>
        <w:lastRenderedPageBreak/>
        <w:t>האישום, התקשר הנאשם לסוכן משטרתי</w:t>
      </w:r>
      <w:r>
        <w:rPr>
          <w:rFonts w:hint="cs"/>
          <w:spacing w:val="22"/>
          <w:rtl/>
        </w:rPr>
        <w:t>,</w:t>
      </w:r>
      <w:r w:rsidRPr="00B85B7C">
        <w:rPr>
          <w:rFonts w:hint="cs"/>
          <w:spacing w:val="22"/>
          <w:rtl/>
        </w:rPr>
        <w:t xml:space="preserve"> </w:t>
      </w:r>
      <w:r>
        <w:rPr>
          <w:rFonts w:hint="cs"/>
          <w:spacing w:val="22"/>
          <w:rtl/>
        </w:rPr>
        <w:t>ובהמשך השניים נפגשו</w:t>
      </w:r>
      <w:r w:rsidRPr="00B85B7C">
        <w:rPr>
          <w:rFonts w:hint="cs"/>
          <w:spacing w:val="22"/>
          <w:rtl/>
        </w:rPr>
        <w:t xml:space="preserve">. הסוכן שאל את הנאשם </w:t>
      </w:r>
      <w:r>
        <w:rPr>
          <w:rFonts w:hint="cs"/>
          <w:spacing w:val="22"/>
          <w:rtl/>
        </w:rPr>
        <w:t>ה</w:t>
      </w:r>
      <w:r w:rsidRPr="00B85B7C">
        <w:rPr>
          <w:rFonts w:hint="cs"/>
          <w:spacing w:val="22"/>
          <w:rtl/>
        </w:rPr>
        <w:t xml:space="preserve">אם יש </w:t>
      </w:r>
      <w:r>
        <w:rPr>
          <w:rFonts w:hint="cs"/>
          <w:spacing w:val="22"/>
          <w:rtl/>
        </w:rPr>
        <w:t>בידו</w:t>
      </w:r>
      <w:r w:rsidRPr="00B85B7C">
        <w:rPr>
          <w:rFonts w:hint="cs"/>
          <w:spacing w:val="22"/>
          <w:rtl/>
        </w:rPr>
        <w:t xml:space="preserve"> אפשרות להשיג אמל"ח. הנאשם השיב </w:t>
      </w:r>
      <w:r>
        <w:rPr>
          <w:rFonts w:hint="cs"/>
          <w:spacing w:val="22"/>
          <w:rtl/>
        </w:rPr>
        <w:t>בחיוב</w:t>
      </w:r>
      <w:r w:rsidRPr="00B85B7C">
        <w:rPr>
          <w:rFonts w:hint="cs"/>
          <w:spacing w:val="22"/>
          <w:rtl/>
        </w:rPr>
        <w:t xml:space="preserve">. ביום 4/4/17, בשעות הבוקר, התקשר הנאשם לסוכן וביקש להיפגע עמו בשעות אחה"צ. בשעה </w:t>
      </w:r>
      <w:r>
        <w:rPr>
          <w:rFonts w:hint="cs"/>
          <w:spacing w:val="22"/>
          <w:rtl/>
        </w:rPr>
        <w:t xml:space="preserve">14:30 לערך, נפגש הסוכן עם הנאשם, </w:t>
      </w:r>
      <w:r w:rsidRPr="00B85B7C">
        <w:rPr>
          <w:rFonts w:hint="cs"/>
          <w:spacing w:val="22"/>
          <w:rtl/>
        </w:rPr>
        <w:t>השניים שוחחו</w:t>
      </w:r>
      <w:r>
        <w:rPr>
          <w:rFonts w:hint="cs"/>
          <w:spacing w:val="22"/>
          <w:rtl/>
        </w:rPr>
        <w:t>,</w:t>
      </w:r>
      <w:r w:rsidRPr="00B85B7C">
        <w:rPr>
          <w:rFonts w:hint="cs"/>
          <w:spacing w:val="22"/>
          <w:rtl/>
        </w:rPr>
        <w:t xml:space="preserve"> ובין היתר, הסוכן שאל את הנאשם אם יש לו כיוון לאמל"ח. הנאשם ענה לו כי יש ברשותו "עטים יורים", </w:t>
      </w:r>
      <w:r>
        <w:rPr>
          <w:rFonts w:hint="cs"/>
          <w:spacing w:val="22"/>
          <w:rtl/>
        </w:rPr>
        <w:t>ה</w:t>
      </w:r>
      <w:r w:rsidRPr="00B85B7C">
        <w:rPr>
          <w:rFonts w:hint="cs"/>
          <w:spacing w:val="22"/>
          <w:rtl/>
        </w:rPr>
        <w:t>יורים תחמושת חיה, וכי עטים אלה מצוינים לירי חי מטווח קצר. עוד אמר הנאשם כי עט עולה 1,200 דולר. בהמשך להצעת הנאשם</w:t>
      </w:r>
      <w:r>
        <w:rPr>
          <w:rFonts w:hint="cs"/>
          <w:spacing w:val="22"/>
          <w:rtl/>
        </w:rPr>
        <w:t>,</w:t>
      </w:r>
      <w:r w:rsidRPr="00B85B7C">
        <w:rPr>
          <w:rFonts w:hint="cs"/>
          <w:spacing w:val="22"/>
          <w:rtl/>
        </w:rPr>
        <w:t xml:space="preserve"> בוצעו מספר </w:t>
      </w:r>
      <w:r>
        <w:rPr>
          <w:rFonts w:hint="cs"/>
          <w:spacing w:val="22"/>
          <w:rtl/>
        </w:rPr>
        <w:t xml:space="preserve">שיחות תיאום בין הסוכן לבין הנאשם, הוסכם על קנייה של עט אחד לניסיון תמורת 4,500 ₪. בהמשך, ביום 15/5/17 בשעות הערב, נפגשו הסוכן והנאשם, שהגיע עם אדם אחר לנתניה. הנאשם ביקש מהסוכן שיסע אחריו, השלושה נסעו בשני כלי רכב למקום אחר בנתניה. הנאשם אמר כי הוא מחכה לאדם נוסף שיביא לו את העט. לאחר מכן הנאשם הלך וחזר כעבור מספר דקות כאשר העט היורה בידו, והסוכן שילם עבורו 2,400 ₪. אין מחלוקת כי עט יורה בנוי מצינור ומסוגל לירות תחמושת תקנית. העט נבדק במעבדה ונמצא כי הוא יורה תחמושת חיה ויש בכוחו להמית אדם. </w:t>
      </w:r>
      <w:r>
        <w:rPr>
          <w:rFonts w:hint="cs"/>
          <w:b/>
          <w:bCs/>
          <w:spacing w:val="22"/>
          <w:rtl/>
        </w:rPr>
        <w:t xml:space="preserve">בגדר האישום השני </w:t>
      </w:r>
      <w:r>
        <w:rPr>
          <w:rFonts w:hint="cs"/>
          <w:spacing w:val="22"/>
          <w:rtl/>
        </w:rPr>
        <w:t xml:space="preserve"> התקיימו שיחות בין הנאשם לסוכן. הוסכם על מכירת שני עטים יורים תמורת סך של 6,375 ₪. ביום 28/5/17 נפגשו השניים והנאשם מסר לסוכן שני עטים יורים. </w:t>
      </w:r>
    </w:p>
    <w:p w14:paraId="715E4CDF" w14:textId="77777777" w:rsidR="0091491C" w:rsidRPr="00951C2B" w:rsidRDefault="0091491C" w:rsidP="0091491C">
      <w:pPr>
        <w:spacing w:line="360" w:lineRule="auto"/>
        <w:jc w:val="both"/>
        <w:rPr>
          <w:spacing w:val="22"/>
          <w:sz w:val="36"/>
          <w:szCs w:val="36"/>
          <w:rtl/>
        </w:rPr>
      </w:pPr>
    </w:p>
    <w:p w14:paraId="49B80BC9" w14:textId="77777777" w:rsidR="0091491C" w:rsidRDefault="0091491C" w:rsidP="0091491C">
      <w:pPr>
        <w:spacing w:line="360" w:lineRule="auto"/>
        <w:jc w:val="both"/>
        <w:rPr>
          <w:spacing w:val="22"/>
          <w:rtl/>
        </w:rPr>
      </w:pPr>
      <w:r>
        <w:rPr>
          <w:rFonts w:hint="cs"/>
          <w:spacing w:val="22"/>
          <w:rtl/>
        </w:rPr>
        <w:t>2.</w:t>
      </w:r>
      <w:r>
        <w:rPr>
          <w:spacing w:val="22"/>
          <w:rtl/>
        </w:rPr>
        <w:tab/>
      </w:r>
      <w:r>
        <w:rPr>
          <w:rFonts w:hint="cs"/>
          <w:spacing w:val="22"/>
          <w:rtl/>
        </w:rPr>
        <w:t xml:space="preserve">הנאשם הנו כבן 58, ואין בעברו הרשעות קודמות. </w:t>
      </w:r>
    </w:p>
    <w:p w14:paraId="34A8F2C4" w14:textId="77777777" w:rsidR="0091491C" w:rsidRPr="00951C2B" w:rsidRDefault="0091491C" w:rsidP="0091491C">
      <w:pPr>
        <w:spacing w:line="360" w:lineRule="auto"/>
        <w:jc w:val="both"/>
        <w:rPr>
          <w:spacing w:val="22"/>
          <w:sz w:val="36"/>
          <w:szCs w:val="36"/>
          <w:rtl/>
        </w:rPr>
      </w:pPr>
    </w:p>
    <w:p w14:paraId="50760D63" w14:textId="77777777" w:rsidR="0091491C" w:rsidRDefault="0091491C" w:rsidP="0091491C">
      <w:pPr>
        <w:spacing w:line="360" w:lineRule="auto"/>
        <w:jc w:val="both"/>
        <w:rPr>
          <w:spacing w:val="22"/>
          <w:rtl/>
        </w:rPr>
      </w:pPr>
      <w:r>
        <w:rPr>
          <w:rFonts w:hint="cs"/>
          <w:spacing w:val="22"/>
          <w:rtl/>
        </w:rPr>
        <w:t>3.</w:t>
      </w:r>
      <w:r>
        <w:rPr>
          <w:spacing w:val="22"/>
          <w:rtl/>
        </w:rPr>
        <w:tab/>
      </w:r>
      <w:r>
        <w:rPr>
          <w:rFonts w:hint="cs"/>
          <w:spacing w:val="22"/>
          <w:rtl/>
        </w:rPr>
        <w:t xml:space="preserve">בעניינו של הנאשם התקבלו </w:t>
      </w:r>
      <w:r w:rsidRPr="00417C11">
        <w:rPr>
          <w:rFonts w:hint="cs"/>
          <w:b/>
          <w:bCs/>
          <w:spacing w:val="22"/>
          <w:rtl/>
        </w:rPr>
        <w:t>תסקירי שירות מבחן</w:t>
      </w:r>
      <w:r>
        <w:rPr>
          <w:rFonts w:hint="cs"/>
          <w:spacing w:val="22"/>
          <w:rtl/>
        </w:rPr>
        <w:t xml:space="preserve">. מהתסקירים עולה כי הנאשם הנו גרוש, אב לארבעה ילדים, החל לעבוד מגיל צעיר. עד שנת 2000 עבד בתחום היהלומים. חלה הידרדרות במצבו הכלכלי, כמו גם בנישואיו, עקב התמכרותו להימורים. שירות המבחן התרשם כי לנאשם יכולות וכישורים לתפקוד תקין. שירות המבחן הפנה את הנאשם לאבחון בנושא התמכרויות. בהמשך, מפרט שירות המבחן, בתסקיר משלים, כי הנאשם נוטה להציג עצמו באופן קורבני, מתקשה להביט בחלקים הבעייתיים באישיותו וממעיט בביצוע העבירות. עם זאת, הנאשם השתלב במסגרת הטיפול להתמכרויות בטיפול קבוצתי המתקיים שלוש פעמים בשבוע. הנאשם הגיע באופן סדיר לפעילות ושיתף פעולה, וכן הופנה לטיפול בהתמכרויות במסגרת המחלקה לשירותים חברתיים בעיר חדרה, המעניקה מענה ספציפי להתמכרות בתחום ההימורים. גם למסגרת זו הגיע הנאשם באופן סדיר ושיתף פעולה. צוין כי כיום הנאשם מצליח להתבונן באופן ביקורתי יותר מבעבר בדפוסי החשיבה וההתנהגות שאפיינו אותו בעבר ועל מעורבותו בתחום ההימורים, מכיר בהשלכות בהתמכרותו, מעוניין לעבור שינוי </w:t>
      </w:r>
      <w:r>
        <w:rPr>
          <w:rFonts w:hint="cs"/>
          <w:spacing w:val="22"/>
          <w:rtl/>
        </w:rPr>
        <w:lastRenderedPageBreak/>
        <w:t xml:space="preserve">משמעותי בתפקודו. שירות המבחן המליץ להעמידו בצו מבחן למשך שנה. צוין כי עונש מאסר בפועל יקטע את הליך השיקום ויגרום לרגרסיה במצבו ולהשגיו הטיפוליים ואף מאסר בעבודות שירות ימנעו המשך ההליך הטיפולי ביחידה להתמכרויות. על-כן יש לשקול להטיל עליו של"צ. </w:t>
      </w:r>
    </w:p>
    <w:p w14:paraId="5BEC740B" w14:textId="77777777" w:rsidR="0091491C" w:rsidRPr="00951C2B" w:rsidRDefault="0091491C" w:rsidP="0091491C">
      <w:pPr>
        <w:spacing w:line="360" w:lineRule="auto"/>
        <w:jc w:val="both"/>
        <w:rPr>
          <w:spacing w:val="22"/>
          <w:sz w:val="36"/>
          <w:szCs w:val="36"/>
          <w:rtl/>
        </w:rPr>
      </w:pPr>
    </w:p>
    <w:p w14:paraId="192CA51D" w14:textId="77777777" w:rsidR="0091491C" w:rsidRPr="006B1165" w:rsidRDefault="0091491C" w:rsidP="0091491C">
      <w:pPr>
        <w:spacing w:line="360" w:lineRule="auto"/>
        <w:jc w:val="both"/>
        <w:rPr>
          <w:b/>
          <w:bCs/>
          <w:spacing w:val="22"/>
          <w:rtl/>
        </w:rPr>
      </w:pPr>
      <w:r>
        <w:rPr>
          <w:rFonts w:hint="cs"/>
          <w:spacing w:val="22"/>
          <w:rtl/>
        </w:rPr>
        <w:t>4.</w:t>
      </w:r>
      <w:r>
        <w:rPr>
          <w:spacing w:val="22"/>
          <w:rtl/>
        </w:rPr>
        <w:tab/>
      </w:r>
      <w:r w:rsidRPr="00847980">
        <w:rPr>
          <w:rFonts w:hint="cs"/>
          <w:b/>
          <w:bCs/>
          <w:spacing w:val="22"/>
          <w:rtl/>
        </w:rPr>
        <w:t>ב"כ המאשימה</w:t>
      </w:r>
      <w:r>
        <w:rPr>
          <w:rFonts w:hint="cs"/>
          <w:spacing w:val="22"/>
          <w:rtl/>
        </w:rPr>
        <w:t xml:space="preserve"> טען כי הנאשם פגע בערך המוגן של שמירת הגוף והביטחון. עבירות בנשק גוררות עונשי מאסר ממושכים ובאה הפנייה להחלטות לפיהן יש צורך להחמיר ברמת הענישה בכל הנוגע בעבירות בנשק. הנאשם ביצע שתי מכירות בשתי הזדמנויות שונות, הוא היוזם של העסקאות, הוא זה שהתקשר לסוכן, הנזק הפוטנציאלי כתוצאה מהמעשים הוא ברור ומובן, לא ניתן לחזות לידיו של מי יתגלגל כלי נשק שכזה. הנשק יורה תחמושת חיה ונטען כי הוא אף גרוע מבקבוק תבערה. באה הפנייה למתחמי ענישה שנקבעו בגין סחר באקדחים ותת מקלעים. לטענת המאשימה, מתחם העונש הראוי הנו 20 </w:t>
      </w:r>
      <w:r>
        <w:rPr>
          <w:spacing w:val="22"/>
          <w:rtl/>
        </w:rPr>
        <w:t>–</w:t>
      </w:r>
      <w:r>
        <w:rPr>
          <w:rFonts w:hint="cs"/>
          <w:spacing w:val="22"/>
          <w:rtl/>
        </w:rPr>
        <w:t xml:space="preserve"> 40 חודשי מאסר בפועל, ובהתחשב בנסיבות לקולא, בהן הודאתו וההליך הטיפולי, יש לגזור על הנאשם 20 חודשי מאסר בפועל. </w:t>
      </w:r>
    </w:p>
    <w:p w14:paraId="60C6F837" w14:textId="77777777" w:rsidR="0091491C" w:rsidRDefault="0091491C" w:rsidP="0091491C">
      <w:pPr>
        <w:spacing w:line="360" w:lineRule="auto"/>
        <w:jc w:val="both"/>
        <w:rPr>
          <w:spacing w:val="22"/>
          <w:rtl/>
        </w:rPr>
      </w:pPr>
    </w:p>
    <w:p w14:paraId="4C2D360A" w14:textId="77777777" w:rsidR="0091491C" w:rsidRDefault="0091491C" w:rsidP="0091491C">
      <w:pPr>
        <w:spacing w:line="360" w:lineRule="auto"/>
        <w:jc w:val="both"/>
        <w:rPr>
          <w:spacing w:val="22"/>
          <w:rtl/>
        </w:rPr>
      </w:pPr>
    </w:p>
    <w:p w14:paraId="7D7EF239" w14:textId="77777777" w:rsidR="0091491C" w:rsidRDefault="0091491C" w:rsidP="0091491C">
      <w:pPr>
        <w:spacing w:line="360" w:lineRule="auto"/>
        <w:jc w:val="both"/>
        <w:rPr>
          <w:spacing w:val="22"/>
          <w:rtl/>
        </w:rPr>
      </w:pPr>
      <w:r>
        <w:rPr>
          <w:rFonts w:hint="cs"/>
          <w:spacing w:val="22"/>
          <w:rtl/>
        </w:rPr>
        <w:t>5.</w:t>
      </w:r>
      <w:r>
        <w:rPr>
          <w:spacing w:val="22"/>
          <w:rtl/>
        </w:rPr>
        <w:tab/>
      </w:r>
      <w:r>
        <w:rPr>
          <w:rFonts w:hint="cs"/>
          <w:spacing w:val="22"/>
          <w:rtl/>
        </w:rPr>
        <w:t xml:space="preserve">מנגד, </w:t>
      </w:r>
      <w:r w:rsidRPr="00847980">
        <w:rPr>
          <w:rFonts w:hint="cs"/>
          <w:b/>
          <w:bCs/>
          <w:spacing w:val="22"/>
          <w:rtl/>
        </w:rPr>
        <w:t>הסנגור</w:t>
      </w:r>
      <w:r>
        <w:rPr>
          <w:rFonts w:hint="cs"/>
          <w:spacing w:val="22"/>
          <w:rtl/>
        </w:rPr>
        <w:t xml:space="preserve"> טען כי פסקי הדין אליהם הפנתה המאשימה עסקו בסחר באקדחים ובכלי נשק מתוחכמים יותר, כאשר היה קיים חשש שאותם כלי נשק  יגיעו לידיים שישתמשו בנשקים לפעילות חבלנית. נטען כי מדובר בנאשם בן 58 ללא הרשעות קודמות, עסק שנים ארוכות בעסקי יהלומים, עבד באורח נורמטיבי, וההידרדרות חלה עקב התמכרותו להימורים. מדובר בכלי נשק שיכולתו מוגבלת, ובאה הפנייה לפסקי דין שעסקו במכירת נשק, שם הוטלו עונשים שכללו של"צ ועבודות שירות. הנאשם, כך נטען, טעה בשיקול דעתו, שהה חודשיים במעצר של ממש, עלה על פסים שיקומיים. אין מדובר באדם עם דפוסי התנהגות עבריינים. הנאשם הביע חרטה, יש לתת דגש על שיקול השיקום. על כן, ניתן לאמץ את המלצת שירות המבחן ולהורות על עבודות שירות או של"צ על מנת שלא לגרום להליך השיקום לרדת לטמיון. </w:t>
      </w:r>
    </w:p>
    <w:p w14:paraId="0A1F77AF" w14:textId="77777777" w:rsidR="0091491C" w:rsidRDefault="0091491C" w:rsidP="0091491C">
      <w:pPr>
        <w:spacing w:line="360" w:lineRule="auto"/>
        <w:ind w:firstLine="720"/>
        <w:jc w:val="both"/>
        <w:rPr>
          <w:spacing w:val="22"/>
          <w:rtl/>
        </w:rPr>
      </w:pPr>
      <w:r>
        <w:rPr>
          <w:rFonts w:hint="cs"/>
          <w:spacing w:val="22"/>
          <w:rtl/>
        </w:rPr>
        <w:t xml:space="preserve">אף הנאשם הביע חרטה וצער על מעשיו. </w:t>
      </w:r>
    </w:p>
    <w:p w14:paraId="743F3B87" w14:textId="77777777" w:rsidR="0091491C" w:rsidRDefault="0091491C" w:rsidP="0091491C">
      <w:pPr>
        <w:spacing w:line="360" w:lineRule="auto"/>
        <w:ind w:firstLine="720"/>
        <w:jc w:val="both"/>
        <w:rPr>
          <w:spacing w:val="22"/>
          <w:sz w:val="20"/>
          <w:szCs w:val="20"/>
          <w:rtl/>
        </w:rPr>
      </w:pPr>
    </w:p>
    <w:p w14:paraId="38DBAAC5" w14:textId="77777777" w:rsidR="0091491C" w:rsidRDefault="0091491C" w:rsidP="0091491C">
      <w:pPr>
        <w:spacing w:line="360" w:lineRule="auto"/>
        <w:ind w:firstLine="720"/>
        <w:jc w:val="both"/>
        <w:rPr>
          <w:spacing w:val="22"/>
          <w:sz w:val="20"/>
          <w:szCs w:val="20"/>
          <w:rtl/>
        </w:rPr>
      </w:pPr>
    </w:p>
    <w:p w14:paraId="5E3323CD" w14:textId="77777777" w:rsidR="0091491C" w:rsidRDefault="0091491C" w:rsidP="0091491C">
      <w:pPr>
        <w:spacing w:line="360" w:lineRule="auto"/>
        <w:ind w:firstLine="720"/>
        <w:jc w:val="both"/>
        <w:rPr>
          <w:spacing w:val="22"/>
          <w:sz w:val="20"/>
          <w:szCs w:val="20"/>
          <w:rtl/>
        </w:rPr>
      </w:pPr>
    </w:p>
    <w:p w14:paraId="6AF16050" w14:textId="77777777" w:rsidR="0091491C" w:rsidRDefault="0091491C" w:rsidP="0091491C">
      <w:pPr>
        <w:spacing w:line="360" w:lineRule="auto"/>
        <w:ind w:firstLine="720"/>
        <w:jc w:val="both"/>
        <w:rPr>
          <w:spacing w:val="22"/>
          <w:sz w:val="20"/>
          <w:szCs w:val="20"/>
          <w:rtl/>
        </w:rPr>
      </w:pPr>
    </w:p>
    <w:p w14:paraId="4908CC08" w14:textId="77777777" w:rsidR="0091491C" w:rsidRDefault="0091491C" w:rsidP="0091491C">
      <w:pPr>
        <w:spacing w:line="360" w:lineRule="auto"/>
        <w:ind w:firstLine="720"/>
        <w:jc w:val="both"/>
        <w:rPr>
          <w:spacing w:val="22"/>
          <w:sz w:val="20"/>
          <w:szCs w:val="20"/>
          <w:rtl/>
        </w:rPr>
      </w:pPr>
    </w:p>
    <w:p w14:paraId="71882931" w14:textId="77777777" w:rsidR="0091491C" w:rsidRDefault="0091491C" w:rsidP="0091491C">
      <w:pPr>
        <w:spacing w:line="360" w:lineRule="auto"/>
        <w:ind w:firstLine="720"/>
        <w:jc w:val="both"/>
        <w:rPr>
          <w:spacing w:val="22"/>
          <w:sz w:val="20"/>
          <w:szCs w:val="20"/>
          <w:rtl/>
        </w:rPr>
      </w:pPr>
    </w:p>
    <w:p w14:paraId="0FA13849" w14:textId="77777777" w:rsidR="0091491C" w:rsidRPr="00B51B1B" w:rsidRDefault="0091491C" w:rsidP="0091491C">
      <w:pPr>
        <w:spacing w:line="360" w:lineRule="auto"/>
        <w:ind w:firstLine="720"/>
        <w:jc w:val="both"/>
        <w:rPr>
          <w:b/>
          <w:bCs/>
          <w:spacing w:val="22"/>
          <w:rtl/>
        </w:rPr>
      </w:pPr>
      <w:r>
        <w:rPr>
          <w:rFonts w:hint="cs"/>
          <w:b/>
          <w:bCs/>
          <w:spacing w:val="22"/>
          <w:rtl/>
        </w:rPr>
        <w:t>דיון ומסקנות</w:t>
      </w:r>
    </w:p>
    <w:p w14:paraId="36F9092F" w14:textId="77777777" w:rsidR="0091491C" w:rsidRDefault="0091491C" w:rsidP="0091491C">
      <w:pPr>
        <w:spacing w:line="360" w:lineRule="auto"/>
        <w:jc w:val="both"/>
        <w:rPr>
          <w:spacing w:val="22"/>
          <w:rtl/>
        </w:rPr>
      </w:pPr>
      <w:r>
        <w:rPr>
          <w:rFonts w:hint="cs"/>
          <w:spacing w:val="22"/>
          <w:rtl/>
        </w:rPr>
        <w:t>6.</w:t>
      </w:r>
      <w:r>
        <w:rPr>
          <w:spacing w:val="22"/>
          <w:rtl/>
        </w:rPr>
        <w:tab/>
      </w:r>
      <w:r>
        <w:rPr>
          <w:rFonts w:hint="cs"/>
          <w:spacing w:val="22"/>
          <w:rtl/>
        </w:rPr>
        <w:t>העקרון המנחה בענישה הנו קיומו של יחס הולם בין חומרת מעשה העבירה בנסיבותיו ומידת אשמו של הנאשם ובין סוג ומידת העונש המוטל עליו. מתחם העונש ייקבע בהתאם לעקרון המנחה ולשם כך תבוא התחשבות בערך החברתי שנפגע מביצוע העבירה, במידת הפגיעה באותו ערך, ובמדיניות הענישה הנוהגת (</w:t>
      </w:r>
      <w:hyperlink r:id="rId18" w:history="1">
        <w:r w:rsidR="00C14688" w:rsidRPr="00C14688">
          <w:rPr>
            <w:rStyle w:val="Hyperlink"/>
            <w:rFonts w:hint="eastAsia"/>
            <w:color w:val="0000FF"/>
            <w:spacing w:val="22"/>
            <w:rtl/>
          </w:rPr>
          <w:t>סעיפים</w:t>
        </w:r>
        <w:r w:rsidR="00C14688" w:rsidRPr="00C14688">
          <w:rPr>
            <w:rStyle w:val="Hyperlink"/>
            <w:color w:val="0000FF"/>
            <w:spacing w:val="22"/>
            <w:rtl/>
          </w:rPr>
          <w:t xml:space="preserve"> 40ב'</w:t>
        </w:r>
      </w:hyperlink>
      <w:r>
        <w:rPr>
          <w:rFonts w:hint="cs"/>
          <w:spacing w:val="22"/>
          <w:rtl/>
        </w:rPr>
        <w:t xml:space="preserve"> ו </w:t>
      </w:r>
      <w:r>
        <w:rPr>
          <w:spacing w:val="22"/>
          <w:rtl/>
        </w:rPr>
        <w:t>–</w:t>
      </w:r>
      <w:r>
        <w:rPr>
          <w:rFonts w:hint="cs"/>
          <w:spacing w:val="22"/>
          <w:rtl/>
        </w:rPr>
        <w:t xml:space="preserve"> </w:t>
      </w:r>
      <w:hyperlink r:id="rId19" w:history="1">
        <w:r w:rsidR="00C14688" w:rsidRPr="00C14688">
          <w:rPr>
            <w:color w:val="0000FF"/>
            <w:spacing w:val="22"/>
            <w:u w:val="single"/>
            <w:rtl/>
          </w:rPr>
          <w:t>40ג'</w:t>
        </w:r>
      </w:hyperlink>
      <w:r>
        <w:rPr>
          <w:rFonts w:hint="cs"/>
          <w:spacing w:val="22"/>
          <w:rtl/>
        </w:rPr>
        <w:t xml:space="preserve"> ל</w:t>
      </w:r>
      <w:hyperlink r:id="rId20" w:history="1">
        <w:r w:rsidR="00352532" w:rsidRPr="00352532">
          <w:rPr>
            <w:color w:val="0000FF"/>
            <w:spacing w:val="22"/>
            <w:u w:val="single"/>
            <w:rtl/>
          </w:rPr>
          <w:t>חוק העונשין</w:t>
        </w:r>
      </w:hyperlink>
      <w:r>
        <w:rPr>
          <w:rFonts w:hint="cs"/>
          <w:spacing w:val="22"/>
          <w:rtl/>
        </w:rPr>
        <w:t xml:space="preserve">). כן יש להביא בחשבון הנסיבות הקשורות בביצוע העבירה המפורטות </w:t>
      </w:r>
      <w:hyperlink r:id="rId21" w:history="1">
        <w:r w:rsidR="00C14688" w:rsidRPr="00C14688">
          <w:rPr>
            <w:color w:val="0000FF"/>
            <w:spacing w:val="22"/>
            <w:u w:val="single"/>
            <w:rtl/>
          </w:rPr>
          <w:t>בסעיף 40ט'</w:t>
        </w:r>
      </w:hyperlink>
      <w:r>
        <w:rPr>
          <w:rFonts w:hint="cs"/>
          <w:spacing w:val="22"/>
          <w:rtl/>
        </w:rPr>
        <w:t xml:space="preserve"> לחוק. </w:t>
      </w:r>
    </w:p>
    <w:p w14:paraId="0AE2208D" w14:textId="77777777" w:rsidR="0091491C" w:rsidRDefault="0091491C" w:rsidP="0091491C">
      <w:pPr>
        <w:spacing w:line="360" w:lineRule="auto"/>
        <w:jc w:val="both"/>
        <w:rPr>
          <w:spacing w:val="22"/>
          <w:rtl/>
        </w:rPr>
      </w:pPr>
      <w:r>
        <w:rPr>
          <w:spacing w:val="22"/>
          <w:rtl/>
        </w:rPr>
        <w:tab/>
      </w:r>
      <w:r>
        <w:rPr>
          <w:rFonts w:hint="cs"/>
          <w:spacing w:val="22"/>
          <w:rtl/>
        </w:rPr>
        <w:t xml:space="preserve">מעשיו של הנאשם חמורים </w:t>
      </w:r>
      <w:r>
        <w:rPr>
          <w:spacing w:val="22"/>
          <w:rtl/>
        </w:rPr>
        <w:t>–</w:t>
      </w:r>
      <w:r>
        <w:rPr>
          <w:rFonts w:hint="cs"/>
          <w:spacing w:val="22"/>
          <w:rtl/>
        </w:rPr>
        <w:t xml:space="preserve"> מכירת כלי נשק המסוגלים לירות תחמושת חיה ובכוחם להמית. הערך שנפגע הנו שלום הציבור ובטחונו. מידת אשמו של הנאשם רבה שכן אף שנפגש עם סוכן ואף שיתכן שהיה איש ביניים בשרשרת, חלקו משמעותי. הנזק הצפוי מביצוע עבירה זו הנו רב, הנאשם הבין את מעשיו ושלט בהם. הנאשם יכול היה להימנע מביצוע המעשים. </w:t>
      </w:r>
    </w:p>
    <w:p w14:paraId="200777D9" w14:textId="77777777" w:rsidR="0091491C" w:rsidRDefault="0091491C" w:rsidP="0091491C">
      <w:pPr>
        <w:spacing w:line="360" w:lineRule="auto"/>
        <w:jc w:val="both"/>
        <w:rPr>
          <w:spacing w:val="22"/>
          <w:rtl/>
        </w:rPr>
      </w:pPr>
      <w:r>
        <w:rPr>
          <w:spacing w:val="22"/>
          <w:rtl/>
        </w:rPr>
        <w:tab/>
      </w:r>
      <w:r>
        <w:rPr>
          <w:rFonts w:hint="cs"/>
          <w:spacing w:val="22"/>
          <w:rtl/>
        </w:rPr>
        <w:t xml:space="preserve">המתחם הראוי, בנסיבות העניין, כאשר מדובר בכלי נשק שהנו כ"עט" ואין מחוברת אליו מחסנית (אלא היכולת היא לירות כדור אחד, בודד), הנו מאסר בפועל לתקופת 6 עד 30 חודשי מאסר בפועל. הכלל הבסיסי הנוגע בעבירות בנשק הנו העדפת האינטרס הציבורי על פני האינטרס האישי. סחר בלתי חוקי בנשק עלול לפתוח ציר לפעילות אלימה ובלתי חוקית והנשק עלול להגיע לידיים רעות. שיקולי שיקום, ככלל, נסוגים מפני שיקולי הגמול וההרתעה, אם כי, כמובן, יש לשקול ולבחון כל מקרה לגופו. </w:t>
      </w:r>
    </w:p>
    <w:p w14:paraId="598D8344" w14:textId="77777777" w:rsidR="0091491C" w:rsidRDefault="0091491C" w:rsidP="0091491C">
      <w:pPr>
        <w:spacing w:line="360" w:lineRule="auto"/>
        <w:jc w:val="both"/>
        <w:rPr>
          <w:spacing w:val="22"/>
          <w:rtl/>
        </w:rPr>
      </w:pPr>
      <w:r>
        <w:rPr>
          <w:spacing w:val="22"/>
          <w:rtl/>
        </w:rPr>
        <w:tab/>
      </w:r>
    </w:p>
    <w:p w14:paraId="24F1B3D4" w14:textId="77777777" w:rsidR="0091491C" w:rsidRPr="007413DD" w:rsidRDefault="0091491C" w:rsidP="0091491C">
      <w:pPr>
        <w:spacing w:line="360" w:lineRule="auto"/>
        <w:jc w:val="both"/>
        <w:rPr>
          <w:spacing w:val="22"/>
          <w:sz w:val="18"/>
          <w:szCs w:val="18"/>
          <w:rtl/>
        </w:rPr>
      </w:pPr>
    </w:p>
    <w:p w14:paraId="678C839C" w14:textId="77777777" w:rsidR="0091491C" w:rsidRDefault="0091491C" w:rsidP="0091491C">
      <w:pPr>
        <w:spacing w:line="360" w:lineRule="auto"/>
        <w:jc w:val="both"/>
        <w:rPr>
          <w:spacing w:val="22"/>
          <w:rtl/>
        </w:rPr>
      </w:pPr>
      <w:r>
        <w:rPr>
          <w:rFonts w:hint="cs"/>
          <w:spacing w:val="22"/>
          <w:rtl/>
        </w:rPr>
        <w:t>7.</w:t>
      </w:r>
      <w:r>
        <w:rPr>
          <w:spacing w:val="22"/>
          <w:rtl/>
        </w:rPr>
        <w:tab/>
      </w:r>
      <w:r>
        <w:rPr>
          <w:rFonts w:hint="cs"/>
          <w:spacing w:val="22"/>
          <w:rtl/>
        </w:rPr>
        <w:t xml:space="preserve">לזכות הנאשם יש לזקוף את גילו (כאמור, 58), ולצד זאת העדר הרשעות, הודאתו, העובדה שמדובר ב"עט יורה" ולא כלי משחית מסוכן יותר, תחילת צעדיו בהליך השיקומי וניסיונו, המוצלח לעת הזו, להיחלץ מההתמכרות להימורים. </w:t>
      </w:r>
    </w:p>
    <w:p w14:paraId="14A1EF56" w14:textId="77777777" w:rsidR="0091491C" w:rsidRDefault="0091491C" w:rsidP="0091491C">
      <w:pPr>
        <w:spacing w:line="360" w:lineRule="auto"/>
        <w:jc w:val="both"/>
        <w:rPr>
          <w:spacing w:val="22"/>
          <w:rtl/>
        </w:rPr>
      </w:pPr>
    </w:p>
    <w:p w14:paraId="23676CCB" w14:textId="77777777" w:rsidR="0091491C" w:rsidRDefault="0091491C" w:rsidP="0091491C">
      <w:pPr>
        <w:spacing w:line="360" w:lineRule="auto"/>
        <w:jc w:val="both"/>
        <w:rPr>
          <w:spacing w:val="22"/>
          <w:rtl/>
        </w:rPr>
      </w:pPr>
    </w:p>
    <w:p w14:paraId="51C56436" w14:textId="77777777" w:rsidR="0091491C" w:rsidRDefault="0091491C" w:rsidP="0091491C">
      <w:pPr>
        <w:spacing w:line="360" w:lineRule="auto"/>
        <w:jc w:val="both"/>
        <w:rPr>
          <w:spacing w:val="22"/>
          <w:rtl/>
        </w:rPr>
      </w:pPr>
      <w:r>
        <w:rPr>
          <w:spacing w:val="22"/>
          <w:rtl/>
        </w:rPr>
        <w:tab/>
      </w:r>
    </w:p>
    <w:p w14:paraId="1CA25BDD" w14:textId="77777777" w:rsidR="0091491C" w:rsidRDefault="0091491C" w:rsidP="0091491C">
      <w:pPr>
        <w:spacing w:line="360" w:lineRule="auto"/>
        <w:jc w:val="both"/>
        <w:rPr>
          <w:spacing w:val="22"/>
          <w:rtl/>
        </w:rPr>
      </w:pPr>
      <w:r>
        <w:rPr>
          <w:rFonts w:hint="cs"/>
          <w:spacing w:val="22"/>
          <w:rtl/>
        </w:rPr>
        <w:t>8.</w:t>
      </w:r>
      <w:r>
        <w:rPr>
          <w:rFonts w:hint="cs"/>
          <w:spacing w:val="22"/>
          <w:rtl/>
        </w:rPr>
        <w:tab/>
        <w:t xml:space="preserve">שקלול כל הנתונים המפורטים לעל, תוך שאני מביא בחשבון גם את העובדה שהנאשם שהה תקופה של כחודשיים במעצר של ממש, מוליך לכך שאני גוזר על הנאשם כלהלן: </w:t>
      </w:r>
    </w:p>
    <w:p w14:paraId="1BAAE483" w14:textId="77777777" w:rsidR="0091491C" w:rsidRDefault="0091491C" w:rsidP="0091491C">
      <w:pPr>
        <w:spacing w:line="360" w:lineRule="auto"/>
        <w:jc w:val="both"/>
        <w:rPr>
          <w:spacing w:val="22"/>
          <w:sz w:val="18"/>
          <w:szCs w:val="18"/>
          <w:rtl/>
        </w:rPr>
      </w:pPr>
    </w:p>
    <w:p w14:paraId="060D240D" w14:textId="77777777" w:rsidR="0091491C" w:rsidRDefault="0091491C" w:rsidP="0091491C">
      <w:pPr>
        <w:spacing w:line="360" w:lineRule="auto"/>
        <w:jc w:val="both"/>
        <w:rPr>
          <w:spacing w:val="22"/>
          <w:sz w:val="18"/>
          <w:szCs w:val="18"/>
          <w:rtl/>
        </w:rPr>
      </w:pPr>
    </w:p>
    <w:p w14:paraId="412CAB83" w14:textId="77777777" w:rsidR="0091491C" w:rsidRPr="007413DD" w:rsidRDefault="0091491C" w:rsidP="0091491C">
      <w:pPr>
        <w:spacing w:line="360" w:lineRule="auto"/>
        <w:jc w:val="both"/>
        <w:rPr>
          <w:spacing w:val="22"/>
          <w:sz w:val="18"/>
          <w:szCs w:val="18"/>
          <w:rtl/>
        </w:rPr>
      </w:pPr>
    </w:p>
    <w:p w14:paraId="69BCA18B" w14:textId="77777777" w:rsidR="0091491C" w:rsidRDefault="0091491C" w:rsidP="0091491C">
      <w:pPr>
        <w:spacing w:line="360" w:lineRule="auto"/>
        <w:ind w:left="1440" w:hanging="720"/>
        <w:jc w:val="both"/>
        <w:rPr>
          <w:spacing w:val="22"/>
          <w:rtl/>
        </w:rPr>
      </w:pPr>
      <w:r>
        <w:rPr>
          <w:rFonts w:hint="cs"/>
          <w:spacing w:val="22"/>
          <w:rtl/>
        </w:rPr>
        <w:t>א.</w:t>
      </w:r>
      <w:r>
        <w:rPr>
          <w:rFonts w:hint="cs"/>
          <w:spacing w:val="22"/>
          <w:rtl/>
        </w:rPr>
        <w:tab/>
        <w:t xml:space="preserve">מאסר בפועל לתקופת 6 חודשים. במידה שהנאשם יימצא מתאים, ירוצה המאסר בדרך של עבודות שירות. </w:t>
      </w:r>
    </w:p>
    <w:p w14:paraId="048E535A" w14:textId="77777777" w:rsidR="0091491C" w:rsidRDefault="0091491C" w:rsidP="0091491C">
      <w:pPr>
        <w:spacing w:line="360" w:lineRule="auto"/>
        <w:ind w:left="1440" w:hanging="720"/>
        <w:jc w:val="both"/>
        <w:rPr>
          <w:spacing w:val="22"/>
          <w:sz w:val="16"/>
          <w:szCs w:val="16"/>
          <w:rtl/>
        </w:rPr>
      </w:pPr>
    </w:p>
    <w:p w14:paraId="63204EDA" w14:textId="77777777" w:rsidR="0091491C" w:rsidRPr="007413DD" w:rsidRDefault="0091491C" w:rsidP="0091491C">
      <w:pPr>
        <w:spacing w:line="360" w:lineRule="auto"/>
        <w:ind w:left="1440" w:hanging="720"/>
        <w:jc w:val="both"/>
        <w:rPr>
          <w:spacing w:val="22"/>
          <w:sz w:val="16"/>
          <w:szCs w:val="16"/>
          <w:rtl/>
        </w:rPr>
      </w:pPr>
    </w:p>
    <w:p w14:paraId="697DF302" w14:textId="77777777" w:rsidR="0091491C" w:rsidRDefault="0091491C" w:rsidP="0091491C">
      <w:pPr>
        <w:spacing w:line="360" w:lineRule="auto"/>
        <w:ind w:left="1440" w:hanging="720"/>
        <w:jc w:val="both"/>
        <w:rPr>
          <w:spacing w:val="22"/>
          <w:rtl/>
        </w:rPr>
      </w:pPr>
      <w:r>
        <w:rPr>
          <w:rFonts w:hint="cs"/>
          <w:spacing w:val="22"/>
          <w:rtl/>
        </w:rPr>
        <w:t>ב.</w:t>
      </w:r>
      <w:r>
        <w:rPr>
          <w:rFonts w:hint="cs"/>
          <w:spacing w:val="22"/>
          <w:rtl/>
        </w:rPr>
        <w:tab/>
        <w:t xml:space="preserve">מאסר מותנה לתקופת 6 חודשים והתנאי הוא שהנאשם לא יעבור עבירה מסוג פשע בתוך 3 שנים מיום שחרורו ממאסר. </w:t>
      </w:r>
    </w:p>
    <w:p w14:paraId="1FE0908F" w14:textId="77777777" w:rsidR="0091491C" w:rsidRPr="00FF6A2C" w:rsidRDefault="0091491C" w:rsidP="0091491C">
      <w:pPr>
        <w:spacing w:line="360" w:lineRule="auto"/>
        <w:ind w:left="1440" w:hanging="720"/>
        <w:jc w:val="both"/>
        <w:rPr>
          <w:spacing w:val="22"/>
          <w:sz w:val="16"/>
          <w:szCs w:val="16"/>
          <w:rtl/>
        </w:rPr>
      </w:pPr>
    </w:p>
    <w:p w14:paraId="051688F5" w14:textId="77777777" w:rsidR="0091491C" w:rsidRPr="007413DD" w:rsidRDefault="0091491C" w:rsidP="0091491C">
      <w:pPr>
        <w:spacing w:line="360" w:lineRule="auto"/>
        <w:ind w:left="1440" w:hanging="720"/>
        <w:jc w:val="both"/>
        <w:rPr>
          <w:spacing w:val="22"/>
          <w:sz w:val="16"/>
          <w:szCs w:val="16"/>
          <w:rtl/>
        </w:rPr>
      </w:pPr>
    </w:p>
    <w:p w14:paraId="4C90CBA9" w14:textId="77777777" w:rsidR="0091491C" w:rsidRPr="00B85B7C" w:rsidRDefault="0091491C" w:rsidP="0091491C">
      <w:pPr>
        <w:spacing w:line="360" w:lineRule="auto"/>
        <w:ind w:left="1440" w:hanging="720"/>
        <w:jc w:val="both"/>
        <w:rPr>
          <w:spacing w:val="22"/>
          <w:rtl/>
        </w:rPr>
      </w:pPr>
      <w:r>
        <w:rPr>
          <w:rFonts w:hint="cs"/>
          <w:spacing w:val="22"/>
          <w:rtl/>
        </w:rPr>
        <w:t>ג.</w:t>
      </w:r>
      <w:r>
        <w:rPr>
          <w:rFonts w:hint="cs"/>
          <w:spacing w:val="22"/>
          <w:rtl/>
        </w:rPr>
        <w:tab/>
        <w:t xml:space="preserve">קנס כספי בסך 10,000 ₪ או 80 ימי מאסר תמורתם. הקנס ישולם עד 1/10/18. </w:t>
      </w:r>
    </w:p>
    <w:p w14:paraId="69E1F61F" w14:textId="77777777" w:rsidR="0091491C" w:rsidRPr="007413DD" w:rsidRDefault="0091491C" w:rsidP="0091491C">
      <w:pPr>
        <w:spacing w:line="360" w:lineRule="auto"/>
        <w:jc w:val="both"/>
        <w:rPr>
          <w:spacing w:val="22"/>
          <w:sz w:val="18"/>
          <w:szCs w:val="18"/>
          <w:rtl/>
        </w:rPr>
      </w:pPr>
    </w:p>
    <w:p w14:paraId="1CABFA66" w14:textId="77777777" w:rsidR="0091491C" w:rsidRDefault="00352532" w:rsidP="0091491C">
      <w:pPr>
        <w:spacing w:line="360" w:lineRule="auto"/>
        <w:ind w:firstLine="720"/>
        <w:jc w:val="both"/>
        <w:rPr>
          <w:rFonts w:ascii="Arial" w:hAnsi="Arial"/>
          <w:spacing w:val="22"/>
          <w:rtl/>
        </w:rPr>
      </w:pPr>
      <w:r>
        <w:rPr>
          <w:rFonts w:ascii="Arial" w:hAnsi="Arial"/>
          <w:spacing w:val="22"/>
          <w:rtl/>
        </w:rPr>
        <w:t xml:space="preserve">ניתן היום,  כ"ג אלול תשע"ח, 03 ספטמבר 2018, במעמד ב"כ המאשימה, </w:t>
      </w:r>
      <w:r w:rsidR="0091491C">
        <w:rPr>
          <w:rFonts w:ascii="Arial" w:hAnsi="Arial" w:hint="cs"/>
          <w:spacing w:val="22"/>
          <w:rtl/>
        </w:rPr>
        <w:t>ב"כ הנאשם והנאשם בעצמו.</w:t>
      </w:r>
    </w:p>
    <w:p w14:paraId="0CB1ED8E" w14:textId="77777777" w:rsidR="0091491C" w:rsidRDefault="0091491C" w:rsidP="0091491C">
      <w:pPr>
        <w:spacing w:line="360" w:lineRule="auto"/>
        <w:ind w:firstLine="720"/>
        <w:jc w:val="both"/>
        <w:rPr>
          <w:rFonts w:ascii="Arial" w:hAnsi="Arial"/>
          <w:spacing w:val="22"/>
          <w:rtl/>
        </w:rPr>
      </w:pPr>
    </w:p>
    <w:p w14:paraId="20F3138A" w14:textId="77777777" w:rsidR="0091491C" w:rsidRDefault="00352532" w:rsidP="0091491C">
      <w:pPr>
        <w:spacing w:line="360" w:lineRule="auto"/>
        <w:ind w:firstLine="720"/>
        <w:jc w:val="both"/>
        <w:rPr>
          <w:rFonts w:ascii="Arial" w:hAnsi="Arial"/>
          <w:spacing w:val="22"/>
          <w:rtl/>
        </w:rPr>
      </w:pPr>
      <w:r>
        <w:rPr>
          <w:spacing w:val="22"/>
          <w:rtl/>
        </w:rPr>
        <w:t xml:space="preserve"> זכות ערעור לבית משפט העליון בתוך 45 יום מהיום.  </w:t>
      </w:r>
    </w:p>
    <w:p w14:paraId="28415C64" w14:textId="77777777" w:rsidR="0091491C" w:rsidRDefault="0091491C" w:rsidP="0091491C">
      <w:pPr>
        <w:spacing w:line="360" w:lineRule="auto"/>
        <w:ind w:firstLine="720"/>
        <w:jc w:val="both"/>
        <w:rPr>
          <w:rFonts w:ascii="Arial" w:hAnsi="Arial"/>
          <w:spacing w:val="22"/>
          <w:rtl/>
        </w:rPr>
      </w:pPr>
    </w:p>
    <w:p w14:paraId="6E823833" w14:textId="77777777" w:rsidR="0091491C" w:rsidRDefault="0091491C" w:rsidP="0091491C">
      <w:pPr>
        <w:spacing w:line="360" w:lineRule="auto"/>
        <w:ind w:firstLine="720"/>
        <w:jc w:val="both"/>
        <w:rPr>
          <w:rFonts w:ascii="Arial" w:hAnsi="Arial"/>
          <w:spacing w:val="22"/>
          <w:rtl/>
        </w:rPr>
      </w:pPr>
    </w:p>
    <w:p w14:paraId="14B2EE7F" w14:textId="77777777" w:rsidR="0091491C" w:rsidRDefault="0091491C" w:rsidP="0091491C">
      <w:pPr>
        <w:spacing w:line="360" w:lineRule="auto"/>
        <w:ind w:firstLine="720"/>
        <w:jc w:val="both"/>
        <w:rPr>
          <w:rFonts w:ascii="Arial" w:hAnsi="Arial"/>
          <w:spacing w:val="22"/>
          <w:rtl/>
        </w:rPr>
      </w:pPr>
    </w:p>
    <w:p w14:paraId="2F743C41" w14:textId="77777777" w:rsidR="0091491C" w:rsidRPr="00352532" w:rsidRDefault="00352532" w:rsidP="0091491C">
      <w:pPr>
        <w:spacing w:line="360" w:lineRule="auto"/>
        <w:ind w:firstLine="720"/>
        <w:jc w:val="both"/>
        <w:rPr>
          <w:rFonts w:ascii="Arial" w:hAnsi="Arial"/>
          <w:color w:val="FFFFFF"/>
          <w:spacing w:val="22"/>
          <w:sz w:val="2"/>
          <w:szCs w:val="2"/>
          <w:rtl/>
        </w:rPr>
      </w:pPr>
      <w:r w:rsidRPr="00352532">
        <w:rPr>
          <w:rFonts w:ascii="Arial" w:hAnsi="Arial"/>
          <w:color w:val="FFFFFF"/>
          <w:spacing w:val="22"/>
          <w:sz w:val="2"/>
          <w:szCs w:val="2"/>
          <w:rtl/>
        </w:rPr>
        <w:t>5129371</w:t>
      </w:r>
    </w:p>
    <w:tbl>
      <w:tblPr>
        <w:bidiVisual/>
        <w:tblW w:w="0" w:type="auto"/>
        <w:tblInd w:w="5444" w:type="dxa"/>
        <w:tblLook w:val="01E0" w:firstRow="1" w:lastRow="1" w:firstColumn="1" w:lastColumn="1" w:noHBand="0" w:noVBand="0"/>
      </w:tblPr>
      <w:tblGrid>
        <w:gridCol w:w="754"/>
      </w:tblGrid>
      <w:tr w:rsidR="0091491C" w14:paraId="20E2269F" w14:textId="77777777" w:rsidTr="00AA6466">
        <w:tc>
          <w:tcPr>
            <w:tcW w:w="284" w:type="dxa"/>
            <w:tcBorders>
              <w:top w:val="nil"/>
              <w:left w:val="nil"/>
              <w:bottom w:val="single" w:sz="4" w:space="0" w:color="auto"/>
              <w:right w:val="nil"/>
            </w:tcBorders>
            <w:shd w:val="clear" w:color="auto" w:fill="auto"/>
            <w:vAlign w:val="center"/>
          </w:tcPr>
          <w:p w14:paraId="19385358" w14:textId="77777777" w:rsidR="0091491C" w:rsidRPr="00352532" w:rsidRDefault="00352532" w:rsidP="00AA6466">
            <w:pPr>
              <w:jc w:val="center"/>
              <w:rPr>
                <w:rFonts w:ascii="Courier New" w:hAnsi="Courier New"/>
                <w:b/>
                <w:bCs/>
                <w:color w:val="FFFFFF"/>
                <w:sz w:val="2"/>
                <w:szCs w:val="2"/>
              </w:rPr>
            </w:pPr>
            <w:r w:rsidRPr="00352532">
              <w:rPr>
                <w:rFonts w:ascii="Courier New" w:hAnsi="Courier New"/>
                <w:b/>
                <w:bCs/>
                <w:color w:val="FFFFFF"/>
                <w:sz w:val="2"/>
                <w:szCs w:val="2"/>
                <w:rtl/>
              </w:rPr>
              <w:t>54678313</w:t>
            </w:r>
          </w:p>
        </w:tc>
      </w:tr>
      <w:tr w:rsidR="0091491C" w14:paraId="057E7146" w14:textId="77777777" w:rsidTr="00AA6466">
        <w:tc>
          <w:tcPr>
            <w:tcW w:w="284" w:type="dxa"/>
            <w:tcBorders>
              <w:top w:val="single" w:sz="4" w:space="0" w:color="auto"/>
              <w:left w:val="nil"/>
              <w:bottom w:val="nil"/>
              <w:right w:val="nil"/>
            </w:tcBorders>
            <w:shd w:val="clear" w:color="auto" w:fill="auto"/>
            <w:vAlign w:val="center"/>
          </w:tcPr>
          <w:p w14:paraId="1EF05876" w14:textId="77777777" w:rsidR="0091491C" w:rsidRPr="0066058C" w:rsidRDefault="0091491C" w:rsidP="00AA6466">
            <w:pPr>
              <w:spacing w:line="360" w:lineRule="auto"/>
              <w:jc w:val="center"/>
              <w:rPr>
                <w:b/>
                <w:bCs/>
                <w:noProof/>
                <w:rtl/>
              </w:rPr>
            </w:pPr>
            <w:r w:rsidRPr="0066058C">
              <w:rPr>
                <w:rFonts w:hint="cs"/>
                <w:b/>
                <w:bCs/>
                <w:rtl/>
              </w:rPr>
              <w:t>רפי כרמל, שופט</w:t>
            </w:r>
          </w:p>
        </w:tc>
      </w:tr>
    </w:tbl>
    <w:p w14:paraId="5ECC4C11" w14:textId="77777777" w:rsidR="0091491C" w:rsidRDefault="0091491C" w:rsidP="0091491C"/>
    <w:p w14:paraId="5E8F0682" w14:textId="77777777" w:rsidR="0091491C" w:rsidRDefault="0091491C" w:rsidP="0091491C">
      <w:pPr>
        <w:pStyle w:val="a3"/>
        <w:jc w:val="center"/>
        <w:rPr>
          <w:rtl/>
        </w:rPr>
      </w:pPr>
    </w:p>
    <w:p w14:paraId="2FF99D5E" w14:textId="77777777" w:rsidR="0091491C" w:rsidRPr="00C14688" w:rsidRDefault="00C14688" w:rsidP="0091491C">
      <w:pPr>
        <w:rPr>
          <w:color w:val="FFFFFF"/>
          <w:sz w:val="2"/>
          <w:szCs w:val="2"/>
        </w:rPr>
      </w:pPr>
      <w:r w:rsidRPr="00C14688">
        <w:rPr>
          <w:color w:val="FFFFFF"/>
          <w:sz w:val="2"/>
          <w:szCs w:val="2"/>
          <w:rtl/>
        </w:rPr>
        <w:t>5129371</w:t>
      </w:r>
    </w:p>
    <w:p w14:paraId="1616E775" w14:textId="77777777" w:rsidR="00356B11" w:rsidRPr="00C14688" w:rsidRDefault="00C14688" w:rsidP="00352532">
      <w:pPr>
        <w:keepNext/>
        <w:rPr>
          <w:rFonts w:ascii="David" w:hAnsi="David"/>
          <w:color w:val="FFFFFF"/>
          <w:sz w:val="2"/>
          <w:szCs w:val="2"/>
          <w:rtl/>
        </w:rPr>
      </w:pPr>
      <w:r w:rsidRPr="00C14688">
        <w:rPr>
          <w:rFonts w:ascii="David" w:hAnsi="David"/>
          <w:color w:val="FFFFFF"/>
          <w:sz w:val="2"/>
          <w:szCs w:val="2"/>
          <w:rtl/>
        </w:rPr>
        <w:t>54678313</w:t>
      </w:r>
    </w:p>
    <w:p w14:paraId="07BA31D9" w14:textId="77777777" w:rsidR="00352532" w:rsidRDefault="00352532" w:rsidP="00352532">
      <w:pPr>
        <w:rPr>
          <w:rtl/>
        </w:rPr>
      </w:pPr>
    </w:p>
    <w:p w14:paraId="0D170A1B" w14:textId="77777777" w:rsidR="00352532" w:rsidRDefault="00352532" w:rsidP="00352532">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47EB7118" w14:textId="77777777" w:rsidR="00C14688" w:rsidRPr="00C14688" w:rsidRDefault="00C14688" w:rsidP="00C14688">
      <w:pPr>
        <w:keepNext/>
        <w:rPr>
          <w:rFonts w:ascii="David" w:hAnsi="David"/>
          <w:color w:val="000000"/>
          <w:sz w:val="22"/>
          <w:szCs w:val="22"/>
          <w:rtl/>
        </w:rPr>
      </w:pPr>
    </w:p>
    <w:p w14:paraId="2E5E83E8" w14:textId="77777777" w:rsidR="00C14688" w:rsidRPr="00C14688" w:rsidRDefault="00C14688" w:rsidP="00C14688">
      <w:pPr>
        <w:keepNext/>
        <w:rPr>
          <w:rFonts w:ascii="David" w:hAnsi="David"/>
          <w:color w:val="000000"/>
          <w:sz w:val="22"/>
          <w:szCs w:val="22"/>
          <w:rtl/>
        </w:rPr>
      </w:pPr>
      <w:r w:rsidRPr="00C14688">
        <w:rPr>
          <w:rFonts w:ascii="David" w:hAnsi="David"/>
          <w:color w:val="000000"/>
          <w:sz w:val="22"/>
          <w:szCs w:val="22"/>
          <w:rtl/>
        </w:rPr>
        <w:t>רפי כרמל 54678313-/</w:t>
      </w:r>
    </w:p>
    <w:p w14:paraId="7AF71B1E" w14:textId="77777777" w:rsidR="00352532" w:rsidRPr="00352532" w:rsidRDefault="00C14688" w:rsidP="00C14688">
      <w:pPr>
        <w:rPr>
          <w:color w:val="0000FF"/>
          <w:u w:val="single"/>
        </w:rPr>
      </w:pPr>
      <w:r w:rsidRPr="00C14688">
        <w:rPr>
          <w:color w:val="000000"/>
          <w:u w:val="single"/>
          <w:rtl/>
        </w:rPr>
        <w:t>נוסח מסמך זה כפוף לשינויי ניסוח ועריכה</w:t>
      </w:r>
    </w:p>
    <w:sectPr w:rsidR="00352532" w:rsidRPr="00352532" w:rsidSect="00C14688">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81A40" w14:textId="77777777" w:rsidR="00AF46C6" w:rsidRDefault="00AF46C6" w:rsidP="00D22B13">
      <w:r>
        <w:separator/>
      </w:r>
    </w:p>
  </w:endnote>
  <w:endnote w:type="continuationSeparator" w:id="0">
    <w:p w14:paraId="4EABDC22" w14:textId="77777777" w:rsidR="00AF46C6" w:rsidRDefault="00AF46C6" w:rsidP="00D22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FAFA" w14:textId="77777777" w:rsidR="00C14688" w:rsidRDefault="00C14688" w:rsidP="00C146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41131A4" w14:textId="77777777" w:rsidR="00AA6466" w:rsidRPr="00C14688" w:rsidRDefault="00C14688" w:rsidP="00C14688">
    <w:pPr>
      <w:pStyle w:val="a5"/>
      <w:pBdr>
        <w:top w:val="single" w:sz="4" w:space="1" w:color="auto"/>
        <w:between w:val="single" w:sz="4" w:space="0" w:color="auto"/>
      </w:pBdr>
      <w:spacing w:after="60"/>
      <w:jc w:val="center"/>
      <w:rPr>
        <w:rFonts w:ascii="FrankRuehl" w:hAnsi="FrankRuehl" w:cs="FrankRuehl"/>
        <w:color w:val="000000"/>
      </w:rPr>
    </w:pPr>
    <w:r w:rsidRPr="00C146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C22A4" w14:textId="77777777" w:rsidR="00C14688" w:rsidRDefault="00C14688" w:rsidP="00C146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0589">
      <w:rPr>
        <w:rFonts w:ascii="FrankRuehl" w:hAnsi="FrankRuehl" w:cs="FrankRuehl"/>
        <w:noProof/>
        <w:rtl/>
      </w:rPr>
      <w:t>1</w:t>
    </w:r>
    <w:r>
      <w:rPr>
        <w:rFonts w:ascii="FrankRuehl" w:hAnsi="FrankRuehl" w:cs="FrankRuehl"/>
        <w:rtl/>
      </w:rPr>
      <w:fldChar w:fldCharType="end"/>
    </w:r>
  </w:p>
  <w:p w14:paraId="7CC9E336" w14:textId="77777777" w:rsidR="00AA6466" w:rsidRPr="00C14688" w:rsidRDefault="00C14688" w:rsidP="00C14688">
    <w:pPr>
      <w:pStyle w:val="a5"/>
      <w:pBdr>
        <w:top w:val="single" w:sz="4" w:space="1" w:color="auto"/>
        <w:between w:val="single" w:sz="4" w:space="0" w:color="auto"/>
      </w:pBdr>
      <w:spacing w:after="60"/>
      <w:jc w:val="center"/>
      <w:rPr>
        <w:rFonts w:ascii="FrankRuehl" w:hAnsi="FrankRuehl" w:cs="FrankRuehl"/>
        <w:color w:val="000000"/>
      </w:rPr>
    </w:pPr>
    <w:r w:rsidRPr="00C14688">
      <w:rPr>
        <w:rFonts w:ascii="FrankRuehl" w:hAnsi="FrankRuehl" w:cs="FrankRuehl"/>
        <w:color w:val="000000"/>
      </w:rPr>
      <w:pict w14:anchorId="6F42A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49D3B" w14:textId="77777777" w:rsidR="00AF46C6" w:rsidRDefault="00AF46C6" w:rsidP="00D22B13">
      <w:r>
        <w:separator/>
      </w:r>
    </w:p>
  </w:footnote>
  <w:footnote w:type="continuationSeparator" w:id="0">
    <w:p w14:paraId="082B82BB" w14:textId="77777777" w:rsidR="00AF46C6" w:rsidRDefault="00AF46C6" w:rsidP="00D22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F6F24" w14:textId="77777777" w:rsidR="00352532" w:rsidRPr="00C14688" w:rsidRDefault="00C14688" w:rsidP="00C146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31661-09-17</w:t>
    </w:r>
    <w:r>
      <w:rPr>
        <w:rFonts w:ascii="David" w:hAnsi="David"/>
        <w:color w:val="000000"/>
        <w:sz w:val="22"/>
        <w:szCs w:val="22"/>
        <w:rtl/>
      </w:rPr>
      <w:tab/>
      <w:t xml:space="preserve"> מדינת ישראל נ' יואב גלאם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2D3F" w14:textId="77777777" w:rsidR="00352532" w:rsidRPr="00C14688" w:rsidRDefault="00C14688" w:rsidP="00C146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31661-09-17</w:t>
    </w:r>
    <w:r>
      <w:rPr>
        <w:rFonts w:ascii="David" w:hAnsi="David"/>
        <w:color w:val="000000"/>
        <w:sz w:val="22"/>
        <w:szCs w:val="22"/>
        <w:rtl/>
      </w:rPr>
      <w:tab/>
      <w:t xml:space="preserve"> מדינת ישראל נ' יואב גלאם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491C"/>
    <w:rsid w:val="00352532"/>
    <w:rsid w:val="00356B11"/>
    <w:rsid w:val="004C519A"/>
    <w:rsid w:val="005B2271"/>
    <w:rsid w:val="00850589"/>
    <w:rsid w:val="0091491C"/>
    <w:rsid w:val="00AA6466"/>
    <w:rsid w:val="00AF46C6"/>
    <w:rsid w:val="00C14688"/>
    <w:rsid w:val="00D22B13"/>
    <w:rsid w:val="00E33D17"/>
    <w:rsid w:val="00EC4C60"/>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1CDC1C"/>
  <w15:chartTrackingRefBased/>
  <w15:docId w15:val="{E5529DDF-E02D-4C6F-BDE5-2F5CA348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491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491C"/>
    <w:pPr>
      <w:tabs>
        <w:tab w:val="center" w:pos="4153"/>
        <w:tab w:val="right" w:pos="8306"/>
      </w:tabs>
    </w:pPr>
  </w:style>
  <w:style w:type="character" w:customStyle="1" w:styleId="a4">
    <w:name w:val="כותרת עליונה תו"/>
    <w:link w:val="a3"/>
    <w:rsid w:val="0091491C"/>
    <w:rPr>
      <w:rFonts w:ascii="Times New Roman" w:eastAsia="Times New Roman" w:hAnsi="Times New Roman" w:cs="David"/>
      <w:sz w:val="24"/>
      <w:szCs w:val="24"/>
    </w:rPr>
  </w:style>
  <w:style w:type="paragraph" w:styleId="a5">
    <w:name w:val="footer"/>
    <w:basedOn w:val="a"/>
    <w:link w:val="a6"/>
    <w:rsid w:val="0091491C"/>
    <w:pPr>
      <w:tabs>
        <w:tab w:val="center" w:pos="4153"/>
        <w:tab w:val="right" w:pos="8306"/>
      </w:tabs>
    </w:pPr>
  </w:style>
  <w:style w:type="character" w:customStyle="1" w:styleId="a6">
    <w:name w:val="כותרת תחתונה תו"/>
    <w:link w:val="a5"/>
    <w:rsid w:val="0091491C"/>
    <w:rPr>
      <w:rFonts w:ascii="Times New Roman" w:eastAsia="Times New Roman" w:hAnsi="Times New Roman" w:cs="David"/>
      <w:sz w:val="24"/>
      <w:szCs w:val="24"/>
    </w:rPr>
  </w:style>
  <w:style w:type="character" w:styleId="a7">
    <w:name w:val="page number"/>
    <w:rsid w:val="0091491C"/>
  </w:style>
  <w:style w:type="character" w:styleId="Hyperlink">
    <w:name w:val="Hyperlink"/>
    <w:rsid w:val="0035253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c" TargetMode="External"/><Relationship Id="rId13" Type="http://schemas.openxmlformats.org/officeDocument/2006/relationships/hyperlink" Target="http://www.nevo.co.il/law/70301/40c" TargetMode="External"/><Relationship Id="rId18" Type="http://schemas.openxmlformats.org/officeDocument/2006/relationships/hyperlink" Target="http://www.nevo.co.il/law/70301/40b"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0301/40i" TargetMode="External"/><Relationship Id="rId7" Type="http://schemas.openxmlformats.org/officeDocument/2006/relationships/hyperlink" Target="http://www.nevo.co.il/law/70301/40b" TargetMode="External"/><Relationship Id="rId12" Type="http://schemas.openxmlformats.org/officeDocument/2006/relationships/hyperlink" Target="http://www.nevo.co.il/law/70301/40b"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144.b2"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b2" TargetMode="External"/><Relationship Id="rId19" Type="http://schemas.openxmlformats.org/officeDocument/2006/relationships/hyperlink" Target="http://www.nevo.co.il/law/70301/40c" TargetMode="External"/><Relationship Id="rId4" Type="http://schemas.openxmlformats.org/officeDocument/2006/relationships/footnotes" Target="footnotes.xml"/><Relationship Id="rId9" Type="http://schemas.openxmlformats.org/officeDocument/2006/relationships/hyperlink" Target="http://www.nevo.co.il/law/70301/40i" TargetMode="External"/><Relationship Id="rId14" Type="http://schemas.openxmlformats.org/officeDocument/2006/relationships/hyperlink" Target="http://www.nevo.co.il/law/70301/40i"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1235</Words>
  <Characters>6179</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7400</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7995492</vt:i4>
      </vt:variant>
      <vt:variant>
        <vt:i4>33</vt:i4>
      </vt:variant>
      <vt:variant>
        <vt:i4>0</vt:i4>
      </vt:variant>
      <vt:variant>
        <vt:i4>5</vt:i4>
      </vt:variant>
      <vt:variant>
        <vt:lpwstr>http://www.nevo.co.il/law/70301</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2023-12-07T11:45:00Z</dcterms:created>
  <dcterms:modified xsi:type="dcterms:W3CDTF">2023-12-07T11:45:00Z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31661</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יואב גלאם;פנחס גלאם</vt:lpwstr>
  </property>
  <property fmtid="{D5CDD505-2E9C-101B-9397-08002B2CF9AE}" pid="10" name="JUDGE">
    <vt:lpwstr>רפי כרמל</vt:lpwstr>
  </property>
  <property fmtid="{D5CDD505-2E9C-101B-9397-08002B2CF9AE}" pid="11" name="CITY">
    <vt:lpwstr>י-ם</vt:lpwstr>
  </property>
  <property fmtid="{D5CDD505-2E9C-101B-9397-08002B2CF9AE}" pid="12" name="DATE">
    <vt:lpwstr>20180903</vt:lpwstr>
  </property>
  <property fmtid="{D5CDD505-2E9C-101B-9397-08002B2CF9AE}" pid="13" name="TYPE_N_DATE">
    <vt:lpwstr>39020180903</vt:lpwstr>
  </property>
  <property fmtid="{D5CDD505-2E9C-101B-9397-08002B2CF9AE}" pid="14" name="WORDNUMPAGES">
    <vt:lpwstr>5</vt:lpwstr>
  </property>
  <property fmtid="{D5CDD505-2E9C-101B-9397-08002B2CF9AE}" pid="15" name="TYPE_ABS_DATE">
    <vt:lpwstr>390020180903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70301/040b;040c;040i;144.b2</vt:lpwstr>
  </property>
</Properties>
</file>