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090"/>
        <w:gridCol w:w="2415"/>
      </w:tblGrid>
      <w:tr w:rsidR="00083D53" w:rsidRPr="00A940E5" w14:paraId="6D33C293" w14:textId="77777777" w:rsidTr="00F35127">
        <w:trPr>
          <w:trHeight w:hRule="exact" w:val="418"/>
          <w:jc w:val="center"/>
        </w:trPr>
        <w:tc>
          <w:tcPr>
            <w:tcW w:w="8505" w:type="dxa"/>
            <w:gridSpan w:val="2"/>
          </w:tcPr>
          <w:p w14:paraId="057B7B3F" w14:textId="77777777" w:rsidR="00083D53" w:rsidRPr="00A940E5" w:rsidRDefault="00083D53" w:rsidP="00F35127">
            <w:pPr>
              <w:pStyle w:val="a3"/>
              <w:jc w:val="center"/>
              <w:rPr>
                <w:rFonts w:ascii="Tahoma" w:hAnsi="Tahoma" w:cs="Tahoma"/>
                <w:color w:val="000080"/>
                <w:rtl/>
              </w:rPr>
            </w:pPr>
            <w:r w:rsidRPr="00A940E5">
              <w:rPr>
                <w:rFonts w:ascii="Tahoma" w:hAnsi="Tahoma" w:cs="Tahoma"/>
                <w:b/>
                <w:bCs/>
                <w:color w:val="000080"/>
                <w:rtl/>
              </w:rPr>
              <w:t>בית המשפט המחוזי בבאר שבע</w:t>
            </w:r>
          </w:p>
        </w:tc>
      </w:tr>
      <w:tr w:rsidR="00083D53" w:rsidRPr="00A940E5" w14:paraId="243796D1" w14:textId="77777777" w:rsidTr="00F35127">
        <w:trPr>
          <w:trHeight w:val="337"/>
          <w:jc w:val="center"/>
        </w:trPr>
        <w:tc>
          <w:tcPr>
            <w:tcW w:w="6090" w:type="dxa"/>
          </w:tcPr>
          <w:p w14:paraId="75BC856C" w14:textId="77777777" w:rsidR="00083D53" w:rsidRPr="00A940E5" w:rsidRDefault="00083D53" w:rsidP="00F35127">
            <w:pPr>
              <w:rPr>
                <w:b/>
                <w:bCs/>
                <w:sz w:val="28"/>
                <w:szCs w:val="28"/>
                <w:rtl/>
              </w:rPr>
            </w:pPr>
            <w:r w:rsidRPr="00A940E5">
              <w:rPr>
                <w:b/>
                <w:bCs/>
                <w:sz w:val="28"/>
                <w:szCs w:val="28"/>
                <w:rtl/>
              </w:rPr>
              <w:t>ת"פ</w:t>
            </w:r>
            <w:r w:rsidRPr="00A940E5">
              <w:rPr>
                <w:rFonts w:hint="cs"/>
                <w:b/>
                <w:bCs/>
                <w:sz w:val="28"/>
                <w:szCs w:val="28"/>
                <w:rtl/>
              </w:rPr>
              <w:t xml:space="preserve"> </w:t>
            </w:r>
            <w:r w:rsidRPr="00A940E5">
              <w:rPr>
                <w:b/>
                <w:bCs/>
                <w:sz w:val="28"/>
                <w:szCs w:val="28"/>
                <w:rtl/>
              </w:rPr>
              <w:t>32803-12-17</w:t>
            </w:r>
            <w:r w:rsidRPr="00A940E5">
              <w:rPr>
                <w:rFonts w:hint="cs"/>
                <w:b/>
                <w:bCs/>
                <w:sz w:val="28"/>
                <w:szCs w:val="28"/>
                <w:rtl/>
              </w:rPr>
              <w:t xml:space="preserve"> </w:t>
            </w:r>
            <w:r w:rsidRPr="00A940E5">
              <w:rPr>
                <w:b/>
                <w:bCs/>
                <w:sz w:val="28"/>
                <w:szCs w:val="28"/>
                <w:rtl/>
              </w:rPr>
              <w:t>מדינת ישראל נ' אבו עגאג(עציר)</w:t>
            </w:r>
          </w:p>
        </w:tc>
        <w:tc>
          <w:tcPr>
            <w:tcW w:w="2415" w:type="dxa"/>
          </w:tcPr>
          <w:p w14:paraId="5C578289" w14:textId="77777777" w:rsidR="00083D53" w:rsidRPr="00A940E5" w:rsidRDefault="00083D53" w:rsidP="00F35127">
            <w:pPr>
              <w:pStyle w:val="a3"/>
              <w:jc w:val="right"/>
              <w:rPr>
                <w:rFonts w:cs="FrankRuehl"/>
                <w:sz w:val="28"/>
                <w:szCs w:val="28"/>
                <w:rtl/>
              </w:rPr>
            </w:pPr>
          </w:p>
        </w:tc>
      </w:tr>
    </w:tbl>
    <w:p w14:paraId="03A189A0" w14:textId="77777777" w:rsidR="00083D53" w:rsidRPr="00A940E5" w:rsidRDefault="00083D53" w:rsidP="00083D53">
      <w:pPr>
        <w:pStyle w:val="a3"/>
        <w:rPr>
          <w:rtl/>
        </w:rPr>
      </w:pPr>
      <w:r w:rsidRPr="00A940E5">
        <w:rPr>
          <w:rFonts w:hint="cs"/>
          <w:rtl/>
        </w:rPr>
        <w:t xml:space="preserve"> </w:t>
      </w:r>
    </w:p>
    <w:p w14:paraId="67296D5B" w14:textId="77777777" w:rsidR="00083D53" w:rsidRPr="00A940E5" w:rsidRDefault="00083D53" w:rsidP="00083D53">
      <w:pPr>
        <w:spacing w:line="360" w:lineRule="auto"/>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898"/>
        <w:gridCol w:w="2719"/>
        <w:gridCol w:w="871"/>
      </w:tblGrid>
      <w:tr w:rsidR="00F35127" w:rsidRPr="00A940E5" w14:paraId="4AA04571" w14:textId="77777777" w:rsidTr="00083D53">
        <w:trPr>
          <w:gridAfter w:val="1"/>
          <w:wAfter w:w="871" w:type="dxa"/>
          <w:trHeight w:val="295"/>
          <w:jc w:val="center"/>
        </w:trPr>
        <w:tc>
          <w:tcPr>
            <w:tcW w:w="7949" w:type="dxa"/>
            <w:gridSpan w:val="3"/>
            <w:tcBorders>
              <w:top w:val="nil"/>
              <w:left w:val="nil"/>
              <w:bottom w:val="nil"/>
              <w:right w:val="nil"/>
            </w:tcBorders>
            <w:shd w:val="clear" w:color="auto" w:fill="auto"/>
          </w:tcPr>
          <w:p w14:paraId="3B5518AC" w14:textId="77777777" w:rsidR="00083D53" w:rsidRPr="00A940E5" w:rsidRDefault="00083D53" w:rsidP="00083D53">
            <w:pPr>
              <w:spacing w:line="360" w:lineRule="auto"/>
              <w:rPr>
                <w:rFonts w:ascii="Arial" w:hAnsi="Arial"/>
                <w:b/>
                <w:bCs/>
                <w:sz w:val="26"/>
                <w:szCs w:val="26"/>
              </w:rPr>
            </w:pPr>
            <w:r w:rsidRPr="00A940E5">
              <w:rPr>
                <w:rFonts w:ascii="Arial" w:hAnsi="Arial" w:hint="cs"/>
                <w:b/>
                <w:bCs/>
                <w:sz w:val="26"/>
                <w:szCs w:val="26"/>
                <w:rtl/>
              </w:rPr>
              <w:t>בפני כב' ס.הנשיאה, השופט אליהו ביתן</w:t>
            </w:r>
          </w:p>
        </w:tc>
      </w:tr>
      <w:tr w:rsidR="00F35127" w:rsidRPr="00A940E5" w14:paraId="0651D9F1" w14:textId="77777777" w:rsidTr="00083D53">
        <w:trPr>
          <w:trHeight w:val="355"/>
          <w:jc w:val="center"/>
        </w:trPr>
        <w:tc>
          <w:tcPr>
            <w:tcW w:w="1332" w:type="dxa"/>
            <w:tcBorders>
              <w:top w:val="nil"/>
              <w:left w:val="nil"/>
              <w:bottom w:val="nil"/>
              <w:right w:val="nil"/>
            </w:tcBorders>
            <w:shd w:val="clear" w:color="auto" w:fill="auto"/>
          </w:tcPr>
          <w:p w14:paraId="0194DA6B" w14:textId="77777777" w:rsidR="00083D53" w:rsidRPr="00A940E5" w:rsidRDefault="00083D53" w:rsidP="00083D53">
            <w:pPr>
              <w:spacing w:line="360" w:lineRule="auto"/>
              <w:jc w:val="both"/>
              <w:rPr>
                <w:rFonts w:ascii="Arial" w:hAnsi="Arial"/>
                <w:b/>
                <w:bCs/>
                <w:sz w:val="26"/>
                <w:szCs w:val="26"/>
              </w:rPr>
            </w:pPr>
            <w:bookmarkStart w:id="0" w:name="LastJudge"/>
            <w:bookmarkEnd w:id="0"/>
            <w:r w:rsidRPr="00A940E5">
              <w:rPr>
                <w:rFonts w:ascii="Arial" w:hAnsi="Arial" w:hint="cs"/>
                <w:b/>
                <w:bCs/>
                <w:sz w:val="26"/>
                <w:szCs w:val="26"/>
                <w:rtl/>
              </w:rPr>
              <w:t>בעניין:</w:t>
            </w:r>
          </w:p>
        </w:tc>
        <w:tc>
          <w:tcPr>
            <w:tcW w:w="3898" w:type="dxa"/>
            <w:tcBorders>
              <w:top w:val="nil"/>
              <w:left w:val="nil"/>
              <w:bottom w:val="nil"/>
              <w:right w:val="nil"/>
            </w:tcBorders>
            <w:shd w:val="clear" w:color="auto" w:fill="auto"/>
          </w:tcPr>
          <w:p w14:paraId="468BF098" w14:textId="77777777" w:rsidR="00083D53" w:rsidRPr="00A940E5" w:rsidRDefault="00083D53" w:rsidP="00083D53">
            <w:pPr>
              <w:spacing w:line="360" w:lineRule="auto"/>
              <w:rPr>
                <w:rFonts w:ascii="Arial" w:hAnsi="Arial"/>
                <w:b/>
                <w:bCs/>
                <w:sz w:val="26"/>
                <w:szCs w:val="26"/>
              </w:rPr>
            </w:pPr>
          </w:p>
        </w:tc>
        <w:tc>
          <w:tcPr>
            <w:tcW w:w="3590" w:type="dxa"/>
            <w:gridSpan w:val="2"/>
            <w:tcBorders>
              <w:top w:val="nil"/>
              <w:left w:val="nil"/>
              <w:bottom w:val="nil"/>
              <w:right w:val="nil"/>
            </w:tcBorders>
            <w:shd w:val="clear" w:color="auto" w:fill="auto"/>
          </w:tcPr>
          <w:p w14:paraId="0199DA21" w14:textId="77777777" w:rsidR="00083D53" w:rsidRPr="00A940E5" w:rsidRDefault="00083D53" w:rsidP="00083D53">
            <w:pPr>
              <w:spacing w:line="360" w:lineRule="auto"/>
              <w:jc w:val="both"/>
              <w:rPr>
                <w:rFonts w:ascii="Arial" w:hAnsi="Arial"/>
                <w:b/>
                <w:bCs/>
                <w:sz w:val="26"/>
                <w:szCs w:val="26"/>
              </w:rPr>
            </w:pPr>
          </w:p>
        </w:tc>
      </w:tr>
      <w:tr w:rsidR="00F35127" w:rsidRPr="00A940E5" w14:paraId="7C46209D" w14:textId="77777777" w:rsidTr="00083D53">
        <w:trPr>
          <w:trHeight w:val="355"/>
          <w:jc w:val="center"/>
        </w:trPr>
        <w:tc>
          <w:tcPr>
            <w:tcW w:w="1332" w:type="dxa"/>
            <w:tcBorders>
              <w:top w:val="nil"/>
              <w:left w:val="nil"/>
              <w:bottom w:val="nil"/>
              <w:right w:val="nil"/>
            </w:tcBorders>
            <w:shd w:val="clear" w:color="auto" w:fill="auto"/>
          </w:tcPr>
          <w:p w14:paraId="0D229DA4" w14:textId="77777777" w:rsidR="00083D53" w:rsidRPr="00A940E5" w:rsidRDefault="00083D53" w:rsidP="00083D53">
            <w:pPr>
              <w:spacing w:line="360" w:lineRule="auto"/>
              <w:jc w:val="both"/>
              <w:rPr>
                <w:rFonts w:ascii="Arial" w:hAnsi="Arial"/>
                <w:b/>
                <w:bCs/>
                <w:sz w:val="26"/>
                <w:szCs w:val="26"/>
                <w:rtl/>
              </w:rPr>
            </w:pPr>
            <w:bookmarkStart w:id="1" w:name="FirstAppellant"/>
            <w:r w:rsidRPr="00A940E5">
              <w:rPr>
                <w:rFonts w:ascii="Arial" w:hAnsi="Arial" w:hint="cs"/>
                <w:b/>
                <w:bCs/>
                <w:sz w:val="26"/>
                <w:szCs w:val="26"/>
                <w:rtl/>
              </w:rPr>
              <w:t>המאשימה:</w:t>
            </w:r>
          </w:p>
        </w:tc>
        <w:tc>
          <w:tcPr>
            <w:tcW w:w="3898" w:type="dxa"/>
            <w:tcBorders>
              <w:top w:val="nil"/>
              <w:left w:val="nil"/>
              <w:bottom w:val="nil"/>
              <w:right w:val="nil"/>
            </w:tcBorders>
            <w:shd w:val="clear" w:color="auto" w:fill="auto"/>
          </w:tcPr>
          <w:p w14:paraId="04064633" w14:textId="77777777" w:rsidR="00083D53" w:rsidRPr="00A940E5" w:rsidRDefault="00083D53" w:rsidP="00083D53">
            <w:pPr>
              <w:spacing w:line="360" w:lineRule="auto"/>
              <w:jc w:val="both"/>
              <w:rPr>
                <w:rFonts w:ascii="Arial" w:hAnsi="Arial"/>
                <w:b/>
                <w:bCs/>
                <w:sz w:val="26"/>
                <w:szCs w:val="26"/>
                <w:rtl/>
              </w:rPr>
            </w:pPr>
            <w:r w:rsidRPr="00A940E5">
              <w:rPr>
                <w:rFonts w:ascii="Arial" w:hAnsi="Arial" w:hint="cs"/>
                <w:b/>
                <w:bCs/>
                <w:sz w:val="26"/>
                <w:szCs w:val="26"/>
                <w:rtl/>
              </w:rPr>
              <w:t>מדינת ישראל</w:t>
            </w:r>
          </w:p>
        </w:tc>
        <w:tc>
          <w:tcPr>
            <w:tcW w:w="3590" w:type="dxa"/>
            <w:gridSpan w:val="2"/>
            <w:tcBorders>
              <w:top w:val="nil"/>
              <w:left w:val="nil"/>
              <w:bottom w:val="nil"/>
              <w:right w:val="nil"/>
            </w:tcBorders>
            <w:shd w:val="clear" w:color="auto" w:fill="auto"/>
          </w:tcPr>
          <w:p w14:paraId="7FBFCDC6" w14:textId="77777777" w:rsidR="00083D53" w:rsidRPr="00A940E5" w:rsidRDefault="00083D53" w:rsidP="00083D53">
            <w:pPr>
              <w:spacing w:line="360" w:lineRule="auto"/>
              <w:jc w:val="right"/>
              <w:rPr>
                <w:rFonts w:ascii="Arial" w:hAnsi="Arial"/>
                <w:b/>
                <w:bCs/>
                <w:sz w:val="26"/>
                <w:szCs w:val="26"/>
                <w:rtl/>
              </w:rPr>
            </w:pPr>
          </w:p>
        </w:tc>
      </w:tr>
      <w:bookmarkEnd w:id="1"/>
      <w:tr w:rsidR="00F35127" w:rsidRPr="00A940E5" w14:paraId="78731F63" w14:textId="77777777" w:rsidTr="00083D53">
        <w:trPr>
          <w:trHeight w:val="355"/>
          <w:jc w:val="center"/>
        </w:trPr>
        <w:tc>
          <w:tcPr>
            <w:tcW w:w="1332" w:type="dxa"/>
            <w:tcBorders>
              <w:top w:val="nil"/>
              <w:left w:val="nil"/>
              <w:bottom w:val="nil"/>
              <w:right w:val="nil"/>
            </w:tcBorders>
            <w:shd w:val="clear" w:color="auto" w:fill="auto"/>
          </w:tcPr>
          <w:p w14:paraId="295E2AD6" w14:textId="77777777" w:rsidR="00083D53" w:rsidRPr="00A940E5" w:rsidRDefault="00083D53" w:rsidP="00083D53">
            <w:pPr>
              <w:spacing w:line="360" w:lineRule="auto"/>
              <w:jc w:val="both"/>
              <w:rPr>
                <w:rFonts w:ascii="Arial" w:hAnsi="Arial"/>
                <w:b/>
                <w:bCs/>
                <w:sz w:val="26"/>
                <w:szCs w:val="26"/>
                <w:rtl/>
              </w:rPr>
            </w:pPr>
          </w:p>
        </w:tc>
        <w:tc>
          <w:tcPr>
            <w:tcW w:w="7488" w:type="dxa"/>
            <w:gridSpan w:val="3"/>
            <w:tcBorders>
              <w:top w:val="nil"/>
              <w:left w:val="nil"/>
              <w:bottom w:val="nil"/>
              <w:right w:val="nil"/>
            </w:tcBorders>
            <w:shd w:val="clear" w:color="auto" w:fill="auto"/>
          </w:tcPr>
          <w:p w14:paraId="1C9E1AB4" w14:textId="77777777" w:rsidR="00083D53" w:rsidRPr="00A940E5" w:rsidRDefault="00083D53" w:rsidP="00083D53">
            <w:pPr>
              <w:spacing w:line="360" w:lineRule="auto"/>
              <w:jc w:val="center"/>
              <w:rPr>
                <w:rFonts w:ascii="Arial" w:hAnsi="Arial"/>
                <w:b/>
                <w:bCs/>
                <w:sz w:val="26"/>
                <w:szCs w:val="26"/>
              </w:rPr>
            </w:pPr>
            <w:r w:rsidRPr="00A940E5">
              <w:rPr>
                <w:rFonts w:ascii="Arial" w:hAnsi="Arial"/>
                <w:b/>
                <w:bCs/>
                <w:sz w:val="28"/>
                <w:szCs w:val="28"/>
                <w:rtl/>
              </w:rPr>
              <w:t>נגד</w:t>
            </w:r>
          </w:p>
        </w:tc>
      </w:tr>
      <w:tr w:rsidR="00F35127" w:rsidRPr="00A940E5" w14:paraId="7F2B0148" w14:textId="77777777" w:rsidTr="00083D53">
        <w:trPr>
          <w:trHeight w:val="355"/>
          <w:jc w:val="center"/>
        </w:trPr>
        <w:tc>
          <w:tcPr>
            <w:tcW w:w="1332" w:type="dxa"/>
            <w:tcBorders>
              <w:top w:val="nil"/>
              <w:left w:val="nil"/>
              <w:bottom w:val="nil"/>
              <w:right w:val="nil"/>
            </w:tcBorders>
            <w:shd w:val="clear" w:color="auto" w:fill="auto"/>
          </w:tcPr>
          <w:p w14:paraId="73881B6A" w14:textId="77777777" w:rsidR="00083D53" w:rsidRPr="00A940E5" w:rsidRDefault="00083D53" w:rsidP="00083D53">
            <w:pPr>
              <w:spacing w:line="360" w:lineRule="auto"/>
              <w:rPr>
                <w:rFonts w:ascii="Arial" w:hAnsi="Arial"/>
                <w:b/>
                <w:bCs/>
                <w:sz w:val="26"/>
                <w:szCs w:val="26"/>
                <w:rtl/>
              </w:rPr>
            </w:pPr>
            <w:r w:rsidRPr="00A940E5">
              <w:rPr>
                <w:rFonts w:ascii="Arial" w:hAnsi="Arial" w:hint="cs"/>
                <w:b/>
                <w:bCs/>
                <w:sz w:val="26"/>
                <w:szCs w:val="26"/>
                <w:rtl/>
              </w:rPr>
              <w:t>הנאשם:</w:t>
            </w:r>
          </w:p>
        </w:tc>
        <w:tc>
          <w:tcPr>
            <w:tcW w:w="3898" w:type="dxa"/>
            <w:tcBorders>
              <w:top w:val="nil"/>
              <w:left w:val="nil"/>
              <w:bottom w:val="nil"/>
              <w:right w:val="nil"/>
            </w:tcBorders>
            <w:shd w:val="clear" w:color="auto" w:fill="auto"/>
          </w:tcPr>
          <w:p w14:paraId="4790947D" w14:textId="77777777" w:rsidR="00083D53" w:rsidRPr="00A940E5" w:rsidRDefault="00083D53" w:rsidP="00083D53">
            <w:pPr>
              <w:spacing w:line="360" w:lineRule="auto"/>
              <w:rPr>
                <w:rFonts w:ascii="Arial" w:hAnsi="Arial"/>
                <w:b/>
                <w:bCs/>
                <w:sz w:val="26"/>
                <w:szCs w:val="26"/>
                <w:rtl/>
              </w:rPr>
            </w:pPr>
            <w:r w:rsidRPr="00A940E5">
              <w:rPr>
                <w:rFonts w:ascii="Arial" w:hAnsi="Arial"/>
                <w:b/>
                <w:bCs/>
                <w:sz w:val="26"/>
                <w:szCs w:val="26"/>
                <w:rtl/>
              </w:rPr>
              <w:t>עלה אבו עגאג (עציר)</w:t>
            </w:r>
          </w:p>
        </w:tc>
        <w:tc>
          <w:tcPr>
            <w:tcW w:w="3590" w:type="dxa"/>
            <w:gridSpan w:val="2"/>
            <w:tcBorders>
              <w:top w:val="nil"/>
              <w:left w:val="nil"/>
              <w:bottom w:val="nil"/>
              <w:right w:val="nil"/>
            </w:tcBorders>
            <w:shd w:val="clear" w:color="auto" w:fill="auto"/>
          </w:tcPr>
          <w:p w14:paraId="109D574E" w14:textId="77777777" w:rsidR="00083D53" w:rsidRPr="00A940E5" w:rsidRDefault="00083D53" w:rsidP="00083D53">
            <w:pPr>
              <w:spacing w:line="360" w:lineRule="auto"/>
              <w:jc w:val="right"/>
              <w:rPr>
                <w:rFonts w:ascii="Arial" w:hAnsi="Arial"/>
                <w:b/>
                <w:bCs/>
                <w:sz w:val="26"/>
                <w:szCs w:val="26"/>
              </w:rPr>
            </w:pPr>
          </w:p>
        </w:tc>
      </w:tr>
    </w:tbl>
    <w:p w14:paraId="2FDD1EF8" w14:textId="77777777" w:rsidR="00BC1CC5" w:rsidRDefault="00BC1CC5" w:rsidP="00083D53">
      <w:pPr>
        <w:spacing w:line="360" w:lineRule="auto"/>
        <w:rPr>
          <w:rtl/>
        </w:rPr>
      </w:pPr>
      <w:bookmarkStart w:id="2" w:name="LawTable"/>
      <w:bookmarkEnd w:id="2"/>
    </w:p>
    <w:p w14:paraId="50F9D4A7" w14:textId="77777777" w:rsidR="00BC1CC5" w:rsidRPr="00BC1CC5" w:rsidRDefault="00BC1CC5" w:rsidP="00BC1CC5">
      <w:pPr>
        <w:spacing w:after="120" w:line="240" w:lineRule="exact"/>
        <w:ind w:left="283" w:hanging="283"/>
        <w:jc w:val="both"/>
        <w:rPr>
          <w:rFonts w:ascii="FrankRuehl" w:hAnsi="FrankRuehl" w:cs="FrankRuehl"/>
          <w:rtl/>
        </w:rPr>
      </w:pPr>
    </w:p>
    <w:p w14:paraId="1B5FEC3A" w14:textId="77777777" w:rsidR="00BC1CC5" w:rsidRPr="00BC1CC5" w:rsidRDefault="00BC1CC5" w:rsidP="00BC1CC5">
      <w:pPr>
        <w:spacing w:after="120" w:line="240" w:lineRule="exact"/>
        <w:ind w:left="283" w:hanging="283"/>
        <w:jc w:val="both"/>
        <w:rPr>
          <w:rFonts w:ascii="FrankRuehl" w:hAnsi="FrankRuehl" w:cs="FrankRuehl"/>
          <w:rtl/>
        </w:rPr>
      </w:pPr>
      <w:r w:rsidRPr="00BC1CC5">
        <w:rPr>
          <w:rFonts w:ascii="FrankRuehl" w:hAnsi="FrankRuehl" w:cs="FrankRuehl"/>
          <w:rtl/>
        </w:rPr>
        <w:t xml:space="preserve">חקיקה שאוזכרה: </w:t>
      </w:r>
    </w:p>
    <w:p w14:paraId="49F63394" w14:textId="77777777" w:rsidR="00BC1CC5" w:rsidRPr="00BC1CC5" w:rsidRDefault="00BC1CC5" w:rsidP="00BC1CC5">
      <w:pPr>
        <w:spacing w:after="120" w:line="240" w:lineRule="exact"/>
        <w:ind w:left="283" w:hanging="283"/>
        <w:jc w:val="both"/>
        <w:rPr>
          <w:rFonts w:ascii="FrankRuehl" w:hAnsi="FrankRuehl" w:cs="FrankRuehl"/>
          <w:rtl/>
        </w:rPr>
      </w:pPr>
      <w:hyperlink r:id="rId7" w:history="1">
        <w:r w:rsidRPr="00BC1CC5">
          <w:rPr>
            <w:rFonts w:ascii="FrankRuehl" w:hAnsi="FrankRuehl" w:cs="FrankRuehl"/>
            <w:color w:val="0000FF"/>
            <w:u w:val="single"/>
            <w:rtl/>
          </w:rPr>
          <w:t>חוק העונשין, תשל"ז-1977</w:t>
        </w:r>
      </w:hyperlink>
      <w:r w:rsidRPr="00BC1CC5">
        <w:rPr>
          <w:rFonts w:ascii="FrankRuehl" w:hAnsi="FrankRuehl" w:cs="FrankRuehl"/>
          <w:rtl/>
        </w:rPr>
        <w:t xml:space="preserve">: סע'  </w:t>
      </w:r>
      <w:hyperlink r:id="rId8" w:history="1">
        <w:r w:rsidRPr="00BC1CC5">
          <w:rPr>
            <w:rFonts w:ascii="FrankRuehl" w:hAnsi="FrankRuehl" w:cs="FrankRuehl"/>
            <w:color w:val="0000FF"/>
            <w:u w:val="single"/>
            <w:rtl/>
          </w:rPr>
          <w:t>144 (א)</w:t>
        </w:r>
      </w:hyperlink>
      <w:r w:rsidRPr="00BC1CC5">
        <w:rPr>
          <w:rFonts w:ascii="FrankRuehl" w:hAnsi="FrankRuehl" w:cs="FrankRuehl"/>
          <w:rtl/>
        </w:rPr>
        <w:t xml:space="preserve">, </w:t>
      </w:r>
      <w:hyperlink r:id="rId9" w:history="1">
        <w:r w:rsidRPr="00BC1CC5">
          <w:rPr>
            <w:rFonts w:ascii="FrankRuehl" w:hAnsi="FrankRuehl" w:cs="FrankRuehl"/>
            <w:color w:val="0000FF"/>
            <w:u w:val="single"/>
            <w:rtl/>
          </w:rPr>
          <w:t>144 (ב2)</w:t>
        </w:r>
      </w:hyperlink>
    </w:p>
    <w:p w14:paraId="05258BB0" w14:textId="77777777" w:rsidR="00BC1CC5" w:rsidRPr="00BC1CC5" w:rsidRDefault="00BC1CC5" w:rsidP="00BC1CC5">
      <w:pPr>
        <w:spacing w:after="120" w:line="240" w:lineRule="exact"/>
        <w:ind w:left="283" w:hanging="283"/>
        <w:jc w:val="both"/>
        <w:rPr>
          <w:rFonts w:ascii="FrankRuehl" w:hAnsi="FrankRuehl" w:cs="FrankRuehl"/>
          <w:rtl/>
        </w:rPr>
      </w:pPr>
    </w:p>
    <w:p w14:paraId="0C6C8707" w14:textId="77777777" w:rsidR="00BC1CC5" w:rsidRPr="00BC1CC5" w:rsidRDefault="00BC1CC5" w:rsidP="00083D53">
      <w:pPr>
        <w:spacing w:line="360" w:lineRule="auto"/>
        <w:rPr>
          <w:rtl/>
        </w:rPr>
      </w:pPr>
      <w:bookmarkStart w:id="3" w:name="LawTable_End"/>
      <w:bookmarkEnd w:id="3"/>
    </w:p>
    <w:p w14:paraId="3A84D1D6" w14:textId="77777777" w:rsidR="00BC1CC5" w:rsidRPr="00BC1CC5" w:rsidRDefault="00BC1CC5" w:rsidP="00083D53">
      <w:pPr>
        <w:spacing w:line="360" w:lineRule="auto"/>
        <w:rPr>
          <w:rtl/>
        </w:rPr>
      </w:pPr>
    </w:p>
    <w:p w14:paraId="1472E4B9" w14:textId="77777777" w:rsidR="00A940E5" w:rsidRPr="00A940E5" w:rsidRDefault="00A940E5" w:rsidP="00083D53">
      <w:pPr>
        <w:spacing w:line="360" w:lineRule="auto"/>
        <w:rPr>
          <w:rtl/>
        </w:rPr>
      </w:pPr>
    </w:p>
    <w:p w14:paraId="16BD48DA" w14:textId="77777777" w:rsidR="00083D53" w:rsidRPr="00A940E5" w:rsidRDefault="00083D53" w:rsidP="00083D53">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5127" w:rsidRPr="004C04B9" w14:paraId="0E235D46" w14:textId="77777777" w:rsidTr="00083D53">
        <w:trPr>
          <w:trHeight w:val="355"/>
          <w:jc w:val="center"/>
        </w:trPr>
        <w:tc>
          <w:tcPr>
            <w:tcW w:w="8820" w:type="dxa"/>
            <w:tcBorders>
              <w:top w:val="nil"/>
              <w:left w:val="nil"/>
              <w:bottom w:val="nil"/>
              <w:right w:val="nil"/>
            </w:tcBorders>
            <w:shd w:val="clear" w:color="auto" w:fill="auto"/>
          </w:tcPr>
          <w:p w14:paraId="76A09D26" w14:textId="77777777" w:rsidR="00A940E5" w:rsidRPr="00A940E5" w:rsidRDefault="00A940E5" w:rsidP="00A940E5">
            <w:pPr>
              <w:spacing w:line="360" w:lineRule="auto"/>
              <w:jc w:val="center"/>
              <w:rPr>
                <w:rFonts w:ascii="Arial" w:hAnsi="Arial"/>
                <w:b/>
                <w:bCs/>
                <w:sz w:val="28"/>
                <w:szCs w:val="28"/>
                <w:u w:val="single"/>
                <w:rtl/>
              </w:rPr>
            </w:pPr>
            <w:bookmarkStart w:id="4" w:name="PsakDin" w:colFirst="0" w:colLast="0"/>
            <w:r w:rsidRPr="00A940E5">
              <w:rPr>
                <w:rFonts w:ascii="Arial" w:hAnsi="Arial"/>
                <w:b/>
                <w:bCs/>
                <w:sz w:val="28"/>
                <w:szCs w:val="28"/>
                <w:u w:val="single"/>
                <w:rtl/>
              </w:rPr>
              <w:t>גזר דין</w:t>
            </w:r>
          </w:p>
          <w:p w14:paraId="0AB99F5D" w14:textId="77777777" w:rsidR="00083D53" w:rsidRPr="00A940E5" w:rsidRDefault="00083D53" w:rsidP="00A940E5">
            <w:pPr>
              <w:spacing w:line="360" w:lineRule="auto"/>
              <w:jc w:val="center"/>
              <w:rPr>
                <w:rFonts w:ascii="Arial" w:hAnsi="Arial"/>
                <w:b/>
                <w:bCs/>
                <w:sz w:val="28"/>
                <w:szCs w:val="28"/>
                <w:u w:val="single"/>
                <w:rtl/>
              </w:rPr>
            </w:pPr>
          </w:p>
        </w:tc>
      </w:tr>
      <w:bookmarkEnd w:id="4"/>
    </w:tbl>
    <w:p w14:paraId="7DBDF987" w14:textId="77777777" w:rsidR="00083D53" w:rsidRPr="00B05847" w:rsidRDefault="00083D53" w:rsidP="00083D53">
      <w:pPr>
        <w:spacing w:line="360" w:lineRule="auto"/>
        <w:rPr>
          <w:rtl/>
        </w:rPr>
      </w:pPr>
    </w:p>
    <w:p w14:paraId="7C1AAB99" w14:textId="77777777" w:rsidR="00083D53" w:rsidRDefault="00083D53" w:rsidP="00083D53">
      <w:pPr>
        <w:spacing w:line="360" w:lineRule="auto"/>
        <w:ind w:left="720" w:hanging="720"/>
        <w:jc w:val="both"/>
      </w:pPr>
      <w:r>
        <w:rPr>
          <w:rFonts w:hint="cs"/>
          <w:rtl/>
        </w:rPr>
        <w:t>1.</w:t>
      </w:r>
      <w:r>
        <w:rPr>
          <w:rFonts w:hint="cs"/>
          <w:rtl/>
        </w:rPr>
        <w:tab/>
      </w:r>
      <w:bookmarkStart w:id="5" w:name="ABSTRACT_START"/>
      <w:bookmarkEnd w:id="5"/>
      <w:r>
        <w:rPr>
          <w:rFonts w:hint="cs"/>
          <w:rtl/>
        </w:rPr>
        <w:t xml:space="preserve">בטרם שמיעת הראיות הגיעו הצדדים להסדר טיעון במסגרתו כתב האישום שהוגש נגד הנאשם תוקן והנאשם הודה בעובדות כתב האישום המתוקן, שאלה הן עיקריהן - </w:t>
      </w:r>
    </w:p>
    <w:p w14:paraId="2635FAA7" w14:textId="77777777" w:rsidR="00083D53" w:rsidRDefault="00083D53" w:rsidP="00083D53">
      <w:pPr>
        <w:spacing w:line="360" w:lineRule="auto"/>
        <w:ind w:left="720"/>
        <w:jc w:val="both"/>
        <w:rPr>
          <w:rtl/>
        </w:rPr>
      </w:pPr>
    </w:p>
    <w:p w14:paraId="7FDDAC0F" w14:textId="77777777" w:rsidR="00083D53" w:rsidRDefault="00083D53" w:rsidP="00083D53">
      <w:pPr>
        <w:spacing w:line="360" w:lineRule="auto"/>
        <w:ind w:left="720"/>
        <w:jc w:val="both"/>
        <w:rPr>
          <w:rtl/>
        </w:rPr>
      </w:pPr>
      <w:r>
        <w:rPr>
          <w:rFonts w:hint="cs"/>
          <w:rtl/>
        </w:rPr>
        <w:t xml:space="preserve">אישום ראשון - </w:t>
      </w:r>
    </w:p>
    <w:p w14:paraId="761EC204" w14:textId="77777777" w:rsidR="00083D53" w:rsidRDefault="00083D53" w:rsidP="00083D53">
      <w:pPr>
        <w:spacing w:line="360" w:lineRule="auto"/>
        <w:ind w:left="720"/>
        <w:jc w:val="both"/>
        <w:rPr>
          <w:rtl/>
        </w:rPr>
      </w:pPr>
      <w:r>
        <w:rPr>
          <w:rFonts w:hint="cs"/>
          <w:rtl/>
        </w:rPr>
        <w:t xml:space="preserve">בין השנים 2015 עד 2017 הנאשם רכש מאחר, בהזדמנויות רבות, כדורי תחמושת בקוטר 9 מ"מ, בכמות המצטברת לכ- 60,000 כדורים, ושילם תמורתם כ- 156,000 ₪. </w:t>
      </w:r>
    </w:p>
    <w:p w14:paraId="15061C5A" w14:textId="77777777" w:rsidR="00083D53" w:rsidRDefault="00083D53" w:rsidP="00083D53">
      <w:pPr>
        <w:spacing w:line="360" w:lineRule="auto"/>
        <w:ind w:left="720"/>
        <w:jc w:val="both"/>
        <w:rPr>
          <w:rtl/>
        </w:rPr>
      </w:pPr>
    </w:p>
    <w:p w14:paraId="267A56C7" w14:textId="77777777" w:rsidR="00083D53" w:rsidRDefault="00083D53" w:rsidP="00083D53">
      <w:pPr>
        <w:spacing w:line="360" w:lineRule="auto"/>
        <w:ind w:left="720"/>
        <w:jc w:val="both"/>
        <w:rPr>
          <w:rtl/>
        </w:rPr>
      </w:pPr>
      <w:r>
        <w:rPr>
          <w:rFonts w:hint="cs"/>
          <w:rtl/>
        </w:rPr>
        <w:t xml:space="preserve">אישום שני- </w:t>
      </w:r>
    </w:p>
    <w:p w14:paraId="3E5FDEF8" w14:textId="77777777" w:rsidR="00083D53" w:rsidRDefault="00083D53" w:rsidP="00083D53">
      <w:pPr>
        <w:spacing w:line="360" w:lineRule="auto"/>
        <w:ind w:left="720"/>
        <w:jc w:val="both"/>
        <w:rPr>
          <w:rtl/>
        </w:rPr>
      </w:pPr>
      <w:bookmarkStart w:id="6" w:name="ABSTRACT_END"/>
      <w:bookmarkEnd w:id="6"/>
      <w:r>
        <w:rPr>
          <w:rFonts w:hint="cs"/>
          <w:rtl/>
        </w:rPr>
        <w:t xml:space="preserve">בחודש יולי 2017 הנאשם מכר לאחר כ- 39 אריזות תחמושת שבכל אחת מהן היו 50 כדורים בקוטר של 9 מ"מ. הרוכש שילם לנאשם 180 ₪ על כל אריזת תחמושת ועל חלק מהתחמושת הוא שילם לנאשם בזהב. </w:t>
      </w:r>
    </w:p>
    <w:p w14:paraId="7EF99F4A" w14:textId="77777777" w:rsidR="00083D53" w:rsidRDefault="00083D53" w:rsidP="00083D53">
      <w:pPr>
        <w:spacing w:line="360" w:lineRule="auto"/>
        <w:ind w:left="720"/>
        <w:jc w:val="both"/>
        <w:rPr>
          <w:rtl/>
        </w:rPr>
      </w:pPr>
      <w:r>
        <w:rPr>
          <w:rFonts w:hint="cs"/>
          <w:rtl/>
        </w:rPr>
        <w:t xml:space="preserve">בין החודשים ספטמבר-אוקטובר 2017, הנאשם מכר לאחרים כ- 100 אריזות תחמושת וקיבל מהם כ- 16,900 ₪ וכן זהב. </w:t>
      </w:r>
    </w:p>
    <w:p w14:paraId="4960D9DC" w14:textId="77777777" w:rsidR="00083D53" w:rsidRDefault="00083D53" w:rsidP="00083D53">
      <w:pPr>
        <w:spacing w:line="360" w:lineRule="auto"/>
        <w:ind w:left="720"/>
        <w:jc w:val="both"/>
        <w:rPr>
          <w:rtl/>
        </w:rPr>
      </w:pPr>
    </w:p>
    <w:p w14:paraId="2392B00E" w14:textId="77777777" w:rsidR="00083D53" w:rsidRDefault="00083D53" w:rsidP="00083D53">
      <w:pPr>
        <w:spacing w:line="360" w:lineRule="auto"/>
        <w:ind w:left="720"/>
        <w:jc w:val="both"/>
        <w:rPr>
          <w:rtl/>
        </w:rPr>
      </w:pPr>
      <w:r>
        <w:rPr>
          <w:rFonts w:hint="cs"/>
          <w:rtl/>
        </w:rPr>
        <w:t xml:space="preserve">בארבעה מועדים אחרים הנאשם מכר לאחר 22,000 כדורי תחמושת בקוטר 9 מ"מ. </w:t>
      </w:r>
    </w:p>
    <w:p w14:paraId="4D78C87A" w14:textId="77777777" w:rsidR="00083D53" w:rsidRDefault="00083D53" w:rsidP="00083D53">
      <w:pPr>
        <w:spacing w:line="360" w:lineRule="auto"/>
        <w:jc w:val="both"/>
        <w:rPr>
          <w:rtl/>
        </w:rPr>
      </w:pPr>
    </w:p>
    <w:p w14:paraId="2DAFBD6C" w14:textId="77777777" w:rsidR="00083D53" w:rsidRDefault="00083D53" w:rsidP="00083D53">
      <w:pPr>
        <w:spacing w:line="360" w:lineRule="auto"/>
        <w:ind w:left="720" w:hanging="720"/>
        <w:jc w:val="both"/>
        <w:rPr>
          <w:rFonts w:ascii="Arial" w:hAnsi="Arial"/>
          <w:rtl/>
        </w:rPr>
      </w:pPr>
      <w:r>
        <w:rPr>
          <w:rFonts w:hint="cs"/>
          <w:rtl/>
        </w:rPr>
        <w:t>2.</w:t>
      </w:r>
      <w:r>
        <w:rPr>
          <w:rFonts w:hint="cs"/>
          <w:rtl/>
        </w:rPr>
        <w:tab/>
        <w:t xml:space="preserve">על יסוד הודאת הנאשם בעובדות כתב האישום המתוקן, כאמור, הוא הורשע בעבירה של רכישה והחזקת נשק (ריבוי עבירות) לפי סעיף </w:t>
      </w:r>
      <w:hyperlink r:id="rId10" w:history="1">
        <w:r w:rsidR="00681B71" w:rsidRPr="00681B71">
          <w:rPr>
            <w:color w:val="0000FF"/>
            <w:u w:val="single"/>
            <w:rtl/>
          </w:rPr>
          <w:t>144 (א)</w:t>
        </w:r>
      </w:hyperlink>
      <w:r>
        <w:rPr>
          <w:rFonts w:hint="cs"/>
          <w:rtl/>
        </w:rPr>
        <w:t xml:space="preserve"> סיפא ל</w:t>
      </w:r>
      <w:hyperlink r:id="rId11" w:history="1">
        <w:r w:rsidR="00A940E5" w:rsidRPr="00A940E5">
          <w:rPr>
            <w:rStyle w:val="Hyperlink"/>
            <w:rFonts w:hint="eastAsia"/>
            <w:rtl/>
          </w:rPr>
          <w:t>חוק</w:t>
        </w:r>
        <w:r w:rsidR="00A940E5" w:rsidRPr="00A940E5">
          <w:rPr>
            <w:rStyle w:val="Hyperlink"/>
            <w:rtl/>
          </w:rPr>
          <w:t xml:space="preserve"> העונשין</w:t>
        </w:r>
      </w:hyperlink>
      <w:r>
        <w:rPr>
          <w:rFonts w:hint="cs"/>
          <w:rtl/>
        </w:rPr>
        <w:t xml:space="preserve"> תשל"ז-1977 ובעבירה של סחר בנשק (מספר עבירות) לפי סעיף </w:t>
      </w:r>
      <w:hyperlink r:id="rId12" w:history="1">
        <w:r w:rsidR="00681B71" w:rsidRPr="00681B71">
          <w:rPr>
            <w:color w:val="0000FF"/>
            <w:u w:val="single"/>
            <w:rtl/>
          </w:rPr>
          <w:t>144 (ב2)</w:t>
        </w:r>
      </w:hyperlink>
      <w:r>
        <w:rPr>
          <w:rFonts w:hint="cs"/>
          <w:rtl/>
        </w:rPr>
        <w:t xml:space="preserve"> לחוק העונשין תשל"ז-1977.</w:t>
      </w:r>
    </w:p>
    <w:p w14:paraId="4A02AE8D" w14:textId="77777777" w:rsidR="00083D53" w:rsidRDefault="00083D53" w:rsidP="00083D53">
      <w:pPr>
        <w:spacing w:line="360" w:lineRule="auto"/>
        <w:ind w:left="720"/>
        <w:jc w:val="both"/>
        <w:rPr>
          <w:rFonts w:ascii="David" w:hAnsi="David"/>
        </w:rPr>
      </w:pPr>
      <w:r>
        <w:rPr>
          <w:rFonts w:ascii="Arial" w:hAnsi="Arial" w:hint="cs"/>
          <w:rtl/>
        </w:rPr>
        <w:tab/>
      </w:r>
      <w:r>
        <w:rPr>
          <w:rFonts w:hint="cs"/>
          <w:rtl/>
        </w:rPr>
        <w:t xml:space="preserve"> </w:t>
      </w:r>
    </w:p>
    <w:p w14:paraId="63EF3AA7" w14:textId="77777777" w:rsidR="00083D53" w:rsidRDefault="00083D53" w:rsidP="00083D53">
      <w:pPr>
        <w:spacing w:line="360" w:lineRule="auto"/>
        <w:ind w:left="720" w:hanging="720"/>
        <w:jc w:val="both"/>
        <w:rPr>
          <w:rtl/>
        </w:rPr>
      </w:pPr>
      <w:r>
        <w:rPr>
          <w:rFonts w:hint="cs"/>
          <w:rtl/>
        </w:rPr>
        <w:t>3.</w:t>
      </w:r>
      <w:r>
        <w:rPr>
          <w:rFonts w:hint="cs"/>
          <w:rtl/>
        </w:rPr>
        <w:tab/>
        <w:t xml:space="preserve">במסגרת הסדר הטיעון המליצו הצדדים לבית המשפט להטיל על הנאשם 34 חודשי מאסר בפועל מיום מעצרו, מאסר על תנאי וקנס בסך 120,000 ₪. </w:t>
      </w:r>
    </w:p>
    <w:p w14:paraId="6BA9F3EE" w14:textId="77777777" w:rsidR="00083D53" w:rsidRDefault="00083D53" w:rsidP="00083D53">
      <w:pPr>
        <w:spacing w:line="360" w:lineRule="auto"/>
        <w:jc w:val="both"/>
        <w:rPr>
          <w:rtl/>
        </w:rPr>
      </w:pPr>
    </w:p>
    <w:p w14:paraId="71FFD470" w14:textId="77777777" w:rsidR="00083D53" w:rsidRDefault="00083D53" w:rsidP="00083D53">
      <w:pPr>
        <w:spacing w:line="360" w:lineRule="auto"/>
        <w:jc w:val="both"/>
        <w:rPr>
          <w:rtl/>
        </w:rPr>
      </w:pPr>
    </w:p>
    <w:p w14:paraId="7E85CAF0" w14:textId="77777777" w:rsidR="00083D53" w:rsidRDefault="00083D53" w:rsidP="00083D53">
      <w:pPr>
        <w:spacing w:line="360" w:lineRule="auto"/>
        <w:ind w:left="720" w:hanging="720"/>
        <w:jc w:val="both"/>
        <w:rPr>
          <w:rtl/>
        </w:rPr>
      </w:pPr>
      <w:r>
        <w:rPr>
          <w:rFonts w:hint="cs"/>
          <w:rtl/>
        </w:rPr>
        <w:t>4.</w:t>
      </w:r>
      <w:r>
        <w:rPr>
          <w:rFonts w:hint="cs"/>
          <w:rtl/>
        </w:rPr>
        <w:tab/>
        <w:t xml:space="preserve">ב"כ התביעה טענה, כי הסכמת התביעה לעונש המאסר המוצע, המקל עם הנאשם, נובעת בעיקרה ממצבה הבריאותי של בתו של הנאשם, שנולדה לאחר מעצרו. הוסיפה, כי בפרשה זו היו מספר נאשמים במדרגי חומרה שונים. על הנאשם העיקרי נגזרו 50 חודשי מאסר בפועל, ובעניינו של נאשם אחר, שמעשיו חמורים מאלה של הנאשם, הוסכם בין הצדדים כי התביעה תעתור לעונש של 4 שנות מאסר בפועל. נאשמים נוספים, שסחרו בכמות תחמושת קטנה משמעותית מזו שבענייננו, נדונו ל- 12 ו-19 חודשי מאסר בפועל בהסדרים סגורים. עוד ציינה, כי הנאשם שיתף פעולה בחקירתו, הודה והפליל אחרים, ולקח אחריות על מעשיו. ועברו הפלילי אינו כולל הרשעות בעבירות נשק. בסופו של דבר עתרה לקבל את ההסדר וביקשה כי הקנס ישולם לפני סיום המאסר. </w:t>
      </w:r>
    </w:p>
    <w:p w14:paraId="6DC75BEF" w14:textId="77777777" w:rsidR="00083D53" w:rsidRDefault="00083D53" w:rsidP="00083D53">
      <w:pPr>
        <w:spacing w:line="360" w:lineRule="auto"/>
        <w:ind w:left="720" w:hanging="720"/>
        <w:jc w:val="both"/>
        <w:rPr>
          <w:rtl/>
        </w:rPr>
      </w:pPr>
    </w:p>
    <w:p w14:paraId="141EDEAE" w14:textId="77777777" w:rsidR="00083D53" w:rsidRDefault="00083D53" w:rsidP="00083D53">
      <w:pPr>
        <w:spacing w:line="360" w:lineRule="auto"/>
        <w:ind w:left="720" w:hanging="720"/>
        <w:jc w:val="both"/>
        <w:rPr>
          <w:rtl/>
        </w:rPr>
      </w:pPr>
      <w:r>
        <w:rPr>
          <w:rFonts w:hint="cs"/>
          <w:rtl/>
        </w:rPr>
        <w:t>5.</w:t>
      </w:r>
      <w:r>
        <w:rPr>
          <w:rFonts w:hint="cs"/>
          <w:rtl/>
        </w:rPr>
        <w:tab/>
        <w:t xml:space="preserve">ב"כ הנאשם טענה, כי העונש המוצע סביר ומתאים למדרג הענישה של המעורבים האחרים בפרשה. הוסיפה, כי הנאשם הביע צער וחרטה, הודה וחסך זמן שיפוטי. ציינה כי הנאשם בן 32, נשוי ואב לחמישה ילדים, ומצבה הכלכלי של משפחתו קשה מאד. טענה כי בזמן מעצרו נולדה לו תינוקת פגה, שהיתה מאושפזת במשך שבועות ארוכים. כיום מצבה טוב יותר. ביקשה לאמץ את הסדר הטיעון ולקבוע כי הקנס ישולם ב- 40 תשלומים.  </w:t>
      </w:r>
    </w:p>
    <w:p w14:paraId="7F51809D" w14:textId="77777777" w:rsidR="00083D53" w:rsidRDefault="00083D53" w:rsidP="00083D53">
      <w:pPr>
        <w:spacing w:line="360" w:lineRule="auto"/>
        <w:ind w:left="720" w:hanging="720"/>
        <w:jc w:val="both"/>
        <w:rPr>
          <w:rtl/>
        </w:rPr>
      </w:pPr>
    </w:p>
    <w:p w14:paraId="74C00B35" w14:textId="77777777" w:rsidR="00083D53" w:rsidRDefault="00083D53" w:rsidP="00083D53">
      <w:pPr>
        <w:spacing w:line="360" w:lineRule="auto"/>
        <w:ind w:left="720" w:hanging="720"/>
        <w:jc w:val="both"/>
        <w:rPr>
          <w:rtl/>
        </w:rPr>
      </w:pPr>
      <w:r>
        <w:rPr>
          <w:rFonts w:hint="cs"/>
          <w:rtl/>
        </w:rPr>
        <w:tab/>
        <w:t xml:space="preserve">הנאשם הביע חרטה. </w:t>
      </w:r>
    </w:p>
    <w:p w14:paraId="067AD9FB" w14:textId="77777777" w:rsidR="00083D53" w:rsidRDefault="00083D53" w:rsidP="00083D53">
      <w:pPr>
        <w:spacing w:line="360" w:lineRule="auto"/>
        <w:ind w:left="720" w:hanging="720"/>
        <w:jc w:val="both"/>
        <w:rPr>
          <w:rtl/>
        </w:rPr>
      </w:pPr>
    </w:p>
    <w:p w14:paraId="3209310D" w14:textId="77777777" w:rsidR="00083D53" w:rsidRDefault="00083D53" w:rsidP="00083D53">
      <w:pPr>
        <w:spacing w:line="360" w:lineRule="auto"/>
        <w:ind w:left="720" w:hanging="720"/>
        <w:jc w:val="both"/>
        <w:rPr>
          <w:rFonts w:ascii="Arial" w:hAnsi="Arial"/>
          <w:rtl/>
          <w:lang w:eastAsia="he-IL"/>
        </w:rPr>
      </w:pPr>
      <w:r>
        <w:rPr>
          <w:rFonts w:hint="cs"/>
          <w:rtl/>
        </w:rPr>
        <w:t>6.</w:t>
      </w:r>
      <w:r>
        <w:rPr>
          <w:rFonts w:hint="cs"/>
          <w:rtl/>
        </w:rPr>
        <w:tab/>
        <w:t xml:space="preserve">הייעוד הטבעי העיקרי לכדורי תחמושת הנסחרים באופן בלתי חוקי, הוא לשוק העברייני או לשוק הפחע"י. בדרך כלל אין להם שימושים טובים או תמימים. בין כך ובין כך המדובר בשימושים פוגעניים, המסכנים מאוד את שלום הציבור. כמויות התחמושת בהן הנאשם סחר; התקופה הארוכה בה הנאשם ביצע את העבירות; מעשי העבירה החוזרים ונשנים; וסכומי הכסף והזהב ששולמו במסגרת ביצוע העבירות; משווים למעשי הנאשם חומרה רבה מאוד. </w:t>
      </w:r>
    </w:p>
    <w:p w14:paraId="25AB8269" w14:textId="77777777" w:rsidR="00083D53" w:rsidRDefault="00083D53" w:rsidP="00083D53">
      <w:pPr>
        <w:spacing w:line="360" w:lineRule="auto"/>
        <w:ind w:left="1440"/>
        <w:jc w:val="both"/>
        <w:rPr>
          <w:rtl/>
        </w:rPr>
      </w:pPr>
      <w:r>
        <w:rPr>
          <w:rFonts w:ascii="Arial" w:hAnsi="Arial" w:hint="cs"/>
          <w:rtl/>
          <w:lang w:eastAsia="he-IL"/>
        </w:rPr>
        <w:lastRenderedPageBreak/>
        <w:t>"</w:t>
      </w:r>
      <w:r>
        <w:rPr>
          <w:rFonts w:ascii="Arial" w:hAnsi="Arial" w:hint="cs"/>
          <w:b/>
          <w:bCs/>
          <w:rtl/>
          <w:lang w:eastAsia="he-IL"/>
        </w:rPr>
        <w:t>כלי הנשק הנסחרים עלולים לעבור מיד ליד. הם לא נרכשו באופן חוקי וחזקה שהם לא נועדו לשמש מטרה חוקית. גם כשהם נמצאים בידי אדם שאינו עבריין טמונה בהם סכנת חיים. קל וחומר אם הם מתגלגלים ומגיעים לידי גורמים עוינים, ועלינו לקחת בחשבון אפשרות זו, להרתיע מפניה ולמנוע את הסכנה המחמירה והולכת הצפויה מן הסחר בנשק. לכן שומה על בית-המשפט להתריע כנגד סכנה זאת ולפעול כנדרש כדי להרתיע מפני עבירה זאת</w:t>
      </w:r>
      <w:r>
        <w:rPr>
          <w:rFonts w:ascii="Arial" w:hAnsi="Arial" w:hint="cs"/>
          <w:rtl/>
          <w:lang w:eastAsia="he-IL"/>
        </w:rPr>
        <w:t>".</w:t>
      </w:r>
      <w:r>
        <w:rPr>
          <w:rFonts w:ascii="Arial" w:hAnsi="Arial" w:hint="cs"/>
          <w:b/>
          <w:bCs/>
          <w:rtl/>
          <w:lang w:eastAsia="he-IL"/>
        </w:rPr>
        <w:t xml:space="preserve"> (</w:t>
      </w:r>
      <w:hyperlink r:id="rId13" w:history="1">
        <w:r w:rsidR="00A940E5" w:rsidRPr="00A940E5">
          <w:rPr>
            <w:rStyle w:val="Hyperlink"/>
            <w:rFonts w:ascii="Arial" w:hAnsi="Arial" w:hint="eastAsia"/>
            <w:rtl/>
            <w:lang w:eastAsia="he-IL"/>
          </w:rPr>
          <w:t>ע</w:t>
        </w:r>
        <w:r w:rsidR="00A940E5" w:rsidRPr="00A940E5">
          <w:rPr>
            <w:rStyle w:val="Hyperlink"/>
            <w:rFonts w:ascii="Arial" w:hAnsi="Arial"/>
            <w:rtl/>
            <w:lang w:eastAsia="he-IL"/>
          </w:rPr>
          <w:t>"פ 4609/98</w:t>
        </w:r>
      </w:hyperlink>
      <w:r>
        <w:rPr>
          <w:rFonts w:ascii="Arial" w:hAnsi="Arial" w:hint="cs"/>
          <w:rtl/>
          <w:lang w:eastAsia="he-IL"/>
        </w:rPr>
        <w:t xml:space="preserve"> </w:t>
      </w:r>
      <w:r>
        <w:rPr>
          <w:rFonts w:ascii="Arial" w:hAnsi="Arial" w:hint="cs"/>
          <w:b/>
          <w:bCs/>
          <w:rtl/>
          <w:lang w:eastAsia="he-IL"/>
        </w:rPr>
        <w:t>טאהא</w:t>
      </w:r>
      <w:r>
        <w:rPr>
          <w:rFonts w:ascii="Arial" w:hAnsi="Arial" w:hint="cs"/>
          <w:rtl/>
          <w:lang w:eastAsia="he-IL"/>
        </w:rPr>
        <w:t xml:space="preserve"> </w:t>
      </w:r>
      <w:r>
        <w:rPr>
          <w:rFonts w:ascii="Arial" w:hAnsi="Arial" w:hint="cs"/>
          <w:b/>
          <w:bCs/>
          <w:rtl/>
          <w:lang w:eastAsia="he-IL"/>
        </w:rPr>
        <w:t xml:space="preserve">נ' מדינת ישראל, </w:t>
      </w:r>
      <w:r>
        <w:rPr>
          <w:rFonts w:ascii="Arial" w:hAnsi="Arial" w:hint="cs"/>
          <w:rtl/>
          <w:lang w:eastAsia="he-IL"/>
        </w:rPr>
        <w:t>תק - על 99(2) 716).</w:t>
      </w:r>
    </w:p>
    <w:p w14:paraId="3FB6C2F2" w14:textId="77777777" w:rsidR="00083D53" w:rsidRDefault="00083D53" w:rsidP="00083D53">
      <w:pPr>
        <w:spacing w:line="360" w:lineRule="auto"/>
        <w:ind w:left="1440"/>
        <w:jc w:val="both"/>
        <w:rPr>
          <w:rtl/>
        </w:rPr>
      </w:pPr>
    </w:p>
    <w:p w14:paraId="61619EB8" w14:textId="77777777" w:rsidR="00083D53" w:rsidRDefault="00083D53" w:rsidP="00083D53">
      <w:pPr>
        <w:spacing w:line="360" w:lineRule="auto"/>
        <w:ind w:left="1440"/>
        <w:jc w:val="both"/>
        <w:rPr>
          <w:rtl/>
        </w:rPr>
      </w:pPr>
    </w:p>
    <w:p w14:paraId="7912ECC1" w14:textId="77777777" w:rsidR="00083D53" w:rsidRDefault="00083D53" w:rsidP="00083D53">
      <w:pPr>
        <w:spacing w:line="360" w:lineRule="auto"/>
        <w:ind w:left="720" w:hanging="720"/>
        <w:jc w:val="both"/>
        <w:rPr>
          <w:rtl/>
          <w:lang w:eastAsia="he-IL"/>
        </w:rPr>
      </w:pPr>
      <w:r>
        <w:rPr>
          <w:rFonts w:hint="cs"/>
          <w:rtl/>
          <w:lang w:eastAsia="he-IL"/>
        </w:rPr>
        <w:t>7.</w:t>
      </w:r>
      <w:r>
        <w:rPr>
          <w:rFonts w:hint="cs"/>
          <w:rtl/>
          <w:lang w:eastAsia="he-IL"/>
        </w:rPr>
        <w:tab/>
        <w:t xml:space="preserve">לנאשם הרשעה קודמת אחת בעבירות של מסירת ידיעה כוזבת על עבירה מסוג פשע  ונסיון לקבלת דבר במרמה. </w:t>
      </w:r>
    </w:p>
    <w:p w14:paraId="6611A83D" w14:textId="77777777" w:rsidR="00083D53" w:rsidRDefault="00083D53" w:rsidP="00083D53">
      <w:pPr>
        <w:spacing w:line="360" w:lineRule="auto"/>
        <w:jc w:val="both"/>
        <w:rPr>
          <w:rtl/>
        </w:rPr>
      </w:pPr>
    </w:p>
    <w:p w14:paraId="4E701D60" w14:textId="77777777" w:rsidR="00083D53" w:rsidRDefault="00083D53" w:rsidP="00083D53">
      <w:pPr>
        <w:spacing w:line="360" w:lineRule="auto"/>
        <w:ind w:left="720" w:hanging="720"/>
        <w:jc w:val="both"/>
        <w:rPr>
          <w:rtl/>
        </w:rPr>
      </w:pPr>
      <w:r>
        <w:rPr>
          <w:rFonts w:hint="cs"/>
          <w:rtl/>
        </w:rPr>
        <w:t>8.</w:t>
      </w:r>
      <w:r>
        <w:rPr>
          <w:rFonts w:hint="cs"/>
          <w:rtl/>
        </w:rPr>
        <w:tab/>
      </w:r>
      <w:r>
        <w:rPr>
          <w:rFonts w:ascii="Arial" w:hAnsi="Arial" w:hint="cs"/>
          <w:rtl/>
          <w:lang w:eastAsia="he-IL"/>
        </w:rPr>
        <w:t>חומרת מעשי הנאשם בנסיבותיהם, ומידת אשמו של הנאשם, כשלעצמם, מצדיקים תקופת מאסר ארוכה יותר מזו המומלצת על ידי הצדדים.</w:t>
      </w:r>
    </w:p>
    <w:p w14:paraId="3E23D753" w14:textId="77777777" w:rsidR="00083D53" w:rsidRDefault="00083D53" w:rsidP="00083D53">
      <w:pPr>
        <w:spacing w:line="360" w:lineRule="auto"/>
        <w:ind w:left="720" w:hanging="720"/>
        <w:jc w:val="both"/>
        <w:rPr>
          <w:rtl/>
          <w:lang w:eastAsia="he-IL"/>
        </w:rPr>
      </w:pPr>
    </w:p>
    <w:p w14:paraId="000850C4" w14:textId="77777777" w:rsidR="00083D53" w:rsidRDefault="00083D53" w:rsidP="00083D53">
      <w:pPr>
        <w:spacing w:line="360" w:lineRule="auto"/>
        <w:jc w:val="both"/>
        <w:rPr>
          <w:rtl/>
        </w:rPr>
      </w:pPr>
      <w:r>
        <w:rPr>
          <w:rFonts w:hint="cs"/>
          <w:rtl/>
        </w:rPr>
        <w:t>9.</w:t>
      </w:r>
      <w:r>
        <w:rPr>
          <w:rFonts w:hint="cs"/>
          <w:rtl/>
        </w:rPr>
        <w:tab/>
        <w:t>בכל זאת, לאחר ששקלתי בדבר, באתי למסקנה כי יש לכבד את הסדר הטיעון:</w:t>
      </w:r>
    </w:p>
    <w:p w14:paraId="5A0F18DD" w14:textId="77777777" w:rsidR="00083D53" w:rsidRDefault="00083D53" w:rsidP="00083D53">
      <w:pPr>
        <w:numPr>
          <w:ilvl w:val="0"/>
          <w:numId w:val="1"/>
        </w:numPr>
        <w:spacing w:line="360" w:lineRule="auto"/>
        <w:jc w:val="both"/>
        <w:rPr>
          <w:rFonts w:ascii="FrankRuehl" w:hAnsi="FrankRuehl"/>
          <w:color w:val="000000"/>
          <w:lang w:eastAsia="he-IL"/>
        </w:rPr>
      </w:pPr>
      <w:r>
        <w:rPr>
          <w:rFonts w:hint="cs"/>
          <w:b/>
          <w:rtl/>
          <w:lang w:eastAsia="he-IL"/>
        </w:rPr>
        <w:t xml:space="preserve">"הסדר טיעון </w:t>
      </w:r>
      <w:r>
        <w:rPr>
          <w:rFonts w:hint="cs"/>
          <w:rtl/>
          <w:lang w:eastAsia="he-IL"/>
        </w:rPr>
        <w:t>– באשר הוא – אינו רק שיקול אחד ככל יתר השיקולים העומדים בפני בית</w:t>
      </w:r>
      <w:r>
        <w:rPr>
          <w:rFonts w:hint="cs"/>
          <w:vertAlign w:val="superscript"/>
          <w:rtl/>
          <w:lang w:eastAsia="he-IL"/>
        </w:rPr>
        <w:t>-</w:t>
      </w:r>
      <w:r>
        <w:rPr>
          <w:rFonts w:hint="cs"/>
          <w:rtl/>
          <w:lang w:eastAsia="he-I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Pr>
          <w:rFonts w:hint="cs"/>
          <w:vertAlign w:val="superscript"/>
          <w:rtl/>
          <w:lang w:eastAsia="he-IL"/>
        </w:rPr>
        <w:t>-</w:t>
      </w:r>
      <w:r>
        <w:rPr>
          <w:rFonts w:hint="cs"/>
          <w:rtl/>
          <w:lang w:eastAsia="he-I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Pr>
          <w:rFonts w:hint="cs"/>
          <w:vertAlign w:val="superscript"/>
          <w:rtl/>
          <w:lang w:eastAsia="he-IL"/>
        </w:rPr>
        <w:t>-</w:t>
      </w:r>
      <w:r>
        <w:rPr>
          <w:rFonts w:hint="cs"/>
          <w:rtl/>
          <w:lang w:eastAsia="he-IL"/>
        </w:rPr>
        <w:t xml:space="preserve">המשפט יראה לקיים את הסדר הטיעון בשל הטעמים הקשורים בחשיבותם ובמעמדם של הסדרי הטיעון". - </w:t>
      </w:r>
      <w:r>
        <w:rPr>
          <w:rFonts w:ascii="FrankRuehl" w:hAnsi="FrankRuehl" w:hint="cs"/>
          <w:color w:val="000000"/>
          <w:rtl/>
          <w:lang w:eastAsia="he-IL"/>
        </w:rPr>
        <w:t xml:space="preserve">ע"פ </w:t>
      </w:r>
      <w:hyperlink r:id="rId14" w:history="1">
        <w:r w:rsidR="00BC1CC5" w:rsidRPr="00BC1CC5">
          <w:rPr>
            <w:rFonts w:ascii="FrankRuehl" w:hAnsi="FrankRuehl"/>
            <w:color w:val="0000FF"/>
            <w:u w:val="single"/>
            <w:rtl/>
            <w:lang w:eastAsia="he-IL"/>
          </w:rPr>
          <w:t xml:space="preserve">1958/98‏ </w:t>
        </w:r>
      </w:hyperlink>
      <w:r>
        <w:rPr>
          <w:rFonts w:ascii="FrankRuehl" w:hAnsi="FrankRuehl" w:hint="cs"/>
          <w:color w:val="000000"/>
          <w:rtl/>
          <w:lang w:eastAsia="he-IL"/>
        </w:rPr>
        <w:t xml:space="preserve"> פלוני נ' מדינת ישראל, פ''ד נז(1) 577.</w:t>
      </w:r>
    </w:p>
    <w:p w14:paraId="1039AFD4" w14:textId="77777777" w:rsidR="00083D53" w:rsidRPr="003379CB" w:rsidRDefault="00083D53" w:rsidP="00083D53">
      <w:pPr>
        <w:spacing w:line="360" w:lineRule="auto"/>
        <w:ind w:left="1080"/>
        <w:jc w:val="both"/>
        <w:rPr>
          <w:rFonts w:ascii="FrankRuehl" w:hAnsi="FrankRuehl"/>
          <w:color w:val="000000"/>
          <w:rtl/>
          <w:lang w:eastAsia="he-IL"/>
        </w:rPr>
      </w:pPr>
    </w:p>
    <w:p w14:paraId="101B1B74" w14:textId="77777777" w:rsidR="00083D53" w:rsidRDefault="00083D53" w:rsidP="00083D53">
      <w:pPr>
        <w:numPr>
          <w:ilvl w:val="0"/>
          <w:numId w:val="1"/>
        </w:numPr>
        <w:spacing w:line="360" w:lineRule="auto"/>
        <w:jc w:val="both"/>
        <w:rPr>
          <w:rFonts w:ascii="FrankRuehl" w:hAnsi="FrankRuehl"/>
          <w:color w:val="000000"/>
          <w:lang w:eastAsia="he-IL"/>
        </w:rPr>
      </w:pPr>
      <w:r>
        <w:rPr>
          <w:rFonts w:ascii="FrankRuehl" w:hAnsi="FrankRuehl" w:hint="cs"/>
          <w:color w:val="000000"/>
          <w:rtl/>
          <w:lang w:eastAsia="he-IL"/>
        </w:rPr>
        <w:t xml:space="preserve">בכל הרגישות למצבה הבריאותי של בתו התינוקת של הנאשם, נראה לי כי ענין זה קיבל משקל יתר בשיקולי התביעה. ואולם, השאיפה שעונשו של הנאשם יעמוד ביחס מתאים לעונשים של מעורבים אחרים בפרשה שדינם נגזר, בהתחשב במעשי כל אחד מהם, ראויה ונכונה. </w:t>
      </w:r>
    </w:p>
    <w:p w14:paraId="7AF8F6E5" w14:textId="77777777" w:rsidR="00083D53" w:rsidRDefault="00083D53" w:rsidP="00083D53">
      <w:pPr>
        <w:spacing w:line="360" w:lineRule="auto"/>
        <w:ind w:left="1080"/>
        <w:jc w:val="both"/>
        <w:rPr>
          <w:rFonts w:ascii="FrankRuehl" w:hAnsi="FrankRuehl"/>
          <w:color w:val="000000"/>
          <w:rtl/>
          <w:lang w:eastAsia="he-IL"/>
        </w:rPr>
      </w:pPr>
    </w:p>
    <w:p w14:paraId="3C24B384" w14:textId="77777777" w:rsidR="00083D53" w:rsidRPr="003379CB" w:rsidRDefault="00083D53" w:rsidP="00083D53">
      <w:pPr>
        <w:numPr>
          <w:ilvl w:val="0"/>
          <w:numId w:val="1"/>
        </w:numPr>
        <w:spacing w:line="360" w:lineRule="auto"/>
        <w:jc w:val="both"/>
      </w:pPr>
      <w:r>
        <w:rPr>
          <w:rFonts w:ascii="FrankRuehl" w:hAnsi="FrankRuehl" w:hint="cs"/>
          <w:color w:val="000000"/>
          <w:rtl/>
          <w:lang w:eastAsia="he-IL"/>
        </w:rPr>
        <w:t xml:space="preserve">הרשעת הנאשם מבוססת על הודאתו אשר ניתנה במסגרת הסדר טיעון הכולל הסכמה לענין העונש, בציפיה סבירה שבית המשפט יכבד אותו. </w:t>
      </w:r>
    </w:p>
    <w:p w14:paraId="6707A066" w14:textId="77777777" w:rsidR="00083D53" w:rsidRDefault="00083D53" w:rsidP="00083D53">
      <w:pPr>
        <w:spacing w:line="360" w:lineRule="auto"/>
        <w:ind w:left="1080"/>
        <w:jc w:val="both"/>
      </w:pPr>
    </w:p>
    <w:p w14:paraId="2AA153E7" w14:textId="77777777" w:rsidR="00083D53" w:rsidRDefault="00083D53" w:rsidP="00083D53">
      <w:pPr>
        <w:numPr>
          <w:ilvl w:val="0"/>
          <w:numId w:val="1"/>
        </w:numPr>
        <w:spacing w:line="360" w:lineRule="auto"/>
        <w:jc w:val="both"/>
        <w:rPr>
          <w:rFonts w:ascii="FrankRuehl" w:hAnsi="FrankRuehl"/>
          <w:color w:val="000000"/>
          <w:lang w:eastAsia="he-IL"/>
        </w:rPr>
      </w:pPr>
      <w:r>
        <w:rPr>
          <w:rFonts w:ascii="FrankRuehl" w:hAnsi="FrankRuehl" w:hint="cs"/>
          <w:color w:val="000000"/>
          <w:rtl/>
          <w:lang w:eastAsia="he-IL"/>
        </w:rPr>
        <w:t>העונש המוצע בהסדר כולל מאסר בפועל לתקופה ממשית ויש בו לתרום להרתעת הנאשם והציבור. ומכל מקום בהתחשב בהלכות הנוהגות לגבי כיבוד הסדרי טיעון, העונש המוצע אינו כה קל עד כדי הצדקה לדחות את הסדר הטיעון.</w:t>
      </w:r>
    </w:p>
    <w:p w14:paraId="0A1C9F83" w14:textId="77777777" w:rsidR="00083D53" w:rsidRDefault="00083D53" w:rsidP="00083D53">
      <w:pPr>
        <w:spacing w:line="360" w:lineRule="auto"/>
        <w:ind w:left="1080"/>
        <w:jc w:val="both"/>
        <w:rPr>
          <w:rFonts w:ascii="FrankRuehl" w:hAnsi="FrankRuehl"/>
          <w:color w:val="000000"/>
          <w:lang w:eastAsia="he-IL"/>
        </w:rPr>
      </w:pPr>
    </w:p>
    <w:p w14:paraId="072008DC" w14:textId="77777777" w:rsidR="00083D53" w:rsidRPr="003379CB" w:rsidRDefault="00083D53" w:rsidP="00083D53">
      <w:pPr>
        <w:numPr>
          <w:ilvl w:val="0"/>
          <w:numId w:val="1"/>
        </w:numPr>
        <w:spacing w:line="360" w:lineRule="auto"/>
        <w:jc w:val="both"/>
      </w:pPr>
      <w:r>
        <w:rPr>
          <w:rFonts w:ascii="FrankRuehl" w:hAnsi="FrankRuehl" w:hint="cs"/>
          <w:color w:val="000000"/>
          <w:rtl/>
          <w:lang w:eastAsia="he-IL"/>
        </w:rPr>
        <w:t>הודאת הנאשם חסכה זמן ומשאבים של כלל הגורמים המעורבים בניהול המשפט.</w:t>
      </w:r>
    </w:p>
    <w:p w14:paraId="73009019" w14:textId="77777777" w:rsidR="00083D53" w:rsidRDefault="00083D53" w:rsidP="00083D53">
      <w:pPr>
        <w:spacing w:line="360" w:lineRule="auto"/>
        <w:ind w:left="1080"/>
        <w:jc w:val="both"/>
      </w:pPr>
    </w:p>
    <w:p w14:paraId="77A5076A" w14:textId="77777777" w:rsidR="00083D53" w:rsidRDefault="00083D53" w:rsidP="00083D53">
      <w:pPr>
        <w:numPr>
          <w:ilvl w:val="0"/>
          <w:numId w:val="1"/>
        </w:numPr>
        <w:spacing w:line="360" w:lineRule="auto"/>
        <w:jc w:val="both"/>
      </w:pPr>
      <w:r>
        <w:rPr>
          <w:rFonts w:hint="cs"/>
          <w:rtl/>
        </w:rPr>
        <w:t>זהו מאסרו הראשון של הנאשם ויש להניח כי הוא יפגע בנאשם ובמשפחתו הגרעינית.</w:t>
      </w:r>
    </w:p>
    <w:p w14:paraId="111A62EC" w14:textId="77777777" w:rsidR="00083D53" w:rsidRPr="003379CB" w:rsidRDefault="00083D53" w:rsidP="00083D53">
      <w:pPr>
        <w:spacing w:line="360" w:lineRule="auto"/>
        <w:jc w:val="both"/>
        <w:rPr>
          <w:rFonts w:ascii="FrankRuehl" w:hAnsi="FrankRuehl"/>
          <w:color w:val="000000"/>
          <w:lang w:eastAsia="he-IL"/>
        </w:rPr>
      </w:pPr>
    </w:p>
    <w:p w14:paraId="3C51C37D" w14:textId="77777777" w:rsidR="00083D53" w:rsidRDefault="00083D53" w:rsidP="00083D53">
      <w:pPr>
        <w:spacing w:line="360" w:lineRule="auto"/>
        <w:jc w:val="both"/>
        <w:rPr>
          <w:rFonts w:ascii="FrankRuehl" w:hAnsi="FrankRuehl"/>
          <w:color w:val="000000"/>
          <w:rtl/>
          <w:lang w:eastAsia="he-IL"/>
        </w:rPr>
      </w:pPr>
      <w:r>
        <w:rPr>
          <w:rFonts w:ascii="FrankRuehl" w:hAnsi="FrankRuehl" w:hint="cs"/>
          <w:color w:val="000000"/>
          <w:rtl/>
          <w:lang w:eastAsia="he-IL"/>
        </w:rPr>
        <w:t xml:space="preserve">10. </w:t>
      </w:r>
      <w:r>
        <w:rPr>
          <w:rFonts w:ascii="FrankRuehl" w:hAnsi="FrankRuehl" w:hint="cs"/>
          <w:color w:val="000000"/>
          <w:rtl/>
          <w:lang w:eastAsia="he-IL"/>
        </w:rPr>
        <w:tab/>
        <w:t>נוכח כל האמור אני דן את הנאשם לעונשים הבאים:</w:t>
      </w:r>
    </w:p>
    <w:p w14:paraId="27C55E64" w14:textId="77777777" w:rsidR="00083D53" w:rsidRDefault="00083D53" w:rsidP="00083D53">
      <w:pPr>
        <w:spacing w:line="360" w:lineRule="auto"/>
        <w:jc w:val="both"/>
        <w:rPr>
          <w:rFonts w:ascii="FrankRuehl" w:hAnsi="FrankRuehl"/>
          <w:color w:val="000000"/>
          <w:rtl/>
          <w:lang w:eastAsia="he-IL"/>
        </w:rPr>
      </w:pPr>
    </w:p>
    <w:p w14:paraId="59C2DCD9" w14:textId="77777777" w:rsidR="00083D53" w:rsidRDefault="00083D53" w:rsidP="00083D53">
      <w:pPr>
        <w:numPr>
          <w:ilvl w:val="0"/>
          <w:numId w:val="2"/>
        </w:numPr>
        <w:spacing w:line="360" w:lineRule="auto"/>
        <w:jc w:val="both"/>
        <w:rPr>
          <w:rFonts w:ascii="FrankRuehl" w:hAnsi="FrankRuehl"/>
          <w:color w:val="000000"/>
          <w:rtl/>
          <w:lang w:eastAsia="he-IL"/>
        </w:rPr>
      </w:pPr>
      <w:r>
        <w:rPr>
          <w:rFonts w:ascii="FrankRuehl" w:hAnsi="FrankRuehl" w:hint="cs"/>
          <w:color w:val="000000"/>
          <w:rtl/>
          <w:lang w:eastAsia="he-IL"/>
        </w:rPr>
        <w:t>34 חודשי מאסר בפועל, מיום מעצרו.</w:t>
      </w:r>
    </w:p>
    <w:p w14:paraId="239F455A" w14:textId="77777777" w:rsidR="00083D53" w:rsidRDefault="00083D53" w:rsidP="00083D53">
      <w:pPr>
        <w:numPr>
          <w:ilvl w:val="0"/>
          <w:numId w:val="2"/>
        </w:numPr>
        <w:spacing w:line="360" w:lineRule="auto"/>
        <w:jc w:val="both"/>
        <w:rPr>
          <w:rFonts w:ascii="FrankRuehl" w:hAnsi="FrankRuehl"/>
          <w:color w:val="000000"/>
          <w:rtl/>
          <w:lang w:eastAsia="he-IL"/>
        </w:rPr>
      </w:pPr>
      <w:r>
        <w:rPr>
          <w:rFonts w:ascii="FrankRuehl" w:hAnsi="FrankRuehl" w:hint="cs"/>
          <w:color w:val="000000"/>
          <w:rtl/>
          <w:lang w:eastAsia="he-IL"/>
        </w:rPr>
        <w:t>12 חודשי מאסר על תנאי למשך 3 שנים מיום שחרורו מהמאסר, שלא יעבור</w:t>
      </w:r>
    </w:p>
    <w:p w14:paraId="30346357" w14:textId="77777777" w:rsidR="00083D53" w:rsidRDefault="00083D53" w:rsidP="00083D53">
      <w:pPr>
        <w:spacing w:line="360" w:lineRule="auto"/>
        <w:ind w:left="915" w:firstLine="720"/>
        <w:jc w:val="both"/>
        <w:rPr>
          <w:rFonts w:ascii="FrankRuehl" w:hAnsi="FrankRuehl"/>
          <w:color w:val="000000"/>
          <w:lang w:eastAsia="he-IL"/>
        </w:rPr>
      </w:pPr>
      <w:r>
        <w:rPr>
          <w:rFonts w:ascii="FrankRuehl" w:hAnsi="FrankRuehl" w:hint="cs"/>
          <w:color w:val="000000"/>
          <w:rtl/>
          <w:lang w:eastAsia="he-IL"/>
        </w:rPr>
        <w:t>עבירת נשק המסווגת כפשע.</w:t>
      </w:r>
    </w:p>
    <w:p w14:paraId="64D3CBAF" w14:textId="77777777" w:rsidR="00083D53" w:rsidRDefault="00083D53" w:rsidP="00083D53">
      <w:pPr>
        <w:numPr>
          <w:ilvl w:val="0"/>
          <w:numId w:val="2"/>
        </w:numPr>
        <w:spacing w:line="360" w:lineRule="auto"/>
        <w:jc w:val="both"/>
        <w:rPr>
          <w:rFonts w:ascii="FrankRuehl" w:hAnsi="FrankRuehl"/>
          <w:color w:val="000000"/>
          <w:rtl/>
          <w:lang w:eastAsia="he-IL"/>
        </w:rPr>
      </w:pPr>
      <w:r>
        <w:rPr>
          <w:rFonts w:hint="cs"/>
          <w:rtl/>
          <w:lang w:eastAsia="he-IL"/>
        </w:rPr>
        <w:t>קנס בסך 120,000 ₪ או 8 חודשי מאסר תחתיו.</w:t>
      </w:r>
      <w:r>
        <w:rPr>
          <w:rFonts w:ascii="FrankRuehl" w:hAnsi="FrankRuehl" w:hint="cs"/>
          <w:color w:val="000000"/>
          <w:rtl/>
          <w:lang w:eastAsia="he-IL"/>
        </w:rPr>
        <w:t xml:space="preserve"> הקנס ישולם ב-24 תשלומים חודשיים שווים ורצופים החל מיום 1.12.18. תשלום שלא ישולם במועדו יעמיד את כל יתרת הסכום לפרעון מיידי. </w:t>
      </w:r>
    </w:p>
    <w:p w14:paraId="2C39D291" w14:textId="77777777" w:rsidR="00083D53" w:rsidRDefault="00083D53" w:rsidP="00083D53">
      <w:pPr>
        <w:spacing w:line="360" w:lineRule="auto"/>
        <w:jc w:val="both"/>
        <w:rPr>
          <w:rFonts w:ascii="FrankRuehl" w:hAnsi="FrankRuehl"/>
          <w:color w:val="000000"/>
          <w:rtl/>
          <w:lang w:eastAsia="he-IL"/>
        </w:rPr>
      </w:pPr>
      <w:r>
        <w:rPr>
          <w:rFonts w:ascii="FrankRuehl" w:hAnsi="FrankRuehl" w:hint="cs"/>
          <w:color w:val="000000"/>
          <w:rtl/>
          <w:lang w:eastAsia="he-IL"/>
        </w:rPr>
        <w:tab/>
      </w:r>
    </w:p>
    <w:p w14:paraId="414FBDEC" w14:textId="77777777" w:rsidR="00083D53" w:rsidRDefault="00083D53" w:rsidP="00083D53">
      <w:pPr>
        <w:spacing w:line="360" w:lineRule="auto"/>
        <w:jc w:val="both"/>
        <w:rPr>
          <w:rFonts w:ascii="FrankRuehl" w:hAnsi="FrankRuehl"/>
          <w:color w:val="000000"/>
          <w:rtl/>
          <w:lang w:eastAsia="he-IL"/>
        </w:rPr>
      </w:pPr>
    </w:p>
    <w:p w14:paraId="2B35D7E2" w14:textId="77777777" w:rsidR="00083D53" w:rsidRDefault="00083D53" w:rsidP="00083D53">
      <w:pPr>
        <w:spacing w:line="360" w:lineRule="auto"/>
        <w:ind w:left="720"/>
        <w:jc w:val="both"/>
        <w:rPr>
          <w:rFonts w:ascii="FrankRuehl" w:hAnsi="FrankRuehl"/>
          <w:b/>
          <w:bCs/>
          <w:color w:val="000000"/>
          <w:rtl/>
          <w:lang w:eastAsia="he-IL"/>
        </w:rPr>
      </w:pPr>
      <w:r>
        <w:rPr>
          <w:rFonts w:ascii="FrankRuehl" w:hAnsi="FrankRuehl" w:hint="cs"/>
          <w:b/>
          <w:bCs/>
          <w:color w:val="000000"/>
          <w:rtl/>
          <w:lang w:eastAsia="he-IL"/>
        </w:rPr>
        <w:t>זכות ערעור תוך 45 יום.</w:t>
      </w:r>
    </w:p>
    <w:p w14:paraId="4BA7C813" w14:textId="77777777" w:rsidR="00083D53" w:rsidRPr="00A940E5" w:rsidRDefault="00A940E5" w:rsidP="00083D53">
      <w:pPr>
        <w:spacing w:line="360" w:lineRule="auto"/>
        <w:rPr>
          <w:color w:val="FFFFFF"/>
          <w:sz w:val="2"/>
          <w:szCs w:val="2"/>
          <w:rtl/>
        </w:rPr>
      </w:pPr>
      <w:r w:rsidRPr="00A940E5">
        <w:rPr>
          <w:color w:val="FFFFFF"/>
          <w:sz w:val="2"/>
          <w:szCs w:val="2"/>
          <w:rtl/>
        </w:rPr>
        <w:t>5129371</w:t>
      </w:r>
    </w:p>
    <w:p w14:paraId="7EB36BF9" w14:textId="77777777" w:rsidR="00083D53" w:rsidRPr="00A940E5" w:rsidRDefault="00A940E5" w:rsidP="00083D53">
      <w:pPr>
        <w:spacing w:line="360" w:lineRule="auto"/>
        <w:rPr>
          <w:color w:val="FFFFFF"/>
          <w:sz w:val="2"/>
          <w:szCs w:val="2"/>
          <w:rtl/>
        </w:rPr>
      </w:pPr>
      <w:r w:rsidRPr="00A940E5">
        <w:rPr>
          <w:color w:val="FFFFFF"/>
          <w:sz w:val="2"/>
          <w:szCs w:val="2"/>
          <w:rtl/>
        </w:rPr>
        <w:t>54678313</w:t>
      </w:r>
    </w:p>
    <w:p w14:paraId="44421EF3" w14:textId="77777777" w:rsidR="00083D53" w:rsidRDefault="00A940E5" w:rsidP="00083D53">
      <w:pPr>
        <w:spacing w:line="360" w:lineRule="auto"/>
        <w:jc w:val="center"/>
      </w:pPr>
      <w:r>
        <w:rPr>
          <w:rFonts w:ascii="Arial" w:hAnsi="Arial"/>
          <w:rtl/>
        </w:rPr>
        <w:t xml:space="preserve">ניתן היום,  כ' חשוון תשע"ט, 29 אוקטובר 2018, בנוכחות הצדדים. </w:t>
      </w:r>
      <w:r w:rsidR="00083D53">
        <w:rPr>
          <w:rFonts w:hint="cs"/>
          <w:rtl/>
        </w:rPr>
        <w:t xml:space="preserve">   </w:t>
      </w:r>
      <w:r w:rsidR="00083D53">
        <w:rPr>
          <w:rFonts w:hint="cs"/>
          <w:rtl/>
        </w:rPr>
        <w:tab/>
      </w:r>
      <w:r w:rsidR="00083D53">
        <w:rPr>
          <w:rFonts w:hint="cs"/>
          <w:rtl/>
        </w:rPr>
        <w:tab/>
      </w:r>
      <w:r w:rsidR="00083D53">
        <w:rPr>
          <w:rFonts w:hint="cs"/>
          <w:rtl/>
        </w:rPr>
        <w:tab/>
      </w:r>
      <w:r w:rsidR="00083D53">
        <w:rPr>
          <w:rFonts w:hint="cs"/>
          <w:rtl/>
        </w:rPr>
        <w:tab/>
      </w:r>
      <w:r w:rsidR="00083D53">
        <w:rPr>
          <w:rFonts w:hint="cs"/>
          <w:rtl/>
        </w:rPr>
        <w:tab/>
      </w:r>
      <w:r w:rsidR="00083D53">
        <w:rPr>
          <w:rtl/>
        </w:rPr>
        <w:t xml:space="preserve">     </w:t>
      </w:r>
    </w:p>
    <w:p w14:paraId="37AA34E8" w14:textId="77777777" w:rsidR="00083D53" w:rsidRDefault="00083D53" w:rsidP="00083D53">
      <w:pPr>
        <w:spacing w:line="360" w:lineRule="auto"/>
        <w:jc w:val="center"/>
        <w:rPr>
          <w:rFonts w:ascii="Arial" w:hAnsi="Arial" w:cs="FrankRuehl"/>
          <w:sz w:val="28"/>
          <w:szCs w:val="28"/>
          <w:rtl/>
        </w:rPr>
      </w:pPr>
    </w:p>
    <w:p w14:paraId="17BC7FF3" w14:textId="77777777" w:rsidR="00083D53" w:rsidRDefault="00083D53" w:rsidP="00083D53">
      <w:pPr>
        <w:spacing w:line="360" w:lineRule="auto"/>
        <w:rPr>
          <w:rFonts w:cs="FrankRuehl"/>
          <w:sz w:val="28"/>
          <w:szCs w:val="28"/>
          <w:rtl/>
        </w:rPr>
      </w:pPr>
    </w:p>
    <w:p w14:paraId="358554AF" w14:textId="77777777" w:rsidR="00083D53" w:rsidRDefault="00083D53" w:rsidP="00083D53">
      <w:pPr>
        <w:pStyle w:val="a3"/>
        <w:spacing w:line="360" w:lineRule="auto"/>
        <w:jc w:val="center"/>
        <w:rPr>
          <w:rtl/>
        </w:rPr>
      </w:pPr>
    </w:p>
    <w:p w14:paraId="570E9B62" w14:textId="77777777" w:rsidR="00057586" w:rsidRPr="00A940E5" w:rsidRDefault="00057586" w:rsidP="00A940E5">
      <w:pPr>
        <w:keepNext/>
        <w:rPr>
          <w:rFonts w:ascii="David" w:hAnsi="David"/>
          <w:color w:val="000000"/>
          <w:sz w:val="22"/>
          <w:szCs w:val="22"/>
          <w:rtl/>
        </w:rPr>
      </w:pPr>
    </w:p>
    <w:p w14:paraId="666BE853" w14:textId="77777777" w:rsidR="00A940E5" w:rsidRPr="00A940E5" w:rsidRDefault="00A940E5" w:rsidP="00A940E5">
      <w:pPr>
        <w:keepNext/>
        <w:rPr>
          <w:rFonts w:ascii="David" w:hAnsi="David"/>
          <w:color w:val="000000"/>
          <w:sz w:val="22"/>
          <w:szCs w:val="22"/>
          <w:rtl/>
        </w:rPr>
      </w:pPr>
      <w:r w:rsidRPr="00A940E5">
        <w:rPr>
          <w:rFonts w:ascii="David" w:hAnsi="David"/>
          <w:color w:val="000000"/>
          <w:sz w:val="22"/>
          <w:szCs w:val="22"/>
          <w:rtl/>
        </w:rPr>
        <w:t>ס.ה 54678313</w:t>
      </w:r>
    </w:p>
    <w:p w14:paraId="54BC9D4E" w14:textId="77777777" w:rsidR="00A940E5" w:rsidRDefault="00A940E5" w:rsidP="00A940E5">
      <w:r w:rsidRPr="00A940E5">
        <w:rPr>
          <w:color w:val="000000"/>
          <w:rtl/>
        </w:rPr>
        <w:t>נוסח מסמך זה כפוף לשינויי ניסוח ועריכה</w:t>
      </w:r>
    </w:p>
    <w:p w14:paraId="62EB9B6A" w14:textId="77777777" w:rsidR="00A940E5" w:rsidRDefault="00A940E5" w:rsidP="00A940E5">
      <w:pPr>
        <w:rPr>
          <w:rtl/>
        </w:rPr>
      </w:pPr>
    </w:p>
    <w:p w14:paraId="03B628CC" w14:textId="77777777" w:rsidR="00A940E5" w:rsidRDefault="00A940E5" w:rsidP="00A940E5">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7E47D42D" w14:textId="77777777" w:rsidR="00A940E5" w:rsidRPr="00A940E5" w:rsidRDefault="00A940E5" w:rsidP="00A940E5">
      <w:pPr>
        <w:jc w:val="center"/>
        <w:rPr>
          <w:color w:val="0000FF"/>
          <w:u w:val="single"/>
        </w:rPr>
      </w:pPr>
    </w:p>
    <w:sectPr w:rsidR="00A940E5" w:rsidRPr="00A940E5" w:rsidSect="00A940E5">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1CF3B" w14:textId="77777777" w:rsidR="000418E5" w:rsidRDefault="000418E5" w:rsidP="0078025F">
      <w:r>
        <w:separator/>
      </w:r>
    </w:p>
  </w:endnote>
  <w:endnote w:type="continuationSeparator" w:id="0">
    <w:p w14:paraId="26591AB7" w14:textId="77777777" w:rsidR="000418E5" w:rsidRDefault="000418E5" w:rsidP="0078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0C37" w14:textId="77777777" w:rsidR="00A940E5" w:rsidRDefault="00A940E5" w:rsidP="00A940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2C86762" w14:textId="77777777" w:rsidR="00F35127" w:rsidRPr="00A940E5" w:rsidRDefault="00A940E5" w:rsidP="00A940E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DCE9" w14:textId="77777777" w:rsidR="00A940E5" w:rsidRDefault="00A940E5" w:rsidP="00A940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1CEA">
      <w:rPr>
        <w:rFonts w:ascii="FrankRuehl" w:hAnsi="FrankRuehl" w:cs="FrankRuehl"/>
        <w:noProof/>
        <w:rtl/>
      </w:rPr>
      <w:t>1</w:t>
    </w:r>
    <w:r>
      <w:rPr>
        <w:rFonts w:ascii="FrankRuehl" w:hAnsi="FrankRuehl" w:cs="FrankRuehl"/>
        <w:rtl/>
      </w:rPr>
      <w:fldChar w:fldCharType="end"/>
    </w:r>
  </w:p>
  <w:p w14:paraId="492D8D1E" w14:textId="77777777" w:rsidR="00F35127" w:rsidRPr="00A940E5" w:rsidRDefault="00A940E5" w:rsidP="00A940E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772A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1C2D" w14:textId="77777777" w:rsidR="000418E5" w:rsidRDefault="000418E5" w:rsidP="0078025F">
      <w:r>
        <w:separator/>
      </w:r>
    </w:p>
  </w:footnote>
  <w:footnote w:type="continuationSeparator" w:id="0">
    <w:p w14:paraId="4E415C69" w14:textId="77777777" w:rsidR="000418E5" w:rsidRDefault="000418E5" w:rsidP="00780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A9C7" w14:textId="77777777" w:rsidR="00A940E5" w:rsidRPr="00A940E5" w:rsidRDefault="00A940E5" w:rsidP="00A940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32803-12-17</w:t>
    </w:r>
    <w:r>
      <w:rPr>
        <w:rFonts w:ascii="David" w:hAnsi="David"/>
        <w:color w:val="000000"/>
        <w:sz w:val="22"/>
        <w:szCs w:val="22"/>
        <w:rtl/>
      </w:rPr>
      <w:tab/>
      <w:t xml:space="preserve"> מדינת ישראל נ' עלה אבו עגאג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500B" w14:textId="77777777" w:rsidR="00A940E5" w:rsidRPr="00A940E5" w:rsidRDefault="00A940E5" w:rsidP="00A940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32803-12-17</w:t>
    </w:r>
    <w:r>
      <w:rPr>
        <w:rFonts w:ascii="David" w:hAnsi="David"/>
        <w:color w:val="000000"/>
        <w:sz w:val="22"/>
        <w:szCs w:val="22"/>
        <w:rtl/>
      </w:rPr>
      <w:tab/>
      <w:t xml:space="preserve"> מדינת ישראל נ' עלה אבו עגאג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F2DBE"/>
    <w:multiLevelType w:val="hybridMultilevel"/>
    <w:tmpl w:val="C21E898C"/>
    <w:lvl w:ilvl="0" w:tplc="F9165C64">
      <w:start w:val="1"/>
      <w:numFmt w:val="hebrew1"/>
      <w:lvlText w:val="%1."/>
      <w:lvlJc w:val="left"/>
      <w:pPr>
        <w:tabs>
          <w:tab w:val="num" w:pos="1080"/>
        </w:tabs>
        <w:ind w:left="1080" w:hanging="360"/>
      </w:pPr>
      <w:rPr>
        <w:rFonts w:ascii="Times New Roman" w:hAnsi="Times New Roman" w:cs="Times New Roman" w:hint="default"/>
        <w:color w:val="auto"/>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7A334589"/>
    <w:multiLevelType w:val="hybridMultilevel"/>
    <w:tmpl w:val="D0DAC160"/>
    <w:lvl w:ilvl="0" w:tplc="F15285C8">
      <w:start w:val="1"/>
      <w:numFmt w:val="hebrew1"/>
      <w:lvlText w:val="%1."/>
      <w:lvlJc w:val="left"/>
      <w:pPr>
        <w:ind w:left="1635" w:hanging="915"/>
      </w:pPr>
      <w:rPr>
        <w:rFonts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80821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98580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3D53"/>
    <w:rsid w:val="000418E5"/>
    <w:rsid w:val="00057586"/>
    <w:rsid w:val="00061CEA"/>
    <w:rsid w:val="00083D53"/>
    <w:rsid w:val="00422F5B"/>
    <w:rsid w:val="0044208B"/>
    <w:rsid w:val="00484447"/>
    <w:rsid w:val="00681B71"/>
    <w:rsid w:val="0078025F"/>
    <w:rsid w:val="00856606"/>
    <w:rsid w:val="00A940E5"/>
    <w:rsid w:val="00BC1CC5"/>
    <w:rsid w:val="00D04F8E"/>
    <w:rsid w:val="00F351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C4675DB"/>
  <w15:chartTrackingRefBased/>
  <w15:docId w15:val="{91B759A2-4839-40CB-815D-8D73CE9D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3D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3D53"/>
    <w:pPr>
      <w:tabs>
        <w:tab w:val="center" w:pos="4153"/>
        <w:tab w:val="right" w:pos="8306"/>
      </w:tabs>
    </w:pPr>
  </w:style>
  <w:style w:type="character" w:customStyle="1" w:styleId="a4">
    <w:name w:val="כותרת עליונה תו"/>
    <w:link w:val="a3"/>
    <w:rsid w:val="00083D53"/>
    <w:rPr>
      <w:rFonts w:ascii="Times New Roman" w:eastAsia="Times New Roman" w:hAnsi="Times New Roman" w:cs="David"/>
      <w:sz w:val="24"/>
      <w:szCs w:val="24"/>
    </w:rPr>
  </w:style>
  <w:style w:type="paragraph" w:styleId="a5">
    <w:name w:val="footer"/>
    <w:basedOn w:val="a"/>
    <w:link w:val="a6"/>
    <w:rsid w:val="00083D53"/>
    <w:pPr>
      <w:tabs>
        <w:tab w:val="center" w:pos="4153"/>
        <w:tab w:val="right" w:pos="8306"/>
      </w:tabs>
    </w:pPr>
  </w:style>
  <w:style w:type="character" w:customStyle="1" w:styleId="a6">
    <w:name w:val="כותרת תחתונה תו"/>
    <w:link w:val="a5"/>
    <w:rsid w:val="00083D53"/>
    <w:rPr>
      <w:rFonts w:ascii="Times New Roman" w:eastAsia="Times New Roman" w:hAnsi="Times New Roman" w:cs="David"/>
      <w:sz w:val="24"/>
      <w:szCs w:val="24"/>
    </w:rPr>
  </w:style>
  <w:style w:type="table" w:styleId="a7">
    <w:name w:val="Table Grid"/>
    <w:basedOn w:val="a1"/>
    <w:rsid w:val="00083D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3D53"/>
  </w:style>
  <w:style w:type="paragraph" w:styleId="a9">
    <w:name w:val="Balloon Text"/>
    <w:basedOn w:val="a"/>
    <w:link w:val="aa"/>
    <w:rsid w:val="00083D53"/>
    <w:rPr>
      <w:rFonts w:ascii="Tahoma" w:hAnsi="Tahoma" w:cs="Tahoma"/>
      <w:sz w:val="16"/>
      <w:szCs w:val="16"/>
    </w:rPr>
  </w:style>
  <w:style w:type="character" w:customStyle="1" w:styleId="aa">
    <w:name w:val="טקסט בלונים תו"/>
    <w:link w:val="a9"/>
    <w:rsid w:val="00083D53"/>
    <w:rPr>
      <w:rFonts w:ascii="Tahoma" w:eastAsia="Times New Roman" w:hAnsi="Tahoma" w:cs="Tahoma"/>
      <w:sz w:val="16"/>
      <w:szCs w:val="16"/>
    </w:rPr>
  </w:style>
  <w:style w:type="character" w:styleId="Hyperlink">
    <w:name w:val="Hyperlink"/>
    <w:rsid w:val="00A940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707014"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case/591065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4872</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5835</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3276920</vt:i4>
      </vt:variant>
      <vt:variant>
        <vt:i4>21</vt:i4>
      </vt:variant>
      <vt:variant>
        <vt:i4>0</vt:i4>
      </vt:variant>
      <vt:variant>
        <vt:i4>5</vt:i4>
      </vt:variant>
      <vt:variant>
        <vt:lpwstr>http://www.nevo.co.il/case/5910650</vt:lpwstr>
      </vt:variant>
      <vt:variant>
        <vt:lpwstr/>
      </vt:variant>
      <vt:variant>
        <vt:i4>3211381</vt:i4>
      </vt:variant>
      <vt:variant>
        <vt:i4>18</vt:i4>
      </vt:variant>
      <vt:variant>
        <vt:i4>0</vt:i4>
      </vt:variant>
      <vt:variant>
        <vt:i4>5</vt:i4>
      </vt:variant>
      <vt:variant>
        <vt:lpwstr>http://www.nevo.co.il/case/5707014</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2023-12-07T11:45:00Z</dcterms:created>
  <dcterms:modified xsi:type="dcterms:W3CDTF">2023-12-07T11:45:00Z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32803</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עלה אבו עגאג</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20181029</vt:lpwstr>
  </property>
  <property fmtid="{D5CDD505-2E9C-101B-9397-08002B2CF9AE}" pid="13" name="TYPE_N_DATE">
    <vt:lpwstr>39020181029</vt:lpwstr>
  </property>
  <property fmtid="{D5CDD505-2E9C-101B-9397-08002B2CF9AE}" pid="14" name="WORDNUMPAGES">
    <vt:lpwstr>4</vt:lpwstr>
  </property>
  <property fmtid="{D5CDD505-2E9C-101B-9397-08002B2CF9AE}" pid="15" name="TYPE_ABS_DATE">
    <vt:lpwstr>390020181029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5707014;5910650</vt:lpwstr>
  </property>
  <property fmtid="{D5CDD505-2E9C-101B-9397-08002B2CF9AE}" pid="36" name="LAWLISTTMP1">
    <vt:lpwstr>70301/144.a;144.b2</vt:lpwstr>
  </property>
</Properties>
</file>