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Tahoma-bold.ttf" ContentType="application/x-font-ttf"/>
  <Override PartName="/word/fonts/Tahoma-regular.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721.0" w:type="dxa"/>
        <w:jc w:val="center"/>
        <w:tblLayout w:type="fixed"/>
        <w:tblLook w:val="0000"/>
      </w:tblPr>
      <w:tblGrid>
        <w:gridCol w:w="5054"/>
        <w:gridCol w:w="3667"/>
        <w:tblGridChange w:id="0">
          <w:tblGrid>
            <w:gridCol w:w="5054"/>
            <w:gridCol w:w="3667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gridSpan w:val="2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בית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המשפט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המחוזי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מרכז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-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לוד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40313-09-15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מדינת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ישראל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'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סמארה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bidi w:val="1"/>
        <w:spacing w:after="12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88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3"/>
        <w:gridCol w:w="4126"/>
        <w:gridCol w:w="3771"/>
        <w:tblGridChange w:id="0">
          <w:tblGrid>
            <w:gridCol w:w="923"/>
            <w:gridCol w:w="4126"/>
            <w:gridCol w:w="3771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bidi w:val="1"/>
              <w:spacing w:after="120"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בפני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bidi w:val="1"/>
              <w:spacing w:after="12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כבוד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השופט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עמי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קובו</w:t>
            </w:r>
          </w:p>
          <w:p w:rsidR="00000000" w:rsidDel="00000000" w:rsidP="00000000" w:rsidRDefault="00000000" w:rsidRPr="00000000" w14:paraId="0000000C">
            <w:pPr>
              <w:bidi w:val="1"/>
              <w:spacing w:after="120"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bidi w:val="1"/>
              <w:spacing w:after="120"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bookmarkStart w:colFirst="0" w:colLast="0" w:name="bookmark=id.30j0zll" w:id="1"/>
          <w:bookmarkEnd w:id="1"/>
          <w:p w:rsidR="00000000" w:rsidDel="00000000" w:rsidP="00000000" w:rsidRDefault="00000000" w:rsidRPr="00000000" w14:paraId="0000000F">
            <w:pPr>
              <w:bidi w:val="1"/>
              <w:spacing w:after="120" w:line="360" w:lineRule="auto"/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בעניין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bidi w:val="1"/>
              <w:spacing w:after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מדינת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ישראל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bidi w:val="1"/>
              <w:spacing w:after="120" w:line="360" w:lineRule="auto"/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bidi w:val="1"/>
              <w:spacing w:after="120" w:line="360" w:lineRule="auto"/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bidi w:val="1"/>
              <w:spacing w:after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bidi w:val="1"/>
              <w:spacing w:after="120" w:line="360" w:lineRule="auto"/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המאשימה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bidi w:val="1"/>
              <w:spacing w:after="120" w:line="360" w:lineRule="auto"/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bidi w:val="1"/>
              <w:spacing w:after="120" w:line="360" w:lineRule="auto"/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bidi w:val="1"/>
              <w:spacing w:after="120" w:line="360" w:lineRule="auto"/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נגד</w:t>
            </w:r>
          </w:p>
          <w:p w:rsidR="00000000" w:rsidDel="00000000" w:rsidP="00000000" w:rsidRDefault="00000000" w:rsidRPr="00000000" w14:paraId="00000018">
            <w:pPr>
              <w:bidi w:val="1"/>
              <w:spacing w:after="120" w:line="360" w:lineRule="auto"/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bidi w:val="1"/>
              <w:spacing w:after="120" w:line="360" w:lineRule="auto"/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bidi w:val="1"/>
              <w:spacing w:after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השאם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סמארה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bidi w:val="1"/>
              <w:spacing w:after="120" w:line="360" w:lineRule="auto"/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bidi w:val="1"/>
              <w:spacing w:after="120" w:line="360" w:lineRule="auto"/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bidi w:val="1"/>
              <w:spacing w:after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bidi w:val="1"/>
              <w:spacing w:after="120" w:line="360" w:lineRule="auto"/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הנאשם</w:t>
            </w:r>
          </w:p>
        </w:tc>
      </w:tr>
    </w:tbl>
    <w:p w:rsidR="00000000" w:rsidDel="00000000" w:rsidP="00000000" w:rsidRDefault="00000000" w:rsidRPr="00000000" w14:paraId="00000020">
      <w:pPr>
        <w:bidi w:val="1"/>
        <w:spacing w:after="120" w:line="360" w:lineRule="auto"/>
        <w:rPr/>
      </w:pP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21">
      <w:pPr>
        <w:bidi w:val="1"/>
        <w:spacing w:after="120" w:line="360" w:lineRule="auto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לוגסי</w:t>
      </w:r>
    </w:p>
    <w:p w:rsidR="00000000" w:rsidDel="00000000" w:rsidP="00000000" w:rsidRDefault="00000000" w:rsidRPr="00000000" w14:paraId="00000022">
      <w:pPr>
        <w:bidi w:val="1"/>
        <w:spacing w:after="120" w:line="360" w:lineRule="auto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עוה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</w:t>
      </w:r>
      <w:bookmarkStart w:colFirst="0" w:colLast="0" w:name="bookmark=id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120" w:line="240" w:lineRule="auto"/>
        <w:ind w:left="283" w:hanging="283"/>
        <w:jc w:val="both"/>
        <w:rPr>
          <w:rFonts w:ascii="FrankRuehl" w:cs="FrankRuehl" w:eastAsia="FrankRuehl" w:hAnsi="FrankRueh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120" w:line="240" w:lineRule="auto"/>
        <w:ind w:left="283" w:hanging="283"/>
        <w:jc w:val="both"/>
        <w:rPr>
          <w:rFonts w:ascii="FrankRuehl" w:cs="FrankRuehl" w:eastAsia="FrankRuehl" w:hAnsi="FrankRuehl"/>
        </w:rPr>
      </w:pPr>
      <w:r w:rsidDel="00000000" w:rsidR="00000000" w:rsidRPr="00000000">
        <w:rPr>
          <w:rFonts w:ascii="FrankRuehl" w:cs="FrankRuehl" w:eastAsia="FrankRuehl" w:hAnsi="FrankRuehl"/>
          <w:rtl w:val="1"/>
        </w:rPr>
        <w:t xml:space="preserve">חקיקה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שאוזכרה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: </w:t>
      </w:r>
    </w:p>
    <w:p w:rsidR="00000000" w:rsidDel="00000000" w:rsidP="00000000" w:rsidRDefault="00000000" w:rsidRPr="00000000" w14:paraId="00000025">
      <w:pPr>
        <w:bidi w:val="1"/>
        <w:spacing w:after="120" w:line="240" w:lineRule="auto"/>
        <w:ind w:left="283" w:hanging="283"/>
        <w:jc w:val="both"/>
        <w:rPr>
          <w:rFonts w:ascii="FrankRuehl" w:cs="FrankRuehl" w:eastAsia="FrankRuehl" w:hAnsi="FrankRuehl"/>
        </w:rPr>
      </w:pPr>
      <w:hyperlink r:id="rId9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חוק</w:t>
        </w:r>
      </w:hyperlink>
      <w:hyperlink r:id="rId10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 </w:t>
        </w:r>
      </w:hyperlink>
      <w:hyperlink r:id="rId11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העונשין</w:t>
        </w:r>
      </w:hyperlink>
      <w:hyperlink r:id="rId12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, </w:t>
        </w:r>
      </w:hyperlink>
      <w:hyperlink r:id="rId13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תשל</w:t>
        </w:r>
      </w:hyperlink>
      <w:hyperlink r:id="rId14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"</w:t>
        </w:r>
      </w:hyperlink>
      <w:hyperlink r:id="rId15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ז</w:t>
        </w:r>
      </w:hyperlink>
      <w:hyperlink r:id="rId16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-1977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: 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סע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'  </w:t>
      </w:r>
      <w:hyperlink r:id="rId17">
        <w:r w:rsidDel="00000000" w:rsidR="00000000" w:rsidRPr="00000000">
          <w:rPr>
            <w:rtl w:val="0"/>
          </w:rPr>
        </w:r>
      </w:hyperlink>
      <w:hyperlink r:id="rId18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40 </w:t>
        </w:r>
      </w:hyperlink>
      <w:hyperlink r:id="rId19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ט</w:t>
        </w:r>
      </w:hyperlink>
      <w:hyperlink r:id="rId20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'</w:t>
        </w:r>
      </w:hyperlink>
      <w:r w:rsidDel="00000000" w:rsidR="00000000" w:rsidRPr="00000000">
        <w:rPr>
          <w:rFonts w:ascii="FrankRuehl" w:cs="FrankRuehl" w:eastAsia="FrankRuehl" w:hAnsi="FrankRuehl"/>
          <w:rtl w:val="0"/>
        </w:rPr>
        <w:t xml:space="preserve">, </w:t>
      </w:r>
      <w:hyperlink r:id="rId21">
        <w:r w:rsidDel="00000000" w:rsidR="00000000" w:rsidRPr="00000000">
          <w:rPr>
            <w:rtl w:val="0"/>
          </w:rPr>
        </w:r>
      </w:hyperlink>
      <w:hyperlink r:id="rId22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144(</w:t>
        </w:r>
      </w:hyperlink>
      <w:hyperlink r:id="rId23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א</w:t>
        </w:r>
      </w:hyperlink>
      <w:hyperlink r:id="rId24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Fonts w:ascii="FrankRuehl" w:cs="FrankRuehl" w:eastAsia="FrankRuehl" w:hAnsi="FrankRuehl"/>
          <w:rtl w:val="0"/>
        </w:rPr>
        <w:t xml:space="preserve">, </w:t>
      </w:r>
      <w:hyperlink r:id="rId25">
        <w:r w:rsidDel="00000000" w:rsidR="00000000" w:rsidRPr="00000000">
          <w:rPr>
            <w:rtl w:val="0"/>
          </w:rPr>
        </w:r>
      </w:hyperlink>
      <w:hyperlink r:id="rId26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144(</w:t>
        </w:r>
      </w:hyperlink>
      <w:hyperlink r:id="rId27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ב</w:t>
        </w:r>
      </w:hyperlink>
      <w:hyperlink r:id="rId28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Fonts w:ascii="FrankRuehl" w:cs="FrankRuehl" w:eastAsia="FrankRuehl" w:hAnsi="FrankRuehl"/>
          <w:rtl w:val="0"/>
        </w:rPr>
        <w:t xml:space="preserve">, </w:t>
      </w:r>
      <w:hyperlink r:id="rId29">
        <w:r w:rsidDel="00000000" w:rsidR="00000000" w:rsidRPr="00000000">
          <w:rPr>
            <w:rtl w:val="0"/>
          </w:rPr>
        </w:r>
      </w:hyperlink>
      <w:hyperlink r:id="rId30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40 </w:t>
        </w:r>
      </w:hyperlink>
      <w:hyperlink r:id="rId31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יא</w:t>
        </w:r>
      </w:hyperlink>
      <w:hyperlink r:id="rId32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'</w:t>
        </w:r>
      </w:hyperlink>
      <w:r w:rsidDel="00000000" w:rsidR="00000000" w:rsidRPr="00000000">
        <w:rPr>
          <w:rFonts w:ascii="FrankRuehl" w:cs="FrankRuehl" w:eastAsia="FrankRuehl" w:hAnsi="FrankRuehl"/>
          <w:rtl w:val="0"/>
        </w:rPr>
        <w:t xml:space="preserve">, </w:t>
      </w:r>
      <w:hyperlink r:id="rId33">
        <w:r w:rsidDel="00000000" w:rsidR="00000000" w:rsidRPr="00000000">
          <w:rPr>
            <w:rtl w:val="0"/>
          </w:rPr>
        </w:r>
      </w:hyperlink>
      <w:hyperlink r:id="rId34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40 </w:t>
        </w:r>
      </w:hyperlink>
      <w:hyperlink r:id="rId35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יג</w:t>
        </w:r>
      </w:hyperlink>
      <w:hyperlink r:id="rId36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'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120" w:line="240" w:lineRule="auto"/>
        <w:ind w:left="283" w:hanging="283"/>
        <w:jc w:val="both"/>
        <w:rPr>
          <w:rFonts w:ascii="FrankRuehl" w:cs="FrankRuehl" w:eastAsia="FrankRuehl" w:hAnsi="FrankRuehl"/>
        </w:rPr>
      </w:pP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27">
      <w:pPr>
        <w:bidi w:val="1"/>
        <w:spacing w:after="12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88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bookmarkStart w:colFirst="0" w:colLast="0" w:name="bookmark=id.tyjcwt" w:id="5"/>
          <w:bookmarkEnd w:id="5"/>
          <w:p w:rsidR="00000000" w:rsidDel="00000000" w:rsidP="00000000" w:rsidRDefault="00000000" w:rsidRPr="00000000" w14:paraId="00000028">
            <w:pPr>
              <w:bidi w:val="1"/>
              <w:spacing w:after="120" w:line="360" w:lineRule="auto"/>
              <w:jc w:val="center"/>
              <w:rPr>
                <w:rFonts w:ascii="Arial" w:cs="Arial" w:eastAsia="Arial" w:hAnsi="Arial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u w:val="single"/>
                <w:rtl w:val="1"/>
              </w:rPr>
              <w:t xml:space="preserve">גזר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u w:val="single"/>
                <w:rtl w:val="1"/>
              </w:rPr>
              <w:t xml:space="preserve">דין</w:t>
            </w:r>
          </w:p>
        </w:tc>
      </w:tr>
    </w:tbl>
    <w:p w:rsidR="00000000" w:rsidDel="00000000" w:rsidP="00000000" w:rsidRDefault="00000000" w:rsidRPr="00000000" w14:paraId="00000029">
      <w:pPr>
        <w:bidi w:val="1"/>
        <w:spacing w:after="120" w:line="360" w:lineRule="auto"/>
        <w:jc w:val="both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רקע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2A">
      <w:pPr>
        <w:numPr>
          <w:ilvl w:val="0"/>
          <w:numId w:val="1"/>
        </w:numPr>
        <w:bidi w:val="1"/>
        <w:spacing w:after="120" w:line="360" w:lineRule="auto"/>
        <w:ind w:left="720" w:hanging="72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הורשע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להודאתו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בעובדות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כתב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המתוקן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בעבירות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כדלקמן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bidi w:val="1"/>
        <w:spacing w:after="120" w:line="360" w:lineRule="auto"/>
        <w:ind w:left="1440" w:hanging="360"/>
        <w:jc w:val="both"/>
        <w:rPr>
          <w:rFonts w:ascii="David" w:cs="David" w:eastAsia="David" w:hAnsi="David"/>
          <w:b w:val="1"/>
          <w:color w:val="000000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נשיאת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נשק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hyperlink r:id="rId37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סעיף</w:t>
        </w:r>
      </w:hyperlink>
      <w:hyperlink r:id="rId38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144(</w:t>
        </w:r>
      </w:hyperlink>
      <w:hyperlink r:id="rId39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ב</w:t>
        </w:r>
      </w:hyperlink>
      <w:hyperlink r:id="rId40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</w:t>
      </w:r>
      <w:hyperlink r:id="rId41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חוק</w:t>
        </w:r>
      </w:hyperlink>
      <w:hyperlink r:id="rId42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</w:t>
        </w:r>
      </w:hyperlink>
      <w:hyperlink r:id="rId43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– 1977 (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החוק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bidi w:val="1"/>
        <w:spacing w:after="120" w:line="360" w:lineRule="auto"/>
        <w:ind w:left="1440" w:hanging="360"/>
        <w:jc w:val="both"/>
        <w:rPr>
          <w:rFonts w:ascii="David" w:cs="David" w:eastAsia="David" w:hAnsi="David"/>
          <w:b w:val="1"/>
          <w:color w:val="000000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החזקת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תחמושת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hyperlink r:id="rId44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סעיף</w:t>
        </w:r>
      </w:hyperlink>
      <w:hyperlink r:id="rId45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144(</w:t>
        </w:r>
      </w:hyperlink>
      <w:hyperlink r:id="rId46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א</w:t>
        </w:r>
      </w:hyperlink>
      <w:hyperlink r:id="rId47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סייפא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בחוק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bidi w:val="1"/>
        <w:spacing w:after="120" w:line="360" w:lineRule="auto"/>
        <w:ind w:left="720" w:hanging="72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המתואר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בעובדות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כתב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המתוקן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בתאריך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18.9.15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ביצעו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שוטרים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תצפית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פעילות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בילוש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בניידת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בילוש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סמוך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לשעה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03:00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הבחינו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השוטרים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ברכב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נהוג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בידי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ובו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אנשים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מיד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החל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השוטרים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בנסיעה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הרכב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כורז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במערכת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הכריזה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לעצור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מדליק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אורות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כחולים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מהבהבים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והורה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לעצור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עקב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החל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בנהיגה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מהירה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ומשהגיע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לדרך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מוצא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נעצר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והניידת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נעצרה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אחריו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וחסמה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דרכו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ביצעו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השוטרים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חיפוש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ברכב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ובמהלכו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נתפסו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יוטה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בצבע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חום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רובי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קרל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גוסטב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מאולתרים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מחסנית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בתוכם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קרטון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ובו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39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כדורים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9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וגרב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שחור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ובו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8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כדורים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. 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bidi w:val="1"/>
        <w:spacing w:after="120" w:line="360" w:lineRule="auto"/>
        <w:ind w:left="720" w:hanging="72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הגיעו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להסדר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דיוני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לפיו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הודה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והורשע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המתוקן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ונשלח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לקבלת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תסקיר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מבחן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 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2F">
      <w:pPr>
        <w:bidi w:val="1"/>
        <w:spacing w:after="120" w:line="360" w:lineRule="auto"/>
        <w:jc w:val="both"/>
        <w:rPr>
          <w:rFonts w:ascii="David" w:cs="David" w:eastAsia="David" w:hAnsi="David"/>
          <w:b w:val="1"/>
          <w:color w:val="000000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תסקיר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המבחן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bidi w:val="1"/>
        <w:spacing w:after="120" w:line="360" w:lineRule="auto"/>
        <w:ind w:left="720" w:hanging="72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תסקיר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כבן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55,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נשוי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ואב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-3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ילדים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עובד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מזה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-6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כממונה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הגבייה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בתאגיד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מעיינות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המשולש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באזור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המשולש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הדרומי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סיים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12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לימוד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תעודת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בגרות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בגיל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17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עבר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להתגורר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אצלו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דודו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סיום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לימודיו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נהג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לבלות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חברה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שולית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מנע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להשתלב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בלימודים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אקדמאיים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תיאר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השתלבות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סדירה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בתעסוקה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התאפיינה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בעבודות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מזדמנות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לתקופות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קצרות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ואף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ביצע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וריצה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מאסרים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בגיל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30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שוחרר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ממאסרו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האחרון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והחליט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לערוך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משמעותי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בחייו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ניתק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קשרים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עברייניים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קודמים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והשתלב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בתעסוקה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נורמטיבי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ומקובל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בשנת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2004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החל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לעבוד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בעיריית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טייבה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עבד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במשך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8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במחלקת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הגבייה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ובשנת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2012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עבר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לעבוד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במקום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העבודה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הנוכחי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גדל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במשפחה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נורמטיבית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בהתייחסו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לעבירות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מקבל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אחריות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מלאה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מעורבותו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ומבטא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חרטה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וצער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עמוקים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וחש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בושה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בגינן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הסביר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מעורבותו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רקע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קשרים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בעייתיים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קודמים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וקושי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להציב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גבולות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בפניהם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ציין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הפער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התנהלותו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הבעייתית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ובין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אורח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חיים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נורמטיבי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במשך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ומסר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מניע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שמירה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תדמיתו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הגברית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מול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גורמים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עבריינים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מהעבר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צו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פיקוח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מעצר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השתלב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בקבוצה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המיועדת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לעצורי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הגיע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רצוף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ויציב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שמר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מסגרת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הטיפול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לקח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פעיל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במפגשים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הקבוצתיים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הפנמה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תכנים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שבהם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עוסקת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הקבוצה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התרשם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מבטא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הכרה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ראשונית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בבעייתיות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התנהלותו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ביטא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נכונות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להעמיק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הבנתו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ולזהות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מצבי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סיכון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ולערוך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בדפוסיו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העריך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בשקלול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הפרמטרים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רמת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הסיכון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להתנהגות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אלימה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הינה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נמוכה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וכי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החומרה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הצפויה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תבוצע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עבירת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אלימות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נמוכה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נוכח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יציבות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בעבודה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יציבות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משפחתית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הימנעות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מביצוע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במשך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תקופה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ארוכה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ושמירה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אורח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חיים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תקין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וחיובי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לצד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קבלת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אחריות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והבעת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חרטה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הערכת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סיכון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נמוכה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העריך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נדרשת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מעורבות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טיפולית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בעניינו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להגביר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הסיכוי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לשיקומו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נוכח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המליץ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עבודות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לקטוע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ההליך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השיקומי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התמיד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במשך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13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לצד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צו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מבחן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    </w:t>
      </w:r>
    </w:p>
    <w:p w:rsidR="00000000" w:rsidDel="00000000" w:rsidP="00000000" w:rsidRDefault="00000000" w:rsidRPr="00000000" w14:paraId="00000031">
      <w:pPr>
        <w:bidi w:val="1"/>
        <w:spacing w:after="120" w:line="360" w:lineRule="auto"/>
        <w:jc w:val="both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ראיות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לעונש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bidi w:val="1"/>
        <w:spacing w:after="120" w:line="360" w:lineRule="auto"/>
        <w:ind w:left="720" w:hanging="72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/1 –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מכתב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סמנכ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תאגיד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מעיינות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המשולש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בשארה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בשארה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עולה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עובד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תחת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ניהולו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משנת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2012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היום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במהלך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עבודתו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תרם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רבות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למקום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עבודתו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ואף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הקים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מערך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הדרכה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לעובדים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עשה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עבודתו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באדיבות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ובנימוס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bidi w:val="1"/>
        <w:spacing w:after="120" w:line="360" w:lineRule="auto"/>
        <w:ind w:left="720" w:hanging="72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/2 –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רפואי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באשר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לבתו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הקטנה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ולקשר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שבינה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bidi w:val="1"/>
        <w:spacing w:after="120" w:line="360" w:lineRule="auto"/>
        <w:ind w:left="720" w:hanging="72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/3 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רפואי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באשר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למצבו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הרפואי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 </w:t>
      </w:r>
    </w:p>
    <w:p w:rsidR="00000000" w:rsidDel="00000000" w:rsidP="00000000" w:rsidRDefault="00000000" w:rsidRPr="00000000" w14:paraId="00000035">
      <w:pPr>
        <w:bidi w:val="1"/>
        <w:spacing w:after="120" w:line="360" w:lineRule="auto"/>
        <w:jc w:val="both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טיעוני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הצדדים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bidi w:val="1"/>
        <w:spacing w:after="120" w:line="360" w:lineRule="auto"/>
        <w:ind w:left="720" w:hanging="72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לטענת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המאשימה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שירלי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לוגסי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הערך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החברתי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המוגן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שנפגע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הינו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בטחון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הציבור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ושלמות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הגוף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זמינות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נשק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בידי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מורשה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עלולה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להוביל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לביצוע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חמורות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ולפגיעה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בחיי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במדרג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הנשק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מצויה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עבירת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נשיאת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הנשק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בדרגת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חומרת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ביניים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והעונש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המרבי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בגינה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הינו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10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באשר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לנסיבות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העבירה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נשא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כלי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נשק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מקלע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מאולתרים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טעונים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במחסנית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ובה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כדורים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הנשקים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בתא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מטען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הרכב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נתפסה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תחמושת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- 47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כדורים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מלבד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שהיו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במחסניות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הנסיבות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מלמדות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הנשקים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מוכנים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לירי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נשא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הנשקים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בטבורה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עיר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שניים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אחרים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ברכבו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בשעת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לילה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מאוחרת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מטרת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הנשיאה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תמימה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להתייחס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ניסה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להימלט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נשמע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תחילה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להוראות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השוטרים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הגיע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לדרך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מוצא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נעצר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השוטרים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חסמו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דרכו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הנזק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פוטנציאלי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הינו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פגיעה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בחיי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במיוחד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מדובר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בנשקים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מאולתרים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הפוטנציאל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לפגיעה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הינו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גבוה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לתת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משקל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ממש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לשיקול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הרתעת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הרבים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בעבירות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בשנים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האחרונות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חלה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החמרה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בענישה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בעבירות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והן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הוכרו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בפסיקה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מכת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מחוז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".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ההולם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הינו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3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- 6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ניהל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הוכחות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בתיק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ורק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שנשמעו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מרבית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עדי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התביעה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הודה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נטל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אחריות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וחסך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המשכו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ההליך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מתסקיר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עולה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נוטל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אחריות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למעשיו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וכי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שיתף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צו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הפיקוח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במשך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מאז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2001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נפתחו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נגדו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תיקים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חדשים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לחובתו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הרשעות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בעבירות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נשיאת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נשק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אמנם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מדובר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בעבר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ישן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רלוונטי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ריצה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מאסרים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לתקופה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4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והשני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למשך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50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ויש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ללמד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חומרת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העבירות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הקודמות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בהן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הורשע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נוכח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העובדה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שמדובר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באותה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עבירה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לתת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משקל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המליץ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עבודות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לגדוע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ההליך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השיקומי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ואולם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שגדע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ההליך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השיקומי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ידיו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ביצע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העבירות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עבר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הליך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טיפולי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משמעותי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ביטא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הכרה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ראשונית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במצבו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והשתתף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בקבוצה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שאינה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ייעודית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לבעיותיו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לפיכך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הגם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להתחשב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בנתונים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שעולים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מהתסקיר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מקום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לסטות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בגינו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ממתחם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ההולם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מקום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למקם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באמצע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המתחם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לפיכך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עתרה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המאשימה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להשית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לצד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תנאי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קנס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וחילוט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הרכב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spacing w:after="120" w:line="360" w:lineRule="auto"/>
        <w:ind w:left="720" w:firstLine="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לטענת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עוה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אלי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כהן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רינת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בנתורה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ורמי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זך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56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נשוי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ואב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- 3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ילדים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הצעיר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8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והבכורה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16.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המפרנס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היחיד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המשפחה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רעייתו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עובדת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כגננת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ורעייתו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השקיעו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רבות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בילדיהם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הגיעו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להישגים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גבוהים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סיים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לימודי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תיכון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תעודת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בגרות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חבר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בגיל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צעיר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לחברה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שולית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וביצע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רבות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ההרשעה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האחרונה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בעבירת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אלימות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בוצעה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בשנת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1999,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היינו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19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העבירה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הקודמת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בוצעה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בשנת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93,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25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מדובר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בעבירות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ישנות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עתידות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להימחק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לתת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משקל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למשפחה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נורמטיבית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7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אחים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נטולי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עבר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פלילי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חלקם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משכילים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עשה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תפנית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חדה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באורך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חייו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וניפץ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המעגל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שהיה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נתון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נישא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והקים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ומשפחה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יצא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לעבודה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וביצע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תפקידים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חשובים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במשך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19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השנים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האחרונות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עובד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מזה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8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בעירייה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וכ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- 6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כממונה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תאגיד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ועושה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עבודתו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לשביעות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רצון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מעסיקיו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הודה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המתוקן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נמחקו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עובדות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והוראות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חיקוק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המתוקן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מצוין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מרדף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מצוין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נמצאו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כדורים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במחסניות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מקום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לשקול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לחובתו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ניהולו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מההליך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הואיל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והניהול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הביא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לאותם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תיקונים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משמעותיים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נסיבות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החזקת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הנשק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עלומות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לגביהן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שום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ברכב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אנשים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ואיננו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יודעים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הקשר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להניח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לחובת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הנחות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אחרות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תסקיר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הינו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חיובי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מאוד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בפיקוח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במשך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9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שהה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בתנאים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מגבילים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משנת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2015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היום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הפר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תנאי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מתנאי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שחרורו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והוכיח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ראוי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לאמון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תסקיר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עומד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השינוי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שערך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העבודה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היציבה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קבלת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האחריות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למעשיו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והבעת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החרטה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הכנה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שהביע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קבע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רמת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המסוכנות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נמוכה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ברמת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חומרה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נמוכה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סבור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התערבות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טיפולית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תקטין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הסיכוי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להישנות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המעשים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התסקיר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מספק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מצדיקים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ממתחם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קיימת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פסיקה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מגוונת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ובה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עונשים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עבודות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9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- 33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נוכח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מכלול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ההודיה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והחרטה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מקום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לאמץ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המלצת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לפיכך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עתר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להשית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שירוצה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בעבודות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כהמלצת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להימנע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מחילוט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הרכב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bidi w:val="1"/>
        <w:spacing w:after="120" w:line="360" w:lineRule="auto"/>
        <w:ind w:left="720" w:hanging="72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הביע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חרטה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כנה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ועמוקה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מעשיו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</w:p>
    <w:p w:rsidR="00000000" w:rsidDel="00000000" w:rsidP="00000000" w:rsidRDefault="00000000" w:rsidRPr="00000000" w14:paraId="00000039">
      <w:pPr>
        <w:bidi w:val="1"/>
        <w:spacing w:after="120" w:line="360" w:lineRule="auto"/>
        <w:jc w:val="both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דיון</w:t>
      </w:r>
      <w:r w:rsidDel="00000000" w:rsidR="00000000" w:rsidRPr="00000000">
        <w:rPr>
          <w:u w:val="single"/>
          <w:rtl w:val="1"/>
        </w:rPr>
        <w:t xml:space="preserve"> - </w:t>
      </w:r>
      <w:r w:rsidDel="00000000" w:rsidR="00000000" w:rsidRPr="00000000">
        <w:rPr>
          <w:u w:val="single"/>
          <w:rtl w:val="1"/>
        </w:rPr>
        <w:t xml:space="preserve">קביעת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מתחם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העונש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ההולם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bidi w:val="1"/>
        <w:spacing w:after="120" w:line="360" w:lineRule="auto"/>
        <w:ind w:left="720" w:hanging="72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כתב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מתאר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אירוע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ומכאן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לקבוע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בגינו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הולם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bidi w:val="1"/>
        <w:spacing w:after="120" w:line="360" w:lineRule="auto"/>
        <w:ind w:left="720" w:hanging="72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דנן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הערך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החברתי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נפגע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הינו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הגנה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בטחון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הציבור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נשיאת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נשק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מקלע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יוצרת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סיכון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שהנשק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יגיע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בסופו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לגורמים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ייעשו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למטרות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פסולות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לרבות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פגיעה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בגוף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בנפש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bidi w:val="1"/>
        <w:spacing w:after="120" w:line="360" w:lineRule="auto"/>
        <w:ind w:left="720" w:hanging="72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חומרתן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הנשק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עמד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העליון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היתר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</w:t>
      </w:r>
      <w:hyperlink r:id="rId48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ע</w:t>
        </w:r>
      </w:hyperlink>
      <w:hyperlink r:id="rId49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50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</w:t>
        </w:r>
      </w:hyperlink>
      <w:hyperlink r:id="rId51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1323/13</w:t>
        </w:r>
      </w:hyperlink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חסן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 (5.6.13): </w:t>
      </w:r>
    </w:p>
    <w:p w:rsidR="00000000" w:rsidDel="00000000" w:rsidP="00000000" w:rsidRDefault="00000000" w:rsidRPr="00000000" w14:paraId="0000003D">
      <w:pPr>
        <w:bidi w:val="1"/>
        <w:spacing w:after="120" w:line="360" w:lineRule="auto"/>
        <w:ind w:left="964" w:right="567" w:firstLine="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נוכח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היקפן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המתרחב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המבוצעות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בנשק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...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וזמינותו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המדאיגה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נשק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בלתי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חוקי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במחוזותינו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התעורר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הצורך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להחמיר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בעונשי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המאסר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המוטלים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בעבירות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אכן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התגלגלותם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כלי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נשק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מיד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ליד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פיקוח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עלול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להוביל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להגעתם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דרך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לגורמים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פליליים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ועוינים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לדעת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יעלה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בגורלם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כלי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נשק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ולאילו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תוצאות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הרסניות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יובילו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בסכסוך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ברחוב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בקטטה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ניצים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ואף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המשפחה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פנימה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הסכנה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הנשקפת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לציבור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כתוצאה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מעבירות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לצד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המימדים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שאליהם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הגיעו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מחייבים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לתת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ביטוי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הולם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וכבד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משקל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להגנה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הערך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החברתי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שנפגע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כתוצאה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מפעילות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עבריינית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הגנה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שלום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הציבור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מפני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פגיעות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בגוף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בנפש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ולהחמיר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עונשי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המאסר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המוטלים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בגין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פעילות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עבריינית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בהדרגה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למותר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לציין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לחתור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תחת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האופי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האינדיבידואלי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שבמלאכת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הענישה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הנעשית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מקרה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לגופו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נסיבותיו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ומידת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אשמו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".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bidi w:val="1"/>
        <w:spacing w:after="120" w:line="360" w:lineRule="auto"/>
        <w:ind w:left="720" w:hanging="72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בחינת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מידת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הפגיעה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בערך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המוגן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מובילה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למסקנה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הפגיעה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בערך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המוגן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הינה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ברף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בינוני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בהקשר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נתתי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דעתי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ביצע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עבירה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נשיאת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נשק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המרבי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המחוקק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קבע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בצדה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הינו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10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שהינה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חמורה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מעבירה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החזקת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נשק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המרבי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שנקבע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לצידה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7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וקלה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מעבירה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סחר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בנשק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שדינה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15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לתת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הדעת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שעסקינן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בנשיאת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כלי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נשק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מאולתרים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מקלע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סבורני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עבירה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בנשק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מקלע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הינה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חמורה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מאשר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עבירה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בנשק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אקדח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פוטנציאל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הנזק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הרב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מקלע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bidi w:val="1"/>
        <w:spacing w:after="120" w:line="360" w:lineRule="auto"/>
        <w:ind w:left="720" w:hanging="720"/>
        <w:jc w:val="both"/>
        <w:rPr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הנסיבות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הקשורות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בביצוע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העבירה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(</w:t>
      </w:r>
      <w:hyperlink r:id="rId52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סעיף</w:t>
        </w:r>
      </w:hyperlink>
      <w:hyperlink r:id="rId53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40 </w:t>
        </w:r>
      </w:hyperlink>
      <w:hyperlink r:id="rId54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ט</w:t>
        </w:r>
      </w:hyperlink>
      <w:hyperlink r:id="rId55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'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לחוק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לתת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הדעת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נהג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ברכבו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בשעות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לילה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מאוחרת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יחד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אנשים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נושא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בתא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המטען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רכבו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יוטה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בצבע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חום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רובי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קרל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גוסטב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מאולתרים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מחסנית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בתוכם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קרטון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ובו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39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כדורים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9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וגרב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שחור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ובו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8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כדורים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הבחינו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שוטרים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החל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השוטרים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בנסיעה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הרכב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כורז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במערכת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הכריזה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לעצור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מדליק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אורות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כחולים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מהבהבים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והורה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לעצור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עקב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החל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בנהיגה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מהירה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ומשהגיע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לדרך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מוצא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נעצר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והניידת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נעצרה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אחריו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וחסמה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דרכו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after="120" w:line="360" w:lineRule="auto"/>
        <w:ind w:left="720" w:firstLine="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לבדו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ברכב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נשא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הנשק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והתחמושת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יחד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עמו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אחרים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ואולם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נסיבות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נוכחותם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ברכב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נשארו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עלומות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ומשכך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ברור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חלקם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העובדות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עולה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מדובר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ברכבו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וכי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נהג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</w:p>
    <w:p w:rsidR="00000000" w:rsidDel="00000000" w:rsidP="00000000" w:rsidRDefault="00000000" w:rsidRPr="00000000" w14:paraId="00000041">
      <w:pPr>
        <w:bidi w:val="1"/>
        <w:spacing w:after="120" w:line="360" w:lineRule="auto"/>
        <w:ind w:left="720" w:firstLine="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פוטנציאל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הנזק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בעבירות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נשיאת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נשק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במיוחד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מדובר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בנשק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אוטומטי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הינו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color w:val="000000"/>
          <w:rtl w:val="1"/>
        </w:rPr>
        <w:t xml:space="preserve">לגרסתו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הנאשם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הרקע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למעשיו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היה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קשרים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בעייתיים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קודמים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וקושי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להציב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גבולות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בפני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אחרים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וכי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מניע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שמירה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תדמיתו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הגברית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מול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גורמים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עבריינים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מהעבר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bidi w:val="1"/>
        <w:spacing w:after="120" w:line="360" w:lineRule="auto"/>
        <w:ind w:left="720" w:hanging="72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בחינת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מדיניות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הענישה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הנוהגת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מעלה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במקרים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דומים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הוטלו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נאשמים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עונשי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במנעד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רחב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כמפורט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bidi w:val="1"/>
        <w:spacing w:after="120" w:line="360" w:lineRule="auto"/>
        <w:ind w:left="1274" w:hanging="567"/>
        <w:jc w:val="both"/>
        <w:rPr/>
      </w:pPr>
      <w:r w:rsidDel="00000000" w:rsidR="00000000" w:rsidRPr="00000000">
        <w:rPr>
          <w:rtl w:val="1"/>
        </w:rPr>
        <w:t xml:space="preserve">ב</w:t>
      </w:r>
      <w:hyperlink r:id="rId56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57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58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59">
        <w:r w:rsidDel="00000000" w:rsidR="00000000" w:rsidRPr="00000000">
          <w:rPr>
            <w:color w:val="0000ff"/>
            <w:u w:val="single"/>
            <w:rtl w:val="1"/>
          </w:rPr>
          <w:t xml:space="preserve"> 3156/11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זראיעה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(21.2.12), </w:t>
      </w:r>
      <w:r w:rsidDel="00000000" w:rsidR="00000000" w:rsidRPr="00000000">
        <w:rPr>
          <w:rtl w:val="1"/>
        </w:rPr>
        <w:t xml:space="preserve">נדחה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ערעורו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והסתייעות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ברכבו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שהסליק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אקדח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מחסנית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בכדורי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בקוטר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וקופסאות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בקוטר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והתחמושת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נתפסו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נורמטיבי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-4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ומפרנס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במשפחתו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נידון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- 24 </w:t>
      </w:r>
      <w:r w:rsidDel="00000000" w:rsidR="00000000" w:rsidRPr="00000000">
        <w:rPr>
          <w:b w:val="1"/>
          <w:rtl w:val="1"/>
        </w:rPr>
        <w:t xml:space="preserve">חודשי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מאסר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בפועל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bidi w:val="1"/>
        <w:spacing w:after="120" w:line="360" w:lineRule="auto"/>
        <w:ind w:left="1274" w:hanging="567"/>
        <w:jc w:val="both"/>
        <w:rPr/>
      </w:pPr>
      <w:r w:rsidDel="00000000" w:rsidR="00000000" w:rsidRPr="00000000">
        <w:rPr>
          <w:rtl w:val="1"/>
        </w:rPr>
        <w:t xml:space="preserve">ב</w:t>
      </w:r>
      <w:hyperlink r:id="rId60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61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62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63">
        <w:r w:rsidDel="00000000" w:rsidR="00000000" w:rsidRPr="00000000">
          <w:rPr>
            <w:color w:val="0000ff"/>
            <w:u w:val="single"/>
            <w:rtl w:val="1"/>
          </w:rPr>
          <w:t xml:space="preserve"> 2892/13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‏</w:t>
      </w:r>
      <w:r w:rsidDel="00000000" w:rsidR="00000000" w:rsidRPr="00000000">
        <w:rPr>
          <w:b w:val="1"/>
          <w:rtl w:val="1"/>
        </w:rPr>
        <w:t xml:space="preserve">עודתאללה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(29.9.13), </w:t>
      </w:r>
      <w:r w:rsidDel="00000000" w:rsidR="00000000" w:rsidRPr="00000000">
        <w:rPr>
          <w:rtl w:val="1"/>
        </w:rPr>
        <w:t xml:space="preserve">נדחה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ערעורו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הוכחות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והסתייעות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מחסנית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מכדורים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מוסתר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השטיחון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לכיסא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נורמטיבי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שבין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- 36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נדון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-21 </w:t>
      </w:r>
      <w:r w:rsidDel="00000000" w:rsidR="00000000" w:rsidRPr="00000000">
        <w:rPr>
          <w:b w:val="1"/>
          <w:rtl w:val="1"/>
        </w:rPr>
        <w:t xml:space="preserve">חודשי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מאסר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בפועל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bidi w:val="1"/>
        <w:spacing w:after="120" w:line="360" w:lineRule="auto"/>
        <w:ind w:left="1274" w:hanging="567"/>
        <w:jc w:val="both"/>
        <w:rPr/>
      </w:pPr>
      <w:r w:rsidDel="00000000" w:rsidR="00000000" w:rsidRPr="00000000">
        <w:rPr>
          <w:rtl w:val="1"/>
        </w:rPr>
        <w:t xml:space="preserve">ב</w:t>
      </w:r>
      <w:hyperlink r:id="rId64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65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66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67">
        <w:r w:rsidDel="00000000" w:rsidR="00000000" w:rsidRPr="00000000">
          <w:rPr>
            <w:color w:val="0000ff"/>
            <w:u w:val="single"/>
            <w:rtl w:val="1"/>
          </w:rPr>
          <w:t xml:space="preserve"> 4329/10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פלוני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(25.10.10), </w:t>
      </w:r>
      <w:r w:rsidDel="00000000" w:rsidR="00000000" w:rsidRPr="00000000">
        <w:rPr>
          <w:rtl w:val="1"/>
        </w:rPr>
        <w:t xml:space="preserve">נדחה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ערעורו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בנשיאת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והחזקתו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נעדר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סטודנט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נידון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- 20 </w:t>
      </w:r>
      <w:r w:rsidDel="00000000" w:rsidR="00000000" w:rsidRPr="00000000">
        <w:rPr>
          <w:b w:val="1"/>
          <w:rtl w:val="1"/>
        </w:rPr>
        <w:t xml:space="preserve">חודשי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מאסר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בפועל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bidi w:val="1"/>
        <w:spacing w:after="120" w:line="360" w:lineRule="auto"/>
        <w:ind w:left="1274" w:hanging="567"/>
        <w:jc w:val="both"/>
        <w:rPr/>
      </w:pPr>
      <w:r w:rsidDel="00000000" w:rsidR="00000000" w:rsidRPr="00000000">
        <w:rPr>
          <w:rtl w:val="1"/>
        </w:rPr>
        <w:t xml:space="preserve">ב</w:t>
      </w:r>
      <w:hyperlink r:id="rId68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69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70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71">
        <w:r w:rsidDel="00000000" w:rsidR="00000000" w:rsidRPr="00000000">
          <w:rPr>
            <w:color w:val="0000ff"/>
            <w:u w:val="single"/>
            <w:rtl w:val="1"/>
          </w:rPr>
          <w:t xml:space="preserve"> 9702/16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אבו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אלוליאיה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(13.9.17), </w:t>
      </w:r>
      <w:r w:rsidDel="00000000" w:rsidR="00000000" w:rsidRPr="00000000">
        <w:rPr>
          <w:rtl w:val="1"/>
        </w:rPr>
        <w:t xml:space="preserve">נדחה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דעות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ערעורו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תחמושת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מאולתר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מחסניות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וקופסה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כדורי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כבן</w:t>
      </w:r>
      <w:r w:rsidDel="00000000" w:rsidR="00000000" w:rsidRPr="00000000">
        <w:rPr>
          <w:rtl w:val="1"/>
        </w:rPr>
        <w:t xml:space="preserve"> 37, </w:t>
      </w:r>
      <w:r w:rsidDel="00000000" w:rsidR="00000000" w:rsidRPr="00000000">
        <w:rPr>
          <w:rtl w:val="1"/>
        </w:rPr>
        <w:t xml:space="preserve">נשוי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מפרנס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נורמטיבי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מתחם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עונש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בין</w:t>
      </w:r>
      <w:r w:rsidDel="00000000" w:rsidR="00000000" w:rsidRPr="00000000">
        <w:rPr>
          <w:b w:val="1"/>
          <w:rtl w:val="1"/>
        </w:rPr>
        <w:t xml:space="preserve"> 14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- 36 </w:t>
      </w:r>
      <w:r w:rsidDel="00000000" w:rsidR="00000000" w:rsidRPr="00000000">
        <w:rPr>
          <w:b w:val="1"/>
          <w:rtl w:val="1"/>
        </w:rPr>
        <w:t xml:space="preserve">חודשי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מאסר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בפועל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הדעות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כב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השופטת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ברון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מיעוט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- 30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כב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השופט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מינץ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וכב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השופטת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כתוארה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דעתה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וקבעו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10-30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להתערב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נידון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- 18 </w:t>
      </w:r>
      <w:r w:rsidDel="00000000" w:rsidR="00000000" w:rsidRPr="00000000">
        <w:rPr>
          <w:b w:val="1"/>
          <w:rtl w:val="1"/>
        </w:rPr>
        <w:t xml:space="preserve">חודשי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מאסר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bidi w:val="1"/>
        <w:spacing w:after="120" w:line="360" w:lineRule="auto"/>
        <w:ind w:left="1274" w:hanging="567"/>
        <w:jc w:val="both"/>
        <w:rPr/>
      </w:pPr>
      <w:r w:rsidDel="00000000" w:rsidR="00000000" w:rsidRPr="00000000">
        <w:rPr>
          <w:rtl w:val="1"/>
        </w:rPr>
        <w:t xml:space="preserve">ב</w:t>
      </w:r>
      <w:hyperlink r:id="rId72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73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74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75">
        <w:r w:rsidDel="00000000" w:rsidR="00000000" w:rsidRPr="00000000">
          <w:rPr>
            <w:color w:val="0000ff"/>
            <w:u w:val="single"/>
            <w:rtl w:val="1"/>
          </w:rPr>
          <w:t xml:space="preserve"> 135/17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‏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בסל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(8.3.17), </w:t>
      </w:r>
      <w:r w:rsidDel="00000000" w:rsidR="00000000" w:rsidRPr="00000000">
        <w:rPr>
          <w:rtl w:val="1"/>
        </w:rPr>
        <w:t xml:space="preserve">התקבל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מאולתר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ומחסנית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זניח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18 </w:t>
      </w:r>
      <w:r w:rsidDel="00000000" w:rsidR="00000000" w:rsidRPr="00000000">
        <w:rPr>
          <w:b w:val="1"/>
          <w:rtl w:val="1"/>
        </w:rPr>
        <w:t xml:space="preserve">חודשי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מאסר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בפועל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חלף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bidi w:val="1"/>
        <w:spacing w:after="120" w:line="360" w:lineRule="auto"/>
        <w:ind w:left="1274" w:hanging="567"/>
        <w:jc w:val="both"/>
        <w:rPr/>
      </w:pPr>
      <w:r w:rsidDel="00000000" w:rsidR="00000000" w:rsidRPr="00000000">
        <w:rPr>
          <w:rtl w:val="1"/>
        </w:rPr>
        <w:t xml:space="preserve">ב</w:t>
      </w:r>
      <w:hyperlink r:id="rId76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77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78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79">
        <w:r w:rsidDel="00000000" w:rsidR="00000000" w:rsidRPr="00000000">
          <w:rPr>
            <w:color w:val="0000ff"/>
            <w:u w:val="single"/>
            <w:rtl w:val="1"/>
          </w:rPr>
          <w:t xml:space="preserve"> 8133/15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יונס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(5.4.17), </w:t>
      </w:r>
      <w:r w:rsidDel="00000000" w:rsidR="00000000" w:rsidRPr="00000000">
        <w:rPr>
          <w:rtl w:val="1"/>
        </w:rPr>
        <w:t xml:space="preserve">נדחה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ערעורו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בהחזקה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ונהיגה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רישיון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מקלע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מאולתרים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תחמושת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מחסניות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נתפס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-36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לקולא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נידון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- 14 </w:t>
      </w:r>
      <w:r w:rsidDel="00000000" w:rsidR="00000000" w:rsidRPr="00000000">
        <w:rPr>
          <w:b w:val="1"/>
          <w:rtl w:val="1"/>
        </w:rPr>
        <w:t xml:space="preserve">חודשי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מאסר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בפועל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bidi w:val="1"/>
        <w:spacing w:after="120" w:line="360" w:lineRule="auto"/>
        <w:ind w:left="1274" w:hanging="567"/>
        <w:jc w:val="both"/>
        <w:rPr/>
      </w:pPr>
      <w:r w:rsidDel="00000000" w:rsidR="00000000" w:rsidRPr="00000000">
        <w:rPr>
          <w:rtl w:val="1"/>
        </w:rPr>
        <w:t xml:space="preserve">ב</w:t>
      </w:r>
      <w:hyperlink r:id="rId80">
        <w:r w:rsidDel="00000000" w:rsidR="00000000" w:rsidRPr="00000000">
          <w:rPr>
            <w:color w:val="0000ff"/>
            <w:u w:val="single"/>
            <w:rtl w:val="1"/>
          </w:rPr>
          <w:t xml:space="preserve">ת</w:t>
        </w:r>
      </w:hyperlink>
      <w:hyperlink r:id="rId81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82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83">
        <w:r w:rsidDel="00000000" w:rsidR="00000000" w:rsidRPr="00000000">
          <w:rPr>
            <w:color w:val="0000ff"/>
            <w:u w:val="single"/>
            <w:rtl w:val="1"/>
          </w:rPr>
          <w:t xml:space="preserve"> (</w:t>
        </w:r>
      </w:hyperlink>
      <w:hyperlink r:id="rId84">
        <w:r w:rsidDel="00000000" w:rsidR="00000000" w:rsidRPr="00000000">
          <w:rPr>
            <w:color w:val="0000ff"/>
            <w:u w:val="single"/>
            <w:rtl w:val="1"/>
          </w:rPr>
          <w:t xml:space="preserve">מח</w:t>
        </w:r>
      </w:hyperlink>
      <w:hyperlink r:id="rId85">
        <w:r w:rsidDel="00000000" w:rsidR="00000000" w:rsidRPr="00000000">
          <w:rPr>
            <w:color w:val="0000ff"/>
            <w:u w:val="single"/>
            <w:rtl w:val="1"/>
          </w:rPr>
          <w:t xml:space="preserve">' </w:t>
        </w:r>
      </w:hyperlink>
      <w:hyperlink r:id="rId86">
        <w:r w:rsidDel="00000000" w:rsidR="00000000" w:rsidRPr="00000000">
          <w:rPr>
            <w:color w:val="0000ff"/>
            <w:u w:val="single"/>
            <w:rtl w:val="1"/>
          </w:rPr>
          <w:t xml:space="preserve">מרכז</w:t>
        </w:r>
      </w:hyperlink>
      <w:hyperlink r:id="rId87">
        <w:r w:rsidDel="00000000" w:rsidR="00000000" w:rsidRPr="00000000">
          <w:rPr>
            <w:color w:val="0000ff"/>
            <w:u w:val="single"/>
            <w:rtl w:val="1"/>
          </w:rPr>
          <w:t xml:space="preserve">-</w:t>
        </w:r>
      </w:hyperlink>
      <w:hyperlink r:id="rId88">
        <w:r w:rsidDel="00000000" w:rsidR="00000000" w:rsidRPr="00000000">
          <w:rPr>
            <w:color w:val="0000ff"/>
            <w:u w:val="single"/>
            <w:rtl w:val="1"/>
          </w:rPr>
          <w:t xml:space="preserve">לוד</w:t>
        </w:r>
      </w:hyperlink>
      <w:hyperlink r:id="rId89">
        <w:r w:rsidDel="00000000" w:rsidR="00000000" w:rsidRPr="00000000">
          <w:rPr>
            <w:color w:val="0000ff"/>
            <w:u w:val="single"/>
            <w:rtl w:val="1"/>
          </w:rPr>
          <w:t xml:space="preserve">) 49160-11-15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נאסר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(10.4.16),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ונהיגה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בפסילה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בכדורים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ברכבו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כבן</w:t>
      </w:r>
      <w:r w:rsidDel="00000000" w:rsidR="00000000" w:rsidRPr="00000000">
        <w:rPr>
          <w:rtl w:val="1"/>
        </w:rPr>
        <w:t xml:space="preserve"> 27, </w:t>
      </w:r>
      <w:r w:rsidDel="00000000" w:rsidR="00000000" w:rsidRPr="00000000">
        <w:rPr>
          <w:rtl w:val="1"/>
        </w:rPr>
        <w:t xml:space="preserve">נשוי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וכלכליות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18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- 40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נדון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- 30 </w:t>
      </w:r>
      <w:r w:rsidDel="00000000" w:rsidR="00000000" w:rsidRPr="00000000">
        <w:rPr>
          <w:b w:val="1"/>
          <w:rtl w:val="1"/>
        </w:rPr>
        <w:t xml:space="preserve">חודשי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מאסר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בפועל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36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bidi w:val="1"/>
        <w:spacing w:after="120" w:line="360" w:lineRule="auto"/>
        <w:ind w:left="1274" w:hanging="567"/>
        <w:jc w:val="both"/>
        <w:rPr/>
      </w:pPr>
      <w:r w:rsidDel="00000000" w:rsidR="00000000" w:rsidRPr="00000000">
        <w:rPr>
          <w:rtl w:val="1"/>
        </w:rPr>
        <w:t xml:space="preserve">ב</w:t>
      </w:r>
      <w:hyperlink r:id="rId90">
        <w:r w:rsidDel="00000000" w:rsidR="00000000" w:rsidRPr="00000000">
          <w:rPr>
            <w:color w:val="0000ff"/>
            <w:u w:val="single"/>
            <w:rtl w:val="1"/>
          </w:rPr>
          <w:t xml:space="preserve">ת</w:t>
        </w:r>
      </w:hyperlink>
      <w:hyperlink r:id="rId91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92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93">
        <w:r w:rsidDel="00000000" w:rsidR="00000000" w:rsidRPr="00000000">
          <w:rPr>
            <w:color w:val="0000ff"/>
            <w:u w:val="single"/>
            <w:rtl w:val="1"/>
          </w:rPr>
          <w:t xml:space="preserve"> (</w:t>
        </w:r>
      </w:hyperlink>
      <w:hyperlink r:id="rId94">
        <w:r w:rsidDel="00000000" w:rsidR="00000000" w:rsidRPr="00000000">
          <w:rPr>
            <w:color w:val="0000ff"/>
            <w:u w:val="single"/>
            <w:rtl w:val="1"/>
          </w:rPr>
          <w:t xml:space="preserve">מח</w:t>
        </w:r>
      </w:hyperlink>
      <w:hyperlink r:id="rId95">
        <w:r w:rsidDel="00000000" w:rsidR="00000000" w:rsidRPr="00000000">
          <w:rPr>
            <w:color w:val="0000ff"/>
            <w:u w:val="single"/>
            <w:rtl w:val="1"/>
          </w:rPr>
          <w:t xml:space="preserve">' </w:t>
        </w:r>
      </w:hyperlink>
      <w:hyperlink r:id="rId96">
        <w:r w:rsidDel="00000000" w:rsidR="00000000" w:rsidRPr="00000000">
          <w:rPr>
            <w:color w:val="0000ff"/>
            <w:u w:val="single"/>
            <w:rtl w:val="1"/>
          </w:rPr>
          <w:t xml:space="preserve">חי</w:t>
        </w:r>
      </w:hyperlink>
      <w:hyperlink r:id="rId97">
        <w:r w:rsidDel="00000000" w:rsidR="00000000" w:rsidRPr="00000000">
          <w:rPr>
            <w:color w:val="0000ff"/>
            <w:u w:val="single"/>
            <w:rtl w:val="1"/>
          </w:rPr>
          <w:t xml:space="preserve">') 3772-01-16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מחאמיד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(14.11.16),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בצוותא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MP</w:t>
      </w:r>
      <w:r w:rsidDel="00000000" w:rsidR="00000000" w:rsidRPr="00000000">
        <w:rPr>
          <w:rtl w:val="1"/>
        </w:rPr>
        <w:t xml:space="preserve">5,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מאולתר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מחסנית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וכדורים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להחזקתם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המחסנית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והכדורים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המאולתר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-20 </w:t>
      </w:r>
      <w:r w:rsidDel="00000000" w:rsidR="00000000" w:rsidRPr="00000000">
        <w:rPr>
          <w:rtl w:val="1"/>
        </w:rPr>
        <w:t xml:space="preserve">כדורים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34 </w:t>
      </w:r>
      <w:r w:rsidDel="00000000" w:rsidR="00000000" w:rsidRPr="00000000">
        <w:rPr>
          <w:rtl w:val="1"/>
        </w:rPr>
        <w:t xml:space="preserve">נשוי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בהנדסה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ואלקטרוניקה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נעדר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נידון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- 18 </w:t>
      </w:r>
      <w:r w:rsidDel="00000000" w:rsidR="00000000" w:rsidRPr="00000000">
        <w:rPr>
          <w:b w:val="1"/>
          <w:rtl w:val="1"/>
        </w:rPr>
        <w:t xml:space="preserve">חודשי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מאסר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בפועל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bidi w:val="1"/>
        <w:spacing w:after="120" w:line="360" w:lineRule="auto"/>
        <w:ind w:left="1274" w:hanging="567"/>
        <w:jc w:val="both"/>
        <w:rPr/>
      </w:pPr>
      <w:hyperlink r:id="rId98">
        <w:r w:rsidDel="00000000" w:rsidR="00000000" w:rsidRPr="00000000">
          <w:rPr>
            <w:color w:val="0000ff"/>
            <w:u w:val="single"/>
            <w:rtl w:val="1"/>
          </w:rPr>
          <w:t xml:space="preserve">ת</w:t>
        </w:r>
      </w:hyperlink>
      <w:hyperlink r:id="rId99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100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101">
        <w:r w:rsidDel="00000000" w:rsidR="00000000" w:rsidRPr="00000000">
          <w:rPr>
            <w:color w:val="0000ff"/>
            <w:u w:val="single"/>
            <w:rtl w:val="1"/>
          </w:rPr>
          <w:t xml:space="preserve"> (</w:t>
        </w:r>
      </w:hyperlink>
      <w:hyperlink r:id="rId102">
        <w:r w:rsidDel="00000000" w:rsidR="00000000" w:rsidRPr="00000000">
          <w:rPr>
            <w:color w:val="0000ff"/>
            <w:u w:val="single"/>
            <w:rtl w:val="1"/>
          </w:rPr>
          <w:t xml:space="preserve">מח</w:t>
        </w:r>
      </w:hyperlink>
      <w:hyperlink r:id="rId103">
        <w:r w:rsidDel="00000000" w:rsidR="00000000" w:rsidRPr="00000000">
          <w:rPr>
            <w:color w:val="0000ff"/>
            <w:u w:val="single"/>
            <w:rtl w:val="1"/>
          </w:rPr>
          <w:t xml:space="preserve">' </w:t>
        </w:r>
      </w:hyperlink>
      <w:hyperlink r:id="rId104">
        <w:r w:rsidDel="00000000" w:rsidR="00000000" w:rsidRPr="00000000">
          <w:rPr>
            <w:color w:val="0000ff"/>
            <w:u w:val="single"/>
            <w:rtl w:val="1"/>
          </w:rPr>
          <w:t xml:space="preserve">ת</w:t>
        </w:r>
      </w:hyperlink>
      <w:hyperlink r:id="rId105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106">
        <w:r w:rsidDel="00000000" w:rsidR="00000000" w:rsidRPr="00000000">
          <w:rPr>
            <w:color w:val="0000ff"/>
            <w:u w:val="single"/>
            <w:rtl w:val="1"/>
          </w:rPr>
          <w:t xml:space="preserve">א</w:t>
        </w:r>
      </w:hyperlink>
      <w:hyperlink r:id="rId107">
        <w:r w:rsidDel="00000000" w:rsidR="00000000" w:rsidRPr="00000000">
          <w:rPr>
            <w:color w:val="0000ff"/>
            <w:u w:val="single"/>
            <w:rtl w:val="1"/>
          </w:rPr>
          <w:t xml:space="preserve">) 6904-12-14</w:t>
        </w:r>
      </w:hyperlink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‏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כבהא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(30.4.15),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מאולתר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מדגם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קרל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גוסטב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מחסנית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וכדורים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עטוף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בבגדים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נידון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- 18 </w:t>
      </w:r>
      <w:r w:rsidDel="00000000" w:rsidR="00000000" w:rsidRPr="00000000">
        <w:rPr>
          <w:b w:val="1"/>
          <w:rtl w:val="1"/>
        </w:rPr>
        <w:t xml:space="preserve">חודשי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מאסר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בפועל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bidi w:val="1"/>
        <w:spacing w:after="120" w:line="360" w:lineRule="auto"/>
        <w:ind w:left="1286" w:hanging="540"/>
        <w:jc w:val="both"/>
        <w:rPr/>
      </w:pPr>
      <w:r w:rsidDel="00000000" w:rsidR="00000000" w:rsidRPr="00000000">
        <w:rPr>
          <w:rtl w:val="1"/>
        </w:rPr>
        <w:t xml:space="preserve">ב</w:t>
      </w:r>
      <w:hyperlink r:id="rId108">
        <w:r w:rsidDel="00000000" w:rsidR="00000000" w:rsidRPr="00000000">
          <w:rPr>
            <w:color w:val="0000ff"/>
            <w:u w:val="single"/>
            <w:rtl w:val="1"/>
          </w:rPr>
          <w:t xml:space="preserve">ת</w:t>
        </w:r>
      </w:hyperlink>
      <w:hyperlink r:id="rId109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110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111">
        <w:r w:rsidDel="00000000" w:rsidR="00000000" w:rsidRPr="00000000">
          <w:rPr>
            <w:color w:val="0000ff"/>
            <w:u w:val="single"/>
            <w:rtl w:val="1"/>
          </w:rPr>
          <w:t xml:space="preserve"> (</w:t>
        </w:r>
      </w:hyperlink>
      <w:hyperlink r:id="rId112">
        <w:r w:rsidDel="00000000" w:rsidR="00000000" w:rsidRPr="00000000">
          <w:rPr>
            <w:color w:val="0000ff"/>
            <w:u w:val="single"/>
            <w:rtl w:val="1"/>
          </w:rPr>
          <w:t xml:space="preserve">מח</w:t>
        </w:r>
      </w:hyperlink>
      <w:hyperlink r:id="rId113">
        <w:r w:rsidDel="00000000" w:rsidR="00000000" w:rsidRPr="00000000">
          <w:rPr>
            <w:color w:val="0000ff"/>
            <w:u w:val="single"/>
            <w:rtl w:val="1"/>
          </w:rPr>
          <w:t xml:space="preserve">' </w:t>
        </w:r>
      </w:hyperlink>
      <w:hyperlink r:id="rId114">
        <w:r w:rsidDel="00000000" w:rsidR="00000000" w:rsidRPr="00000000">
          <w:rPr>
            <w:color w:val="0000ff"/>
            <w:u w:val="single"/>
            <w:rtl w:val="1"/>
          </w:rPr>
          <w:t xml:space="preserve">מרכז</w:t>
        </w:r>
      </w:hyperlink>
      <w:hyperlink r:id="rId115">
        <w:r w:rsidDel="00000000" w:rsidR="00000000" w:rsidRPr="00000000">
          <w:rPr>
            <w:color w:val="0000ff"/>
            <w:u w:val="single"/>
            <w:rtl w:val="1"/>
          </w:rPr>
          <w:t xml:space="preserve">-</w:t>
        </w:r>
      </w:hyperlink>
      <w:hyperlink r:id="rId116">
        <w:r w:rsidDel="00000000" w:rsidR="00000000" w:rsidRPr="00000000">
          <w:rPr>
            <w:color w:val="0000ff"/>
            <w:u w:val="single"/>
            <w:rtl w:val="1"/>
          </w:rPr>
          <w:t xml:space="preserve">לוד</w:t>
        </w:r>
      </w:hyperlink>
      <w:hyperlink r:id="rId117">
        <w:r w:rsidDel="00000000" w:rsidR="00000000" w:rsidRPr="00000000">
          <w:rPr>
            <w:color w:val="0000ff"/>
            <w:u w:val="single"/>
            <w:rtl w:val="1"/>
          </w:rPr>
          <w:t xml:space="preserve">) 69158-11-16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גבארה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(12.6.17),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נשיאת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נשק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ותחמושת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ירי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באזור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מגורים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באדמה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מקלע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קרלו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מחסנית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ותחמושת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והתחמושת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מהרכב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נעדר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עבר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פלילי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נשוי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ואב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לשני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פעוטות</w:t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b w:val="1"/>
          <w:color w:val="000000"/>
          <w:rtl w:val="1"/>
        </w:rPr>
        <w:t xml:space="preserve">נידון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ל</w:t>
      </w:r>
      <w:r w:rsidDel="00000000" w:rsidR="00000000" w:rsidRPr="00000000">
        <w:rPr>
          <w:b w:val="1"/>
          <w:color w:val="000000"/>
          <w:rtl w:val="1"/>
        </w:rPr>
        <w:t xml:space="preserve">- 17 </w:t>
      </w:r>
      <w:r w:rsidDel="00000000" w:rsidR="00000000" w:rsidRPr="00000000">
        <w:rPr>
          <w:b w:val="1"/>
          <w:color w:val="000000"/>
          <w:rtl w:val="1"/>
        </w:rPr>
        <w:t xml:space="preserve">חודשי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מאסר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בפועל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bidi w:val="1"/>
        <w:spacing w:after="120" w:line="360" w:lineRule="auto"/>
        <w:ind w:left="720" w:hanging="72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לתיקון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113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</w:t>
      </w:r>
      <w:hyperlink r:id="rId118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חוק</w:t>
        </w:r>
      </w:hyperlink>
      <w:hyperlink r:id="rId119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</w:t>
        </w:r>
      </w:hyperlink>
      <w:hyperlink r:id="rId120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העונשין</w:t>
        </w:r>
      </w:hyperlink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 (</w:t>
      </w:r>
      <w:hyperlink r:id="rId121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סעיף</w:t>
        </w:r>
      </w:hyperlink>
      <w:hyperlink r:id="rId122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40 </w:t>
        </w:r>
      </w:hyperlink>
      <w:hyperlink r:id="rId123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יג</w:t>
        </w:r>
      </w:hyperlink>
      <w:hyperlink r:id="rId124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'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סבורני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הינו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החל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- 16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- 40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 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bidi w:val="1"/>
        <w:spacing w:after="120" w:line="360" w:lineRule="auto"/>
        <w:ind w:left="720" w:hanging="72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דנן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קיימים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שיקולים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מצדיקים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סטייה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מהמתחם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לחומרה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לקולא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נתתי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דעתי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- 19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השנים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האחרונות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ניהל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אורח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חיים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נורמטיבי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נתתי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דעתי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במשך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9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תחת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צו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פיקוח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וכי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תסקיר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שיתף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לאורך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התקופה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ואף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לקח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בקבוצה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לעצורי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ונראה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נתרם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ממנה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סבורני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מדובר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בהליך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טיפולי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ראשוני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להצדיק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ממתחם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אורח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החיים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הנורמטיבי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להילקח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בחשבון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גדרי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המתחם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</w:p>
    <w:p w:rsidR="00000000" w:rsidDel="00000000" w:rsidP="00000000" w:rsidRDefault="00000000" w:rsidRPr="00000000" w14:paraId="0000004F">
      <w:pPr>
        <w:bidi w:val="1"/>
        <w:spacing w:after="120" w:line="360" w:lineRule="auto"/>
        <w:jc w:val="both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גזירת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העונש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המתאים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לנאשם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bidi w:val="1"/>
        <w:spacing w:after="120" w:line="360" w:lineRule="auto"/>
        <w:ind w:left="720" w:hanging="720"/>
        <w:jc w:val="both"/>
        <w:rPr>
          <w:b w:val="1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בגזירת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המתאים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בגדרי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ההולם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להתחשב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בנסיבות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שאינן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קשורות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בביצוע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העבירה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 (</w:t>
      </w:r>
      <w:hyperlink r:id="rId125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סעיף</w:t>
        </w:r>
      </w:hyperlink>
      <w:hyperlink r:id="rId126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40 </w:t>
        </w:r>
      </w:hyperlink>
      <w:hyperlink r:id="rId127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יא</w:t>
        </w:r>
      </w:hyperlink>
      <w:hyperlink r:id="rId128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'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הראוי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לתת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הדעת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לכך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שהנאשם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יליד</w:t>
      </w:r>
      <w:r w:rsidDel="00000000" w:rsidR="00000000" w:rsidRPr="00000000">
        <w:rPr>
          <w:color w:val="000000"/>
          <w:rtl w:val="1"/>
        </w:rPr>
        <w:t xml:space="preserve"> 1962, </w:t>
      </w:r>
      <w:r w:rsidDel="00000000" w:rsidR="00000000" w:rsidRPr="00000000">
        <w:rPr>
          <w:color w:val="000000"/>
          <w:rtl w:val="1"/>
        </w:rPr>
        <w:t xml:space="preserve">נשוי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ואב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- 3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ילדים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הצעיר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8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והבכורה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16.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להביא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בחשבון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מזה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ארוכות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חיים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נורמטיביים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במהלכן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עובד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מזה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8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בעיריית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טירה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- 6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כאחראי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גבייה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בתאגיד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במשולש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לתקופה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ממושכת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יביא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ספק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לאובדן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עבודתו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ומקור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פרנסתו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ובהינתן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המפרנס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העיקרי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משפחתו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ספק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לתקופה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משמעותית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יפגע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ובמשפחתו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after="120" w:line="36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הודה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במיוחס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הביע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חרטה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כנה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ונטל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אחריות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מעשיו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הודייתו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באה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שכבר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החלו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להישמע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ראיות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ואולם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משפט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לעולם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ייזקף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לחובתו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ובמקרה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הביא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לתיקון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מסוים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spacing w:after="120" w:line="36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כאמור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במשך</w:t>
      </w:r>
      <w:r w:rsidDel="00000000" w:rsidR="00000000" w:rsidRPr="00000000">
        <w:rPr>
          <w:color w:val="000000"/>
          <w:rtl w:val="1"/>
        </w:rPr>
        <w:t xml:space="preserve"> 6 </w:t>
      </w:r>
      <w:r w:rsidDel="00000000" w:rsidR="00000000" w:rsidRPr="00000000">
        <w:rPr>
          <w:color w:val="000000"/>
          <w:rtl w:val="1"/>
        </w:rPr>
        <w:t xml:space="preserve">שנים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עבד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הנאשם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במסגרת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תאגיד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המים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במשולש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פעל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במסירות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ואף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הקים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מערך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הדרכה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לעובדים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חדשים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אשר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זוכה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להצלחה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רבה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בתאגיד</w:t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color w:val="000000"/>
          <w:rtl w:val="1"/>
        </w:rPr>
        <w:t xml:space="preserve">הנאשם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ביצע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העבירה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בחודש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ספטמבר</w:t>
      </w:r>
      <w:r w:rsidDel="00000000" w:rsidR="00000000" w:rsidRPr="00000000">
        <w:rPr>
          <w:color w:val="000000"/>
          <w:rtl w:val="1"/>
        </w:rPr>
        <w:t xml:space="preserve"> 2015. </w:t>
      </w:r>
    </w:p>
    <w:p w:rsidR="00000000" w:rsidDel="00000000" w:rsidP="00000000" w:rsidRDefault="00000000" w:rsidRPr="00000000" w14:paraId="00000053">
      <w:pPr>
        <w:bidi w:val="1"/>
        <w:spacing w:after="120" w:line="36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לחובתו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הנאשם</w:t>
      </w:r>
      <w:r w:rsidDel="00000000" w:rsidR="00000000" w:rsidRPr="00000000">
        <w:rPr>
          <w:color w:val="000000"/>
          <w:rtl w:val="1"/>
        </w:rPr>
        <w:t xml:space="preserve"> 3 </w:t>
      </w:r>
      <w:r w:rsidDel="00000000" w:rsidR="00000000" w:rsidRPr="00000000">
        <w:rPr>
          <w:color w:val="000000"/>
          <w:rtl w:val="1"/>
        </w:rPr>
        <w:t xml:space="preserve">הרשעות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קודמות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אשר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הרישום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בגינן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התיישן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נמחק</w:t>
      </w:r>
      <w:r w:rsidDel="00000000" w:rsidR="00000000" w:rsidRPr="00000000">
        <w:rPr>
          <w:color w:val="000000"/>
          <w:rtl w:val="1"/>
        </w:rPr>
        <w:t xml:space="preserve">: 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bidi w:val="1"/>
        <w:spacing w:after="120" w:line="360" w:lineRule="auto"/>
        <w:ind w:left="1620" w:hanging="360"/>
        <w:jc w:val="both"/>
        <w:rPr>
          <w:b w:val="1"/>
          <w:color w:val="000000"/>
        </w:rPr>
      </w:pPr>
      <w:r w:rsidDel="00000000" w:rsidR="00000000" w:rsidRPr="00000000">
        <w:rPr>
          <w:color w:val="000000"/>
          <w:rtl w:val="1"/>
        </w:rPr>
        <w:t xml:space="preserve">הרשעה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אחת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משנת</w:t>
      </w:r>
      <w:r w:rsidDel="00000000" w:rsidR="00000000" w:rsidRPr="00000000">
        <w:rPr>
          <w:color w:val="000000"/>
          <w:rtl w:val="1"/>
        </w:rPr>
        <w:t xml:space="preserve"> 1989 </w:t>
      </w:r>
      <w:r w:rsidDel="00000000" w:rsidR="00000000" w:rsidRPr="00000000">
        <w:rPr>
          <w:color w:val="000000"/>
          <w:rtl w:val="1"/>
        </w:rPr>
        <w:t xml:space="preserve">בעבירות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שבל</w:t>
      </w:r>
      <w:r w:rsidDel="00000000" w:rsidR="00000000" w:rsidRPr="00000000">
        <w:rPr>
          <w:color w:val="000000"/>
          <w:rtl w:val="1"/>
        </w:rPr>
        <w:t xml:space="preserve">"</w:t>
      </w:r>
      <w:r w:rsidDel="00000000" w:rsidR="00000000" w:rsidRPr="00000000">
        <w:rPr>
          <w:color w:val="000000"/>
          <w:rtl w:val="1"/>
        </w:rPr>
        <w:t xml:space="preserve">ר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נשיאת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נשק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קשירת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קשר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לפשע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ושוד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מזויין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בגינה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ריצה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מאסר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בפועל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למשך</w:t>
      </w:r>
      <w:r w:rsidDel="00000000" w:rsidR="00000000" w:rsidRPr="00000000">
        <w:rPr>
          <w:color w:val="000000"/>
          <w:rtl w:val="1"/>
        </w:rPr>
        <w:t xml:space="preserve"> 4 </w:t>
      </w:r>
      <w:r w:rsidDel="00000000" w:rsidR="00000000" w:rsidRPr="00000000">
        <w:rPr>
          <w:color w:val="000000"/>
          <w:rtl w:val="1"/>
        </w:rPr>
        <w:t xml:space="preserve">שנים</w:t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bidi w:val="1"/>
        <w:spacing w:after="120" w:line="360" w:lineRule="auto"/>
        <w:ind w:left="1620" w:hanging="360"/>
        <w:jc w:val="both"/>
        <w:rPr>
          <w:b w:val="1"/>
          <w:color w:val="000000"/>
        </w:rPr>
      </w:pPr>
      <w:r w:rsidDel="00000000" w:rsidR="00000000" w:rsidRPr="00000000">
        <w:rPr>
          <w:color w:val="000000"/>
          <w:rtl w:val="1"/>
        </w:rPr>
        <w:t xml:space="preserve">הרשעה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שניה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משנת</w:t>
      </w:r>
      <w:r w:rsidDel="00000000" w:rsidR="00000000" w:rsidRPr="00000000">
        <w:rPr>
          <w:color w:val="000000"/>
          <w:rtl w:val="1"/>
        </w:rPr>
        <w:t xml:space="preserve"> 1994 </w:t>
      </w:r>
      <w:r w:rsidDel="00000000" w:rsidR="00000000" w:rsidRPr="00000000">
        <w:rPr>
          <w:color w:val="000000"/>
          <w:rtl w:val="1"/>
        </w:rPr>
        <w:t xml:space="preserve">בעבירות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נשיאת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נשק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קשירת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קשר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לפשע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החזקת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נשק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וירי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מנשק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חם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באזור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מגורים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בגינה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נידון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</w:t>
      </w:r>
      <w:r w:rsidDel="00000000" w:rsidR="00000000" w:rsidRPr="00000000">
        <w:rPr>
          <w:color w:val="000000"/>
          <w:rtl w:val="1"/>
        </w:rPr>
        <w:t xml:space="preserve">- 50 </w:t>
      </w:r>
      <w:r w:rsidDel="00000000" w:rsidR="00000000" w:rsidRPr="00000000">
        <w:rPr>
          <w:color w:val="000000"/>
          <w:rtl w:val="1"/>
        </w:rPr>
        <w:t xml:space="preserve">חודשי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מאסר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בפועל</w:t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bidi w:val="1"/>
        <w:spacing w:after="120" w:line="360" w:lineRule="auto"/>
        <w:ind w:left="1620" w:hanging="360"/>
        <w:jc w:val="both"/>
        <w:rPr>
          <w:b w:val="1"/>
          <w:color w:val="000000"/>
        </w:rPr>
      </w:pPr>
      <w:r w:rsidDel="00000000" w:rsidR="00000000" w:rsidRPr="00000000">
        <w:rPr>
          <w:color w:val="000000"/>
          <w:rtl w:val="1"/>
        </w:rPr>
        <w:t xml:space="preserve">הרשעה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שלישית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משנת</w:t>
      </w:r>
      <w:r w:rsidDel="00000000" w:rsidR="00000000" w:rsidRPr="00000000">
        <w:rPr>
          <w:color w:val="000000"/>
          <w:rtl w:val="1"/>
        </w:rPr>
        <w:t xml:space="preserve"> 2001 </w:t>
      </w:r>
      <w:r w:rsidDel="00000000" w:rsidR="00000000" w:rsidRPr="00000000">
        <w:rPr>
          <w:color w:val="000000"/>
          <w:rtl w:val="1"/>
        </w:rPr>
        <w:t xml:space="preserve">בעבירות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אלימות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בגינה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ריצה</w:t>
      </w:r>
      <w:r w:rsidDel="00000000" w:rsidR="00000000" w:rsidRPr="00000000">
        <w:rPr>
          <w:color w:val="000000"/>
          <w:rtl w:val="1"/>
        </w:rPr>
        <w:t xml:space="preserve"> 5 </w:t>
      </w:r>
      <w:r w:rsidDel="00000000" w:rsidR="00000000" w:rsidRPr="00000000">
        <w:rPr>
          <w:color w:val="000000"/>
          <w:rtl w:val="1"/>
        </w:rPr>
        <w:t xml:space="preserve">חודשי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מאסר</w:t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after="120" w:line="360" w:lineRule="auto"/>
        <w:ind w:left="720" w:firstLine="0"/>
        <w:jc w:val="both"/>
        <w:rPr>
          <w:b w:val="1"/>
          <w:color w:val="000000"/>
        </w:rPr>
      </w:pPr>
      <w:r w:rsidDel="00000000" w:rsidR="00000000" w:rsidRPr="00000000">
        <w:rPr>
          <w:color w:val="000000"/>
          <w:rtl w:val="1"/>
        </w:rPr>
        <w:t xml:space="preserve">הגם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שמדובר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בעבירות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ישנות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מאוד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הרי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שמדובר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בהרשעות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בעבירות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בעלות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מאפיינים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דומים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לעבירות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בתיק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זה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ומכאן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ניתן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להתעלם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מהם</w:t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color w:val="000000"/>
          <w:rtl w:val="1"/>
        </w:rPr>
        <w:t xml:space="preserve">עם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זאת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נתתי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דעתי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לכך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משנת</w:t>
      </w:r>
      <w:r w:rsidDel="00000000" w:rsidR="00000000" w:rsidRPr="00000000">
        <w:rPr>
          <w:color w:val="000000"/>
          <w:rtl w:val="1"/>
        </w:rPr>
        <w:t xml:space="preserve"> 1993, </w:t>
      </w:r>
      <w:r w:rsidDel="00000000" w:rsidR="00000000" w:rsidRPr="00000000">
        <w:rPr>
          <w:color w:val="000000"/>
          <w:rtl w:val="1"/>
        </w:rPr>
        <w:t xml:space="preserve">מעל</w:t>
      </w:r>
      <w:r w:rsidDel="00000000" w:rsidR="00000000" w:rsidRPr="00000000">
        <w:rPr>
          <w:color w:val="000000"/>
          <w:rtl w:val="1"/>
        </w:rPr>
        <w:t xml:space="preserve"> 20 </w:t>
      </w:r>
      <w:r w:rsidDel="00000000" w:rsidR="00000000" w:rsidRPr="00000000">
        <w:rPr>
          <w:color w:val="000000"/>
          <w:rtl w:val="1"/>
        </w:rPr>
        <w:t xml:space="preserve">שנה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לא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ביצע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הנאשם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עבירות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הקשורות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בנשק</w:t>
      </w:r>
      <w:r w:rsidDel="00000000" w:rsidR="00000000" w:rsidRPr="00000000">
        <w:rPr>
          <w:color w:val="000000"/>
          <w:rtl w:val="1"/>
        </w:rPr>
        <w:t xml:space="preserve">.  </w:t>
      </w:r>
      <w:r w:rsidDel="00000000" w:rsidR="00000000" w:rsidRPr="00000000">
        <w:rPr>
          <w:color w:val="000000"/>
          <w:rtl w:val="1"/>
        </w:rPr>
        <w:t xml:space="preserve">עוד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נתתי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דעתי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לכך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שמיום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שסיים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הנאשם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לרצות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מאסרו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האחרון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הצליח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לשקם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חייו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ניהל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אורח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חיים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נורמטיבי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נישא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הוליד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ילדים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הקים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ביתו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ואף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עבד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בתפקידים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משמעותיים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ללא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מעורבות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חוזרת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בפלילים</w:t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color w:val="000000"/>
          <w:rtl w:val="1"/>
        </w:rPr>
        <w:t xml:space="preserve">שירות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המבחן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אף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מעריך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מסוכנותו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הנאשם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כנמוכה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וככל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שיבצע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עבירת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אלימות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צפויה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אף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זו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להיות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ברמת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חומרה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נמוכה</w:t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bidi w:val="1"/>
        <w:spacing w:after="120" w:line="360" w:lineRule="auto"/>
        <w:ind w:left="720" w:hanging="720"/>
        <w:jc w:val="both"/>
        <w:rPr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לתת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הדעת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לשיקול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הרתעת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בגדרו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המתחם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בשים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שהצליח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במשך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רבות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לשקם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עצמו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ולנהל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אורח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חיים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נורמטיבי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וחזר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נשק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עונשי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המאסר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הארוכים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שהושתו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בעבר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בגין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דומות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bidi w:val="1"/>
        <w:spacing w:after="120" w:line="360" w:lineRule="auto"/>
        <w:ind w:left="720" w:hanging="720"/>
        <w:jc w:val="both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באיזון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בין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השיקולים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השונים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סבורני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לגזור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הנאשם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עונש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בחלקו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הנמוך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יחסית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המתחם</w:t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color w:val="000000"/>
          <w:rtl w:val="1"/>
        </w:rPr>
        <w:t xml:space="preserve">בכל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הנוגע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לחילוט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הרכב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סבורני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אין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לקבל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עמדת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המאשימה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ולהורות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החילוט</w:t>
      </w:r>
      <w:r w:rsidDel="00000000" w:rsidR="00000000" w:rsidRPr="00000000">
        <w:rPr>
          <w:color w:val="000000"/>
          <w:rtl w:val="1"/>
        </w:rPr>
        <w:t xml:space="preserve">. </w:t>
      </w:r>
    </w:p>
    <w:p w:rsidR="00000000" w:rsidDel="00000000" w:rsidP="00000000" w:rsidRDefault="00000000" w:rsidRPr="00000000" w14:paraId="0000005A">
      <w:pPr>
        <w:bidi w:val="1"/>
        <w:spacing w:after="120" w:line="36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סוף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דבר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bidi w:val="1"/>
        <w:spacing w:after="120" w:line="360" w:lineRule="auto"/>
        <w:ind w:left="720" w:hanging="72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הנני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גוזר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העונשים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הבאים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bidi w:val="1"/>
        <w:spacing w:after="120" w:line="360" w:lineRule="auto"/>
        <w:ind w:left="1287" w:hanging="539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18 </w:t>
      </w:r>
      <w:r w:rsidDel="00000000" w:rsidR="00000000" w:rsidRPr="00000000">
        <w:rPr>
          <w:b w:val="1"/>
          <w:rtl w:val="1"/>
        </w:rPr>
        <w:t xml:space="preserve">חודשי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מאסר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בפועל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מיום</w:t>
      </w:r>
      <w:r w:rsidDel="00000000" w:rsidR="00000000" w:rsidRPr="00000000">
        <w:rPr>
          <w:rtl w:val="1"/>
        </w:rPr>
        <w:t xml:space="preserve"> 18.9.15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26.10.15. </w:t>
      </w:r>
    </w:p>
    <w:p w:rsidR="00000000" w:rsidDel="00000000" w:rsidP="00000000" w:rsidRDefault="00000000" w:rsidRPr="00000000" w14:paraId="0000005D">
      <w:pPr>
        <w:bidi w:val="1"/>
        <w:spacing w:after="120" w:line="360" w:lineRule="auto"/>
        <w:ind w:left="1287" w:firstLine="0"/>
        <w:jc w:val="both"/>
        <w:rPr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יתייצב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לריצוי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מאסרו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בבית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הסוהר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הדרים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13.5.18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השעה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10:00,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כשברשותו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תעודת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זהות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לתאם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הכניסה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למאסר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האפשרות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למיון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מוקדם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ענף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אבחון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ומיון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ס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טלפון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: 08-9787377, 08-9787336.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bidi w:val="1"/>
        <w:spacing w:after="120" w:line="360" w:lineRule="auto"/>
        <w:ind w:left="1287" w:hanging="54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12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שחרורו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פשע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bidi w:val="1"/>
        <w:spacing w:after="120" w:line="360" w:lineRule="auto"/>
        <w:ind w:left="1287" w:hanging="54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שחרורו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0">
      <w:pPr>
        <w:bidi w:val="1"/>
        <w:spacing w:after="120" w:line="360" w:lineRule="auto"/>
        <w:ind w:left="128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spacing w:after="120" w:line="360" w:lineRule="auto"/>
        <w:ind w:left="1287" w:firstLine="0"/>
        <w:jc w:val="both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והנשקים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יחולטו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2">
      <w:pPr>
        <w:bidi w:val="1"/>
        <w:spacing w:after="120" w:line="360" w:lineRule="auto"/>
        <w:ind w:left="720" w:firstLine="0"/>
        <w:rPr>
          <w:rFonts w:ascii="David" w:cs="David" w:eastAsia="David" w:hAnsi="David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spacing w:after="120" w:line="360" w:lineRule="auto"/>
        <w:ind w:left="720" w:firstLine="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מזכירות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תמציא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העתק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גזר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לשירות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64">
      <w:pPr>
        <w:bidi w:val="1"/>
        <w:spacing w:after="120" w:line="360" w:lineRule="auto"/>
        <w:ind w:firstLine="36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זכות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45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5">
      <w:pPr>
        <w:bidi w:val="1"/>
        <w:spacing w:after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spacing w:after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spacing w:after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spacing w:after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spacing w:after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spacing w:after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spacing w:after="120" w:line="360" w:lineRule="auto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5129371</w:t>
      </w:r>
    </w:p>
    <w:p w:rsidR="00000000" w:rsidDel="00000000" w:rsidP="00000000" w:rsidRDefault="00000000" w:rsidRPr="00000000" w14:paraId="0000006C">
      <w:pPr>
        <w:bidi w:val="1"/>
        <w:spacing w:after="120" w:line="360" w:lineRule="auto"/>
        <w:rPr/>
      </w:pPr>
      <w:r w:rsidDel="00000000" w:rsidR="00000000" w:rsidRPr="00000000">
        <w:rPr>
          <w:rFonts w:ascii="Arial" w:cs="Arial" w:eastAsia="Arial" w:hAnsi="Arial"/>
          <w:color w:val="ffffff"/>
          <w:sz w:val="2"/>
          <w:szCs w:val="2"/>
          <w:rtl w:val="0"/>
        </w:rPr>
        <w:t xml:space="preserve">54678313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אדר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rtl w:val="1"/>
        </w:rPr>
        <w:t xml:space="preserve">, 12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מרץ</w:t>
      </w:r>
      <w:r w:rsidDel="00000000" w:rsidR="00000000" w:rsidRPr="00000000">
        <w:rPr>
          <w:rFonts w:ascii="Arial" w:cs="Arial" w:eastAsia="Arial" w:hAnsi="Arial"/>
          <w:rtl w:val="1"/>
        </w:rPr>
        <w:t xml:space="preserve"> 2018,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בנוכחות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spacing w:after="120" w:line="360" w:lineRule="auto"/>
        <w:jc w:val="center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    </w:t>
      </w:r>
    </w:p>
    <w:p w:rsidR="00000000" w:rsidDel="00000000" w:rsidP="00000000" w:rsidRDefault="00000000" w:rsidRPr="00000000" w14:paraId="0000006E">
      <w:pPr>
        <w:bidi w:val="1"/>
        <w:spacing w:after="12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spacing w:after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bidi w:val="1"/>
        <w:spacing w:after="12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5129371</w:t>
      </w:r>
    </w:p>
    <w:p w:rsidR="00000000" w:rsidDel="00000000" w:rsidP="00000000" w:rsidRDefault="00000000" w:rsidRPr="00000000" w14:paraId="00000071">
      <w:pPr>
        <w:keepNext w:val="1"/>
        <w:bidi w:val="1"/>
        <w:rPr>
          <w:rFonts w:ascii="David" w:cs="David" w:eastAsia="David" w:hAnsi="David"/>
          <w:color w:val="ffffff"/>
          <w:sz w:val="2"/>
          <w:szCs w:val="2"/>
        </w:rPr>
      </w:pPr>
      <w:r w:rsidDel="00000000" w:rsidR="00000000" w:rsidRPr="00000000">
        <w:rPr>
          <w:rFonts w:ascii="David" w:cs="David" w:eastAsia="David" w:hAnsi="David"/>
          <w:color w:val="ffffff"/>
          <w:sz w:val="2"/>
          <w:szCs w:val="2"/>
          <w:rtl w:val="0"/>
        </w:rPr>
        <w:t xml:space="preserve">54678313</w:t>
      </w:r>
    </w:p>
    <w:p w:rsidR="00000000" w:rsidDel="00000000" w:rsidP="00000000" w:rsidRDefault="00000000" w:rsidRPr="00000000" w14:paraId="00000072">
      <w:pPr>
        <w:keepNext w:val="1"/>
        <w:bidi w:val="1"/>
        <w:rPr>
          <w:rFonts w:ascii="David" w:cs="David" w:eastAsia="David" w:hAnsi="David"/>
          <w:color w:val="000000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עמי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קובו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54678313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color w:val="000000"/>
          <w:rtl w:val="1"/>
        </w:rPr>
        <w:t xml:space="preserve">נוסח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מסמך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זה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כפוף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לשינויי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ניסוח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ועריכה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center"/>
        <w:rPr>
          <w:color w:val="0000ff"/>
          <w:u w:val="single"/>
        </w:rPr>
      </w:pPr>
      <w:hyperlink r:id="rId129">
        <w:r w:rsidDel="00000000" w:rsidR="00000000" w:rsidRPr="00000000">
          <w:rPr>
            <w:color w:val="0000ff"/>
            <w:u w:val="single"/>
            <w:rtl w:val="1"/>
          </w:rPr>
          <w:t xml:space="preserve">בעניין</w:t>
        </w:r>
      </w:hyperlink>
      <w:hyperlink r:id="rId130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31">
        <w:r w:rsidDel="00000000" w:rsidR="00000000" w:rsidRPr="00000000">
          <w:rPr>
            <w:color w:val="0000ff"/>
            <w:u w:val="single"/>
            <w:rtl w:val="1"/>
          </w:rPr>
          <w:t xml:space="preserve">עריכה</w:t>
        </w:r>
      </w:hyperlink>
      <w:hyperlink r:id="rId132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33">
        <w:r w:rsidDel="00000000" w:rsidR="00000000" w:rsidRPr="00000000">
          <w:rPr>
            <w:color w:val="0000ff"/>
            <w:u w:val="single"/>
            <w:rtl w:val="1"/>
          </w:rPr>
          <w:t xml:space="preserve">ושינויים</w:t>
        </w:r>
      </w:hyperlink>
      <w:hyperlink r:id="rId134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35">
        <w:r w:rsidDel="00000000" w:rsidR="00000000" w:rsidRPr="00000000">
          <w:rPr>
            <w:color w:val="0000ff"/>
            <w:u w:val="single"/>
            <w:rtl w:val="1"/>
          </w:rPr>
          <w:t xml:space="preserve">במסמכי</w:t>
        </w:r>
      </w:hyperlink>
      <w:hyperlink r:id="rId136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37">
        <w:r w:rsidDel="00000000" w:rsidR="00000000" w:rsidRPr="00000000">
          <w:rPr>
            <w:color w:val="0000ff"/>
            <w:u w:val="single"/>
            <w:rtl w:val="1"/>
          </w:rPr>
          <w:t xml:space="preserve">פסיקה</w:t>
        </w:r>
      </w:hyperlink>
      <w:hyperlink r:id="rId138">
        <w:r w:rsidDel="00000000" w:rsidR="00000000" w:rsidRPr="00000000">
          <w:rPr>
            <w:color w:val="0000ff"/>
            <w:u w:val="single"/>
            <w:rtl w:val="1"/>
          </w:rPr>
          <w:t xml:space="preserve">, </w:t>
        </w:r>
      </w:hyperlink>
      <w:hyperlink r:id="rId139">
        <w:r w:rsidDel="00000000" w:rsidR="00000000" w:rsidRPr="00000000">
          <w:rPr>
            <w:color w:val="0000ff"/>
            <w:u w:val="single"/>
            <w:rtl w:val="1"/>
          </w:rPr>
          <w:t xml:space="preserve">חקיקה</w:t>
        </w:r>
      </w:hyperlink>
      <w:hyperlink r:id="rId140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41">
        <w:r w:rsidDel="00000000" w:rsidR="00000000" w:rsidRPr="00000000">
          <w:rPr>
            <w:color w:val="0000ff"/>
            <w:u w:val="single"/>
            <w:rtl w:val="1"/>
          </w:rPr>
          <w:t xml:space="preserve">ועוד</w:t>
        </w:r>
      </w:hyperlink>
      <w:hyperlink r:id="rId142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43">
        <w:r w:rsidDel="00000000" w:rsidR="00000000" w:rsidRPr="00000000">
          <w:rPr>
            <w:color w:val="0000ff"/>
            <w:u w:val="single"/>
            <w:rtl w:val="1"/>
          </w:rPr>
          <w:t xml:space="preserve">באתר</w:t>
        </w:r>
      </w:hyperlink>
      <w:hyperlink r:id="rId144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45">
        <w:r w:rsidDel="00000000" w:rsidR="00000000" w:rsidRPr="00000000">
          <w:rPr>
            <w:color w:val="0000ff"/>
            <w:u w:val="single"/>
            <w:rtl w:val="1"/>
          </w:rPr>
          <w:t xml:space="preserve">נבו</w:t>
        </w:r>
      </w:hyperlink>
      <w:hyperlink r:id="rId146">
        <w:r w:rsidDel="00000000" w:rsidR="00000000" w:rsidRPr="00000000">
          <w:rPr>
            <w:color w:val="0000ff"/>
            <w:u w:val="single"/>
            <w:rtl w:val="1"/>
          </w:rPr>
          <w:t xml:space="preserve"> – </w:t>
        </w:r>
      </w:hyperlink>
      <w:hyperlink r:id="rId147">
        <w:r w:rsidDel="00000000" w:rsidR="00000000" w:rsidRPr="00000000">
          <w:rPr>
            <w:color w:val="0000ff"/>
            <w:u w:val="single"/>
            <w:rtl w:val="1"/>
          </w:rPr>
          <w:t xml:space="preserve">הקש</w:t>
        </w:r>
      </w:hyperlink>
      <w:hyperlink r:id="rId148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49">
        <w:r w:rsidDel="00000000" w:rsidR="00000000" w:rsidRPr="00000000">
          <w:rPr>
            <w:color w:val="0000ff"/>
            <w:u w:val="single"/>
            <w:rtl w:val="1"/>
          </w:rPr>
          <w:t xml:space="preserve">כאן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sectPr>
      <w:headerReference r:id="rId150" w:type="default"/>
      <w:headerReference r:id="rId151" w:type="even"/>
      <w:footerReference r:id="rId152" w:type="default"/>
      <w:footerReference r:id="rId153" w:type="even"/>
      <w:pgSz w:h="16840" w:w="11907" w:orient="portrait"/>
      <w:pgMar w:bottom="2552" w:top="1701" w:left="1701" w:right="1701" w:header="18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FrankRuehl"/>
  <w:font w:name="David"/>
  <w:font w:name="Tahoma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leader="none" w:pos="4153"/>
        <w:tab w:val="right" w:leader="none" w:pos="8306"/>
      </w:tabs>
      <w:bidi w:val="1"/>
      <w:spacing w:after="6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_x0000_i1025" style="width:43.5pt;height:17.9pt" type="#_x0000_t75">
          <v:imagedata r:id="rId1" o:title="Nevologo2"/>
        </v:shape>
      </w:pic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leader="none" w:pos="4153"/>
        <w:tab w:val="right" w:leader="none" w:pos="8306"/>
      </w:tabs>
      <w:bidi w:val="1"/>
      <w:spacing w:after="6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_x0000_i1026" style="width:43.5pt;height:17.9pt" type="#_x0000_t75">
          <v:imagedata r:id="rId2" o:title="Nevologo2"/>
        </v:shape>
      </w:pic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8311"/>
      </w:tabs>
      <w:bidi w:val="1"/>
      <w:spacing w:after="0" w:before="0" w:line="220" w:lineRule="auto"/>
      <w:ind w:left="0" w:right="0" w:firstLine="0"/>
      <w:jc w:val="left"/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תפ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מרכז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) 40313-09-15</w:t>
      <w:tab/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מדינת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ישראל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השאם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סמארה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8311"/>
      </w:tabs>
      <w:bidi w:val="1"/>
      <w:spacing w:after="0" w:before="0" w:line="220" w:lineRule="auto"/>
      <w:ind w:left="0" w:right="0" w:firstLine="0"/>
      <w:jc w:val="left"/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תפ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מרכז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) 40313-09-15</w:t>
      <w:tab/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מדינת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ישראל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השאם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סמארה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b w:val="0"/>
      </w:rPr>
    </w:lvl>
    <w:lvl w:ilvl="1">
      <w:start w:val="1"/>
      <w:numFmt w:val="decimal"/>
      <w:lvlText w:val="%2."/>
      <w:lvlJc w:val="left"/>
      <w:pPr>
        <w:ind w:left="1620" w:hanging="360"/>
      </w:pPr>
      <w:rPr>
        <w:b w:val="0"/>
      </w:rPr>
    </w:lvl>
    <w:lvl w:ilvl="2">
      <w:start w:val="1"/>
      <w:numFmt w:val="decimal"/>
      <w:lvlText w:val="(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ind w:left="5760" w:firstLine="72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1" w:default="1">
    <w:name w:val="Normal"/>
    <w:qFormat w:val="1"/>
    <w:rsid w:val="00830671"/>
    <w:pPr>
      <w:bidi w:val="1"/>
    </w:pPr>
    <w:rPr>
      <w:rFonts w:ascii="Times New Roman" w:cs="David" w:eastAsia="Times New Roman" w:hAnsi="Times New Roman"/>
      <w:sz w:val="24"/>
      <w:szCs w:val="24"/>
    </w:rPr>
  </w:style>
  <w:style w:type="paragraph" w:styleId="1">
    <w:name w:val="heading 1"/>
    <w:basedOn w:val="a1"/>
    <w:next w:val="a1"/>
    <w:link w:val="10"/>
    <w:qFormat w:val="1"/>
    <w:rsid w:val="00830671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4">
    <w:name w:val="heading 4"/>
    <w:basedOn w:val="a1"/>
    <w:next w:val="a1"/>
    <w:link w:val="40"/>
    <w:qFormat w:val="1"/>
    <w:rsid w:val="00830671"/>
    <w:pPr>
      <w:keepNext w:val="1"/>
      <w:ind w:left="5760" w:firstLine="720"/>
      <w:outlineLvl w:val="3"/>
    </w:pPr>
    <w:rPr>
      <w:rFonts w:cs="Narkisim"/>
      <w:b w:val="1"/>
      <w:bCs w:val="1"/>
    </w:rPr>
  </w:style>
  <w:style w:type="character" w:styleId="a2" w:default="1">
    <w:name w:val="Default Paragraph Font"/>
    <w:uiPriority w:val="1"/>
    <w:semiHidden w:val="1"/>
    <w:unhideWhenUsed w:val="1"/>
  </w:style>
  <w:style w:type="table" w:styleId="a3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4" w:default="1">
    <w:name w:val="No List"/>
    <w:uiPriority w:val="99"/>
    <w:semiHidden w:val="1"/>
    <w:unhideWhenUsed w:val="1"/>
  </w:style>
  <w:style w:type="character" w:styleId="10" w:customStyle="1">
    <w:name w:val="כותרת 1 תו"/>
    <w:link w:val="1"/>
    <w:rsid w:val="00830671"/>
    <w:rPr>
      <w:rFonts w:ascii="Arial" w:cs="Arial" w:eastAsia="Times New Roman" w:hAnsi="Arial"/>
      <w:b w:val="1"/>
      <w:bCs w:val="1"/>
      <w:kern w:val="32"/>
      <w:sz w:val="32"/>
      <w:szCs w:val="32"/>
    </w:rPr>
  </w:style>
  <w:style w:type="character" w:styleId="40" w:customStyle="1">
    <w:name w:val="כותרת 4 תו"/>
    <w:link w:val="4"/>
    <w:rsid w:val="00830671"/>
    <w:rPr>
      <w:rFonts w:ascii="Times New Roman" w:cs="Narkisim" w:eastAsia="Times New Roman" w:hAnsi="Times New Roman"/>
      <w:b w:val="1"/>
      <w:bCs w:val="1"/>
      <w:sz w:val="24"/>
      <w:szCs w:val="24"/>
    </w:rPr>
  </w:style>
  <w:style w:type="paragraph" w:styleId="a5">
    <w:name w:val="header"/>
    <w:basedOn w:val="a1"/>
    <w:link w:val="a6"/>
    <w:rsid w:val="00830671"/>
    <w:pPr>
      <w:tabs>
        <w:tab w:val="center" w:pos="4153"/>
        <w:tab w:val="right" w:pos="8306"/>
      </w:tabs>
    </w:pPr>
  </w:style>
  <w:style w:type="character" w:styleId="a6" w:customStyle="1">
    <w:name w:val="כותרת עליונה תו"/>
    <w:link w:val="a5"/>
    <w:rsid w:val="00830671"/>
    <w:rPr>
      <w:rFonts w:ascii="Times New Roman" w:cs="David" w:eastAsia="Times New Roman" w:hAnsi="Times New Roman"/>
      <w:sz w:val="24"/>
      <w:szCs w:val="24"/>
    </w:rPr>
  </w:style>
  <w:style w:type="paragraph" w:styleId="a7">
    <w:name w:val="footer"/>
    <w:basedOn w:val="a1"/>
    <w:link w:val="a8"/>
    <w:rsid w:val="00830671"/>
    <w:pPr>
      <w:tabs>
        <w:tab w:val="center" w:pos="4153"/>
        <w:tab w:val="right" w:pos="8306"/>
      </w:tabs>
    </w:pPr>
  </w:style>
  <w:style w:type="character" w:styleId="a8" w:customStyle="1">
    <w:name w:val="כותרת תחתונה תו"/>
    <w:link w:val="a7"/>
    <w:rsid w:val="00830671"/>
    <w:rPr>
      <w:rFonts w:ascii="Times New Roman" w:cs="David" w:eastAsia="Times New Roman" w:hAnsi="Times New Roman"/>
      <w:sz w:val="24"/>
      <w:szCs w:val="24"/>
    </w:rPr>
  </w:style>
  <w:style w:type="character" w:styleId="a9">
    <w:name w:val="annotation reference"/>
    <w:rsid w:val="00830671"/>
    <w:rPr>
      <w:sz w:val="16"/>
      <w:szCs w:val="16"/>
    </w:rPr>
  </w:style>
  <w:style w:type="paragraph" w:styleId="aa">
    <w:name w:val="annotation text"/>
    <w:basedOn w:val="a1"/>
    <w:link w:val="ab"/>
    <w:rsid w:val="00830671"/>
    <w:rPr>
      <w:rFonts w:cs="Times New Roman"/>
      <w:lang w:eastAsia="he-IL"/>
    </w:rPr>
  </w:style>
  <w:style w:type="character" w:styleId="ab" w:customStyle="1">
    <w:name w:val="טקסט הערה תו"/>
    <w:link w:val="aa"/>
    <w:rsid w:val="00830671"/>
    <w:rPr>
      <w:rFonts w:ascii="Times New Roman" w:cs="Times New Roman" w:eastAsia="Times New Roman" w:hAnsi="Times New Roman"/>
      <w:sz w:val="24"/>
      <w:szCs w:val="24"/>
      <w:lang w:eastAsia="he-IL"/>
    </w:rPr>
  </w:style>
  <w:style w:type="paragraph" w:styleId="ac">
    <w:name w:val="Balloon Text"/>
    <w:basedOn w:val="a1"/>
    <w:link w:val="ad"/>
    <w:rsid w:val="00830671"/>
    <w:rPr>
      <w:rFonts w:ascii="Tahoma" w:cs="Tahoma" w:hAnsi="Tahoma"/>
      <w:sz w:val="16"/>
      <w:szCs w:val="16"/>
    </w:rPr>
  </w:style>
  <w:style w:type="character" w:styleId="ad" w:customStyle="1">
    <w:name w:val="טקסט בלונים תו"/>
    <w:link w:val="ac"/>
    <w:rsid w:val="00830671"/>
    <w:rPr>
      <w:rFonts w:ascii="Tahoma" w:cs="Tahoma" w:eastAsia="Times New Roman" w:hAnsi="Tahoma"/>
      <w:sz w:val="16"/>
      <w:szCs w:val="16"/>
    </w:rPr>
  </w:style>
  <w:style w:type="table" w:styleId="ae">
    <w:name w:val="Table Grid"/>
    <w:basedOn w:val="a3"/>
    <w:rsid w:val="00830671"/>
    <w:pPr>
      <w:bidi w:val="1"/>
    </w:pPr>
    <w:rPr>
      <w:rFonts w:ascii="Times New Roman" w:cs="Times New Roman" w:eastAsia="Times New Roman" w:hAnsi="Times New Roma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f">
    <w:name w:val="page number"/>
    <w:rsid w:val="00830671"/>
  </w:style>
  <w:style w:type="paragraph" w:styleId="a">
    <w:name w:val="List Number"/>
    <w:basedOn w:val="a1"/>
    <w:rsid w:val="00830671"/>
    <w:pPr>
      <w:numPr>
        <w:numId w:val="3"/>
      </w:numPr>
      <w:spacing w:after="120" w:line="360" w:lineRule="auto"/>
      <w:ind w:right="360"/>
    </w:pPr>
  </w:style>
  <w:style w:type="paragraph" w:styleId="af0" w:customStyle="1">
    <w:name w:val="כותרת"/>
    <w:basedOn w:val="a1"/>
    <w:next w:val="af1"/>
    <w:autoRedefine w:val="1"/>
    <w:rsid w:val="00830671"/>
    <w:pPr>
      <w:spacing w:after="120" w:line="360" w:lineRule="auto"/>
    </w:pPr>
    <w:rPr>
      <w:bCs w:val="1"/>
      <w:u w:val="single"/>
      <w:lang w:eastAsia="he-IL"/>
    </w:rPr>
  </w:style>
  <w:style w:type="paragraph" w:styleId="a0" w:customStyle="1">
    <w:name w:val="ממוספר"/>
    <w:basedOn w:val="a1"/>
    <w:rsid w:val="00830671"/>
    <w:pPr>
      <w:numPr>
        <w:numId w:val="4"/>
      </w:numPr>
      <w:spacing w:after="120" w:line="360" w:lineRule="auto"/>
    </w:pPr>
    <w:rPr>
      <w:rFonts w:ascii="David" w:hAnsi="David"/>
      <w:color w:val="000000"/>
    </w:rPr>
  </w:style>
  <w:style w:type="character" w:styleId="default" w:customStyle="1">
    <w:name w:val="default"/>
    <w:rsid w:val="00830671"/>
    <w:rPr>
      <w:rFonts w:ascii="Times New Roman" w:hAnsi="Times New Roman"/>
      <w:sz w:val="26"/>
    </w:rPr>
  </w:style>
  <w:style w:type="paragraph" w:styleId="af1">
    <w:name w:val="List"/>
    <w:basedOn w:val="a1"/>
    <w:rsid w:val="00830671"/>
    <w:pPr>
      <w:ind w:left="283" w:hanging="283"/>
      <w:contextualSpacing w:val="1"/>
    </w:pPr>
    <w:rPr>
      <w:rFonts w:cs="Times New Roman"/>
    </w:rPr>
  </w:style>
  <w:style w:type="character" w:styleId="Hyperlink">
    <w:name w:val="Hyperlink"/>
    <w:rsid w:val="00F30747"/>
    <w:rPr>
      <w:color w:val="0563c1"/>
      <w:u w:val="single"/>
    </w:rPr>
  </w:style>
  <w:style w:type="character" w:styleId="af2">
    <w:name w:val="Unresolved Mention"/>
    <w:rsid w:val="00F30747"/>
    <w:rPr>
      <w:color w:val="808080"/>
      <w:shd w:color="auto" w:fill="e6e6e6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0" Type="http://schemas.openxmlformats.org/officeDocument/2006/relationships/hyperlink" Target="http://www.nevo.co.il/law/70301/144.b" TargetMode="External"/><Relationship Id="rId42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144.a" TargetMode="External"/><Relationship Id="rId43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144.a" TargetMode="External"/><Relationship Id="rId45" Type="http://schemas.openxmlformats.org/officeDocument/2006/relationships/hyperlink" Target="http://www.nevo.co.il/law/70301/144.a" TargetMode="External"/><Relationship Id="rId107" Type="http://schemas.openxmlformats.org/officeDocument/2006/relationships/hyperlink" Target="http://www.nevo.co.il/case/18706461" TargetMode="External"/><Relationship Id="rId106" Type="http://schemas.openxmlformats.org/officeDocument/2006/relationships/hyperlink" Target="http://www.nevo.co.il/case/18706461" TargetMode="External"/><Relationship Id="rId105" Type="http://schemas.openxmlformats.org/officeDocument/2006/relationships/hyperlink" Target="http://www.nevo.co.il/case/18706461" TargetMode="External"/><Relationship Id="rId104" Type="http://schemas.openxmlformats.org/officeDocument/2006/relationships/hyperlink" Target="http://www.nevo.co.il/case/18706461" TargetMode="External"/><Relationship Id="rId109" Type="http://schemas.openxmlformats.org/officeDocument/2006/relationships/hyperlink" Target="http://www.nevo.co.il/case/21703479" TargetMode="External"/><Relationship Id="rId108" Type="http://schemas.openxmlformats.org/officeDocument/2006/relationships/hyperlink" Target="http://www.nevo.co.il/case/21703479" TargetMode="External"/><Relationship Id="rId48" Type="http://schemas.openxmlformats.org/officeDocument/2006/relationships/hyperlink" Target="http://www.nevo.co.il/case/6473037" TargetMode="External"/><Relationship Id="rId47" Type="http://schemas.openxmlformats.org/officeDocument/2006/relationships/hyperlink" Target="http://www.nevo.co.il/law/70301/144.a" TargetMode="External"/><Relationship Id="rId49" Type="http://schemas.openxmlformats.org/officeDocument/2006/relationships/hyperlink" Target="http://www.nevo.co.il/case/6473037" TargetMode="External"/><Relationship Id="rId103" Type="http://schemas.openxmlformats.org/officeDocument/2006/relationships/hyperlink" Target="http://www.nevo.co.il/case/18706461" TargetMode="External"/><Relationship Id="rId102" Type="http://schemas.openxmlformats.org/officeDocument/2006/relationships/hyperlink" Target="http://www.nevo.co.il/case/18706461" TargetMode="External"/><Relationship Id="rId101" Type="http://schemas.openxmlformats.org/officeDocument/2006/relationships/hyperlink" Target="http://www.nevo.co.il/case/18706461" TargetMode="External"/><Relationship Id="rId100" Type="http://schemas.openxmlformats.org/officeDocument/2006/relationships/hyperlink" Target="http://www.nevo.co.il/case/18706461" TargetMode="External"/><Relationship Id="rId31" Type="http://schemas.openxmlformats.org/officeDocument/2006/relationships/hyperlink" Target="http://www.nevo.co.il/law/70301/40ja" TargetMode="External"/><Relationship Id="rId30" Type="http://schemas.openxmlformats.org/officeDocument/2006/relationships/hyperlink" Target="http://www.nevo.co.il/law/70301/40ja" TargetMode="External"/><Relationship Id="rId33" Type="http://schemas.openxmlformats.org/officeDocument/2006/relationships/hyperlink" Target="http://www.nevo.co.il/law/70301/40jc" TargetMode="External"/><Relationship Id="rId32" Type="http://schemas.openxmlformats.org/officeDocument/2006/relationships/hyperlink" Target="http://www.nevo.co.il/law/70301/40ja" TargetMode="External"/><Relationship Id="rId35" Type="http://schemas.openxmlformats.org/officeDocument/2006/relationships/hyperlink" Target="http://www.nevo.co.il/law/70301/40jc" TargetMode="External"/><Relationship Id="rId34" Type="http://schemas.openxmlformats.org/officeDocument/2006/relationships/hyperlink" Target="http://www.nevo.co.il/law/70301/40jc" TargetMode="External"/><Relationship Id="rId37" Type="http://schemas.openxmlformats.org/officeDocument/2006/relationships/hyperlink" Target="http://www.nevo.co.il/law/70301/144.b" TargetMode="External"/><Relationship Id="rId36" Type="http://schemas.openxmlformats.org/officeDocument/2006/relationships/hyperlink" Target="http://www.nevo.co.il/law/70301/40jc" TargetMode="External"/><Relationship Id="rId39" Type="http://schemas.openxmlformats.org/officeDocument/2006/relationships/hyperlink" Target="http://www.nevo.co.il/law/70301/144.b" TargetMode="External"/><Relationship Id="rId38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0301/40i" TargetMode="External"/><Relationship Id="rId22" Type="http://schemas.openxmlformats.org/officeDocument/2006/relationships/hyperlink" Target="http://www.nevo.co.il/law/70301/144.a" TargetMode="External"/><Relationship Id="rId21" Type="http://schemas.openxmlformats.org/officeDocument/2006/relationships/hyperlink" Target="http://www.nevo.co.il/law/70301/144.a" TargetMode="External"/><Relationship Id="rId24" Type="http://schemas.openxmlformats.org/officeDocument/2006/relationships/hyperlink" Target="http://www.nevo.co.il/law/70301/144.a" TargetMode="External"/><Relationship Id="rId23" Type="http://schemas.openxmlformats.org/officeDocument/2006/relationships/hyperlink" Target="http://www.nevo.co.il/law/70301/144.a" TargetMode="External"/><Relationship Id="rId129" Type="http://schemas.openxmlformats.org/officeDocument/2006/relationships/hyperlink" Target="http://www.nevo.co.il/advertisements/nevo-100.doc" TargetMode="External"/><Relationship Id="rId128" Type="http://schemas.openxmlformats.org/officeDocument/2006/relationships/hyperlink" Target="http://www.nevo.co.il/law/70301/40ja" TargetMode="External"/><Relationship Id="rId127" Type="http://schemas.openxmlformats.org/officeDocument/2006/relationships/hyperlink" Target="http://www.nevo.co.il/law/70301/40ja" TargetMode="External"/><Relationship Id="rId126" Type="http://schemas.openxmlformats.org/officeDocument/2006/relationships/hyperlink" Target="http://www.nevo.co.il/law/70301/40ja" TargetMode="External"/><Relationship Id="rId26" Type="http://schemas.openxmlformats.org/officeDocument/2006/relationships/hyperlink" Target="http://www.nevo.co.il/law/70301/144.b" TargetMode="External"/><Relationship Id="rId121" Type="http://schemas.openxmlformats.org/officeDocument/2006/relationships/hyperlink" Target="http://www.nevo.co.il/law/70301/40jc" TargetMode="External"/><Relationship Id="rId25" Type="http://schemas.openxmlformats.org/officeDocument/2006/relationships/hyperlink" Target="http://www.nevo.co.il/law/70301/144.b" TargetMode="External"/><Relationship Id="rId120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144.b" TargetMode="External"/><Relationship Id="rId27" Type="http://schemas.openxmlformats.org/officeDocument/2006/relationships/hyperlink" Target="http://www.nevo.co.il/law/70301/144.b" TargetMode="External"/><Relationship Id="rId125" Type="http://schemas.openxmlformats.org/officeDocument/2006/relationships/hyperlink" Target="http://www.nevo.co.il/law/70301/40ja" TargetMode="External"/><Relationship Id="rId29" Type="http://schemas.openxmlformats.org/officeDocument/2006/relationships/hyperlink" Target="http://www.nevo.co.il/law/70301/40ja" TargetMode="External"/><Relationship Id="rId124" Type="http://schemas.openxmlformats.org/officeDocument/2006/relationships/hyperlink" Target="http://www.nevo.co.il/law/70301/40jc" TargetMode="External"/><Relationship Id="rId123" Type="http://schemas.openxmlformats.org/officeDocument/2006/relationships/hyperlink" Target="http://www.nevo.co.il/law/70301/40jc" TargetMode="External"/><Relationship Id="rId122" Type="http://schemas.openxmlformats.org/officeDocument/2006/relationships/hyperlink" Target="http://www.nevo.co.il/law/70301/40jc" TargetMode="External"/><Relationship Id="rId95" Type="http://schemas.openxmlformats.org/officeDocument/2006/relationships/hyperlink" Target="http://www.nevo.co.il/case/20854263" TargetMode="External"/><Relationship Id="rId94" Type="http://schemas.openxmlformats.org/officeDocument/2006/relationships/hyperlink" Target="http://www.nevo.co.il/case/20854263" TargetMode="External"/><Relationship Id="rId97" Type="http://schemas.openxmlformats.org/officeDocument/2006/relationships/hyperlink" Target="http://www.nevo.co.il/case/20854263" TargetMode="External"/><Relationship Id="rId96" Type="http://schemas.openxmlformats.org/officeDocument/2006/relationships/hyperlink" Target="http://www.nevo.co.il/case/20854263" TargetMode="External"/><Relationship Id="rId11" Type="http://schemas.openxmlformats.org/officeDocument/2006/relationships/hyperlink" Target="http://www.nevo.co.il/law/70301" TargetMode="External"/><Relationship Id="rId99" Type="http://schemas.openxmlformats.org/officeDocument/2006/relationships/hyperlink" Target="http://www.nevo.co.il/case/18706461" TargetMode="External"/><Relationship Id="rId10" Type="http://schemas.openxmlformats.org/officeDocument/2006/relationships/hyperlink" Target="http://www.nevo.co.il/law/70301" TargetMode="External"/><Relationship Id="rId98" Type="http://schemas.openxmlformats.org/officeDocument/2006/relationships/hyperlink" Target="http://www.nevo.co.il/case/18706461" TargetMode="External"/><Relationship Id="rId13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91" Type="http://schemas.openxmlformats.org/officeDocument/2006/relationships/hyperlink" Target="http://www.nevo.co.il/case/20854263" TargetMode="External"/><Relationship Id="rId90" Type="http://schemas.openxmlformats.org/officeDocument/2006/relationships/hyperlink" Target="http://www.nevo.co.il/case/20854263" TargetMode="External"/><Relationship Id="rId93" Type="http://schemas.openxmlformats.org/officeDocument/2006/relationships/hyperlink" Target="http://www.nevo.co.il/case/20854263" TargetMode="External"/><Relationship Id="rId92" Type="http://schemas.openxmlformats.org/officeDocument/2006/relationships/hyperlink" Target="http://www.nevo.co.il/case/20854263" TargetMode="External"/><Relationship Id="rId118" Type="http://schemas.openxmlformats.org/officeDocument/2006/relationships/hyperlink" Target="http://www.nevo.co.il/law/70301" TargetMode="External"/><Relationship Id="rId117" Type="http://schemas.openxmlformats.org/officeDocument/2006/relationships/hyperlink" Target="http://www.nevo.co.il/case/21703479" TargetMode="External"/><Relationship Id="rId116" Type="http://schemas.openxmlformats.org/officeDocument/2006/relationships/hyperlink" Target="http://www.nevo.co.il/case/21703479" TargetMode="External"/><Relationship Id="rId115" Type="http://schemas.openxmlformats.org/officeDocument/2006/relationships/hyperlink" Target="http://www.nevo.co.il/case/21703479" TargetMode="External"/><Relationship Id="rId119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" TargetMode="External"/><Relationship Id="rId110" Type="http://schemas.openxmlformats.org/officeDocument/2006/relationships/hyperlink" Target="http://www.nevo.co.il/case/21703479" TargetMode="External"/><Relationship Id="rId14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0i" TargetMode="External"/><Relationship Id="rId16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0i" TargetMode="External"/><Relationship Id="rId114" Type="http://schemas.openxmlformats.org/officeDocument/2006/relationships/hyperlink" Target="http://www.nevo.co.il/case/21703479" TargetMode="External"/><Relationship Id="rId18" Type="http://schemas.openxmlformats.org/officeDocument/2006/relationships/hyperlink" Target="http://www.nevo.co.il/law/70301/40i" TargetMode="External"/><Relationship Id="rId113" Type="http://schemas.openxmlformats.org/officeDocument/2006/relationships/hyperlink" Target="http://www.nevo.co.il/case/21703479" TargetMode="External"/><Relationship Id="rId112" Type="http://schemas.openxmlformats.org/officeDocument/2006/relationships/hyperlink" Target="http://www.nevo.co.il/case/21703479" TargetMode="External"/><Relationship Id="rId111" Type="http://schemas.openxmlformats.org/officeDocument/2006/relationships/hyperlink" Target="http://www.nevo.co.il/case/21703479" TargetMode="External"/><Relationship Id="rId84" Type="http://schemas.openxmlformats.org/officeDocument/2006/relationships/hyperlink" Target="http://www.nevo.co.il/case/20745111" TargetMode="External"/><Relationship Id="rId83" Type="http://schemas.openxmlformats.org/officeDocument/2006/relationships/hyperlink" Target="http://www.nevo.co.il/case/20745111" TargetMode="External"/><Relationship Id="rId86" Type="http://schemas.openxmlformats.org/officeDocument/2006/relationships/hyperlink" Target="http://www.nevo.co.il/case/20745111" TargetMode="External"/><Relationship Id="rId85" Type="http://schemas.openxmlformats.org/officeDocument/2006/relationships/hyperlink" Target="http://www.nevo.co.il/case/20745111" TargetMode="External"/><Relationship Id="rId88" Type="http://schemas.openxmlformats.org/officeDocument/2006/relationships/hyperlink" Target="http://www.nevo.co.il/case/20745111" TargetMode="External"/><Relationship Id="rId150" Type="http://schemas.openxmlformats.org/officeDocument/2006/relationships/header" Target="header1.xml"/><Relationship Id="rId87" Type="http://schemas.openxmlformats.org/officeDocument/2006/relationships/hyperlink" Target="http://www.nevo.co.il/case/20745111" TargetMode="External"/><Relationship Id="rId89" Type="http://schemas.openxmlformats.org/officeDocument/2006/relationships/hyperlink" Target="http://www.nevo.co.il/case/20745111" TargetMode="External"/><Relationship Id="rId80" Type="http://schemas.openxmlformats.org/officeDocument/2006/relationships/hyperlink" Target="http://www.nevo.co.il/case/20745111" TargetMode="External"/><Relationship Id="rId82" Type="http://schemas.openxmlformats.org/officeDocument/2006/relationships/hyperlink" Target="http://www.nevo.co.il/case/20745111" TargetMode="External"/><Relationship Id="rId81" Type="http://schemas.openxmlformats.org/officeDocument/2006/relationships/hyperlink" Target="http://www.nevo.co.il/case/20745111" TargetMode="External"/><Relationship Id="rId3" Type="http://schemas.openxmlformats.org/officeDocument/2006/relationships/theme" Target="theme/theme1.xml"/><Relationship Id="rId149" Type="http://schemas.openxmlformats.org/officeDocument/2006/relationships/hyperlink" Target="http://www.nevo.co.il/advertisements/nevo-100.doc" TargetMode="External"/><Relationship Id="rId4" Type="http://schemas.openxmlformats.org/officeDocument/2006/relationships/settings" Target="settings.xml"/><Relationship Id="rId148" Type="http://schemas.openxmlformats.org/officeDocument/2006/relationships/hyperlink" Target="http://www.nevo.co.il/advertisements/nevo-100.doc" TargetMode="External"/><Relationship Id="rId9" Type="http://schemas.openxmlformats.org/officeDocument/2006/relationships/hyperlink" Target="http://www.nevo.co.il/law/70301" TargetMode="External"/><Relationship Id="rId143" Type="http://schemas.openxmlformats.org/officeDocument/2006/relationships/hyperlink" Target="http://www.nevo.co.il/advertisements/nevo-100.doc" TargetMode="External"/><Relationship Id="rId142" Type="http://schemas.openxmlformats.org/officeDocument/2006/relationships/hyperlink" Target="http://www.nevo.co.il/advertisements/nevo-100.doc" TargetMode="External"/><Relationship Id="rId141" Type="http://schemas.openxmlformats.org/officeDocument/2006/relationships/hyperlink" Target="http://www.nevo.co.il/advertisements/nevo-100.doc" TargetMode="External"/><Relationship Id="rId140" Type="http://schemas.openxmlformats.org/officeDocument/2006/relationships/hyperlink" Target="http://www.nevo.co.il/advertisements/nevo-100.doc" TargetMode="External"/><Relationship Id="rId5" Type="http://schemas.openxmlformats.org/officeDocument/2006/relationships/fontTable" Target="fontTable.xml"/><Relationship Id="rId147" Type="http://schemas.openxmlformats.org/officeDocument/2006/relationships/hyperlink" Target="http://www.nevo.co.il/advertisements/nevo-100.doc" TargetMode="External"/><Relationship Id="rId6" Type="http://schemas.openxmlformats.org/officeDocument/2006/relationships/numbering" Target="numbering.xml"/><Relationship Id="rId146" Type="http://schemas.openxmlformats.org/officeDocument/2006/relationships/hyperlink" Target="http://www.nevo.co.il/advertisements/nevo-100.doc" TargetMode="External"/><Relationship Id="rId7" Type="http://schemas.openxmlformats.org/officeDocument/2006/relationships/styles" Target="styles.xml"/><Relationship Id="rId145" Type="http://schemas.openxmlformats.org/officeDocument/2006/relationships/hyperlink" Target="http://www.nevo.co.il/advertisements/nevo-100.doc" TargetMode="External"/><Relationship Id="rId8" Type="http://schemas.openxmlformats.org/officeDocument/2006/relationships/customXml" Target="../customXML/item1.xml"/><Relationship Id="rId144" Type="http://schemas.openxmlformats.org/officeDocument/2006/relationships/hyperlink" Target="http://www.nevo.co.il/advertisements/nevo-100.doc" TargetMode="External"/><Relationship Id="rId73" Type="http://schemas.openxmlformats.org/officeDocument/2006/relationships/hyperlink" Target="http://www.nevo.co.il/case/22006503" TargetMode="External"/><Relationship Id="rId72" Type="http://schemas.openxmlformats.org/officeDocument/2006/relationships/hyperlink" Target="http://www.nevo.co.il/case/22006503" TargetMode="External"/><Relationship Id="rId75" Type="http://schemas.openxmlformats.org/officeDocument/2006/relationships/hyperlink" Target="http://www.nevo.co.il/case/22006503" TargetMode="External"/><Relationship Id="rId74" Type="http://schemas.openxmlformats.org/officeDocument/2006/relationships/hyperlink" Target="http://www.nevo.co.il/case/22006503" TargetMode="External"/><Relationship Id="rId77" Type="http://schemas.openxmlformats.org/officeDocument/2006/relationships/hyperlink" Target="http://www.nevo.co.il/case/20683369" TargetMode="External"/><Relationship Id="rId76" Type="http://schemas.openxmlformats.org/officeDocument/2006/relationships/hyperlink" Target="http://www.nevo.co.il/case/20683369" TargetMode="External"/><Relationship Id="rId79" Type="http://schemas.openxmlformats.org/officeDocument/2006/relationships/hyperlink" Target="http://www.nevo.co.il/case/20683369" TargetMode="External"/><Relationship Id="rId78" Type="http://schemas.openxmlformats.org/officeDocument/2006/relationships/hyperlink" Target="http://www.nevo.co.il/case/20683369" TargetMode="External"/><Relationship Id="rId71" Type="http://schemas.openxmlformats.org/officeDocument/2006/relationships/hyperlink" Target="http://www.nevo.co.il/case/21771409" TargetMode="External"/><Relationship Id="rId70" Type="http://schemas.openxmlformats.org/officeDocument/2006/relationships/hyperlink" Target="http://www.nevo.co.il/case/21771409" TargetMode="External"/><Relationship Id="rId139" Type="http://schemas.openxmlformats.org/officeDocument/2006/relationships/hyperlink" Target="http://www.nevo.co.il/advertisements/nevo-100.doc" TargetMode="External"/><Relationship Id="rId138" Type="http://schemas.openxmlformats.org/officeDocument/2006/relationships/hyperlink" Target="http://www.nevo.co.il/advertisements/nevo-100.doc" TargetMode="External"/><Relationship Id="rId137" Type="http://schemas.openxmlformats.org/officeDocument/2006/relationships/hyperlink" Target="http://www.nevo.co.il/advertisements/nevo-100.doc" TargetMode="External"/><Relationship Id="rId132" Type="http://schemas.openxmlformats.org/officeDocument/2006/relationships/hyperlink" Target="http://www.nevo.co.il/advertisements/nevo-100.doc" TargetMode="External"/><Relationship Id="rId131" Type="http://schemas.openxmlformats.org/officeDocument/2006/relationships/hyperlink" Target="http://www.nevo.co.il/advertisements/nevo-100.doc" TargetMode="External"/><Relationship Id="rId130" Type="http://schemas.openxmlformats.org/officeDocument/2006/relationships/hyperlink" Target="http://www.nevo.co.il/advertisements/nevo-100.doc" TargetMode="External"/><Relationship Id="rId136" Type="http://schemas.openxmlformats.org/officeDocument/2006/relationships/hyperlink" Target="http://www.nevo.co.il/advertisements/nevo-100.doc" TargetMode="External"/><Relationship Id="rId135" Type="http://schemas.openxmlformats.org/officeDocument/2006/relationships/hyperlink" Target="http://www.nevo.co.il/advertisements/nevo-100.doc" TargetMode="External"/><Relationship Id="rId134" Type="http://schemas.openxmlformats.org/officeDocument/2006/relationships/hyperlink" Target="http://www.nevo.co.il/advertisements/nevo-100.doc" TargetMode="External"/><Relationship Id="rId133" Type="http://schemas.openxmlformats.org/officeDocument/2006/relationships/hyperlink" Target="http://www.nevo.co.il/advertisements/nevo-100.doc" TargetMode="External"/><Relationship Id="rId62" Type="http://schemas.openxmlformats.org/officeDocument/2006/relationships/hyperlink" Target="http://www.nevo.co.il/case/6949290" TargetMode="External"/><Relationship Id="rId61" Type="http://schemas.openxmlformats.org/officeDocument/2006/relationships/hyperlink" Target="http://www.nevo.co.il/case/6949290" TargetMode="External"/><Relationship Id="rId64" Type="http://schemas.openxmlformats.org/officeDocument/2006/relationships/hyperlink" Target="http://www.nevo.co.il/case/5950172" TargetMode="External"/><Relationship Id="rId63" Type="http://schemas.openxmlformats.org/officeDocument/2006/relationships/hyperlink" Target="http://www.nevo.co.il/case/6949290" TargetMode="External"/><Relationship Id="rId66" Type="http://schemas.openxmlformats.org/officeDocument/2006/relationships/hyperlink" Target="http://www.nevo.co.il/case/5950172" TargetMode="External"/><Relationship Id="rId65" Type="http://schemas.openxmlformats.org/officeDocument/2006/relationships/hyperlink" Target="http://www.nevo.co.il/case/5950172" TargetMode="External"/><Relationship Id="rId68" Type="http://schemas.openxmlformats.org/officeDocument/2006/relationships/hyperlink" Target="http://www.nevo.co.il/case/21771409" TargetMode="External"/><Relationship Id="rId67" Type="http://schemas.openxmlformats.org/officeDocument/2006/relationships/hyperlink" Target="http://www.nevo.co.il/case/5950172" TargetMode="External"/><Relationship Id="rId60" Type="http://schemas.openxmlformats.org/officeDocument/2006/relationships/hyperlink" Target="http://www.nevo.co.il/case/6949290" TargetMode="External"/><Relationship Id="rId69" Type="http://schemas.openxmlformats.org/officeDocument/2006/relationships/hyperlink" Target="http://www.nevo.co.il/case/21771409" TargetMode="External"/><Relationship Id="rId51" Type="http://schemas.openxmlformats.org/officeDocument/2006/relationships/hyperlink" Target="http://www.nevo.co.il/case/6473037" TargetMode="External"/><Relationship Id="rId50" Type="http://schemas.openxmlformats.org/officeDocument/2006/relationships/hyperlink" Target="http://www.nevo.co.il/case/6473037" TargetMode="External"/><Relationship Id="rId53" Type="http://schemas.openxmlformats.org/officeDocument/2006/relationships/hyperlink" Target="http://www.nevo.co.il/law/70301/40i" TargetMode="External"/><Relationship Id="rId52" Type="http://schemas.openxmlformats.org/officeDocument/2006/relationships/hyperlink" Target="http://www.nevo.co.il/law/70301/40i" TargetMode="External"/><Relationship Id="rId55" Type="http://schemas.openxmlformats.org/officeDocument/2006/relationships/hyperlink" Target="http://www.nevo.co.il/law/70301/40i" TargetMode="External"/><Relationship Id="rId54" Type="http://schemas.openxmlformats.org/officeDocument/2006/relationships/hyperlink" Target="http://www.nevo.co.il/law/70301/40i" TargetMode="External"/><Relationship Id="rId57" Type="http://schemas.openxmlformats.org/officeDocument/2006/relationships/hyperlink" Target="http://www.nevo.co.il/case/5878682" TargetMode="External"/><Relationship Id="rId56" Type="http://schemas.openxmlformats.org/officeDocument/2006/relationships/hyperlink" Target="http://www.nevo.co.il/case/5878682" TargetMode="External"/><Relationship Id="rId59" Type="http://schemas.openxmlformats.org/officeDocument/2006/relationships/hyperlink" Target="http://www.nevo.co.il/case/5878682" TargetMode="External"/><Relationship Id="rId58" Type="http://schemas.openxmlformats.org/officeDocument/2006/relationships/hyperlink" Target="http://www.nevo.co.il/case/5878682" TargetMode="External"/><Relationship Id="rId153" Type="http://schemas.openxmlformats.org/officeDocument/2006/relationships/footer" Target="footer2.xml"/><Relationship Id="rId152" Type="http://schemas.openxmlformats.org/officeDocument/2006/relationships/footer" Target="footer1.xml"/><Relationship Id="rId151" Type="http://schemas.openxmlformats.org/officeDocument/2006/relationships/header" Target="header2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Tahoma-regular.ttf"/><Relationship Id="rId4" Type="http://schemas.openxmlformats.org/officeDocument/2006/relationships/font" Target="fonts/Tahoma-bold.ttf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jz1HmVg9NigEY5MFPx4LIDYqYw==">CgMxLjAyCWlkLmdqZGd4czIKaWQuMzBqMHpsbDIKaWQuMWZvYjl0ZTIKaWQuM3pueXNoNzIKaWQuMmV0OTJwMDIJaWQudHlqY3d0MgppZC4zZHk2dmttMgppZC4xdDNoNXNmOAByITFOU2RNSUoyejJZcHNlaGxncmh6VDhyc3Y3QzFCREVWTQ==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2023-12-07T11:41:00Z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40313</vt:lpwstr>
  </property>
  <property fmtid="{D5CDD505-2E9C-101B-9397-08002B2CF9AE}" pid="6" name="NEWPARTB">
    <vt:lpwstr>09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השאם סמארה</vt:lpwstr>
  </property>
  <property fmtid="{D5CDD505-2E9C-101B-9397-08002B2CF9AE}" pid="10" name="LAWYER">
    <vt:lpwstr>שירלי לוגסי;אלי כהן;רינת בנתורה;רמי זך</vt:lpwstr>
  </property>
  <property fmtid="{D5CDD505-2E9C-101B-9397-08002B2CF9AE}" pid="11" name="JUDGE">
    <vt:lpwstr>עמי קובו</vt:lpwstr>
  </property>
  <property fmtid="{D5CDD505-2E9C-101B-9397-08002B2CF9AE}" pid="12" name="CITY">
    <vt:lpwstr>מרכז</vt:lpwstr>
  </property>
  <property fmtid="{D5CDD505-2E9C-101B-9397-08002B2CF9AE}" pid="13" name="DATE">
    <vt:lpwstr>20180312</vt:lpwstr>
  </property>
  <property fmtid="{D5CDD505-2E9C-101B-9397-08002B2CF9AE}" pid="14" name="TYPE_N_DATE">
    <vt:lpwstr>39020180312</vt:lpwstr>
  </property>
  <property fmtid="{D5CDD505-2E9C-101B-9397-08002B2CF9AE}" pid="15" name="CASESLISTTMP1">
    <vt:lpwstr>6473037;5878682;6949290;5950172;21771409;22006503;20683369;20745111;20854263;18706461;21703479</vt:lpwstr>
  </property>
  <property fmtid="{D5CDD505-2E9C-101B-9397-08002B2CF9AE}" pid="16" name="CASENOTES1">
    <vt:lpwstr>ProcID=235&amp;PartA=10&amp;PartC=30</vt:lpwstr>
  </property>
  <property fmtid="{D5CDD505-2E9C-101B-9397-08002B2CF9AE}" pid="17" name="WORDNUMPAGES">
    <vt:lpwstr>10</vt:lpwstr>
  </property>
  <property fmtid="{D5CDD505-2E9C-101B-9397-08002B2CF9AE}" pid="18" name="TYPE_ABS_DATE">
    <vt:lpwstr>390020180312</vt:lpwstr>
  </property>
  <property fmtid="{D5CDD505-2E9C-101B-9397-08002B2CF9AE}" pid="19" name="APPELLANT1">
    <vt:lpwstr/>
  </property>
  <property fmtid="{D5CDD505-2E9C-101B-9397-08002B2CF9AE}" pid="20" name="APPELLANT2">
    <vt:lpwstr/>
  </property>
  <property fmtid="{D5CDD505-2E9C-101B-9397-08002B2CF9AE}" pid="21" name="APPELLEE1">
    <vt:lpwstr/>
  </property>
  <property fmtid="{D5CDD505-2E9C-101B-9397-08002B2CF9AE}" pid="22" name="APPELLEE2">
    <vt:lpwstr/>
  </property>
  <property fmtid="{D5CDD505-2E9C-101B-9397-08002B2CF9AE}" pid="23" name="PROCESS">
    <vt:lpwstr/>
  </property>
  <property fmtid="{D5CDD505-2E9C-101B-9397-08002B2CF9AE}" pid="24" name="PROCNUM">
    <vt:lpwstr/>
  </property>
  <property fmtid="{D5CDD505-2E9C-101B-9397-08002B2CF9AE}" pid="25" name="PROCYEAR">
    <vt:lpwstr/>
  </property>
  <property fmtid="{D5CDD505-2E9C-101B-9397-08002B2CF9AE}" pid="26" name="VOLUME">
    <vt:lpwstr/>
  </property>
  <property fmtid="{D5CDD505-2E9C-101B-9397-08002B2CF9AE}" pid="27" name="PART">
    <vt:lpwstr/>
  </property>
  <property fmtid="{D5CDD505-2E9C-101B-9397-08002B2CF9AE}" pid="28" name="PAGE">
    <vt:lpwstr/>
  </property>
  <property fmtid="{D5CDD505-2E9C-101B-9397-08002B2CF9AE}" pid="29" name="PADIMAIL">
    <vt:lpwstr/>
  </property>
  <property fmtid="{D5CDD505-2E9C-101B-9397-08002B2CF9AE}" pid="30" name="DELEMATA">
    <vt:lpwstr/>
  </property>
  <property fmtid="{D5CDD505-2E9C-101B-9397-08002B2CF9AE}" pid="31" name="LINKK1">
    <vt:lpwstr/>
  </property>
  <property fmtid="{D5CDD505-2E9C-101B-9397-08002B2CF9AE}" pid="32" name="LINKK2">
    <vt:lpwstr/>
  </property>
  <property fmtid="{D5CDD505-2E9C-101B-9397-08002B2CF9AE}" pid="33" name="LINKK3">
    <vt:lpwstr/>
  </property>
  <property fmtid="{D5CDD505-2E9C-101B-9397-08002B2CF9AE}" pid="34" name="LINKK4">
    <vt:lpwstr/>
  </property>
  <property fmtid="{D5CDD505-2E9C-101B-9397-08002B2CF9AE}" pid="35" name="LINKK5">
    <vt:lpwstr/>
  </property>
  <property fmtid="{D5CDD505-2E9C-101B-9397-08002B2CF9AE}" pid="36" name="ISABSTRACT">
    <vt:lpwstr>Y</vt:lpwstr>
  </property>
  <property fmtid="{D5CDD505-2E9C-101B-9397-08002B2CF9AE}" pid="37" name="LAWLISTTMP1">
    <vt:lpwstr>70301/144.b;144.a;040i;40jc;40ja</vt:lpwstr>
  </property>
</Properties>
</file>