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E354F0" w:rsidRPr="0021414C" w:rsidTr="004366AF">
        <w:trPr>
          <w:trHeight w:hRule="exact" w:val="418"/>
          <w:jc w:val="center"/>
        </w:trPr>
        <w:tc>
          <w:tcPr>
            <w:tcW w:w="8721" w:type="dxa"/>
            <w:gridSpan w:val="2"/>
          </w:tcPr>
          <w:p w:rsidR="00E354F0" w:rsidRPr="0021414C" w:rsidRDefault="00E354F0" w:rsidP="0021414C">
            <w:pPr>
              <w:pStyle w:val="a3"/>
              <w:jc w:val="center"/>
              <w:rPr>
                <w:rFonts w:ascii="Tahoma" w:hAnsi="Tahoma" w:cs="Tahoma"/>
                <w:color w:val="000080"/>
                <w:rtl/>
              </w:rPr>
            </w:pPr>
            <w:bookmarkStart w:id="0" w:name="LastJudge"/>
            <w:r w:rsidRPr="0021414C">
              <w:rPr>
                <w:rFonts w:ascii="Tahoma" w:hAnsi="Tahoma" w:cs="Tahoma"/>
                <w:b/>
                <w:bCs/>
                <w:color w:val="000080"/>
                <w:rtl/>
              </w:rPr>
              <w:t>בית משפט השלום בכפר סבא</w:t>
            </w:r>
          </w:p>
        </w:tc>
      </w:tr>
      <w:tr w:rsidR="00E354F0" w:rsidRPr="0021414C" w:rsidTr="004366AF">
        <w:trPr>
          <w:trHeight w:val="337"/>
          <w:jc w:val="center"/>
        </w:trPr>
        <w:tc>
          <w:tcPr>
            <w:tcW w:w="5054" w:type="dxa"/>
          </w:tcPr>
          <w:p w:rsidR="00E354F0" w:rsidRPr="0021414C" w:rsidRDefault="00E354F0" w:rsidP="0021414C">
            <w:pPr>
              <w:rPr>
                <w:rFonts w:cs="FrankRuehl"/>
                <w:sz w:val="28"/>
                <w:szCs w:val="28"/>
                <w:rtl/>
              </w:rPr>
            </w:pPr>
            <w:r w:rsidRPr="0021414C">
              <w:rPr>
                <w:rFonts w:cs="FrankRuehl"/>
                <w:sz w:val="28"/>
                <w:szCs w:val="28"/>
                <w:rtl/>
              </w:rPr>
              <w:t>ת"פ</w:t>
            </w:r>
            <w:r w:rsidRPr="0021414C">
              <w:rPr>
                <w:rFonts w:cs="FrankRuehl" w:hint="cs"/>
                <w:sz w:val="28"/>
                <w:szCs w:val="28"/>
                <w:rtl/>
              </w:rPr>
              <w:t xml:space="preserve"> </w:t>
            </w:r>
            <w:r w:rsidRPr="0021414C">
              <w:rPr>
                <w:rFonts w:cs="FrankRuehl"/>
                <w:sz w:val="28"/>
                <w:szCs w:val="28"/>
                <w:rtl/>
              </w:rPr>
              <w:t>49772-11-16</w:t>
            </w:r>
            <w:r w:rsidRPr="0021414C">
              <w:rPr>
                <w:rFonts w:cs="FrankRuehl" w:hint="cs"/>
                <w:sz w:val="28"/>
                <w:szCs w:val="28"/>
                <w:rtl/>
              </w:rPr>
              <w:t xml:space="preserve"> </w:t>
            </w:r>
            <w:r w:rsidRPr="0021414C">
              <w:rPr>
                <w:rFonts w:cs="FrankRuehl"/>
                <w:sz w:val="28"/>
                <w:szCs w:val="28"/>
                <w:rtl/>
              </w:rPr>
              <w:t>מדינת ישראל נ' אראמי</w:t>
            </w:r>
          </w:p>
          <w:p w:rsidR="00E354F0" w:rsidRPr="0021414C" w:rsidRDefault="00E354F0" w:rsidP="0021414C">
            <w:pPr>
              <w:pStyle w:val="a3"/>
              <w:rPr>
                <w:rFonts w:cs="FrankRuehl"/>
                <w:sz w:val="28"/>
                <w:szCs w:val="28"/>
                <w:rtl/>
              </w:rPr>
            </w:pPr>
          </w:p>
        </w:tc>
        <w:tc>
          <w:tcPr>
            <w:tcW w:w="3667" w:type="dxa"/>
          </w:tcPr>
          <w:p w:rsidR="00E354F0" w:rsidRPr="0021414C" w:rsidRDefault="00E354F0" w:rsidP="0021414C">
            <w:pPr>
              <w:pStyle w:val="a3"/>
              <w:jc w:val="right"/>
              <w:rPr>
                <w:rFonts w:cs="FrankRuehl"/>
                <w:sz w:val="28"/>
                <w:szCs w:val="28"/>
                <w:rtl/>
              </w:rPr>
            </w:pPr>
          </w:p>
        </w:tc>
      </w:tr>
    </w:tbl>
    <w:p w:rsidR="00E354F0" w:rsidRPr="0021414C" w:rsidRDefault="00E354F0" w:rsidP="00E354F0">
      <w:pPr>
        <w:pStyle w:val="a3"/>
        <w:rPr>
          <w:rtl/>
        </w:rPr>
      </w:pPr>
      <w:r w:rsidRPr="0021414C">
        <w:rPr>
          <w:rFonts w:hint="cs"/>
          <w:rtl/>
        </w:rPr>
        <w:t xml:space="preserve"> </w:t>
      </w:r>
    </w:p>
    <w:p w:rsidR="00E354F0" w:rsidRPr="0021414C" w:rsidRDefault="00E354F0" w:rsidP="00E354F0">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E354F0" w:rsidRPr="0021414C" w:rsidTr="00E354F0">
        <w:trPr>
          <w:trHeight w:val="295"/>
          <w:jc w:val="center"/>
        </w:trPr>
        <w:tc>
          <w:tcPr>
            <w:tcW w:w="945" w:type="dxa"/>
            <w:tcBorders>
              <w:top w:val="nil"/>
              <w:left w:val="nil"/>
              <w:bottom w:val="nil"/>
              <w:right w:val="nil"/>
            </w:tcBorders>
            <w:shd w:val="clear" w:color="auto" w:fill="auto"/>
          </w:tcPr>
          <w:p w:rsidR="00E354F0" w:rsidRPr="0021414C" w:rsidRDefault="00E354F0" w:rsidP="00E354F0">
            <w:pPr>
              <w:jc w:val="both"/>
              <w:rPr>
                <w:rFonts w:ascii="Arial" w:hAnsi="Arial"/>
                <w:b/>
                <w:bCs/>
                <w:sz w:val="28"/>
                <w:szCs w:val="28"/>
              </w:rPr>
            </w:pPr>
            <w:r w:rsidRPr="0021414C">
              <w:rPr>
                <w:rFonts w:ascii="Arial" w:hAnsi="Arial" w:hint="cs"/>
                <w:b/>
                <w:bCs/>
                <w:sz w:val="28"/>
                <w:szCs w:val="28"/>
                <w:rtl/>
              </w:rPr>
              <w:t>ב</w:t>
            </w:r>
            <w:r w:rsidRPr="0021414C">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rsidR="00E354F0" w:rsidRPr="0021414C" w:rsidRDefault="00E354F0" w:rsidP="0021414C">
            <w:pPr>
              <w:rPr>
                <w:rFonts w:ascii="Arial" w:hAnsi="Arial"/>
                <w:b/>
                <w:bCs/>
                <w:rtl/>
              </w:rPr>
            </w:pPr>
            <w:r w:rsidRPr="0021414C">
              <w:rPr>
                <w:rFonts w:ascii="Arial" w:hAnsi="Arial" w:hint="cs"/>
                <w:b/>
                <w:bCs/>
                <w:rtl/>
              </w:rPr>
              <w:t>כבוד ה</w:t>
            </w:r>
            <w:r w:rsidRPr="0021414C">
              <w:rPr>
                <w:rFonts w:ascii="Arial" w:hAnsi="Arial"/>
                <w:b/>
                <w:bCs/>
                <w:rtl/>
              </w:rPr>
              <w:t>שופט</w:t>
            </w:r>
            <w:r w:rsidRPr="0021414C">
              <w:rPr>
                <w:rFonts w:ascii="Arial" w:hAnsi="Arial" w:hint="cs"/>
                <w:b/>
                <w:bCs/>
                <w:rtl/>
              </w:rPr>
              <w:t xml:space="preserve">  </w:t>
            </w:r>
            <w:r w:rsidRPr="0021414C">
              <w:rPr>
                <w:rFonts w:ascii="Arial" w:hAnsi="Arial"/>
                <w:b/>
                <w:bCs/>
                <w:rtl/>
              </w:rPr>
              <w:t>דרור קלייטמן</w:t>
            </w:r>
          </w:p>
          <w:p w:rsidR="00E354F0" w:rsidRPr="0021414C" w:rsidRDefault="00E354F0" w:rsidP="0021414C">
            <w:pPr>
              <w:rPr>
                <w:b/>
                <w:bCs/>
                <w:rtl/>
              </w:rPr>
            </w:pPr>
          </w:p>
          <w:p w:rsidR="00E354F0" w:rsidRPr="0021414C" w:rsidRDefault="00E354F0" w:rsidP="00E354F0">
            <w:pPr>
              <w:jc w:val="both"/>
              <w:rPr>
                <w:rFonts w:ascii="Arial" w:hAnsi="Arial"/>
                <w:b/>
                <w:bCs/>
                <w:sz w:val="28"/>
                <w:szCs w:val="28"/>
              </w:rPr>
            </w:pPr>
          </w:p>
        </w:tc>
      </w:tr>
      <w:tr w:rsidR="00E354F0" w:rsidRPr="0021414C" w:rsidTr="00E354F0">
        <w:trPr>
          <w:trHeight w:val="355"/>
          <w:jc w:val="center"/>
        </w:trPr>
        <w:tc>
          <w:tcPr>
            <w:tcW w:w="945" w:type="dxa"/>
            <w:tcBorders>
              <w:top w:val="nil"/>
              <w:left w:val="nil"/>
              <w:bottom w:val="nil"/>
              <w:right w:val="nil"/>
            </w:tcBorders>
            <w:shd w:val="clear" w:color="auto" w:fill="auto"/>
          </w:tcPr>
          <w:p w:rsidR="00E354F0" w:rsidRPr="0021414C" w:rsidRDefault="00E354F0" w:rsidP="00E354F0">
            <w:pPr>
              <w:jc w:val="both"/>
              <w:rPr>
                <w:rFonts w:ascii="Arial" w:hAnsi="Arial"/>
                <w:b/>
                <w:bCs/>
                <w:sz w:val="28"/>
                <w:szCs w:val="28"/>
              </w:rPr>
            </w:pPr>
            <w:bookmarkStart w:id="1" w:name="FirstAppellant"/>
            <w:r w:rsidRPr="0021414C">
              <w:rPr>
                <w:rFonts w:ascii="Arial" w:hAnsi="Arial" w:hint="cs"/>
                <w:b/>
                <w:bCs/>
                <w:sz w:val="28"/>
                <w:szCs w:val="28"/>
                <w:rtl/>
              </w:rPr>
              <w:t>בעניין:</w:t>
            </w:r>
          </w:p>
        </w:tc>
        <w:tc>
          <w:tcPr>
            <w:tcW w:w="4114" w:type="dxa"/>
            <w:tcBorders>
              <w:top w:val="nil"/>
              <w:left w:val="nil"/>
              <w:bottom w:val="nil"/>
              <w:right w:val="nil"/>
            </w:tcBorders>
            <w:shd w:val="clear" w:color="auto" w:fill="auto"/>
          </w:tcPr>
          <w:p w:rsidR="00E354F0" w:rsidRPr="0021414C" w:rsidRDefault="00E354F0" w:rsidP="0021414C">
            <w:pPr>
              <w:rPr>
                <w:b/>
                <w:bCs/>
              </w:rPr>
            </w:pPr>
            <w:r w:rsidRPr="0021414C">
              <w:rPr>
                <w:rFonts w:ascii="Arial" w:hAnsi="Arial"/>
                <w:b/>
                <w:bCs/>
                <w:sz w:val="28"/>
                <w:szCs w:val="28"/>
                <w:rtl/>
              </w:rPr>
              <w:t>מדינת ישראל</w:t>
            </w:r>
            <w:r w:rsidRPr="0021414C">
              <w:rPr>
                <w:b/>
                <w:bCs/>
                <w:rtl/>
              </w:rPr>
              <w:br/>
              <w:t>באמצעות עו</w:t>
            </w:r>
            <w:r w:rsidRPr="0021414C">
              <w:rPr>
                <w:rFonts w:hint="cs"/>
                <w:b/>
                <w:bCs/>
                <w:rtl/>
              </w:rPr>
              <w:t>"</w:t>
            </w:r>
            <w:r w:rsidRPr="0021414C">
              <w:rPr>
                <w:b/>
                <w:bCs/>
                <w:rtl/>
              </w:rPr>
              <w:t xml:space="preserve">ד נעמי מששה – פרקליטות </w:t>
            </w:r>
            <w:r w:rsidRPr="0021414C">
              <w:rPr>
                <w:rFonts w:hint="cs"/>
                <w:b/>
                <w:bCs/>
                <w:rtl/>
              </w:rPr>
              <w:t>מחוז מרכז</w:t>
            </w:r>
          </w:p>
        </w:tc>
        <w:tc>
          <w:tcPr>
            <w:tcW w:w="3761" w:type="dxa"/>
            <w:tcBorders>
              <w:top w:val="nil"/>
              <w:left w:val="nil"/>
              <w:bottom w:val="nil"/>
              <w:right w:val="nil"/>
            </w:tcBorders>
            <w:shd w:val="clear" w:color="auto" w:fill="auto"/>
          </w:tcPr>
          <w:p w:rsidR="00E354F0" w:rsidRPr="0021414C" w:rsidRDefault="00E354F0" w:rsidP="00E354F0">
            <w:pPr>
              <w:jc w:val="both"/>
              <w:rPr>
                <w:rFonts w:ascii="Arial" w:hAnsi="Arial"/>
                <w:b/>
                <w:bCs/>
                <w:sz w:val="28"/>
                <w:szCs w:val="28"/>
              </w:rPr>
            </w:pPr>
          </w:p>
        </w:tc>
      </w:tr>
      <w:bookmarkEnd w:id="1"/>
      <w:tr w:rsidR="00E354F0" w:rsidRPr="0021414C" w:rsidTr="00E354F0">
        <w:trPr>
          <w:trHeight w:val="355"/>
          <w:jc w:val="center"/>
        </w:trPr>
        <w:tc>
          <w:tcPr>
            <w:tcW w:w="945" w:type="dxa"/>
            <w:tcBorders>
              <w:top w:val="nil"/>
              <w:left w:val="nil"/>
              <w:bottom w:val="nil"/>
              <w:right w:val="nil"/>
            </w:tcBorders>
            <w:shd w:val="clear" w:color="auto" w:fill="auto"/>
          </w:tcPr>
          <w:p w:rsidR="00E354F0" w:rsidRPr="0021414C" w:rsidRDefault="00E354F0" w:rsidP="00E354F0">
            <w:pPr>
              <w:jc w:val="both"/>
              <w:rPr>
                <w:rFonts w:ascii="Arial" w:hAnsi="Arial"/>
                <w:b/>
                <w:bCs/>
                <w:sz w:val="28"/>
                <w:szCs w:val="28"/>
                <w:rtl/>
              </w:rPr>
            </w:pPr>
          </w:p>
        </w:tc>
        <w:tc>
          <w:tcPr>
            <w:tcW w:w="4114" w:type="dxa"/>
            <w:tcBorders>
              <w:top w:val="nil"/>
              <w:left w:val="nil"/>
              <w:bottom w:val="nil"/>
              <w:right w:val="nil"/>
            </w:tcBorders>
            <w:shd w:val="clear" w:color="auto" w:fill="auto"/>
          </w:tcPr>
          <w:p w:rsidR="00E354F0" w:rsidRPr="0021414C" w:rsidRDefault="00E354F0" w:rsidP="00E354F0">
            <w:pPr>
              <w:jc w:val="both"/>
              <w:rPr>
                <w:b/>
                <w:bCs/>
                <w:rtl/>
              </w:rPr>
            </w:pPr>
          </w:p>
        </w:tc>
        <w:tc>
          <w:tcPr>
            <w:tcW w:w="3761" w:type="dxa"/>
            <w:tcBorders>
              <w:top w:val="nil"/>
              <w:left w:val="nil"/>
              <w:bottom w:val="nil"/>
              <w:right w:val="nil"/>
            </w:tcBorders>
            <w:shd w:val="clear" w:color="auto" w:fill="auto"/>
          </w:tcPr>
          <w:p w:rsidR="00E354F0" w:rsidRPr="0021414C" w:rsidRDefault="00E354F0" w:rsidP="00E354F0">
            <w:pPr>
              <w:jc w:val="right"/>
              <w:rPr>
                <w:rFonts w:ascii="Arial" w:hAnsi="Arial"/>
                <w:b/>
                <w:bCs/>
                <w:sz w:val="28"/>
                <w:szCs w:val="28"/>
                <w:rtl/>
              </w:rPr>
            </w:pPr>
            <w:r w:rsidRPr="0021414C">
              <w:rPr>
                <w:rFonts w:ascii="Arial" w:hAnsi="Arial" w:hint="cs"/>
                <w:b/>
                <w:bCs/>
                <w:sz w:val="28"/>
                <w:szCs w:val="28"/>
                <w:rtl/>
              </w:rPr>
              <w:t>ה</w:t>
            </w:r>
            <w:r w:rsidRPr="0021414C">
              <w:rPr>
                <w:rFonts w:ascii="Arial" w:hAnsi="Arial"/>
                <w:b/>
                <w:bCs/>
                <w:sz w:val="28"/>
                <w:szCs w:val="28"/>
                <w:rtl/>
              </w:rPr>
              <w:t>מאשימה</w:t>
            </w:r>
          </w:p>
        </w:tc>
      </w:tr>
      <w:tr w:rsidR="00E354F0" w:rsidRPr="0021414C" w:rsidTr="00E354F0">
        <w:trPr>
          <w:trHeight w:val="355"/>
          <w:jc w:val="center"/>
        </w:trPr>
        <w:tc>
          <w:tcPr>
            <w:tcW w:w="945" w:type="dxa"/>
            <w:tcBorders>
              <w:top w:val="nil"/>
              <w:left w:val="nil"/>
              <w:bottom w:val="nil"/>
              <w:right w:val="nil"/>
            </w:tcBorders>
            <w:shd w:val="clear" w:color="auto" w:fill="auto"/>
          </w:tcPr>
          <w:p w:rsidR="00E354F0" w:rsidRPr="0021414C" w:rsidRDefault="00E354F0" w:rsidP="00E354F0">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rsidR="00E354F0" w:rsidRPr="0021414C" w:rsidRDefault="00E354F0" w:rsidP="00E354F0">
            <w:pPr>
              <w:jc w:val="center"/>
              <w:rPr>
                <w:rFonts w:ascii="Arial" w:hAnsi="Arial"/>
                <w:b/>
                <w:bCs/>
                <w:sz w:val="28"/>
                <w:szCs w:val="28"/>
                <w:rtl/>
              </w:rPr>
            </w:pPr>
          </w:p>
          <w:p w:rsidR="00E354F0" w:rsidRPr="0021414C" w:rsidRDefault="00E354F0" w:rsidP="00E354F0">
            <w:pPr>
              <w:jc w:val="center"/>
              <w:rPr>
                <w:rFonts w:ascii="Arial" w:hAnsi="Arial"/>
                <w:b/>
                <w:bCs/>
                <w:sz w:val="28"/>
                <w:szCs w:val="28"/>
                <w:rtl/>
              </w:rPr>
            </w:pPr>
            <w:r w:rsidRPr="0021414C">
              <w:rPr>
                <w:rFonts w:ascii="Arial" w:hAnsi="Arial"/>
                <w:b/>
                <w:bCs/>
                <w:sz w:val="28"/>
                <w:szCs w:val="28"/>
                <w:rtl/>
              </w:rPr>
              <w:t>נגד</w:t>
            </w:r>
          </w:p>
          <w:p w:rsidR="00E354F0" w:rsidRPr="0021414C" w:rsidRDefault="00E354F0" w:rsidP="00E354F0">
            <w:pPr>
              <w:jc w:val="both"/>
              <w:rPr>
                <w:rFonts w:ascii="Arial" w:hAnsi="Arial"/>
                <w:b/>
                <w:bCs/>
                <w:sz w:val="28"/>
                <w:szCs w:val="28"/>
              </w:rPr>
            </w:pPr>
          </w:p>
        </w:tc>
      </w:tr>
      <w:tr w:rsidR="00E354F0" w:rsidRPr="0021414C" w:rsidTr="00E354F0">
        <w:trPr>
          <w:trHeight w:val="355"/>
          <w:jc w:val="center"/>
        </w:trPr>
        <w:tc>
          <w:tcPr>
            <w:tcW w:w="945" w:type="dxa"/>
            <w:tcBorders>
              <w:top w:val="nil"/>
              <w:left w:val="nil"/>
              <w:bottom w:val="nil"/>
              <w:right w:val="nil"/>
            </w:tcBorders>
            <w:shd w:val="clear" w:color="auto" w:fill="auto"/>
          </w:tcPr>
          <w:p w:rsidR="00E354F0" w:rsidRPr="0021414C" w:rsidRDefault="00E354F0" w:rsidP="0021414C">
            <w:pPr>
              <w:rPr>
                <w:rFonts w:ascii="Arial" w:hAnsi="Arial"/>
                <w:b/>
                <w:bCs/>
                <w:sz w:val="28"/>
                <w:szCs w:val="28"/>
                <w:rtl/>
              </w:rPr>
            </w:pPr>
          </w:p>
        </w:tc>
        <w:tc>
          <w:tcPr>
            <w:tcW w:w="4114" w:type="dxa"/>
            <w:tcBorders>
              <w:top w:val="nil"/>
              <w:left w:val="nil"/>
              <w:bottom w:val="nil"/>
              <w:right w:val="nil"/>
            </w:tcBorders>
            <w:shd w:val="clear" w:color="auto" w:fill="auto"/>
          </w:tcPr>
          <w:p w:rsidR="00E354F0" w:rsidRPr="0021414C" w:rsidRDefault="00E354F0" w:rsidP="0021414C">
            <w:pPr>
              <w:rPr>
                <w:b/>
                <w:bCs/>
                <w:rtl/>
              </w:rPr>
            </w:pPr>
            <w:r w:rsidRPr="0021414C">
              <w:rPr>
                <w:rFonts w:ascii="Arial" w:hAnsi="Arial"/>
                <w:b/>
                <w:bCs/>
                <w:sz w:val="28"/>
                <w:szCs w:val="28"/>
                <w:rtl/>
              </w:rPr>
              <w:t>יעקב אראמי</w:t>
            </w:r>
            <w:r w:rsidRPr="0021414C">
              <w:rPr>
                <w:b/>
                <w:bCs/>
                <w:rtl/>
              </w:rPr>
              <w:br/>
            </w:r>
            <w:r w:rsidRPr="0021414C">
              <w:rPr>
                <w:rFonts w:hint="cs"/>
                <w:b/>
                <w:bCs/>
                <w:rtl/>
              </w:rPr>
              <w:t>באמצעות עו"ד דוד אריכא</w:t>
            </w:r>
          </w:p>
        </w:tc>
        <w:tc>
          <w:tcPr>
            <w:tcW w:w="3761" w:type="dxa"/>
            <w:tcBorders>
              <w:top w:val="nil"/>
              <w:left w:val="nil"/>
              <w:bottom w:val="nil"/>
              <w:right w:val="nil"/>
            </w:tcBorders>
            <w:shd w:val="clear" w:color="auto" w:fill="auto"/>
          </w:tcPr>
          <w:p w:rsidR="00E354F0" w:rsidRPr="0021414C" w:rsidRDefault="00E354F0" w:rsidP="00E354F0">
            <w:pPr>
              <w:jc w:val="right"/>
              <w:rPr>
                <w:rFonts w:ascii="Arial" w:hAnsi="Arial"/>
                <w:b/>
                <w:bCs/>
                <w:sz w:val="28"/>
                <w:szCs w:val="28"/>
              </w:rPr>
            </w:pPr>
          </w:p>
        </w:tc>
      </w:tr>
      <w:tr w:rsidR="00E354F0" w:rsidRPr="0021414C" w:rsidTr="00E354F0">
        <w:trPr>
          <w:trHeight w:val="355"/>
          <w:jc w:val="center"/>
        </w:trPr>
        <w:tc>
          <w:tcPr>
            <w:tcW w:w="945" w:type="dxa"/>
            <w:tcBorders>
              <w:top w:val="nil"/>
              <w:left w:val="nil"/>
              <w:bottom w:val="nil"/>
              <w:right w:val="nil"/>
            </w:tcBorders>
            <w:shd w:val="clear" w:color="auto" w:fill="auto"/>
          </w:tcPr>
          <w:p w:rsidR="00E354F0" w:rsidRPr="0021414C" w:rsidRDefault="00E354F0" w:rsidP="00E354F0">
            <w:pPr>
              <w:jc w:val="both"/>
              <w:rPr>
                <w:rFonts w:ascii="Arial" w:hAnsi="Arial"/>
                <w:b/>
                <w:bCs/>
                <w:sz w:val="28"/>
                <w:szCs w:val="28"/>
                <w:rtl/>
              </w:rPr>
            </w:pPr>
          </w:p>
        </w:tc>
        <w:tc>
          <w:tcPr>
            <w:tcW w:w="4114" w:type="dxa"/>
            <w:tcBorders>
              <w:top w:val="nil"/>
              <w:left w:val="nil"/>
              <w:bottom w:val="nil"/>
              <w:right w:val="nil"/>
            </w:tcBorders>
            <w:shd w:val="clear" w:color="auto" w:fill="auto"/>
          </w:tcPr>
          <w:p w:rsidR="00E354F0" w:rsidRPr="0021414C" w:rsidRDefault="00E354F0" w:rsidP="00E354F0">
            <w:pPr>
              <w:jc w:val="both"/>
              <w:rPr>
                <w:b/>
                <w:bCs/>
                <w:rtl/>
              </w:rPr>
            </w:pPr>
          </w:p>
        </w:tc>
        <w:tc>
          <w:tcPr>
            <w:tcW w:w="3761" w:type="dxa"/>
            <w:tcBorders>
              <w:top w:val="nil"/>
              <w:left w:val="nil"/>
              <w:bottom w:val="nil"/>
              <w:right w:val="nil"/>
            </w:tcBorders>
            <w:shd w:val="clear" w:color="auto" w:fill="auto"/>
          </w:tcPr>
          <w:p w:rsidR="00E354F0" w:rsidRPr="0021414C" w:rsidRDefault="00E354F0" w:rsidP="00E354F0">
            <w:pPr>
              <w:jc w:val="right"/>
              <w:rPr>
                <w:rFonts w:ascii="Arial" w:hAnsi="Arial"/>
                <w:b/>
                <w:bCs/>
                <w:sz w:val="28"/>
                <w:szCs w:val="28"/>
              </w:rPr>
            </w:pPr>
            <w:r w:rsidRPr="0021414C">
              <w:rPr>
                <w:rFonts w:ascii="Arial" w:hAnsi="Arial" w:hint="cs"/>
                <w:b/>
                <w:bCs/>
                <w:sz w:val="28"/>
                <w:szCs w:val="28"/>
                <w:rtl/>
              </w:rPr>
              <w:t>ה</w:t>
            </w:r>
            <w:r w:rsidRPr="0021414C">
              <w:rPr>
                <w:rFonts w:ascii="Arial" w:hAnsi="Arial"/>
                <w:b/>
                <w:bCs/>
                <w:sz w:val="28"/>
                <w:szCs w:val="28"/>
                <w:rtl/>
              </w:rPr>
              <w:t>נאשם</w:t>
            </w:r>
          </w:p>
        </w:tc>
      </w:tr>
    </w:tbl>
    <w:p w:rsidR="004366AF" w:rsidRDefault="004366AF" w:rsidP="00E354F0">
      <w:pPr>
        <w:rPr>
          <w:rtl/>
        </w:rPr>
      </w:pPr>
      <w:bookmarkStart w:id="2" w:name="LawTable"/>
      <w:bookmarkEnd w:id="2"/>
    </w:p>
    <w:p w:rsidR="004366AF" w:rsidRPr="004366AF" w:rsidRDefault="004366AF" w:rsidP="004366AF">
      <w:pPr>
        <w:spacing w:after="120" w:line="240" w:lineRule="exact"/>
        <w:ind w:left="283" w:hanging="283"/>
        <w:jc w:val="both"/>
        <w:rPr>
          <w:rFonts w:ascii="FrankRuehl" w:hAnsi="FrankRuehl" w:cs="FrankRuehl"/>
          <w:rtl/>
        </w:rPr>
      </w:pPr>
    </w:p>
    <w:p w:rsidR="004366AF" w:rsidRPr="004366AF" w:rsidRDefault="004366AF" w:rsidP="004366AF">
      <w:pPr>
        <w:spacing w:after="120" w:line="240" w:lineRule="exact"/>
        <w:ind w:left="283" w:hanging="283"/>
        <w:jc w:val="both"/>
        <w:rPr>
          <w:rFonts w:ascii="FrankRuehl" w:hAnsi="FrankRuehl" w:cs="FrankRuehl"/>
          <w:rtl/>
        </w:rPr>
      </w:pPr>
      <w:r w:rsidRPr="004366AF">
        <w:rPr>
          <w:rFonts w:ascii="FrankRuehl" w:hAnsi="FrankRuehl" w:cs="FrankRuehl"/>
          <w:rtl/>
        </w:rPr>
        <w:t xml:space="preserve">חקיקה שאוזכרה: </w:t>
      </w:r>
    </w:p>
    <w:p w:rsidR="004366AF" w:rsidRPr="004366AF" w:rsidRDefault="004366AF" w:rsidP="004366AF">
      <w:pPr>
        <w:spacing w:after="120" w:line="240" w:lineRule="exact"/>
        <w:ind w:left="283" w:hanging="283"/>
        <w:jc w:val="both"/>
        <w:rPr>
          <w:rFonts w:ascii="FrankRuehl" w:hAnsi="FrankRuehl" w:cs="FrankRuehl"/>
          <w:rtl/>
        </w:rPr>
      </w:pPr>
      <w:hyperlink r:id="rId7" w:history="1">
        <w:r w:rsidRPr="004366AF">
          <w:rPr>
            <w:rFonts w:ascii="FrankRuehl" w:hAnsi="FrankRuehl" w:cs="FrankRuehl"/>
            <w:color w:val="0000FF"/>
            <w:u w:val="single"/>
            <w:rtl/>
          </w:rPr>
          <w:t>חוק העונשין, תשל"ז-1977</w:t>
        </w:r>
      </w:hyperlink>
      <w:r w:rsidRPr="004366AF">
        <w:rPr>
          <w:rFonts w:ascii="FrankRuehl" w:hAnsi="FrankRuehl" w:cs="FrankRuehl"/>
          <w:rtl/>
        </w:rPr>
        <w:t xml:space="preserve">: סע'  </w:t>
      </w:r>
      <w:hyperlink r:id="rId8" w:history="1">
        <w:r w:rsidRPr="004366AF">
          <w:rPr>
            <w:rFonts w:ascii="FrankRuehl" w:hAnsi="FrankRuehl" w:cs="FrankRuehl"/>
            <w:color w:val="0000FF"/>
            <w:u w:val="single"/>
            <w:rtl/>
          </w:rPr>
          <w:t>144(א)</w:t>
        </w:r>
      </w:hyperlink>
      <w:r w:rsidRPr="004366AF">
        <w:rPr>
          <w:rFonts w:ascii="FrankRuehl" w:hAnsi="FrankRuehl" w:cs="FrankRuehl"/>
          <w:rtl/>
        </w:rPr>
        <w:t xml:space="preserve">, </w:t>
      </w:r>
      <w:hyperlink r:id="rId9" w:history="1">
        <w:r w:rsidRPr="004366AF">
          <w:rPr>
            <w:rFonts w:ascii="FrankRuehl" w:hAnsi="FrankRuehl" w:cs="FrankRuehl"/>
            <w:color w:val="0000FF"/>
            <w:u w:val="single"/>
            <w:rtl/>
          </w:rPr>
          <w:t>383(א)(1)</w:t>
        </w:r>
      </w:hyperlink>
      <w:r w:rsidRPr="004366AF">
        <w:rPr>
          <w:rFonts w:ascii="FrankRuehl" w:hAnsi="FrankRuehl" w:cs="FrankRuehl"/>
          <w:rtl/>
        </w:rPr>
        <w:t xml:space="preserve">, </w:t>
      </w:r>
      <w:hyperlink r:id="rId10" w:history="1">
        <w:r w:rsidRPr="004366AF">
          <w:rPr>
            <w:rFonts w:ascii="FrankRuehl" w:hAnsi="FrankRuehl" w:cs="FrankRuehl"/>
            <w:color w:val="0000FF"/>
            <w:u w:val="single"/>
            <w:rtl/>
          </w:rPr>
          <w:t>384</w:t>
        </w:r>
      </w:hyperlink>
    </w:p>
    <w:p w:rsidR="004366AF" w:rsidRPr="004366AF" w:rsidRDefault="004366AF" w:rsidP="004366AF">
      <w:pPr>
        <w:spacing w:after="120" w:line="240" w:lineRule="exact"/>
        <w:ind w:left="283" w:hanging="283"/>
        <w:jc w:val="both"/>
        <w:rPr>
          <w:rFonts w:ascii="FrankRuehl" w:hAnsi="FrankRuehl" w:cs="FrankRuehl"/>
          <w:rtl/>
        </w:rPr>
      </w:pPr>
    </w:p>
    <w:p w:rsidR="0021414C" w:rsidRPr="0021414C" w:rsidRDefault="0021414C" w:rsidP="00E354F0">
      <w:pPr>
        <w:spacing w:after="160" w:line="480" w:lineRule="auto"/>
        <w:jc w:val="both"/>
        <w:rPr>
          <w:rFonts w:ascii="Calibri" w:hAnsi="Calibri"/>
          <w:b/>
          <w:bCs/>
          <w:rtl/>
        </w:rPr>
      </w:pPr>
      <w:bookmarkStart w:id="3" w:name="LawTable_End"/>
      <w:bookmarkEnd w:id="3"/>
    </w:p>
    <w:p w:rsidR="00E354F0" w:rsidRPr="0021414C" w:rsidRDefault="00E354F0" w:rsidP="00E354F0">
      <w:pPr>
        <w:spacing w:after="160" w:line="480" w:lineRule="auto"/>
        <w:jc w:val="both"/>
        <w:rPr>
          <w:rFonts w:ascii="Calibri" w:hAnsi="Calibri"/>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54F0" w:rsidRPr="003B09C9" w:rsidTr="00E354F0">
        <w:trPr>
          <w:trHeight w:val="355"/>
          <w:jc w:val="center"/>
        </w:trPr>
        <w:tc>
          <w:tcPr>
            <w:tcW w:w="8820" w:type="dxa"/>
            <w:tcBorders>
              <w:top w:val="nil"/>
              <w:left w:val="nil"/>
              <w:bottom w:val="nil"/>
              <w:right w:val="nil"/>
            </w:tcBorders>
            <w:shd w:val="clear" w:color="auto" w:fill="auto"/>
          </w:tcPr>
          <w:p w:rsidR="0021414C" w:rsidRPr="0021414C" w:rsidRDefault="0021414C" w:rsidP="0021414C">
            <w:pPr>
              <w:jc w:val="center"/>
              <w:rPr>
                <w:rFonts w:ascii="Arial" w:hAnsi="Arial"/>
                <w:b/>
                <w:bCs/>
                <w:sz w:val="32"/>
                <w:szCs w:val="32"/>
                <w:u w:val="single"/>
                <w:rtl/>
              </w:rPr>
            </w:pPr>
            <w:bookmarkStart w:id="4" w:name="PsakDin" w:colFirst="0" w:colLast="0"/>
            <w:bookmarkEnd w:id="0"/>
            <w:r w:rsidRPr="0021414C">
              <w:rPr>
                <w:rFonts w:ascii="Arial" w:hAnsi="Arial"/>
                <w:b/>
                <w:bCs/>
                <w:sz w:val="32"/>
                <w:szCs w:val="32"/>
                <w:u w:val="single"/>
                <w:rtl/>
              </w:rPr>
              <w:t>גזר דין</w:t>
            </w:r>
          </w:p>
          <w:p w:rsidR="00E354F0" w:rsidRPr="0021414C" w:rsidRDefault="00E354F0" w:rsidP="0021414C">
            <w:pPr>
              <w:jc w:val="center"/>
              <w:rPr>
                <w:rFonts w:ascii="Arial" w:hAnsi="Arial"/>
                <w:b/>
                <w:bCs/>
                <w:sz w:val="32"/>
                <w:szCs w:val="32"/>
                <w:u w:val="single"/>
                <w:rtl/>
              </w:rPr>
            </w:pPr>
          </w:p>
        </w:tc>
      </w:tr>
    </w:tbl>
    <w:bookmarkEnd w:id="4"/>
    <w:p w:rsidR="00E354F0" w:rsidRPr="003B09C9" w:rsidRDefault="00E354F0" w:rsidP="00E354F0">
      <w:pPr>
        <w:spacing w:after="160" w:line="480" w:lineRule="auto"/>
        <w:jc w:val="both"/>
        <w:rPr>
          <w:rFonts w:ascii="Calibri" w:hAnsi="Calibri"/>
          <w:b/>
          <w:bCs/>
          <w:u w:val="single"/>
          <w:rtl/>
        </w:rPr>
      </w:pPr>
      <w:r w:rsidRPr="003B09C9">
        <w:rPr>
          <w:rFonts w:ascii="Calibri" w:hAnsi="Calibri" w:hint="cs"/>
          <w:b/>
          <w:bCs/>
          <w:u w:val="single"/>
          <w:rtl/>
        </w:rPr>
        <w:t>רקע</w:t>
      </w:r>
    </w:p>
    <w:p w:rsidR="00E354F0" w:rsidRPr="00CD7585" w:rsidRDefault="00E354F0" w:rsidP="00E354F0">
      <w:pPr>
        <w:numPr>
          <w:ilvl w:val="0"/>
          <w:numId w:val="1"/>
        </w:numPr>
        <w:spacing w:after="160" w:line="480" w:lineRule="auto"/>
        <w:ind w:left="0"/>
        <w:contextualSpacing/>
        <w:jc w:val="both"/>
        <w:rPr>
          <w:rFonts w:ascii="Calibri" w:hAnsi="Calibri"/>
          <w:b/>
          <w:bCs/>
          <w:u w:val="single"/>
          <w:rtl/>
        </w:rPr>
      </w:pPr>
      <w:bookmarkStart w:id="5" w:name="ABSTRACT_START"/>
      <w:bookmarkEnd w:id="5"/>
      <w:r w:rsidRPr="00CD7585">
        <w:rPr>
          <w:rFonts w:ascii="Calibri" w:hAnsi="Calibri" w:hint="cs"/>
          <w:rtl/>
        </w:rPr>
        <w:t xml:space="preserve">הנאשם הורשע על פי הודאתו בביצוע עבירות של החזקת נשק ותחמושת בהתאם </w:t>
      </w:r>
      <w:hyperlink r:id="rId11" w:history="1">
        <w:r w:rsidR="004366AF" w:rsidRPr="004366AF">
          <w:rPr>
            <w:rFonts w:ascii="Calibri" w:hAnsi="Calibri" w:hint="eastAsia"/>
            <w:color w:val="0000FF"/>
            <w:u w:val="single"/>
            <w:rtl/>
          </w:rPr>
          <w:t>לסעיף</w:t>
        </w:r>
        <w:r w:rsidR="004366AF" w:rsidRPr="004366AF">
          <w:rPr>
            <w:rFonts w:ascii="Calibri" w:hAnsi="Calibri"/>
            <w:color w:val="0000FF"/>
            <w:u w:val="single"/>
            <w:rtl/>
          </w:rPr>
          <w:t xml:space="preserve"> 144(</w:t>
        </w:r>
        <w:r w:rsidR="004366AF" w:rsidRPr="004366AF">
          <w:rPr>
            <w:rFonts w:ascii="Calibri" w:hAnsi="Calibri" w:hint="eastAsia"/>
            <w:color w:val="0000FF"/>
            <w:u w:val="single"/>
            <w:rtl/>
          </w:rPr>
          <w:t>א</w:t>
        </w:r>
        <w:r w:rsidR="004366AF" w:rsidRPr="004366AF">
          <w:rPr>
            <w:rFonts w:ascii="Calibri" w:hAnsi="Calibri"/>
            <w:color w:val="0000FF"/>
            <w:u w:val="single"/>
            <w:rtl/>
          </w:rPr>
          <w:t>)</w:t>
        </w:r>
      </w:hyperlink>
      <w:r w:rsidRPr="00CD7585">
        <w:rPr>
          <w:rFonts w:ascii="Calibri" w:hAnsi="Calibri" w:hint="cs"/>
          <w:rtl/>
        </w:rPr>
        <w:t xml:space="preserve"> רישא וסיפא ל</w:t>
      </w:r>
      <w:hyperlink r:id="rId12" w:history="1">
        <w:r w:rsidR="0021414C" w:rsidRPr="0021414C">
          <w:rPr>
            <w:rFonts w:ascii="Calibri" w:hAnsi="Calibri" w:hint="eastAsia"/>
            <w:color w:val="0000FF"/>
            <w:u w:val="single"/>
            <w:rtl/>
          </w:rPr>
          <w:t>חוק</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העונשין</w:t>
        </w:r>
      </w:hyperlink>
      <w:r w:rsidRPr="00CD7585">
        <w:rPr>
          <w:rFonts w:ascii="Calibri" w:hAnsi="Calibri" w:hint="cs"/>
          <w:rtl/>
        </w:rPr>
        <w:t xml:space="preserve">, התשל"ז – 1977, וגניבה בהתאם </w:t>
      </w:r>
      <w:hyperlink r:id="rId13" w:history="1">
        <w:r w:rsidR="004366AF" w:rsidRPr="004366AF">
          <w:rPr>
            <w:rFonts w:ascii="Calibri" w:hAnsi="Calibri" w:hint="eastAsia"/>
            <w:color w:val="0000FF"/>
            <w:u w:val="single"/>
            <w:rtl/>
          </w:rPr>
          <w:t>לסעיף</w:t>
        </w:r>
        <w:r w:rsidR="004366AF" w:rsidRPr="004366AF">
          <w:rPr>
            <w:rFonts w:ascii="Calibri" w:hAnsi="Calibri"/>
            <w:color w:val="0000FF"/>
            <w:u w:val="single"/>
            <w:rtl/>
          </w:rPr>
          <w:t xml:space="preserve"> 383(</w:t>
        </w:r>
        <w:r w:rsidR="004366AF" w:rsidRPr="004366AF">
          <w:rPr>
            <w:rFonts w:ascii="Calibri" w:hAnsi="Calibri" w:hint="eastAsia"/>
            <w:color w:val="0000FF"/>
            <w:u w:val="single"/>
            <w:rtl/>
          </w:rPr>
          <w:t>א</w:t>
        </w:r>
        <w:r w:rsidR="004366AF" w:rsidRPr="004366AF">
          <w:rPr>
            <w:rFonts w:ascii="Calibri" w:hAnsi="Calibri"/>
            <w:color w:val="0000FF"/>
            <w:u w:val="single"/>
            <w:rtl/>
          </w:rPr>
          <w:t>)(1)</w:t>
        </w:r>
      </w:hyperlink>
      <w:r w:rsidRPr="00CD7585">
        <w:rPr>
          <w:rFonts w:ascii="Calibri" w:hAnsi="Calibri" w:hint="cs"/>
          <w:rtl/>
        </w:rPr>
        <w:t xml:space="preserve"> </w:t>
      </w:r>
      <w:hyperlink r:id="rId14" w:history="1">
        <w:r w:rsidR="004366AF" w:rsidRPr="004366AF">
          <w:rPr>
            <w:rFonts w:ascii="Calibri" w:hAnsi="Calibri" w:hint="eastAsia"/>
            <w:color w:val="0000FF"/>
            <w:u w:val="single"/>
            <w:rtl/>
          </w:rPr>
          <w:t>וסעיף</w:t>
        </w:r>
        <w:r w:rsidR="004366AF" w:rsidRPr="004366AF">
          <w:rPr>
            <w:rFonts w:ascii="Calibri" w:hAnsi="Calibri"/>
            <w:color w:val="0000FF"/>
            <w:u w:val="single"/>
            <w:rtl/>
          </w:rPr>
          <w:t xml:space="preserve"> 384</w:t>
        </w:r>
      </w:hyperlink>
      <w:r w:rsidRPr="00CD7585">
        <w:rPr>
          <w:rFonts w:ascii="Calibri" w:hAnsi="Calibri" w:hint="cs"/>
          <w:rtl/>
        </w:rPr>
        <w:t xml:space="preserve"> לחוק העונשין, התשל"ז- 1977.</w:t>
      </w:r>
    </w:p>
    <w:p w:rsidR="00E354F0" w:rsidRPr="00CD7585" w:rsidRDefault="00E354F0" w:rsidP="00E354F0">
      <w:pPr>
        <w:numPr>
          <w:ilvl w:val="0"/>
          <w:numId w:val="1"/>
        </w:numPr>
        <w:spacing w:after="160" w:line="480" w:lineRule="auto"/>
        <w:ind w:left="0"/>
        <w:contextualSpacing/>
        <w:jc w:val="both"/>
        <w:rPr>
          <w:rFonts w:ascii="Calibri" w:hAnsi="Calibri"/>
        </w:rPr>
      </w:pPr>
      <w:bookmarkStart w:id="6" w:name="ABSTRACT_END"/>
      <w:bookmarkEnd w:id="6"/>
      <w:r w:rsidRPr="00CD7585">
        <w:rPr>
          <w:rFonts w:ascii="Calibri" w:hAnsi="Calibri" w:hint="cs"/>
          <w:rtl/>
        </w:rPr>
        <w:t>בתאריך  18.11.16 בסמוך לשעה 13:30, נכנס הנאשם לתא שירותים בחנות "לארג' קפה" ברחוב רוטשילד 62 בכפר סבא ונטל משם אקדח שנשכח בשגגה במקום על ידי אחר. הנאשם הסליק את האקדח באדנית עץ בסמטה הסמוכה לרחוב וייצמן 113 בכפר סבא.</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lastRenderedPageBreak/>
        <w:t>בתאריך 16.10.17, התקבל בעניינו של הנאשם תסקיר שירות מבחן בו מתואר כי הנאשם בן 60, גרוש ואב לשני ילדים, מתגורר בגפו בכפר סבא ועובד בעיריית כפר סבא החל משנת 1991. בעקבות גירושיו, נקלע הנאשם למצב כלכלי קשה ומקבל סיוע במזון מאגף הרווחה בעירייה ואף נאלץ להתגורר במשך כ-3 שנים במחסני מקום עבודתו. גרושתו ניתקה עמו קשר וכך גם בנו הבכור ושתי אחיותיו. לחובתו הרשעה קודמת משנת 2014 בגין עבירת איומים כלפי גרושתו. הנאשם קיבל אחריות על מעשיו בפני שירות המבחן וטען כי פעל מתוך דחף רגעי וכי חש רגשות אשם ובושה. מהתסקיר עולה כי לנאשם דפוס שימוש בעייתי באלכוהול וזהו לדבריו הרקע לביצוע העבירה. הוא החל טיפול בעמותת "אפשר" אשר נקטע לחודש עקב תאונת עבודה שעבר הנאשם. שירות המבחן עתר לדחייה על מנת לעקוב אחר הטיפול בנאשם.</w:t>
      </w:r>
    </w:p>
    <w:p w:rsidR="00E354F0"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לדיון שהתקיים בתאריך 13.2.18 הוגש תסקיר נוסף ממנו עולה כי הנאשם מצוי בטיפול בעמותת "אפשר" החל מתאריך 15.5.17. הוא אובחן על ידם כאלכוהוליסט ברמה חמורה ובתחילה אף לא הגיע באופן עקבי לטיפולים. הנאשם דיווח לשירות המבחן כי מאז תחילת הטיפול הוא אינו צורך אלכוהול. הערכת העמותה היא כי הנאשם צפוי לעבור תהליך טיפולי ארוך וקיימת תכנית שמוצעת לצורך כך. התרשמות שירות המבחן היא כי הנאשם עובר שינוי, מתחיל לקבל אחריות על מצבו, מבין את הפסול במעשיו ומוכן לשאת במחירים. המלצת שירות המבחן היא כי</w:t>
      </w:r>
      <w:r>
        <w:rPr>
          <w:rFonts w:ascii="Calibri" w:hAnsi="Calibri" w:hint="cs"/>
          <w:rtl/>
        </w:rPr>
        <w:t>,</w:t>
      </w:r>
      <w:r w:rsidRPr="00CD7585">
        <w:rPr>
          <w:rFonts w:ascii="Calibri" w:hAnsi="Calibri" w:hint="cs"/>
          <w:rtl/>
        </w:rPr>
        <w:t xml:space="preserve"> על מנת </w:t>
      </w:r>
      <w:r>
        <w:rPr>
          <w:rFonts w:ascii="Calibri" w:hAnsi="Calibri" w:hint="cs"/>
          <w:rtl/>
        </w:rPr>
        <w:t>ש</w:t>
      </w:r>
      <w:r w:rsidRPr="00CD7585">
        <w:rPr>
          <w:rFonts w:ascii="Calibri" w:hAnsi="Calibri" w:hint="cs"/>
          <w:rtl/>
        </w:rPr>
        <w:t>לא לקטוע את ההליך השיקומי אשר נמשך 8 חודשים ויש בו על מנת לצמצם את הסיכון להישנות ביצוע עבירה, יוטל על הנאשם צו מבחן ולצדו מאסר על תנאי לתקופה משמעותית.</w:t>
      </w:r>
    </w:p>
    <w:p w:rsidR="00E354F0" w:rsidRPr="00CD7585" w:rsidRDefault="00E354F0" w:rsidP="00E354F0">
      <w:pPr>
        <w:numPr>
          <w:ilvl w:val="0"/>
          <w:numId w:val="1"/>
        </w:numPr>
        <w:spacing w:after="160" w:line="480" w:lineRule="auto"/>
        <w:ind w:left="0"/>
        <w:contextualSpacing/>
        <w:jc w:val="both"/>
        <w:rPr>
          <w:rFonts w:ascii="Calibri" w:hAnsi="Calibri"/>
        </w:rPr>
      </w:pPr>
      <w:r>
        <w:rPr>
          <w:rFonts w:ascii="Calibri" w:hAnsi="Calibri" w:hint="cs"/>
          <w:rtl/>
        </w:rPr>
        <w:t>בתאריך 7.3.18 התקבלה הודעה משירות המבחן כי הנאשם ניתק עמם קשר מזה כשלושה שבועות.</w:t>
      </w:r>
    </w:p>
    <w:p w:rsidR="00E354F0" w:rsidRDefault="00E354F0" w:rsidP="00E354F0">
      <w:pPr>
        <w:spacing w:after="160" w:line="480" w:lineRule="auto"/>
        <w:jc w:val="both"/>
        <w:rPr>
          <w:rFonts w:ascii="Calibri" w:hAnsi="Calibri"/>
          <w:b/>
          <w:bCs/>
          <w:u w:val="single"/>
          <w:rtl/>
        </w:rPr>
      </w:pPr>
    </w:p>
    <w:p w:rsidR="00E354F0" w:rsidRPr="00CD7585" w:rsidRDefault="00E354F0" w:rsidP="00E354F0">
      <w:pPr>
        <w:spacing w:after="160" w:line="480" w:lineRule="auto"/>
        <w:jc w:val="both"/>
        <w:rPr>
          <w:rFonts w:ascii="Calibri" w:hAnsi="Calibri"/>
          <w:b/>
          <w:bCs/>
          <w:u w:val="single"/>
          <w:rtl/>
        </w:rPr>
      </w:pPr>
      <w:r w:rsidRPr="00CD7585">
        <w:rPr>
          <w:rFonts w:ascii="Calibri" w:hAnsi="Calibri" w:hint="cs"/>
          <w:b/>
          <w:bCs/>
          <w:u w:val="single"/>
          <w:rtl/>
        </w:rPr>
        <w:t>טיעוני הצדדים</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 xml:space="preserve">ב"כ המאשימה, עו"ד נעמי מששה, סבורה כי בעת קביעת מתחם העונש יש לקחת בחשבון את חומרת העבירה ונסיבות ביצועה. היא מפנה לערך המוגן שנפגע – שמירה מפני פגיעות בגוף, הדגישה כי מדובר בנשק חם, אשר הזמינות שלו יכולה להביא לביצוע עבירות חמורות ולפגיעה בחיי אדם. היא הפנתה לנתונים סטטיסטיים בנוגע למקרי ירי באזור המרכז וכן לפסיקה בנושא. היא מציינת כי אין מדובר רק בהחזקת נשק אלא גם בגניבתו והסלקתו במקום ציבורי. היא עתרה למתחם ענישה שינוע </w:t>
      </w:r>
      <w:r>
        <w:rPr>
          <w:rFonts w:ascii="Calibri" w:hAnsi="Calibri" w:hint="cs"/>
          <w:rtl/>
        </w:rPr>
        <w:t xml:space="preserve">בין 20 ל- 42 </w:t>
      </w:r>
      <w:r w:rsidRPr="00CD7585">
        <w:rPr>
          <w:rFonts w:ascii="Calibri" w:hAnsi="Calibri" w:hint="cs"/>
          <w:rtl/>
        </w:rPr>
        <w:t xml:space="preserve">חודשי מאסר בפועל. כאשר נלקחת בחשבון הודאתו והאמור בתסקיר </w:t>
      </w:r>
      <w:r w:rsidRPr="00CD7585">
        <w:rPr>
          <w:rFonts w:ascii="Calibri" w:hAnsi="Calibri" w:hint="cs"/>
          <w:rtl/>
        </w:rPr>
        <w:lastRenderedPageBreak/>
        <w:t xml:space="preserve">שירות המבחן. היא מבקשת למקם את העונש בתחתית המתחם לצד ענישה נלווית. הוגש גיליון הרשעותיו הקודמות של הנאשם </w:t>
      </w:r>
      <w:r w:rsidRPr="00CD7585">
        <w:rPr>
          <w:rFonts w:ascii="Calibri" w:hAnsi="Calibri" w:hint="cs"/>
          <w:b/>
          <w:bCs/>
          <w:rtl/>
        </w:rPr>
        <w:t xml:space="preserve">(ת/1) </w:t>
      </w:r>
      <w:r w:rsidRPr="00CD7585">
        <w:rPr>
          <w:rFonts w:ascii="Calibri" w:hAnsi="Calibri" w:hint="cs"/>
          <w:rtl/>
        </w:rPr>
        <w:t>ובו הרשעה קודמת בעבירת איומים משנת 2014.</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ב"כ הנאשם, עו"ד דוד אריכא, טען כי אין מדובר בעבירת נשק קלאסית אלא גניבה והחזקה לתקופה קצרה בסמוך למקום הגניבה. הנאשם בהיותו בגילופין נטל חפץ יקר ערך, מבלי לייחס חשיבות למהות החפץ ולסיכונים הטמונים בו. הוא טמן את הנשק בסמוך למקום הגניבה</w:t>
      </w:r>
      <w:r>
        <w:rPr>
          <w:rFonts w:ascii="Calibri" w:hAnsi="Calibri" w:hint="cs"/>
          <w:rtl/>
        </w:rPr>
        <w:t xml:space="preserve">, </w:t>
      </w:r>
      <w:r w:rsidRPr="00CD7585">
        <w:rPr>
          <w:rFonts w:ascii="Calibri" w:hAnsi="Calibri" w:hint="cs"/>
          <w:rtl/>
        </w:rPr>
        <w:t>הלך לעשות קניות לשבת וחזר להרגלו של שתיית אלכוהול וכשהתפכח התכוון להחזיר את הנשק, אולם עוד קודם לכן הגיעו לביתו כוחות המשטרה והוא מיד הודה בביצוע העבירה והוליך אותם לנשק. הוא הודה בהזדמנות הראשונה ולקח אחריות למעשיו. הוא הפנה לפסיקה מקלה בעבירות מעין אלו והדגיש את נסיבות החיים הקשות של הנאשם, לרבות מצבו הכלכלי ואת התוצאות הקשות שייגרמו לו באם ייגזר עליו עונש של מאסר בפועל ואף בדרך של עבודות שירות, מאחר והוא יפוטר ממקום עבודתו ובגילו ומצבו לא יוכל למצוא מקור פרנסה אחר ובכך אף ייקטע הליך השיקום בו החל. הוא מפנה להמלצת שירות המבחן ומבקש לאמצה.</w:t>
      </w:r>
    </w:p>
    <w:p w:rsidR="00E354F0" w:rsidRPr="00CD7585" w:rsidRDefault="00E354F0" w:rsidP="00E354F0">
      <w:pPr>
        <w:numPr>
          <w:ilvl w:val="0"/>
          <w:numId w:val="1"/>
        </w:numPr>
        <w:spacing w:after="160" w:line="480" w:lineRule="auto"/>
        <w:ind w:left="0"/>
        <w:contextualSpacing/>
        <w:jc w:val="both"/>
        <w:rPr>
          <w:rFonts w:ascii="Calibri" w:hAnsi="Calibri"/>
          <w:b/>
          <w:bCs/>
          <w:u w:val="single"/>
        </w:rPr>
      </w:pPr>
      <w:r w:rsidRPr="00CD7585">
        <w:rPr>
          <w:rFonts w:ascii="Calibri" w:hAnsi="Calibri" w:hint="cs"/>
          <w:rtl/>
        </w:rPr>
        <w:t>הנאשם עצמו אמר כי טעה והוא מצטער על כך. הוא תיאר את מצבו הכלכלי הקשה שהביאו עד פת לחם.</w:t>
      </w:r>
    </w:p>
    <w:p w:rsidR="00E354F0" w:rsidRDefault="00E354F0" w:rsidP="00E354F0">
      <w:pPr>
        <w:spacing w:after="160" w:line="480" w:lineRule="auto"/>
        <w:jc w:val="both"/>
        <w:rPr>
          <w:rFonts w:ascii="Calibri" w:hAnsi="Calibri"/>
          <w:b/>
          <w:bCs/>
          <w:u w:val="single"/>
          <w:rtl/>
        </w:rPr>
      </w:pPr>
    </w:p>
    <w:p w:rsidR="00E354F0" w:rsidRPr="00CD7585" w:rsidRDefault="00E354F0" w:rsidP="00E354F0">
      <w:pPr>
        <w:spacing w:after="160" w:line="480" w:lineRule="auto"/>
        <w:jc w:val="both"/>
        <w:rPr>
          <w:rFonts w:ascii="Calibri" w:hAnsi="Calibri"/>
          <w:b/>
          <w:bCs/>
          <w:u w:val="single"/>
          <w:rtl/>
        </w:rPr>
      </w:pPr>
      <w:r w:rsidRPr="00CD7585">
        <w:rPr>
          <w:rFonts w:ascii="Calibri" w:hAnsi="Calibri" w:hint="cs"/>
          <w:b/>
          <w:bCs/>
          <w:u w:val="single"/>
          <w:rtl/>
        </w:rPr>
        <w:t>מתחם העונש</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הערך המוגן אשר נפגע כתוצאה ממעשיו של הנאשם הינו הגנה על שלומו וביטחונו של הציבור.</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בעבירות מעין אלו התפתחה מדיניות ענישה מחמירה ובייחוד אמורים הדברים במחוז המרכז בו הוכרה תופעה זו כ"מכת אזור", לעניין זה אפנה לסקירת נתונים בעניין אשר הובאה בגזר דינו של בית המשפט המחוזי מרכז ב</w:t>
      </w:r>
      <w:hyperlink r:id="rId15"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49160-11-15</w:t>
        </w:r>
      </w:hyperlink>
      <w:r w:rsidRPr="00CD7585">
        <w:rPr>
          <w:rFonts w:ascii="Calibri" w:hAnsi="Calibri" w:hint="cs"/>
          <w:rtl/>
        </w:rPr>
        <w:t>.</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בית המשפט העליון התייחס לחומרת העבירה ב</w:t>
      </w:r>
      <w:hyperlink r:id="rId16"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3300/06</w:t>
        </w:r>
      </w:hyperlink>
      <w:r w:rsidRPr="00CD7585">
        <w:rPr>
          <w:rFonts w:ascii="Calibri" w:hAnsi="Calibri" w:hint="cs"/>
          <w:rtl/>
        </w:rPr>
        <w:t xml:space="preserve"> </w:t>
      </w:r>
      <w:r w:rsidRPr="00CD7585">
        <w:rPr>
          <w:rFonts w:ascii="Calibri" w:hAnsi="Calibri" w:hint="cs"/>
          <w:b/>
          <w:bCs/>
          <w:rtl/>
        </w:rPr>
        <w:t>סולטאן אבו סנינה נ' מדינת ישראל</w:t>
      </w:r>
      <w:r w:rsidRPr="00CD7585">
        <w:rPr>
          <w:rFonts w:ascii="Calibri" w:hAnsi="Calibri" w:hint="cs"/>
          <w:rtl/>
        </w:rPr>
        <w:t>: "</w:t>
      </w:r>
      <w:r w:rsidRPr="00CD7585">
        <w:rPr>
          <w:rFonts w:ascii="Calibri" w:hAnsi="Calibri" w:hint="cs"/>
          <w:b/>
          <w:bCs/>
          <w:rtl/>
        </w:rPr>
        <w:t xml:space="preserve">אין חולק כי הענישה בעבירות אלה צריכה לבטא את הסיכון הפוטנציאלי הטמון בכך שנשק מוחזק שלא כדין"  </w:t>
      </w:r>
      <w:r w:rsidRPr="00CD7585">
        <w:rPr>
          <w:rFonts w:ascii="Calibri" w:hAnsi="Calibri" w:hint="cs"/>
          <w:rtl/>
        </w:rPr>
        <w:t>וכן ב</w:t>
      </w:r>
      <w:hyperlink r:id="rId17"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1323/13</w:t>
        </w:r>
      </w:hyperlink>
      <w:r w:rsidRPr="00CD7585">
        <w:rPr>
          <w:rFonts w:ascii="Calibri" w:hAnsi="Calibri" w:hint="cs"/>
          <w:rtl/>
        </w:rPr>
        <w:t xml:space="preserve"> </w:t>
      </w:r>
      <w:r w:rsidRPr="00CD7585">
        <w:rPr>
          <w:rFonts w:ascii="Calibri" w:hAnsi="Calibri" w:hint="cs"/>
          <w:b/>
          <w:bCs/>
          <w:rtl/>
        </w:rPr>
        <w:t xml:space="preserve">חסן נ' מדינת ישראל </w:t>
      </w:r>
      <w:r w:rsidRPr="00CD7585">
        <w:rPr>
          <w:rFonts w:ascii="Calibri" w:hAnsi="Calibri" w:hint="cs"/>
          <w:rtl/>
        </w:rPr>
        <w:t xml:space="preserve">:" </w:t>
      </w:r>
      <w:r w:rsidRPr="00CD7585">
        <w:rPr>
          <w:rFonts w:ascii="Calibri" w:hAnsi="Calibri" w:hint="cs"/>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 xml:space="preserve">ברע"פ 2718/05 </w:t>
      </w:r>
      <w:r w:rsidRPr="00CD7585">
        <w:rPr>
          <w:rFonts w:ascii="Calibri" w:hAnsi="Calibri" w:hint="cs"/>
          <w:b/>
          <w:bCs/>
          <w:rtl/>
        </w:rPr>
        <w:t xml:space="preserve">אבו דאחל נ' מדינת ישראל </w:t>
      </w:r>
      <w:r w:rsidRPr="00CD7585">
        <w:rPr>
          <w:rFonts w:ascii="Calibri" w:hAnsi="Calibri" w:hint="cs"/>
          <w:rtl/>
        </w:rPr>
        <w:t>נקבע כי :"</w:t>
      </w:r>
      <w:r w:rsidRPr="00CD7585">
        <w:rPr>
          <w:rFonts w:ascii="Calibri" w:hAnsi="Calibri" w:hint="cs"/>
          <w:b/>
          <w:bCs/>
          <w:rtl/>
        </w:rPr>
        <w:t>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אמנם מדובר בשתי הוראות חיקוק אולם באירוע אחד ו</w:t>
      </w:r>
      <w:r>
        <w:rPr>
          <w:rFonts w:ascii="Calibri" w:hAnsi="Calibri" w:hint="cs"/>
          <w:rtl/>
        </w:rPr>
        <w:t xml:space="preserve">על כן </w:t>
      </w:r>
      <w:r w:rsidRPr="00CD7585">
        <w:rPr>
          <w:rFonts w:ascii="Calibri" w:hAnsi="Calibri" w:hint="cs"/>
          <w:rtl/>
        </w:rPr>
        <w:t>יש לקבוע מתחם ענישה אחד.</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בכל הנוגע לנסיבות הקשורות לביצוע העבירה</w:t>
      </w:r>
      <w:r>
        <w:rPr>
          <w:rFonts w:ascii="Calibri" w:hAnsi="Calibri" w:hint="cs"/>
          <w:rtl/>
        </w:rPr>
        <w:t>,</w:t>
      </w:r>
      <w:r w:rsidRPr="00CD7585">
        <w:rPr>
          <w:rFonts w:ascii="Calibri" w:hAnsi="Calibri" w:hint="cs"/>
          <w:rtl/>
        </w:rPr>
        <w:t xml:space="preserve"> התחשבתי לחומרא בפוטנציאל הנזק הרב הטמון בעבירה מעין זו, כך גם בעובדה שהנאשם הטמין את הנשק במקום ציבורי כך שהוא יכול היה להתגלגל לידיים שונות ולהוות כלי לפעילות עבריינית או אף פעילות טרור. מלבד אמירתו כיום של הנאשם כי חשב להחזיר את הנשק, הרי שאין לכך כל ראיה או אף רמז במעשיו. אילולא הייתה המשטרה מגיעה אליו, לא ברור מה היה נעשה בנשק זה, מה עוד שלדברי בא כוחו של הנאשם, לנאשם היכרות עם בעל הנשק ולמרות זאת לא עשה דבר על מנת להשיבו אליו מתוך תחושת אי נעימות. התפתותו של הנאשם לנוכח מציאת "חפץ יקר ערך" כדברי בא כוחו, יכולה הייתה להביא אף לאובדן חיי אדם.</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לקולא, שקלתי את העובדה כי אין מדובר במעשה מתוכנן מראש אלא בדחף רגעי של הנאשם כתוצאה מ"הזדמנות" שנקרתה בדרכו. כמו כן, התחשבתי בכך כי מדובר בהחזקה לזמן קצר ביותר.</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בבחינת מדיניות הענישה הנוהגת ניתן להצביע על מקרים דומים, כמפורט להלן:</w:t>
      </w:r>
    </w:p>
    <w:p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18"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י</w:t>
        </w:r>
        <w:r w:rsidR="0021414C" w:rsidRPr="0021414C">
          <w:rPr>
            <w:rFonts w:ascii="Calibri" w:hAnsi="Calibri"/>
            <w:color w:val="0000FF"/>
            <w:u w:val="single"/>
            <w:rtl/>
          </w:rPr>
          <w:t>-</w:t>
        </w:r>
        <w:r w:rsidR="0021414C" w:rsidRPr="0021414C">
          <w:rPr>
            <w:rFonts w:ascii="Calibri" w:hAnsi="Calibri" w:hint="eastAsia"/>
            <w:color w:val="0000FF"/>
            <w:u w:val="single"/>
            <w:rtl/>
          </w:rPr>
          <w:t>ם</w:t>
        </w:r>
        <w:r w:rsidR="0021414C" w:rsidRPr="0021414C">
          <w:rPr>
            <w:rFonts w:ascii="Calibri" w:hAnsi="Calibri"/>
            <w:color w:val="0000FF"/>
            <w:u w:val="single"/>
            <w:rtl/>
          </w:rPr>
          <w:t>) 5126/07</w:t>
        </w:r>
      </w:hyperlink>
      <w:r w:rsidRPr="00CD7585">
        <w:rPr>
          <w:rFonts w:ascii="Calibri" w:hAnsi="Calibri" w:hint="cs"/>
          <w:rtl/>
        </w:rPr>
        <w:t xml:space="preserve"> </w:t>
      </w:r>
      <w:r w:rsidRPr="00CD7585">
        <w:rPr>
          <w:rFonts w:ascii="Calibri" w:hAnsi="Calibri" w:hint="cs"/>
          <w:b/>
          <w:bCs/>
          <w:rtl/>
        </w:rPr>
        <w:t xml:space="preserve">מדינת ישראל נ' אברגל יעקב </w:t>
      </w:r>
      <w:r w:rsidRPr="00CD7585">
        <w:rPr>
          <w:rFonts w:ascii="Calibri" w:hAnsi="Calibri" w:hint="cs"/>
          <w:rtl/>
        </w:rPr>
        <w:t>(15.04.18), הורשע הנאשם על פי הודאתו בעבירה של החזקת נשק, ובעבירה של גניבה. על פי כתב האישום גנב הנאשם את אקדחו של רופא בבית החולים. הנאשם נדון ל-12 חודשי מאסר בפועל ו-18 חודשי מאסר על תנאי.</w:t>
      </w:r>
    </w:p>
    <w:p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19"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מח</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חיפה</w:t>
        </w:r>
        <w:r w:rsidR="0021414C" w:rsidRPr="0021414C">
          <w:rPr>
            <w:rFonts w:ascii="Calibri" w:hAnsi="Calibri"/>
            <w:color w:val="0000FF"/>
            <w:u w:val="single"/>
            <w:rtl/>
          </w:rPr>
          <w:t>) 54432-02-17</w:t>
        </w:r>
      </w:hyperlink>
      <w:r w:rsidRPr="00CD7585">
        <w:rPr>
          <w:rFonts w:ascii="Calibri" w:hAnsi="Calibri" w:hint="cs"/>
          <w:rtl/>
        </w:rPr>
        <w:t xml:space="preserve"> </w:t>
      </w:r>
      <w:r w:rsidRPr="00CD7585">
        <w:rPr>
          <w:rFonts w:ascii="Calibri" w:hAnsi="Calibri" w:hint="cs"/>
          <w:b/>
          <w:bCs/>
          <w:rtl/>
        </w:rPr>
        <w:t xml:space="preserve">מדינת ישראל נ' עיסא </w:t>
      </w:r>
      <w:r w:rsidRPr="00CD7585">
        <w:rPr>
          <w:rFonts w:ascii="Calibri" w:hAnsi="Calibri" w:hint="cs"/>
          <w:rtl/>
        </w:rPr>
        <w:t>(23.11.17), הורשע נאשם על פי הודאתו בכתב אישום מתוקן בעבירת החזקת ונשיאת נשק. ברשותו של הנאשם נתפס אקדח מסוג ברטה, מחסנית ו-7 כדורים. נקבע כי המתחם נע מ-10 ל-30 חודשי מאסר, הוחלט לחרוג מהמתחם ולגזור על הנאשם 6 חודשי מאסר לריצוי בעבודות שירות, מאסר על תנאי ועונשים נלווים.</w:t>
      </w:r>
    </w:p>
    <w:p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0"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פ</w:t>
        </w:r>
        <w:r w:rsidR="0021414C" w:rsidRPr="0021414C">
          <w:rPr>
            <w:rFonts w:ascii="Calibri" w:hAnsi="Calibri"/>
            <w:color w:val="0000FF"/>
            <w:u w:val="single"/>
            <w:rtl/>
          </w:rPr>
          <w:t>"</w:t>
        </w:r>
        <w:r w:rsidR="0021414C" w:rsidRPr="0021414C">
          <w:rPr>
            <w:rFonts w:ascii="Calibri" w:hAnsi="Calibri" w:hint="eastAsia"/>
            <w:color w:val="0000FF"/>
            <w:u w:val="single"/>
            <w:rtl/>
          </w:rPr>
          <w:t>ת</w:t>
        </w:r>
        <w:r w:rsidR="0021414C" w:rsidRPr="0021414C">
          <w:rPr>
            <w:rFonts w:ascii="Calibri" w:hAnsi="Calibri"/>
            <w:color w:val="0000FF"/>
            <w:u w:val="single"/>
            <w:rtl/>
          </w:rPr>
          <w:t>) 29898-02-14</w:t>
        </w:r>
      </w:hyperlink>
      <w:r w:rsidRPr="00CD7585">
        <w:rPr>
          <w:rFonts w:ascii="Calibri" w:hAnsi="Calibri" w:hint="cs"/>
          <w:rtl/>
        </w:rPr>
        <w:t xml:space="preserve"> </w:t>
      </w:r>
      <w:r w:rsidRPr="00CD7585">
        <w:rPr>
          <w:rFonts w:ascii="Calibri" w:hAnsi="Calibri" w:hint="cs"/>
          <w:b/>
          <w:bCs/>
          <w:rtl/>
        </w:rPr>
        <w:t>מדינת ישראל נ סאלם אבו ג'אבר</w:t>
      </w:r>
      <w:r w:rsidRPr="00CD7585">
        <w:rPr>
          <w:rFonts w:ascii="Calibri" w:hAnsi="Calibri" w:hint="cs"/>
          <w:rtl/>
        </w:rPr>
        <w:t xml:space="preserve"> (13.11.14), הורשע הנאשם על פי הודאתו בהחזקת נשק ותחמושת. ברשותו של הנאשם נתפס נשק דמוי קארל גוסטב, 2 מחסניות ו-23 כדורים. נקבע כי מתחם הענישה נע מ-8 ועד ל-18 חודשי מאסר. עקב שיקולי שיקום וכן שיקולי צדק חריגים</w:t>
      </w:r>
      <w:r>
        <w:rPr>
          <w:rFonts w:ascii="Calibri" w:hAnsi="Calibri" w:hint="cs"/>
          <w:rtl/>
        </w:rPr>
        <w:t xml:space="preserve"> </w:t>
      </w:r>
      <w:r w:rsidRPr="00CD7585">
        <w:rPr>
          <w:rFonts w:ascii="Calibri" w:hAnsi="Calibri" w:hint="cs"/>
          <w:rtl/>
        </w:rPr>
        <w:t>(מצבו הבריאותי של הנאשם) הוחלט על סטייה מהמתחם ונגזרו עליו 3 חודשים ויום מאסר בפועל, מאסר על תנאי וקנס.</w:t>
      </w:r>
    </w:p>
    <w:p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1"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מח</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חיפה</w:t>
        </w:r>
        <w:r w:rsidR="0021414C" w:rsidRPr="0021414C">
          <w:rPr>
            <w:rFonts w:ascii="Calibri" w:hAnsi="Calibri"/>
            <w:color w:val="0000FF"/>
            <w:u w:val="single"/>
            <w:rtl/>
          </w:rPr>
          <w:t>) 553-06-14</w:t>
        </w:r>
      </w:hyperlink>
      <w:r w:rsidRPr="00CD7585">
        <w:rPr>
          <w:rFonts w:ascii="Calibri" w:hAnsi="Calibri" w:hint="cs"/>
          <w:rtl/>
        </w:rPr>
        <w:t xml:space="preserve"> </w:t>
      </w:r>
      <w:r w:rsidRPr="00CD7585">
        <w:rPr>
          <w:rFonts w:ascii="Calibri" w:hAnsi="Calibri" w:hint="cs"/>
          <w:b/>
          <w:bCs/>
          <w:rtl/>
        </w:rPr>
        <w:t xml:space="preserve">מדינת ישראל נ' אגאבריה </w:t>
      </w:r>
      <w:r w:rsidRPr="00CD7585">
        <w:rPr>
          <w:rFonts w:ascii="Calibri" w:hAnsi="Calibri" w:hint="cs"/>
          <w:rtl/>
        </w:rPr>
        <w:t>(18.09.14), הורשעו הנאשמים בעקבות הודאתם בעבירות החזקת נשק ותחמושת. נאשם 1 החזיק אקדח מסוג קארין ו2 מחסניות ואילו נאשם 2 החזיק אקדח מסוג יריחו ומחסנית. נקבע מתחם ענישה הנע מ- 6 חודשי מאסר שיכול וירוצו בעבודות שירות ועד ל-3 שנות מאסר. על הנאשמים נגזרו 6 חודשי מאסר לריצוי בעבודות שירות ועונשים נלווים.</w:t>
      </w:r>
    </w:p>
    <w:p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2"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כ</w:t>
        </w:r>
        <w:r w:rsidR="0021414C" w:rsidRPr="0021414C">
          <w:rPr>
            <w:rFonts w:ascii="Calibri" w:hAnsi="Calibri"/>
            <w:color w:val="0000FF"/>
            <w:u w:val="single"/>
            <w:rtl/>
          </w:rPr>
          <w:t>"</w:t>
        </w:r>
        <w:r w:rsidR="0021414C" w:rsidRPr="0021414C">
          <w:rPr>
            <w:rFonts w:ascii="Calibri" w:hAnsi="Calibri" w:hint="eastAsia"/>
            <w:color w:val="0000FF"/>
            <w:u w:val="single"/>
            <w:rtl/>
          </w:rPr>
          <w:t>ס</w:t>
        </w:r>
        <w:r w:rsidR="0021414C" w:rsidRPr="0021414C">
          <w:rPr>
            <w:rFonts w:ascii="Calibri" w:hAnsi="Calibri"/>
            <w:color w:val="0000FF"/>
            <w:u w:val="single"/>
            <w:rtl/>
          </w:rPr>
          <w:t>) 535-12</w:t>
        </w:r>
      </w:hyperlink>
      <w:r w:rsidRPr="00CD7585">
        <w:rPr>
          <w:rFonts w:ascii="Calibri" w:hAnsi="Calibri" w:hint="cs"/>
          <w:rtl/>
        </w:rPr>
        <w:t xml:space="preserve"> </w:t>
      </w:r>
      <w:r w:rsidRPr="00CD7585">
        <w:rPr>
          <w:rFonts w:ascii="Calibri" w:hAnsi="Calibri" w:hint="cs"/>
          <w:b/>
          <w:bCs/>
          <w:rtl/>
        </w:rPr>
        <w:t xml:space="preserve">מדינת ישראל נ' נאסר </w:t>
      </w:r>
      <w:r w:rsidRPr="00CD7585">
        <w:rPr>
          <w:rFonts w:ascii="Calibri" w:hAnsi="Calibri" w:hint="cs"/>
          <w:rtl/>
        </w:rPr>
        <w:t>(15.03.15) הורשע נאשם על פי הודאתו בהחזקת נשק, אביזר ותחמושת. על פי כתב האישום החזיק הנאשם בנשק מסוג קארל גוסטב, מחסנית וכדור 9 מ"מ. נקבע מתחם ענישה הנע מ-7 ועד ל-14 חודשי מאסר בפועל. עקב שיקולי שיקום נגזרו על הנאשם 6 חודשי מאסר לריצוי בעבודות שירות ועונשים נלווים.</w:t>
      </w:r>
    </w:p>
    <w:p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3"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מח</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י</w:t>
        </w:r>
        <w:r w:rsidR="0021414C" w:rsidRPr="0021414C">
          <w:rPr>
            <w:rFonts w:ascii="Calibri" w:hAnsi="Calibri"/>
            <w:color w:val="0000FF"/>
            <w:u w:val="single"/>
            <w:rtl/>
          </w:rPr>
          <w:t>-</w:t>
        </w:r>
        <w:r w:rsidR="0021414C" w:rsidRPr="0021414C">
          <w:rPr>
            <w:rFonts w:ascii="Calibri" w:hAnsi="Calibri" w:hint="eastAsia"/>
            <w:color w:val="0000FF"/>
            <w:u w:val="single"/>
            <w:rtl/>
          </w:rPr>
          <w:t>ם</w:t>
        </w:r>
        <w:r w:rsidR="0021414C" w:rsidRPr="0021414C">
          <w:rPr>
            <w:rFonts w:ascii="Calibri" w:hAnsi="Calibri"/>
            <w:color w:val="0000FF"/>
            <w:u w:val="single"/>
            <w:rtl/>
          </w:rPr>
          <w:t>) 11380-03-16</w:t>
        </w:r>
      </w:hyperlink>
      <w:r w:rsidRPr="00CD7585">
        <w:rPr>
          <w:rFonts w:ascii="Calibri" w:hAnsi="Calibri" w:hint="cs"/>
          <w:rtl/>
        </w:rPr>
        <w:t xml:space="preserve"> </w:t>
      </w:r>
      <w:r w:rsidRPr="00CD7585">
        <w:rPr>
          <w:rFonts w:ascii="Calibri" w:hAnsi="Calibri" w:hint="cs"/>
          <w:b/>
          <w:bCs/>
          <w:rtl/>
        </w:rPr>
        <w:t>סיניצקי נ מדינת ישראל</w:t>
      </w:r>
      <w:r w:rsidRPr="00CD7585">
        <w:rPr>
          <w:rFonts w:ascii="Calibri" w:hAnsi="Calibri" w:hint="cs"/>
          <w:rtl/>
        </w:rPr>
        <w:t xml:space="preserve">  (28.03.17), ערער הנאשם על פסק דינו של בית המשפט השלום אשר גזר עליו מאסר בפועל של 8 חודשים ומאסר על תנאי. המערער הורשע לאחר שמיעת ראיות בעבירות של גניבה והחזקת נשק. על פי כתב האישום, הנאשם ראה שקית על הרצפה ובה אקדח ונטל את השקית עם פריטים נוספים של המתלונן.  בית המשפט המחוזי  התחשב בעברו הנקי של הנאשם, והנזק שייגרם לו ולמשפחתו  ולכן הפחית בעונשו וגזר עליו 6 חודשי מאסר בעבודות שירות.</w:t>
      </w:r>
    </w:p>
    <w:p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4"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5203/10</w:t>
        </w:r>
      </w:hyperlink>
      <w:r w:rsidRPr="00CD7585">
        <w:rPr>
          <w:rFonts w:ascii="Calibri" w:hAnsi="Calibri" w:hint="cs"/>
          <w:rtl/>
        </w:rPr>
        <w:t xml:space="preserve"> </w:t>
      </w:r>
      <w:r w:rsidRPr="00CD7585">
        <w:rPr>
          <w:rFonts w:ascii="Calibri" w:hAnsi="Calibri" w:hint="cs"/>
          <w:b/>
          <w:bCs/>
          <w:rtl/>
        </w:rPr>
        <w:t>ג'ברין נ' מדינת ישראל</w:t>
      </w:r>
      <w:r w:rsidRPr="00CD7585">
        <w:rPr>
          <w:rFonts w:ascii="Calibri" w:hAnsi="Calibri" w:hint="cs"/>
          <w:rtl/>
        </w:rPr>
        <w:t xml:space="preserve"> (06.12.10), נדחה ערעורו של נאשם אשר ערער על פסק דינו של בית המשפט המחוזי בחיפה במסגרתו הורשע בהחזקת נשק מחסנית ותחמושת ונגזרו עליו 9 חודשי מאסר בפועל  ו-12 חודשים מאסר על תנאי.</w:t>
      </w:r>
    </w:p>
    <w:p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5"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1505/14</w:t>
        </w:r>
      </w:hyperlink>
      <w:r w:rsidRPr="00CD7585">
        <w:rPr>
          <w:rFonts w:ascii="Calibri" w:hAnsi="Calibri" w:hint="cs"/>
          <w:rtl/>
        </w:rPr>
        <w:t xml:space="preserve"> </w:t>
      </w:r>
      <w:r w:rsidRPr="00CD7585">
        <w:rPr>
          <w:rFonts w:ascii="Calibri" w:hAnsi="Calibri" w:hint="cs"/>
          <w:b/>
          <w:bCs/>
          <w:rtl/>
        </w:rPr>
        <w:t xml:space="preserve">אחמד לידאוי נ' מדינת ישראל </w:t>
      </w:r>
      <w:r w:rsidRPr="00CD7585">
        <w:rPr>
          <w:rFonts w:ascii="Calibri" w:hAnsi="Calibri" w:hint="cs"/>
          <w:rtl/>
        </w:rPr>
        <w:t xml:space="preserve"> (04.11.14), התקבל ערעורו של נאשם על פסק דינו של בית המשפט המחוזי בנצרת אשר גזר עליו 8 חודשי מאסר בפועל, 12 חודשי מאסר על תנאי וקנס. המערער הורשע על יסוד הודאתו בעבירות של החזקת נשק, מעשה פזיזות ורשלנות, הפרעה לשוטר במילוי תפקידו והחזקת רכוש החשוד כגנוב. ערעור הנאשם התקבל עקב נסיבותיו האישיות והבריאותיות ועונש המאסר הומר ב-6 חודשי עבודות שירות.</w:t>
      </w:r>
    </w:p>
    <w:p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6" w:history="1">
        <w:r w:rsidR="0021414C" w:rsidRPr="0021414C">
          <w:rPr>
            <w:rFonts w:ascii="Calibri" w:hAnsi="Calibri" w:hint="eastAsia"/>
            <w:color w:val="0000FF"/>
            <w:u w:val="single"/>
            <w:rtl/>
          </w:rPr>
          <w:t>רע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4559/16</w:t>
        </w:r>
      </w:hyperlink>
      <w:r w:rsidRPr="00CD7585">
        <w:rPr>
          <w:rFonts w:ascii="Calibri" w:hAnsi="Calibri" w:hint="cs"/>
          <w:rtl/>
        </w:rPr>
        <w:t xml:space="preserve"> </w:t>
      </w:r>
      <w:r w:rsidRPr="00CD7585">
        <w:rPr>
          <w:rFonts w:ascii="Calibri" w:hAnsi="Calibri" w:hint="cs"/>
          <w:b/>
          <w:bCs/>
          <w:rtl/>
        </w:rPr>
        <w:t xml:space="preserve">נוסיראת נ' מדינת ישראל </w:t>
      </w:r>
      <w:r w:rsidRPr="00CD7585">
        <w:rPr>
          <w:rFonts w:ascii="Calibri" w:hAnsi="Calibri" w:hint="cs"/>
          <w:rtl/>
        </w:rPr>
        <w:t>(22.06.16), נדחה ערעורו של נאשם על גזר דינו של בית המשפט המחוזי. הנאשם הורשע בבית משפט השלום בעבירות של החזקת נשק ותחמושת, והוחלט עקב תסקיר חיובי ומשך הזמן בו שהה בתנאים מגבילים לסטות מהמתחם שנקבע ל-9 עד 24 חודשי מאסר ולגזור עליו 6 חודשי מאסר לריצוי בעבודות שירות. בערעור על קלות העונש, הוחמר עונשו ל-9 חודשי מאסר בפועל.</w:t>
      </w:r>
    </w:p>
    <w:p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7" w:history="1">
        <w:r w:rsidR="0021414C" w:rsidRPr="0021414C">
          <w:rPr>
            <w:rFonts w:ascii="Calibri" w:hAnsi="Calibri" w:hint="eastAsia"/>
            <w:color w:val="0000FF"/>
            <w:u w:val="single"/>
            <w:rtl/>
          </w:rPr>
          <w:t>עפ</w:t>
        </w:r>
        <w:r w:rsidR="0021414C" w:rsidRPr="0021414C">
          <w:rPr>
            <w:rFonts w:ascii="Calibri" w:hAnsi="Calibri"/>
            <w:color w:val="0000FF"/>
            <w:u w:val="single"/>
            <w:rtl/>
          </w:rPr>
          <w:t>"</w:t>
        </w:r>
        <w:r w:rsidR="0021414C" w:rsidRPr="0021414C">
          <w:rPr>
            <w:rFonts w:ascii="Calibri" w:hAnsi="Calibri" w:hint="eastAsia"/>
            <w:color w:val="0000FF"/>
            <w:u w:val="single"/>
            <w:rtl/>
          </w:rPr>
          <w:t>ג</w:t>
        </w:r>
        <w:r w:rsidR="0021414C" w:rsidRPr="0021414C">
          <w:rPr>
            <w:rFonts w:ascii="Calibri" w:hAnsi="Calibri"/>
            <w:color w:val="0000FF"/>
            <w:u w:val="single"/>
            <w:rtl/>
          </w:rPr>
          <w:t xml:space="preserve"> 41929-07-16</w:t>
        </w:r>
      </w:hyperlink>
      <w:r w:rsidRPr="00CD7585">
        <w:rPr>
          <w:rFonts w:ascii="Calibri" w:hAnsi="Calibri" w:hint="cs"/>
          <w:rtl/>
        </w:rPr>
        <w:t xml:space="preserve"> </w:t>
      </w:r>
      <w:r w:rsidRPr="00CD7585">
        <w:rPr>
          <w:rFonts w:ascii="Calibri" w:hAnsi="Calibri" w:hint="cs"/>
          <w:b/>
          <w:bCs/>
          <w:rtl/>
        </w:rPr>
        <w:t xml:space="preserve">מדינת ישראל נ' מטר </w:t>
      </w:r>
      <w:r w:rsidRPr="00CD7585">
        <w:rPr>
          <w:rFonts w:ascii="Calibri" w:hAnsi="Calibri" w:hint="cs"/>
          <w:rtl/>
        </w:rPr>
        <w:t>(24.01.17), התקבל ערעור המדינה על קלות העונש בגזר דינו של בית משפט השלום אשר גזר על הנאשם, אשר הורשע על פי הודאתו בעבירות החזקת נשק ותחמושת,  6 חודשי מאסר לריצוי בעבודות שירות וענישה נלווית. בית המשפט המחוזי החליט כי מאחר ומדובר ב"מכת אזור" יש להחמיר בעונשו של הנאשם ולגזור עליו עונש של 9 חודשי מאסר בפועל וענישה נלווית.</w:t>
      </w:r>
    </w:p>
    <w:p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8" w:history="1">
        <w:r w:rsidR="0021414C" w:rsidRPr="0021414C">
          <w:rPr>
            <w:rFonts w:ascii="Calibri" w:hAnsi="Calibri" w:hint="eastAsia"/>
            <w:color w:val="0000FF"/>
            <w:u w:val="single"/>
            <w:rtl/>
          </w:rPr>
          <w:t>עפ</w:t>
        </w:r>
        <w:r w:rsidR="0021414C" w:rsidRPr="0021414C">
          <w:rPr>
            <w:rFonts w:ascii="Calibri" w:hAnsi="Calibri"/>
            <w:color w:val="0000FF"/>
            <w:u w:val="single"/>
            <w:rtl/>
          </w:rPr>
          <w:t>"</w:t>
        </w:r>
        <w:r w:rsidR="0021414C" w:rsidRPr="0021414C">
          <w:rPr>
            <w:rFonts w:ascii="Calibri" w:hAnsi="Calibri" w:hint="eastAsia"/>
            <w:color w:val="0000FF"/>
            <w:u w:val="single"/>
            <w:rtl/>
          </w:rPr>
          <w:t>ג</w:t>
        </w:r>
        <w:r w:rsidR="0021414C" w:rsidRPr="0021414C">
          <w:rPr>
            <w:rFonts w:ascii="Calibri" w:hAnsi="Calibri"/>
            <w:color w:val="0000FF"/>
            <w:u w:val="single"/>
            <w:rtl/>
          </w:rPr>
          <w:t xml:space="preserve"> 36573-01-18</w:t>
        </w:r>
      </w:hyperlink>
      <w:r w:rsidRPr="00CD7585">
        <w:rPr>
          <w:rFonts w:ascii="Calibri" w:hAnsi="Calibri" w:hint="cs"/>
          <w:rtl/>
        </w:rPr>
        <w:t xml:space="preserve"> </w:t>
      </w:r>
      <w:r w:rsidRPr="00CD7585">
        <w:rPr>
          <w:rFonts w:ascii="Calibri" w:hAnsi="Calibri" w:hint="cs"/>
          <w:b/>
          <w:bCs/>
          <w:rtl/>
        </w:rPr>
        <w:t xml:space="preserve">מחאמיד נ' מדינת ישראל </w:t>
      </w:r>
      <w:r w:rsidRPr="00CD7585">
        <w:rPr>
          <w:rFonts w:ascii="Calibri" w:hAnsi="Calibri" w:hint="cs"/>
          <w:rtl/>
        </w:rPr>
        <w:t>(07.02.18), ערער הנאשם על גזר דינו של בית משפט השלום אשר גזר עליו 7 חודשי מאסר בפועל ועונשים נלווים בעקבות הודאתו בעבירות של החזקת נשק ותחמושת. בית משפט השלום קבע מתחם הנע מ-7 חודשי מאסר ועד 36 חודשי מאסר. בערעורו ביקש הנאשם להתחשב בשיקולי שיקום הנובעים מגילו הצעיר והשתלבותו בקבוצה טיפולית של שירות המבחן. בית המשפט המחוזי קיבל את הערעור עקב שיקולי שיקום והעמיד את עונשו על 6 חודשי מאסר לריצוי בעבודות שירות ועונשים נלווים.</w:t>
      </w:r>
    </w:p>
    <w:p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9"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4945/13</w:t>
        </w:r>
      </w:hyperlink>
      <w:r w:rsidRPr="00CD7585">
        <w:rPr>
          <w:rFonts w:ascii="Calibri" w:hAnsi="Calibri" w:hint="cs"/>
          <w:rtl/>
        </w:rPr>
        <w:t xml:space="preserve"> </w:t>
      </w:r>
      <w:r w:rsidRPr="00CD7585">
        <w:rPr>
          <w:rFonts w:ascii="Calibri" w:hAnsi="Calibri" w:hint="cs"/>
          <w:b/>
          <w:bCs/>
          <w:rtl/>
        </w:rPr>
        <w:t xml:space="preserve"> מדינת ישראל נ סלימאן </w:t>
      </w:r>
      <w:r w:rsidRPr="00CD7585">
        <w:rPr>
          <w:rFonts w:ascii="Calibri" w:hAnsi="Calibri" w:hint="cs"/>
          <w:rtl/>
        </w:rPr>
        <w:t>(19.01.14) ערערה המדינה על קלות העונש בגזר דינו של בית משפט המחוזי בנצרת אשר גזר על הנאשם עונש של 6 חודשי מאסר לריצוי בעבודות שירות ועונשים נלווים. בית המשפט המחוזי קבע מתחם הנע מ-6 חודשי מאסר לריצוי בעבודות שירות ועד 20 חודשי מאסר.  הנאשם הורשע לאחר שמיעת ראיות  בעבירות של החזקת נשק ותחמושת, הפרעה לשוטר במילוי תפקידו, ומעשה פזיזות ורשלנות.   בית המשפט העליון קובע כי המתחם נע מ-12 ועד ל-36 חודשי מאסר. עקב שיקולי שיקום העולים מתסקיר שירות המבחן הוחלט לדחות את הערעור.</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לנוכח כל האמור לעיל, אני קובע כי מתחם הענישה ההולם בנסיבות העבירה שבפני, נע בין 7 ל-24 חודשי מאסר בפועל בנוסף לענישה נלווית.</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 xml:space="preserve">אמנם שירות המבחן בתסקיריו, מדווח על תהליך טיפולי בו מצוי הנאשם וצפוי להימשך עוד תקופה ארוכה. למרות זאת, איני סבור כי די בנסיבות אלו, על מנת להביא לסטייה מהמתחם בשל שיקולי שיקום. </w:t>
      </w:r>
      <w:r w:rsidRPr="00CD7585">
        <w:rPr>
          <w:rFonts w:ascii="Calibri" w:hAnsi="Calibri" w:hint="cs"/>
          <w:b/>
          <w:bCs/>
          <w:rtl/>
        </w:rPr>
        <w:t>המדובר בעבירה חמורה בה יש לתת משקל משמעותי לאינטרס הציבורי אל מול הפרטי ואשר על כן, על מנת שיתאפשר לסטות מהמתחם יש צורך בהליך שיקומי משמעותי</w:t>
      </w:r>
      <w:r w:rsidRPr="00CD7585">
        <w:rPr>
          <w:rFonts w:ascii="Calibri" w:hAnsi="Calibri" w:hint="cs"/>
          <w:rtl/>
        </w:rPr>
        <w:t>. הנאשם אמנם מצוי בהליך טיפולי  בעמותת "אפשר" מאז 15.5.17, אולם נמסר כי בתחילת הטיפול לא הגיע אליו באופן עקבי. הטיפול מצוי אך בראשיתו וצפוי עוד טיפול ארוך והתרשמות שירות המבחן היא כי הנאשם מתחיל לקבל אחריות למצבו. הנאשם עצמו מדווח על כך כי מאז תחילת הטיפול אינו שותה אלכוהול. התרשמותו הראשונית של שירות המבחן הייתה שבשל קשייו של הנאשם, לא מתאפשרת העמקת השיח עמו וגם כשניתנה דחייה על מנת לאפשר זאת, שיתוף הפעולה מצדו של הנאשם היה חלקי.</w:t>
      </w:r>
      <w:r>
        <w:rPr>
          <w:rFonts w:ascii="Calibri" w:hAnsi="Calibri" w:hint="cs"/>
          <w:rtl/>
        </w:rPr>
        <w:t xml:space="preserve"> בתאריך 7.3.18 אף התקבלה הודעה על כך שהנאשם ניתק קשר עם שירות המבחן מזה שלושה שבועות.</w:t>
      </w:r>
      <w:r w:rsidRPr="00CD7585">
        <w:rPr>
          <w:rFonts w:ascii="Calibri" w:hAnsi="Calibri" w:hint="cs"/>
          <w:rtl/>
        </w:rPr>
        <w:t xml:space="preserve"> בנסיבות הללו לא מצאתי כי ניתן לסטות מהמתחם בשל שיקולי שיקום.</w:t>
      </w:r>
    </w:p>
    <w:p w:rsidR="00E354F0" w:rsidRDefault="00E354F0" w:rsidP="00E354F0">
      <w:pPr>
        <w:spacing w:after="160" w:line="480" w:lineRule="auto"/>
        <w:jc w:val="both"/>
        <w:rPr>
          <w:rFonts w:ascii="Arial" w:hAnsi="Arial"/>
          <w:b/>
          <w:bCs/>
          <w:u w:val="single"/>
          <w:rtl/>
        </w:rPr>
      </w:pPr>
    </w:p>
    <w:p w:rsidR="00E354F0" w:rsidRPr="00CD7585" w:rsidRDefault="00E354F0" w:rsidP="00E354F0">
      <w:pPr>
        <w:spacing w:after="160" w:line="480" w:lineRule="auto"/>
        <w:jc w:val="both"/>
        <w:rPr>
          <w:rFonts w:ascii="Arial" w:hAnsi="Arial"/>
          <w:b/>
          <w:bCs/>
          <w:u w:val="single"/>
          <w:rtl/>
        </w:rPr>
      </w:pPr>
      <w:r w:rsidRPr="00CD7585">
        <w:rPr>
          <w:rFonts w:ascii="Arial" w:hAnsi="Arial" w:hint="cs"/>
          <w:b/>
          <w:bCs/>
          <w:u w:val="single"/>
          <w:rtl/>
        </w:rPr>
        <w:t>גזירת העונש</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בכל הנוגע לנסיבות אשר אינן קשורות בביצוע העבירה, שקלתי בעניינו של הנאשם את העובדה כי מדובר באדם בן 60 המתגורר בגפו, גרוש ומנותק קשר ממשפחתו. מצבו הכלכלי קשה ביותר והוא נזקק לעזרה משירותי הרווחה אף לצורך מזון. כל ענישה ממשית אשר תוטל עליו משמעה פגיעה קשה בפרנסתו. שקלתי אף את הודאתו של הנאשם וחיסכון הזמן השיפוטי, כך גם את שיתוף הפעולה שלו עם המשטרה באופן מידי, כאשר הוליכם למקום הימצאותו של האקדח.</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לנאשם הרשעה קודמת משנת 2014 בעבירת איומים.</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לנוכח האמור לעיל, אמקם את עונשו של הנאשם בתחתית המתחם.</w:t>
      </w:r>
    </w:p>
    <w:p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b/>
          <w:bCs/>
          <w:rtl/>
        </w:rPr>
        <w:t>לאחר ששקלתי את כל האמור לעיל, אני גוזר על הנאשם את העונשים הבאים:</w:t>
      </w:r>
    </w:p>
    <w:p w:rsidR="00E354F0" w:rsidRPr="00CD7585" w:rsidRDefault="00E354F0" w:rsidP="00E354F0">
      <w:pPr>
        <w:numPr>
          <w:ilvl w:val="0"/>
          <w:numId w:val="3"/>
        </w:numPr>
        <w:spacing w:after="160" w:line="480" w:lineRule="auto"/>
        <w:contextualSpacing/>
        <w:jc w:val="both"/>
        <w:rPr>
          <w:rFonts w:ascii="Calibri" w:hAnsi="Calibri"/>
        </w:rPr>
      </w:pPr>
      <w:r w:rsidRPr="00CD7585">
        <w:rPr>
          <w:rFonts w:ascii="Calibri" w:hAnsi="Calibri" w:hint="cs"/>
          <w:rtl/>
        </w:rPr>
        <w:t>7 חודשי מאסר בפועל.</w:t>
      </w:r>
    </w:p>
    <w:p w:rsidR="00E354F0" w:rsidRPr="00CD7585" w:rsidRDefault="00E354F0" w:rsidP="00E354F0">
      <w:pPr>
        <w:numPr>
          <w:ilvl w:val="0"/>
          <w:numId w:val="3"/>
        </w:numPr>
        <w:spacing w:after="160" w:line="480" w:lineRule="auto"/>
        <w:contextualSpacing/>
        <w:jc w:val="both"/>
        <w:rPr>
          <w:rFonts w:ascii="Calibri" w:hAnsi="Calibri"/>
        </w:rPr>
      </w:pPr>
      <w:r w:rsidRPr="00CD7585">
        <w:rPr>
          <w:rFonts w:ascii="Calibri" w:hAnsi="Calibri" w:hint="cs"/>
          <w:rtl/>
        </w:rPr>
        <w:t>9 חודשי מאסר על תנאי למשך שלש שנים מיום שחרורו ממאסרו, והתנאי הוא שלא יעבור עבירה של החזקת נשק ותחמושת.</w:t>
      </w:r>
    </w:p>
    <w:p w:rsidR="00E354F0" w:rsidRPr="00CD7585" w:rsidRDefault="00E354F0" w:rsidP="00E354F0">
      <w:pPr>
        <w:numPr>
          <w:ilvl w:val="0"/>
          <w:numId w:val="3"/>
        </w:numPr>
        <w:spacing w:after="160" w:line="480" w:lineRule="auto"/>
        <w:contextualSpacing/>
        <w:jc w:val="both"/>
        <w:rPr>
          <w:rFonts w:ascii="Calibri" w:hAnsi="Calibri"/>
        </w:rPr>
      </w:pPr>
      <w:r w:rsidRPr="00CD7585">
        <w:rPr>
          <w:rFonts w:ascii="Calibri" w:hAnsi="Calibri" w:hint="cs"/>
          <w:rtl/>
        </w:rPr>
        <w:t>6 חודשי מאסר על תנאי למשך שלש שנים מיום שחרורו ממאסרו, והתנאי הוא שלא יעבור עבירת גניבה.</w:t>
      </w:r>
    </w:p>
    <w:p w:rsidR="00E354F0" w:rsidRPr="00CD7585" w:rsidRDefault="00E354F0" w:rsidP="00E354F0">
      <w:pPr>
        <w:numPr>
          <w:ilvl w:val="0"/>
          <w:numId w:val="3"/>
        </w:numPr>
        <w:spacing w:after="160" w:line="480" w:lineRule="auto"/>
        <w:contextualSpacing/>
        <w:jc w:val="both"/>
        <w:rPr>
          <w:rFonts w:ascii="Calibri" w:hAnsi="Calibri"/>
        </w:rPr>
      </w:pPr>
      <w:r w:rsidRPr="00CD7585">
        <w:rPr>
          <w:rFonts w:ascii="Calibri" w:hAnsi="Calibri" w:hint="cs"/>
          <w:rtl/>
        </w:rPr>
        <w:t>לנוכח מצבו הכלכלי של הנאשם ועונש המאסר שנגזר עליו, לא אגזור עליו עונש בדמות קנס.</w:t>
      </w:r>
    </w:p>
    <w:p w:rsidR="00E354F0" w:rsidRPr="00CD7585" w:rsidRDefault="00E354F0" w:rsidP="00E354F0">
      <w:pPr>
        <w:numPr>
          <w:ilvl w:val="0"/>
          <w:numId w:val="3"/>
        </w:numPr>
        <w:spacing w:after="160" w:line="480" w:lineRule="auto"/>
        <w:contextualSpacing/>
        <w:jc w:val="both"/>
        <w:rPr>
          <w:rFonts w:ascii="Calibri" w:hAnsi="Calibri"/>
        </w:rPr>
      </w:pPr>
      <w:r w:rsidRPr="00CD7585">
        <w:rPr>
          <w:rFonts w:ascii="Calibri" w:hAnsi="Calibri" w:hint="cs"/>
          <w:rtl/>
        </w:rPr>
        <w:t>הנאשם יחתום על התחייבות כספית בסך של 1,500 ₪ שלא יעבור את העבירות בהן הורשע למשך שנתיים מיום שחרורו מהמאסר.</w:t>
      </w:r>
    </w:p>
    <w:p w:rsidR="00E354F0" w:rsidRPr="00CD7585" w:rsidRDefault="00E354F0" w:rsidP="00E354F0">
      <w:pPr>
        <w:spacing w:after="160" w:line="360" w:lineRule="auto"/>
        <w:jc w:val="both"/>
        <w:rPr>
          <w:rFonts w:ascii="Calibri" w:eastAsia="Calibri" w:hAnsi="Calibri"/>
        </w:rPr>
      </w:pPr>
      <w:r w:rsidRPr="00CD7585">
        <w:rPr>
          <w:rFonts w:ascii="Calibri" w:eastAsia="Calibri" w:hAnsi="Calibri" w:hint="cs"/>
          <w:b/>
          <w:bCs/>
          <w:rtl/>
        </w:rPr>
        <w:t>הנאשם יתייצב</w:t>
      </w:r>
      <w:r w:rsidRPr="00CD7585">
        <w:rPr>
          <w:rFonts w:ascii="Calibri" w:eastAsia="Calibri" w:hAnsi="Calibri" w:hint="cs"/>
          <w:rtl/>
        </w:rPr>
        <w:t xml:space="preserve"> </w:t>
      </w:r>
      <w:r w:rsidRPr="00CD7585">
        <w:rPr>
          <w:rFonts w:ascii="Calibri" w:eastAsia="Calibri" w:hAnsi="Calibri" w:hint="cs"/>
          <w:b/>
          <w:bCs/>
          <w:rtl/>
        </w:rPr>
        <w:t xml:space="preserve">לריצוי מאסרו ביום </w:t>
      </w:r>
      <w:r>
        <w:rPr>
          <w:rFonts w:ascii="Calibri" w:eastAsia="Calibri" w:hAnsi="Calibri" w:hint="cs"/>
          <w:b/>
          <w:bCs/>
          <w:rtl/>
        </w:rPr>
        <w:t>6.5</w:t>
      </w:r>
      <w:r w:rsidRPr="00CD7585">
        <w:rPr>
          <w:rFonts w:ascii="Calibri" w:eastAsia="Calibri" w:hAnsi="Calibri" w:hint="cs"/>
          <w:b/>
          <w:bCs/>
          <w:rtl/>
        </w:rPr>
        <w:t>.18 בשעה 10:00  בבית סוהר הדרים, או במתקן כליאה אחר עליו יורה שב"ס, כשברשותו תעודת זהות או דרכון.</w:t>
      </w:r>
    </w:p>
    <w:p w:rsidR="00E354F0" w:rsidRPr="00CD7585" w:rsidRDefault="00E354F0" w:rsidP="00E354F0">
      <w:pPr>
        <w:spacing w:after="160" w:line="360" w:lineRule="auto"/>
        <w:jc w:val="both"/>
        <w:rPr>
          <w:rFonts w:ascii="Calibri" w:eastAsia="Calibri" w:hAnsi="Calibri"/>
          <w:b/>
          <w:bCs/>
          <w:rtl/>
        </w:rPr>
      </w:pPr>
      <w:r w:rsidRPr="00CD7585">
        <w:rPr>
          <w:rFonts w:ascii="Calibri" w:eastAsia="Calibri" w:hAnsi="Calibri" w:hint="cs"/>
          <w:b/>
          <w:bCs/>
          <w:rtl/>
        </w:rPr>
        <w:t>על הנאשם לתאם את הכניסה למאסר, כולל האפשרות למיון מוקדם, עם ענף אבחון ומיון של                      שב"ס, טלפונים: 08-9787336; 08-9787377.</w:t>
      </w:r>
    </w:p>
    <w:p w:rsidR="00E354F0" w:rsidRPr="00CD7585" w:rsidRDefault="00E354F0" w:rsidP="00E354F0">
      <w:pPr>
        <w:spacing w:after="160" w:line="360" w:lineRule="auto"/>
        <w:jc w:val="both"/>
        <w:rPr>
          <w:rFonts w:ascii="Calibri" w:eastAsia="Calibri" w:hAnsi="Calibri"/>
          <w:b/>
          <w:bCs/>
          <w:rtl/>
        </w:rPr>
      </w:pPr>
      <w:r w:rsidRPr="00CD7585">
        <w:rPr>
          <w:rFonts w:ascii="Calibri" w:eastAsia="Calibri" w:hAnsi="Calibri" w:hint="cs"/>
          <w:b/>
          <w:bCs/>
          <w:rtl/>
        </w:rPr>
        <w:t>הערבויות המצויות בתיק ישמשו לצורך הבטחת התייצבותו של הנאשם למאסרו.</w:t>
      </w:r>
    </w:p>
    <w:p w:rsidR="00E354F0" w:rsidRPr="00CD7585" w:rsidRDefault="00E354F0" w:rsidP="00E354F0">
      <w:pPr>
        <w:spacing w:after="160" w:line="480" w:lineRule="auto"/>
        <w:contextualSpacing/>
        <w:jc w:val="both"/>
        <w:rPr>
          <w:rFonts w:ascii="Calibri" w:hAnsi="Calibri"/>
          <w:b/>
          <w:bCs/>
          <w:u w:val="single"/>
        </w:rPr>
      </w:pPr>
      <w:r w:rsidRPr="00CD7585">
        <w:rPr>
          <w:rFonts w:ascii="Calibri" w:hAnsi="Calibri" w:hint="cs"/>
          <w:b/>
          <w:bCs/>
          <w:u w:val="single"/>
          <w:rtl/>
        </w:rPr>
        <w:t>זכות ערעור תוך 45 יום לבית המשפט המחוזי- מרכז</w:t>
      </w:r>
    </w:p>
    <w:p w:rsidR="00E354F0" w:rsidRPr="00BC3C6B" w:rsidRDefault="00E354F0" w:rsidP="00E354F0">
      <w:pPr>
        <w:rPr>
          <w:rtl/>
        </w:rPr>
      </w:pPr>
    </w:p>
    <w:p w:rsidR="00E354F0" w:rsidRDefault="0021414C" w:rsidP="00E354F0">
      <w:pPr>
        <w:spacing w:line="360" w:lineRule="auto"/>
        <w:jc w:val="both"/>
        <w:rPr>
          <w:rFonts w:ascii="Arial" w:hAnsi="Arial"/>
        </w:rPr>
      </w:pPr>
      <w:r w:rsidRPr="0021414C">
        <w:rPr>
          <w:rFonts w:ascii="Arial" w:hAnsi="Arial"/>
          <w:color w:val="FFFFFF"/>
          <w:sz w:val="2"/>
          <w:szCs w:val="2"/>
          <w:rtl/>
        </w:rPr>
        <w:t>5129371</w:t>
      </w:r>
      <w:r>
        <w:rPr>
          <w:rFonts w:ascii="Arial" w:hAnsi="Arial"/>
          <w:rtl/>
        </w:rPr>
        <w:t xml:space="preserve">ניתן היום,  ה' ניסן, 21 מרץ 2018, במעמד ב"כ המאשימה  עו"ד נעמי מששה, הנאשם וב"כ עו"ד דוד </w:t>
      </w:r>
      <w:r w:rsidR="00E354F0">
        <w:rPr>
          <w:rFonts w:ascii="Arial" w:hAnsi="Arial" w:hint="cs"/>
          <w:rtl/>
        </w:rPr>
        <w:t xml:space="preserve">אריכא. </w:t>
      </w:r>
    </w:p>
    <w:p w:rsidR="00E354F0" w:rsidRPr="0021414C" w:rsidRDefault="0021414C" w:rsidP="00E354F0">
      <w:pPr>
        <w:rPr>
          <w:rFonts w:cs="FrankRuehl"/>
          <w:color w:val="FFFFFF"/>
          <w:sz w:val="2"/>
          <w:szCs w:val="2"/>
          <w:rtl/>
        </w:rPr>
      </w:pPr>
      <w:r w:rsidRPr="0021414C">
        <w:rPr>
          <w:rFonts w:cs="FrankRuehl"/>
          <w:color w:val="FFFFFF"/>
          <w:sz w:val="2"/>
          <w:szCs w:val="2"/>
          <w:rtl/>
        </w:rPr>
        <w:t>54678313</w:t>
      </w:r>
    </w:p>
    <w:p w:rsidR="00E354F0" w:rsidRDefault="00E354F0" w:rsidP="00E354F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rsidR="00E354F0" w:rsidRDefault="00E354F0" w:rsidP="00E354F0">
      <w:pPr>
        <w:jc w:val="center"/>
        <w:rPr>
          <w:rFonts w:ascii="Arial" w:hAnsi="Arial" w:cs="FrankRuehl"/>
          <w:sz w:val="28"/>
          <w:szCs w:val="28"/>
          <w:rtl/>
        </w:rPr>
      </w:pPr>
    </w:p>
    <w:p w:rsidR="00E354F0" w:rsidRDefault="00E354F0" w:rsidP="00E354F0">
      <w:pPr>
        <w:rPr>
          <w:rFonts w:cs="FrankRuehl"/>
          <w:sz w:val="28"/>
          <w:szCs w:val="28"/>
          <w:rtl/>
        </w:rPr>
      </w:pPr>
    </w:p>
    <w:p w:rsidR="00E354F0" w:rsidRPr="004366AF" w:rsidRDefault="004366AF" w:rsidP="00E354F0">
      <w:pPr>
        <w:pStyle w:val="a3"/>
        <w:jc w:val="center"/>
        <w:rPr>
          <w:color w:val="FFFFFF"/>
          <w:sz w:val="2"/>
          <w:szCs w:val="2"/>
          <w:rtl/>
        </w:rPr>
      </w:pPr>
      <w:r w:rsidRPr="004366AF">
        <w:rPr>
          <w:color w:val="FFFFFF"/>
          <w:sz w:val="2"/>
          <w:szCs w:val="2"/>
          <w:rtl/>
        </w:rPr>
        <w:t>5129371</w:t>
      </w:r>
    </w:p>
    <w:p w:rsidR="0021414C" w:rsidRPr="004366AF" w:rsidRDefault="004366AF" w:rsidP="0021414C">
      <w:pPr>
        <w:keepNext/>
        <w:rPr>
          <w:rFonts w:ascii="David" w:hAnsi="David"/>
          <w:color w:val="FFFFFF"/>
          <w:sz w:val="2"/>
          <w:szCs w:val="2"/>
          <w:rtl/>
        </w:rPr>
      </w:pPr>
      <w:r w:rsidRPr="004366AF">
        <w:rPr>
          <w:rFonts w:ascii="David" w:hAnsi="David"/>
          <w:color w:val="FFFFFF"/>
          <w:sz w:val="2"/>
          <w:szCs w:val="2"/>
          <w:rtl/>
        </w:rPr>
        <w:t>54678313</w:t>
      </w:r>
    </w:p>
    <w:p w:rsidR="0021414C" w:rsidRPr="0021414C" w:rsidRDefault="0021414C" w:rsidP="0021414C">
      <w:pPr>
        <w:keepNext/>
        <w:rPr>
          <w:rFonts w:ascii="David" w:hAnsi="David"/>
          <w:color w:val="000000"/>
          <w:sz w:val="22"/>
          <w:szCs w:val="22"/>
          <w:rtl/>
        </w:rPr>
      </w:pPr>
      <w:r w:rsidRPr="0021414C">
        <w:rPr>
          <w:rFonts w:ascii="David" w:hAnsi="David"/>
          <w:color w:val="000000"/>
          <w:sz w:val="22"/>
          <w:szCs w:val="22"/>
          <w:rtl/>
        </w:rPr>
        <w:t>דרור קלייטמן 54678313</w:t>
      </w:r>
    </w:p>
    <w:p w:rsidR="0021414C" w:rsidRDefault="0021414C" w:rsidP="0021414C">
      <w:r w:rsidRPr="0021414C">
        <w:rPr>
          <w:color w:val="000000"/>
          <w:rtl/>
        </w:rPr>
        <w:t>נוסח מסמך זה כפוף לשינויי ניסוח ועריכה</w:t>
      </w:r>
    </w:p>
    <w:p w:rsidR="0021414C" w:rsidRDefault="0021414C" w:rsidP="0021414C">
      <w:pPr>
        <w:rPr>
          <w:rtl/>
        </w:rPr>
      </w:pPr>
    </w:p>
    <w:p w:rsidR="0021414C" w:rsidRDefault="0021414C" w:rsidP="0021414C">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rsidR="004366AF" w:rsidRPr="004366AF" w:rsidRDefault="004366AF" w:rsidP="004366AF">
      <w:pPr>
        <w:keepNext/>
        <w:rPr>
          <w:rFonts w:ascii="David" w:hAnsi="David"/>
          <w:color w:val="000000"/>
          <w:sz w:val="22"/>
          <w:szCs w:val="22"/>
          <w:rtl/>
        </w:rPr>
      </w:pPr>
    </w:p>
    <w:p w:rsidR="002D7B2F" w:rsidRPr="0021414C" w:rsidRDefault="002D7B2F" w:rsidP="004366AF">
      <w:pPr>
        <w:rPr>
          <w:color w:val="0000FF"/>
          <w:u w:val="single"/>
        </w:rPr>
      </w:pPr>
    </w:p>
    <w:sectPr w:rsidR="002D7B2F" w:rsidRPr="0021414C" w:rsidSect="004366AF">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647E" w:rsidRDefault="00FA647E">
      <w:r>
        <w:separator/>
      </w:r>
    </w:p>
  </w:endnote>
  <w:endnote w:type="continuationSeparator" w:id="0">
    <w:p w:rsidR="00FA647E" w:rsidRDefault="00FA6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3439" w:rsidRDefault="005E3439" w:rsidP="004366A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5E3439" w:rsidRPr="004366AF" w:rsidRDefault="005E3439" w:rsidP="004366AF">
    <w:pPr>
      <w:pStyle w:val="a5"/>
      <w:pBdr>
        <w:top w:val="single" w:sz="4" w:space="1" w:color="auto"/>
        <w:between w:val="single" w:sz="4" w:space="0" w:color="auto"/>
      </w:pBdr>
      <w:spacing w:after="60"/>
      <w:jc w:val="center"/>
      <w:rPr>
        <w:rFonts w:ascii="FrankRuehl" w:hAnsi="FrankRuehl" w:cs="FrankRuehl"/>
        <w:color w:val="000000"/>
      </w:rPr>
    </w:pPr>
    <w:r w:rsidRPr="004366A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3439" w:rsidRDefault="005E3439" w:rsidP="004366A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C3E13">
      <w:rPr>
        <w:rFonts w:ascii="FrankRuehl" w:hAnsi="FrankRuehl" w:cs="FrankRuehl"/>
        <w:noProof/>
        <w:rtl/>
      </w:rPr>
      <w:t>1</w:t>
    </w:r>
    <w:r>
      <w:rPr>
        <w:rFonts w:ascii="FrankRuehl" w:hAnsi="FrankRuehl" w:cs="FrankRuehl"/>
        <w:rtl/>
      </w:rPr>
      <w:fldChar w:fldCharType="end"/>
    </w:r>
  </w:p>
  <w:p w:rsidR="005E3439" w:rsidRPr="004366AF" w:rsidRDefault="005E3439" w:rsidP="004366AF">
    <w:pPr>
      <w:pStyle w:val="a5"/>
      <w:pBdr>
        <w:top w:val="single" w:sz="4" w:space="1" w:color="auto"/>
        <w:between w:val="single" w:sz="4" w:space="0" w:color="auto"/>
      </w:pBdr>
      <w:spacing w:after="60"/>
      <w:jc w:val="center"/>
      <w:rPr>
        <w:rFonts w:ascii="FrankRuehl" w:hAnsi="FrankRuehl" w:cs="FrankRuehl"/>
        <w:color w:val="000000"/>
      </w:rPr>
    </w:pPr>
    <w:r w:rsidRPr="004366A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647E" w:rsidRDefault="00FA647E">
      <w:r>
        <w:separator/>
      </w:r>
    </w:p>
  </w:footnote>
  <w:footnote w:type="continuationSeparator" w:id="0">
    <w:p w:rsidR="00FA647E" w:rsidRDefault="00FA6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3439" w:rsidRPr="004366AF" w:rsidRDefault="005E3439" w:rsidP="004366A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49772-11-16</w:t>
    </w:r>
    <w:r>
      <w:rPr>
        <w:rFonts w:ascii="David" w:hAnsi="David"/>
        <w:color w:val="000000"/>
        <w:sz w:val="22"/>
        <w:szCs w:val="22"/>
        <w:rtl/>
      </w:rPr>
      <w:tab/>
      <w:t xml:space="preserve"> מדינת ישראל  נ' יעקב אראמי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3439" w:rsidRPr="004366AF" w:rsidRDefault="005E3439" w:rsidP="004366A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49772-11-16</w:t>
    </w:r>
    <w:r>
      <w:rPr>
        <w:rFonts w:ascii="David" w:hAnsi="David"/>
        <w:color w:val="000000"/>
        <w:sz w:val="22"/>
        <w:szCs w:val="22"/>
        <w:rtl/>
      </w:rPr>
      <w:tab/>
      <w:t xml:space="preserve"> מדינת ישראל  נ' יעקב אראמי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C3686"/>
    <w:multiLevelType w:val="hybridMultilevel"/>
    <w:tmpl w:val="F5EC1C36"/>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30742139"/>
    <w:multiLevelType w:val="hybridMultilevel"/>
    <w:tmpl w:val="0D9675CC"/>
    <w:lvl w:ilvl="0" w:tplc="9EAC9248">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ACC46A6"/>
    <w:multiLevelType w:val="hybridMultilevel"/>
    <w:tmpl w:val="8A56780A"/>
    <w:lvl w:ilvl="0" w:tplc="890279C8">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21065337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80920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5268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54F0"/>
    <w:rsid w:val="0021414C"/>
    <w:rsid w:val="002D7B2F"/>
    <w:rsid w:val="004366AF"/>
    <w:rsid w:val="005E3439"/>
    <w:rsid w:val="008373CF"/>
    <w:rsid w:val="008709AA"/>
    <w:rsid w:val="008C3E13"/>
    <w:rsid w:val="00BA16A0"/>
    <w:rsid w:val="00E354F0"/>
    <w:rsid w:val="00EA21F5"/>
    <w:rsid w:val="00FA647E"/>
    <w:rsid w:val="00FD6562"/>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D6CCAFB8-F5BC-475A-A0B0-2E07D848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54F0"/>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E354F0"/>
    <w:pPr>
      <w:tabs>
        <w:tab w:val="center" w:pos="4153"/>
        <w:tab w:val="right" w:pos="8306"/>
      </w:tabs>
    </w:pPr>
  </w:style>
  <w:style w:type="character" w:customStyle="1" w:styleId="a4">
    <w:name w:val="כותרת עליונה תו"/>
    <w:link w:val="a3"/>
    <w:rsid w:val="00E354F0"/>
    <w:rPr>
      <w:rFonts w:ascii="Times New Roman" w:eastAsia="Times New Roman" w:hAnsi="Times New Roman" w:cs="David"/>
      <w:sz w:val="24"/>
      <w:szCs w:val="24"/>
    </w:rPr>
  </w:style>
  <w:style w:type="paragraph" w:styleId="a5">
    <w:name w:val="footer"/>
    <w:basedOn w:val="a"/>
    <w:link w:val="a6"/>
    <w:rsid w:val="00E354F0"/>
    <w:pPr>
      <w:tabs>
        <w:tab w:val="center" w:pos="4153"/>
        <w:tab w:val="right" w:pos="8306"/>
      </w:tabs>
    </w:pPr>
  </w:style>
  <w:style w:type="character" w:customStyle="1" w:styleId="a6">
    <w:name w:val="כותרת תחתונה תו"/>
    <w:link w:val="a5"/>
    <w:rsid w:val="00E354F0"/>
    <w:rPr>
      <w:rFonts w:ascii="Times New Roman" w:eastAsia="Times New Roman" w:hAnsi="Times New Roman" w:cs="David"/>
      <w:sz w:val="24"/>
      <w:szCs w:val="24"/>
    </w:rPr>
  </w:style>
  <w:style w:type="table" w:styleId="a7">
    <w:name w:val="Table Grid"/>
    <w:basedOn w:val="a1"/>
    <w:rsid w:val="00E354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54F0"/>
  </w:style>
  <w:style w:type="character" w:styleId="Hyperlink">
    <w:name w:val="Hyperlink"/>
    <w:basedOn w:val="a0"/>
    <w:rsid w:val="002141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3.a.1" TargetMode="External"/><Relationship Id="rId18" Type="http://schemas.openxmlformats.org/officeDocument/2006/relationships/hyperlink" Target="http://www.nevo.co.il/case/1624610" TargetMode="External"/><Relationship Id="rId26" Type="http://schemas.openxmlformats.org/officeDocument/2006/relationships/hyperlink" Target="http://www.nevo.co.il/case/21475135" TargetMode="External"/><Relationship Id="rId3" Type="http://schemas.openxmlformats.org/officeDocument/2006/relationships/settings" Target="settings.xml"/><Relationship Id="rId21" Type="http://schemas.openxmlformats.org/officeDocument/2006/relationships/hyperlink" Target="http://www.nevo.co.il/case/16969183"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6473037" TargetMode="External"/><Relationship Id="rId25" Type="http://schemas.openxmlformats.org/officeDocument/2006/relationships/hyperlink" Target="http://www.nevo.co.il/case/13015506"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5887664" TargetMode="External"/><Relationship Id="rId20" Type="http://schemas.openxmlformats.org/officeDocument/2006/relationships/hyperlink" Target="http://www.nevo.co.il/case/11358707" TargetMode="External"/><Relationship Id="rId29" Type="http://schemas.openxmlformats.org/officeDocument/2006/relationships/hyperlink" Target="http://www.nevo.co.il/case/77914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5999714"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0745111" TargetMode="External"/><Relationship Id="rId23" Type="http://schemas.openxmlformats.org/officeDocument/2006/relationships/hyperlink" Target="http://www.nevo.co.il/case/21014169" TargetMode="External"/><Relationship Id="rId28" Type="http://schemas.openxmlformats.org/officeDocument/2006/relationships/hyperlink" Target="http://www.nevo.co.il/case/23553050" TargetMode="External"/><Relationship Id="rId36" Type="http://schemas.openxmlformats.org/officeDocument/2006/relationships/theme" Target="theme/theme1.xml"/><Relationship Id="rId10" Type="http://schemas.openxmlformats.org/officeDocument/2006/relationships/hyperlink" Target="http://www.nevo.co.il/law/70301/384" TargetMode="External"/><Relationship Id="rId19" Type="http://schemas.openxmlformats.org/officeDocument/2006/relationships/hyperlink" Target="http://www.nevo.co.il/case/22272975"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83.a.1" TargetMode="External"/><Relationship Id="rId14" Type="http://schemas.openxmlformats.org/officeDocument/2006/relationships/hyperlink" Target="http://www.nevo.co.il/law/70301/384" TargetMode="External"/><Relationship Id="rId22" Type="http://schemas.openxmlformats.org/officeDocument/2006/relationships/hyperlink" Target="http://www.nevo.co.il/case/3924454" TargetMode="External"/><Relationship Id="rId27" Type="http://schemas.openxmlformats.org/officeDocument/2006/relationships/hyperlink" Target="http://www.nevo.co.il/case/22017595"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2365</Words>
  <Characters>11830</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14167</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3735675</vt:i4>
      </vt:variant>
      <vt:variant>
        <vt:i4>66</vt:i4>
      </vt:variant>
      <vt:variant>
        <vt:i4>0</vt:i4>
      </vt:variant>
      <vt:variant>
        <vt:i4>5</vt:i4>
      </vt:variant>
      <vt:variant>
        <vt:lpwstr>http://www.nevo.co.il/case/7791493</vt:lpwstr>
      </vt:variant>
      <vt:variant>
        <vt:lpwstr/>
      </vt:variant>
      <vt:variant>
        <vt:i4>3211378</vt:i4>
      </vt:variant>
      <vt:variant>
        <vt:i4>63</vt:i4>
      </vt:variant>
      <vt:variant>
        <vt:i4>0</vt:i4>
      </vt:variant>
      <vt:variant>
        <vt:i4>5</vt:i4>
      </vt:variant>
      <vt:variant>
        <vt:lpwstr>http://www.nevo.co.il/case/23553050</vt:lpwstr>
      </vt:variant>
      <vt:variant>
        <vt:lpwstr/>
      </vt:variant>
      <vt:variant>
        <vt:i4>3932274</vt:i4>
      </vt:variant>
      <vt:variant>
        <vt:i4>60</vt:i4>
      </vt:variant>
      <vt:variant>
        <vt:i4>0</vt:i4>
      </vt:variant>
      <vt:variant>
        <vt:i4>5</vt:i4>
      </vt:variant>
      <vt:variant>
        <vt:lpwstr>http://www.nevo.co.il/case/22017595</vt:lpwstr>
      </vt:variant>
      <vt:variant>
        <vt:lpwstr/>
      </vt:variant>
      <vt:variant>
        <vt:i4>3145843</vt:i4>
      </vt:variant>
      <vt:variant>
        <vt:i4>57</vt:i4>
      </vt:variant>
      <vt:variant>
        <vt:i4>0</vt:i4>
      </vt:variant>
      <vt:variant>
        <vt:i4>5</vt:i4>
      </vt:variant>
      <vt:variant>
        <vt:lpwstr>http://www.nevo.co.il/case/21475135</vt:lpwstr>
      </vt:variant>
      <vt:variant>
        <vt:lpwstr/>
      </vt:variant>
      <vt:variant>
        <vt:i4>3407987</vt:i4>
      </vt:variant>
      <vt:variant>
        <vt:i4>54</vt:i4>
      </vt:variant>
      <vt:variant>
        <vt:i4>0</vt:i4>
      </vt:variant>
      <vt:variant>
        <vt:i4>5</vt:i4>
      </vt:variant>
      <vt:variant>
        <vt:lpwstr>http://www.nevo.co.il/case/13015506</vt:lpwstr>
      </vt:variant>
      <vt:variant>
        <vt:lpwstr/>
      </vt:variant>
      <vt:variant>
        <vt:i4>4128885</vt:i4>
      </vt:variant>
      <vt:variant>
        <vt:i4>51</vt:i4>
      </vt:variant>
      <vt:variant>
        <vt:i4>0</vt:i4>
      </vt:variant>
      <vt:variant>
        <vt:i4>5</vt:i4>
      </vt:variant>
      <vt:variant>
        <vt:lpwstr>http://www.nevo.co.il/case/5999714</vt:lpwstr>
      </vt:variant>
      <vt:variant>
        <vt:lpwstr/>
      </vt:variant>
      <vt:variant>
        <vt:i4>3145845</vt:i4>
      </vt:variant>
      <vt:variant>
        <vt:i4>48</vt:i4>
      </vt:variant>
      <vt:variant>
        <vt:i4>0</vt:i4>
      </vt:variant>
      <vt:variant>
        <vt:i4>5</vt:i4>
      </vt:variant>
      <vt:variant>
        <vt:lpwstr>http://www.nevo.co.il/case/21014169</vt:lpwstr>
      </vt:variant>
      <vt:variant>
        <vt:lpwstr/>
      </vt:variant>
      <vt:variant>
        <vt:i4>3211388</vt:i4>
      </vt:variant>
      <vt:variant>
        <vt:i4>45</vt:i4>
      </vt:variant>
      <vt:variant>
        <vt:i4>0</vt:i4>
      </vt:variant>
      <vt:variant>
        <vt:i4>5</vt:i4>
      </vt:variant>
      <vt:variant>
        <vt:lpwstr>http://www.nevo.co.il/case/3924454</vt:lpwstr>
      </vt:variant>
      <vt:variant>
        <vt:lpwstr/>
      </vt:variant>
      <vt:variant>
        <vt:i4>3735669</vt:i4>
      </vt:variant>
      <vt:variant>
        <vt:i4>42</vt:i4>
      </vt:variant>
      <vt:variant>
        <vt:i4>0</vt:i4>
      </vt:variant>
      <vt:variant>
        <vt:i4>5</vt:i4>
      </vt:variant>
      <vt:variant>
        <vt:lpwstr>http://www.nevo.co.il/case/16969183</vt:lpwstr>
      </vt:variant>
      <vt:variant>
        <vt:lpwstr/>
      </vt:variant>
      <vt:variant>
        <vt:i4>3801207</vt:i4>
      </vt:variant>
      <vt:variant>
        <vt:i4>39</vt:i4>
      </vt:variant>
      <vt:variant>
        <vt:i4>0</vt:i4>
      </vt:variant>
      <vt:variant>
        <vt:i4>5</vt:i4>
      </vt:variant>
      <vt:variant>
        <vt:lpwstr>http://www.nevo.co.il/case/11358707</vt:lpwstr>
      </vt:variant>
      <vt:variant>
        <vt:lpwstr/>
      </vt:variant>
      <vt:variant>
        <vt:i4>3473528</vt:i4>
      </vt:variant>
      <vt:variant>
        <vt:i4>36</vt:i4>
      </vt:variant>
      <vt:variant>
        <vt:i4>0</vt:i4>
      </vt:variant>
      <vt:variant>
        <vt:i4>5</vt:i4>
      </vt:variant>
      <vt:variant>
        <vt:lpwstr>http://www.nevo.co.il/case/22272975</vt:lpwstr>
      </vt:variant>
      <vt:variant>
        <vt:lpwstr/>
      </vt:variant>
      <vt:variant>
        <vt:i4>3473527</vt:i4>
      </vt:variant>
      <vt:variant>
        <vt:i4>33</vt:i4>
      </vt:variant>
      <vt:variant>
        <vt:i4>0</vt:i4>
      </vt:variant>
      <vt:variant>
        <vt:i4>5</vt:i4>
      </vt:variant>
      <vt:variant>
        <vt:lpwstr>http://www.nevo.co.il/case/1624610</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4128893</vt:i4>
      </vt:variant>
      <vt:variant>
        <vt:i4>27</vt:i4>
      </vt:variant>
      <vt:variant>
        <vt:i4>0</vt:i4>
      </vt:variant>
      <vt:variant>
        <vt:i4>5</vt:i4>
      </vt:variant>
      <vt:variant>
        <vt:lpwstr>http://www.nevo.co.il/case/5887664</vt:lpwstr>
      </vt:variant>
      <vt:variant>
        <vt:lpwstr/>
      </vt:variant>
      <vt:variant>
        <vt:i4>3211377</vt:i4>
      </vt:variant>
      <vt:variant>
        <vt:i4>24</vt:i4>
      </vt:variant>
      <vt:variant>
        <vt:i4>0</vt:i4>
      </vt:variant>
      <vt:variant>
        <vt:i4>5</vt:i4>
      </vt:variant>
      <vt:variant>
        <vt:lpwstr>http://www.nevo.co.il/case/20745111</vt:lpwstr>
      </vt:variant>
      <vt:variant>
        <vt:lpwstr/>
      </vt:variant>
      <vt:variant>
        <vt:i4>7143526</vt:i4>
      </vt:variant>
      <vt:variant>
        <vt:i4>21</vt:i4>
      </vt:variant>
      <vt:variant>
        <vt:i4>0</vt:i4>
      </vt:variant>
      <vt:variant>
        <vt:i4>5</vt:i4>
      </vt:variant>
      <vt:variant>
        <vt:lpwstr>http://www.nevo.co.il/law/70301/384</vt:lpwstr>
      </vt:variant>
      <vt:variant>
        <vt:lpwstr/>
      </vt:variant>
      <vt:variant>
        <vt:i4>7143476</vt:i4>
      </vt:variant>
      <vt:variant>
        <vt:i4>18</vt:i4>
      </vt:variant>
      <vt:variant>
        <vt:i4>0</vt:i4>
      </vt:variant>
      <vt:variant>
        <vt:i4>5</vt:i4>
      </vt:variant>
      <vt:variant>
        <vt:lpwstr>http://www.nevo.co.il/law/70301/383.a.1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7143476</vt:i4>
      </vt:variant>
      <vt:variant>
        <vt:i4>6</vt:i4>
      </vt:variant>
      <vt:variant>
        <vt:i4>0</vt:i4>
      </vt:variant>
      <vt:variant>
        <vt:i4>5</vt:i4>
      </vt:variant>
      <vt:variant>
        <vt:lpwstr>http://www.nevo.co.il/law/70301/383.a.1</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2023-12-07T11:50:00Z</dcterms:created>
  <dcterms:modified xsi:type="dcterms:W3CDTF">2023-12-07T11:50:00Z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49772</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יעקב אראמי </vt:lpwstr>
  </property>
  <property fmtid="{D5CDD505-2E9C-101B-9397-08002B2CF9AE}" pid="10" name="JUDGE">
    <vt:lpwstr>דרור קלייטמן</vt:lpwstr>
  </property>
  <property fmtid="{D5CDD505-2E9C-101B-9397-08002B2CF9AE}" pid="11" name="CITY">
    <vt:lpwstr>כ"ס</vt:lpwstr>
  </property>
  <property fmtid="{D5CDD505-2E9C-101B-9397-08002B2CF9AE}" pid="12" name="DATE">
    <vt:lpwstr>20180321</vt:lpwstr>
  </property>
  <property fmtid="{D5CDD505-2E9C-101B-9397-08002B2CF9AE}" pid="13" name="TYPE_N_DATE">
    <vt:lpwstr>38020180321</vt:lpwstr>
  </property>
  <property fmtid="{D5CDD505-2E9C-101B-9397-08002B2CF9AE}" pid="14" name="CASESLISTTMP1">
    <vt:lpwstr>20745111;5887664;6473037;1624610;22272975;11358707;16969183;3924454;21014169;5999714;13015506;21475135;22017595;23553050;7791493</vt:lpwstr>
  </property>
  <property fmtid="{D5CDD505-2E9C-101B-9397-08002B2CF9AE}" pid="15" name="CASENOTES1">
    <vt:lpwstr>ProcID=174;133;209&amp;PartA=2718&amp;PartC=05</vt:lpwstr>
  </property>
  <property fmtid="{D5CDD505-2E9C-101B-9397-08002B2CF9AE}" pid="16" name="WORDNUMPAGES">
    <vt:lpwstr>9</vt:lpwstr>
  </property>
  <property fmtid="{D5CDD505-2E9C-101B-9397-08002B2CF9AE}" pid="17" name="TYPE_ABS_DATE">
    <vt:lpwstr>380020180321</vt:lpwstr>
  </property>
  <property fmtid="{D5CDD505-2E9C-101B-9397-08002B2CF9AE}" pid="18" name="LAWYER">
    <vt:lpwstr>נעמי מששה;דוד אריכא</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70301/144.a;383.a.1;384</vt:lpwstr>
  </property>
</Properties>
</file>