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4"/>
        <w:gridCol w:w="3667"/>
      </w:tblGrid>
      <w:tr w:rsidR="00731CC2" w:rsidRPr="00D93175" w14:paraId="1629B499" w14:textId="77777777" w:rsidTr="00271CE5">
        <w:trPr>
          <w:trHeight w:hRule="exact" w:val="711"/>
          <w:jc w:val="center"/>
        </w:trPr>
        <w:tc>
          <w:tcPr>
            <w:tcW w:w="8721" w:type="dxa"/>
            <w:gridSpan w:val="2"/>
          </w:tcPr>
          <w:p w14:paraId="65285948" w14:textId="77777777" w:rsidR="00731CC2" w:rsidRPr="00D93175" w:rsidRDefault="00731CC2" w:rsidP="0025643D">
            <w:pPr>
              <w:pStyle w:val="a3"/>
              <w:jc w:val="center"/>
              <w:rPr>
                <w:rFonts w:ascii="Tahoma" w:hAnsi="Tahoma" w:cs="Tahoma"/>
                <w:b/>
                <w:bCs/>
                <w:color w:val="000080"/>
                <w:rtl/>
              </w:rPr>
            </w:pPr>
            <w:bookmarkStart w:id="0" w:name="LastJudge"/>
            <w:r w:rsidRPr="00D93175">
              <w:rPr>
                <w:rFonts w:ascii="Tahoma" w:hAnsi="Tahoma" w:cs="Tahoma"/>
                <w:b/>
                <w:bCs/>
                <w:color w:val="000080"/>
                <w:rtl/>
              </w:rPr>
              <w:t>בית המשפט המחוזי בירושלים</w:t>
            </w:r>
          </w:p>
          <w:p w14:paraId="57F61252" w14:textId="77777777" w:rsidR="00731CC2" w:rsidRPr="00D93175" w:rsidRDefault="00731CC2" w:rsidP="0025643D">
            <w:pPr>
              <w:pStyle w:val="a3"/>
              <w:jc w:val="center"/>
              <w:rPr>
                <w:rFonts w:ascii="Tahoma" w:hAnsi="Tahoma" w:cs="Tahoma"/>
                <w:b/>
                <w:bCs/>
                <w:color w:val="000080"/>
                <w:rtl/>
              </w:rPr>
            </w:pPr>
            <w:r w:rsidRPr="00D93175">
              <w:rPr>
                <w:rFonts w:ascii="Tahoma" w:hAnsi="Tahoma" w:cs="Tahoma" w:hint="cs"/>
                <w:b/>
                <w:bCs/>
                <w:color w:val="000080"/>
                <w:rtl/>
              </w:rPr>
              <w:t>לפני כבוד השופט אברהם רובין</w:t>
            </w:r>
          </w:p>
        </w:tc>
      </w:tr>
      <w:tr w:rsidR="00731CC2" w:rsidRPr="00D93175" w14:paraId="02451376" w14:textId="77777777" w:rsidTr="00271CE5">
        <w:trPr>
          <w:trHeight w:val="337"/>
          <w:jc w:val="center"/>
        </w:trPr>
        <w:tc>
          <w:tcPr>
            <w:tcW w:w="5054" w:type="dxa"/>
          </w:tcPr>
          <w:p w14:paraId="59021F22" w14:textId="77777777" w:rsidR="00731CC2" w:rsidRPr="00D93175" w:rsidRDefault="00731CC2" w:rsidP="0025643D">
            <w:pPr>
              <w:rPr>
                <w:rFonts w:cs="FrankRuehl"/>
                <w:sz w:val="28"/>
                <w:szCs w:val="28"/>
                <w:rtl/>
              </w:rPr>
            </w:pPr>
            <w:r w:rsidRPr="00D93175">
              <w:rPr>
                <w:rFonts w:cs="FrankRuehl"/>
                <w:sz w:val="28"/>
                <w:szCs w:val="28"/>
                <w:rtl/>
              </w:rPr>
              <w:t>ת"פ</w:t>
            </w:r>
            <w:r w:rsidRPr="00D93175">
              <w:rPr>
                <w:rFonts w:cs="FrankRuehl" w:hint="cs"/>
                <w:sz w:val="28"/>
                <w:szCs w:val="28"/>
                <w:rtl/>
              </w:rPr>
              <w:t xml:space="preserve"> </w:t>
            </w:r>
            <w:r w:rsidRPr="00D93175">
              <w:rPr>
                <w:rFonts w:cs="FrankRuehl"/>
                <w:sz w:val="28"/>
                <w:szCs w:val="28"/>
                <w:rtl/>
              </w:rPr>
              <w:t>11104-07-19</w:t>
            </w:r>
            <w:r w:rsidRPr="00D93175">
              <w:rPr>
                <w:rFonts w:cs="FrankRuehl" w:hint="cs"/>
                <w:sz w:val="28"/>
                <w:szCs w:val="28"/>
                <w:rtl/>
              </w:rPr>
              <w:t xml:space="preserve"> </w:t>
            </w:r>
            <w:r w:rsidRPr="00D93175">
              <w:rPr>
                <w:rFonts w:cs="FrankRuehl"/>
                <w:sz w:val="28"/>
                <w:szCs w:val="28"/>
                <w:rtl/>
              </w:rPr>
              <w:t>מדינת ישראל נ' עווידה</w:t>
            </w:r>
          </w:p>
          <w:p w14:paraId="4171351E" w14:textId="77777777" w:rsidR="00731CC2" w:rsidRPr="00D93175" w:rsidRDefault="00731CC2" w:rsidP="0025643D">
            <w:pPr>
              <w:pStyle w:val="a3"/>
              <w:rPr>
                <w:rFonts w:cs="FrankRuehl"/>
                <w:sz w:val="28"/>
                <w:szCs w:val="28"/>
                <w:rtl/>
              </w:rPr>
            </w:pPr>
          </w:p>
        </w:tc>
        <w:tc>
          <w:tcPr>
            <w:tcW w:w="3667" w:type="dxa"/>
          </w:tcPr>
          <w:p w14:paraId="2F0F8A9A" w14:textId="77777777" w:rsidR="00731CC2" w:rsidRPr="00D93175" w:rsidRDefault="00731CC2" w:rsidP="0025643D">
            <w:pPr>
              <w:pStyle w:val="a3"/>
              <w:jc w:val="right"/>
              <w:rPr>
                <w:rFonts w:cs="FrankRuehl"/>
                <w:sz w:val="28"/>
                <w:szCs w:val="28"/>
                <w:rtl/>
              </w:rPr>
            </w:pPr>
          </w:p>
        </w:tc>
      </w:tr>
    </w:tbl>
    <w:p w14:paraId="2F083D5B" w14:textId="77777777" w:rsidR="00731CC2" w:rsidRPr="00D93175" w:rsidRDefault="00731CC2" w:rsidP="00731CC2">
      <w:pPr>
        <w:pStyle w:val="a3"/>
        <w:rPr>
          <w:rtl/>
        </w:rPr>
      </w:pPr>
      <w:r w:rsidRPr="00D93175">
        <w:rPr>
          <w:rFonts w:hint="cs"/>
          <w:rtl/>
        </w:rPr>
        <w:t xml:space="preserve"> </w:t>
      </w:r>
    </w:p>
    <w:p w14:paraId="6A269B55" w14:textId="77777777" w:rsidR="00731CC2" w:rsidRPr="00D93175" w:rsidRDefault="00731CC2" w:rsidP="00731CC2">
      <w:pPr>
        <w:rPr>
          <w:sz w:val="28"/>
          <w:szCs w:val="28"/>
          <w:rtl/>
        </w:rPr>
      </w:pPr>
    </w:p>
    <w:p w14:paraId="66220376" w14:textId="77777777" w:rsidR="00731CC2" w:rsidRPr="00D93175" w:rsidRDefault="00731CC2" w:rsidP="00731CC2">
      <w:pPr>
        <w:rPr>
          <w:sz w:val="28"/>
          <w:szCs w:val="28"/>
          <w:rtl/>
        </w:rPr>
      </w:pPr>
    </w:p>
    <w:tbl>
      <w:tblPr>
        <w:bidiVisual/>
        <w:tblW w:w="81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
        <w:gridCol w:w="4256"/>
        <w:gridCol w:w="2956"/>
      </w:tblGrid>
      <w:tr w:rsidR="00731CC2" w:rsidRPr="00D93175" w14:paraId="644ED8B1" w14:textId="77777777" w:rsidTr="00731CC2">
        <w:trPr>
          <w:trHeight w:val="295"/>
          <w:jc w:val="center"/>
        </w:trPr>
        <w:tc>
          <w:tcPr>
            <w:tcW w:w="871" w:type="dxa"/>
            <w:tcBorders>
              <w:top w:val="nil"/>
              <w:left w:val="nil"/>
              <w:bottom w:val="nil"/>
              <w:right w:val="nil"/>
            </w:tcBorders>
            <w:shd w:val="clear" w:color="auto" w:fill="auto"/>
          </w:tcPr>
          <w:p w14:paraId="41EBC22C" w14:textId="77777777" w:rsidR="00731CC2" w:rsidRPr="00D93175" w:rsidRDefault="00731CC2" w:rsidP="00731CC2">
            <w:pPr>
              <w:jc w:val="both"/>
              <w:rPr>
                <w:rFonts w:ascii="David" w:hAnsi="David"/>
                <w:sz w:val="28"/>
                <w:szCs w:val="28"/>
              </w:rPr>
            </w:pPr>
          </w:p>
        </w:tc>
        <w:tc>
          <w:tcPr>
            <w:tcW w:w="7262" w:type="dxa"/>
            <w:gridSpan w:val="2"/>
            <w:tcBorders>
              <w:top w:val="nil"/>
              <w:left w:val="nil"/>
              <w:bottom w:val="nil"/>
              <w:right w:val="nil"/>
            </w:tcBorders>
            <w:shd w:val="clear" w:color="auto" w:fill="auto"/>
          </w:tcPr>
          <w:p w14:paraId="0C84F8F0" w14:textId="77777777" w:rsidR="00731CC2" w:rsidRPr="00D93175" w:rsidRDefault="00731CC2" w:rsidP="00731CC2">
            <w:pPr>
              <w:jc w:val="both"/>
              <w:rPr>
                <w:rFonts w:ascii="David" w:hAnsi="David"/>
                <w:sz w:val="28"/>
                <w:szCs w:val="28"/>
              </w:rPr>
            </w:pPr>
          </w:p>
        </w:tc>
      </w:tr>
      <w:tr w:rsidR="00731CC2" w:rsidRPr="00D93175" w14:paraId="6BEAF81E" w14:textId="77777777" w:rsidTr="00731CC2">
        <w:trPr>
          <w:trHeight w:val="355"/>
          <w:jc w:val="center"/>
        </w:trPr>
        <w:tc>
          <w:tcPr>
            <w:tcW w:w="871" w:type="dxa"/>
            <w:tcBorders>
              <w:top w:val="nil"/>
              <w:left w:val="nil"/>
              <w:bottom w:val="nil"/>
              <w:right w:val="nil"/>
            </w:tcBorders>
            <w:shd w:val="clear" w:color="auto" w:fill="auto"/>
          </w:tcPr>
          <w:p w14:paraId="3FDBDF68" w14:textId="77777777" w:rsidR="00731CC2" w:rsidRPr="00D93175" w:rsidRDefault="00731CC2" w:rsidP="00731CC2">
            <w:pPr>
              <w:jc w:val="both"/>
              <w:rPr>
                <w:rFonts w:ascii="David" w:hAnsi="David"/>
                <w:sz w:val="28"/>
                <w:szCs w:val="28"/>
              </w:rPr>
            </w:pPr>
            <w:bookmarkStart w:id="1" w:name="FirstAppellant"/>
            <w:r w:rsidRPr="00D93175">
              <w:rPr>
                <w:rFonts w:ascii="David" w:hAnsi="David"/>
                <w:sz w:val="28"/>
                <w:szCs w:val="28"/>
                <w:rtl/>
              </w:rPr>
              <w:t>בעניין:</w:t>
            </w:r>
          </w:p>
        </w:tc>
        <w:tc>
          <w:tcPr>
            <w:tcW w:w="4287" w:type="dxa"/>
            <w:tcBorders>
              <w:top w:val="nil"/>
              <w:left w:val="nil"/>
              <w:bottom w:val="nil"/>
              <w:right w:val="nil"/>
            </w:tcBorders>
            <w:shd w:val="clear" w:color="auto" w:fill="auto"/>
          </w:tcPr>
          <w:p w14:paraId="71168234" w14:textId="77777777" w:rsidR="00731CC2" w:rsidRPr="00D93175" w:rsidRDefault="00731CC2" w:rsidP="0025643D">
            <w:pPr>
              <w:rPr>
                <w:rFonts w:ascii="David" w:hAnsi="David"/>
                <w:b/>
                <w:bCs/>
                <w:sz w:val="28"/>
                <w:szCs w:val="28"/>
              </w:rPr>
            </w:pPr>
            <w:r w:rsidRPr="00D93175">
              <w:rPr>
                <w:rFonts w:ascii="David" w:hAnsi="David"/>
                <w:b/>
                <w:bCs/>
                <w:sz w:val="28"/>
                <w:szCs w:val="28"/>
                <w:rtl/>
              </w:rPr>
              <w:t>מדינת ישראל</w:t>
            </w:r>
          </w:p>
        </w:tc>
        <w:tc>
          <w:tcPr>
            <w:tcW w:w="2975" w:type="dxa"/>
            <w:tcBorders>
              <w:top w:val="nil"/>
              <w:left w:val="nil"/>
              <w:bottom w:val="nil"/>
              <w:right w:val="nil"/>
            </w:tcBorders>
            <w:shd w:val="clear" w:color="auto" w:fill="auto"/>
          </w:tcPr>
          <w:p w14:paraId="078DF48A" w14:textId="77777777" w:rsidR="00731CC2" w:rsidRPr="00D93175" w:rsidRDefault="00731CC2" w:rsidP="00731CC2">
            <w:pPr>
              <w:jc w:val="both"/>
              <w:rPr>
                <w:rFonts w:ascii="David" w:hAnsi="David"/>
                <w:b/>
                <w:bCs/>
                <w:sz w:val="28"/>
                <w:szCs w:val="28"/>
              </w:rPr>
            </w:pPr>
          </w:p>
        </w:tc>
      </w:tr>
      <w:bookmarkEnd w:id="1"/>
      <w:tr w:rsidR="00731CC2" w:rsidRPr="00D93175" w14:paraId="1F6B0C6C" w14:textId="77777777" w:rsidTr="00731CC2">
        <w:trPr>
          <w:trHeight w:val="355"/>
          <w:jc w:val="center"/>
        </w:trPr>
        <w:tc>
          <w:tcPr>
            <w:tcW w:w="871" w:type="dxa"/>
            <w:tcBorders>
              <w:top w:val="nil"/>
              <w:left w:val="nil"/>
              <w:bottom w:val="nil"/>
              <w:right w:val="nil"/>
            </w:tcBorders>
            <w:shd w:val="clear" w:color="auto" w:fill="auto"/>
          </w:tcPr>
          <w:p w14:paraId="303D9AA0" w14:textId="77777777" w:rsidR="00731CC2" w:rsidRPr="00D93175" w:rsidRDefault="00731CC2" w:rsidP="00731CC2">
            <w:pPr>
              <w:jc w:val="both"/>
              <w:rPr>
                <w:rFonts w:ascii="David" w:hAnsi="David"/>
                <w:sz w:val="28"/>
                <w:szCs w:val="28"/>
                <w:rtl/>
              </w:rPr>
            </w:pPr>
          </w:p>
        </w:tc>
        <w:tc>
          <w:tcPr>
            <w:tcW w:w="4287" w:type="dxa"/>
            <w:tcBorders>
              <w:top w:val="nil"/>
              <w:left w:val="nil"/>
              <w:bottom w:val="nil"/>
              <w:right w:val="nil"/>
            </w:tcBorders>
            <w:shd w:val="clear" w:color="auto" w:fill="auto"/>
          </w:tcPr>
          <w:p w14:paraId="4661AC30" w14:textId="77777777" w:rsidR="00731CC2" w:rsidRPr="00D93175" w:rsidRDefault="00731CC2" w:rsidP="00731CC2">
            <w:pPr>
              <w:jc w:val="both"/>
              <w:rPr>
                <w:rFonts w:ascii="David" w:hAnsi="David"/>
                <w:b/>
                <w:bCs/>
                <w:sz w:val="28"/>
                <w:szCs w:val="28"/>
                <w:rtl/>
              </w:rPr>
            </w:pPr>
          </w:p>
        </w:tc>
        <w:tc>
          <w:tcPr>
            <w:tcW w:w="2975" w:type="dxa"/>
            <w:tcBorders>
              <w:top w:val="nil"/>
              <w:left w:val="nil"/>
              <w:bottom w:val="nil"/>
              <w:right w:val="nil"/>
            </w:tcBorders>
            <w:shd w:val="clear" w:color="auto" w:fill="auto"/>
          </w:tcPr>
          <w:p w14:paraId="2C1792E4" w14:textId="77777777" w:rsidR="00731CC2" w:rsidRPr="00D93175" w:rsidRDefault="00731CC2" w:rsidP="00731CC2">
            <w:pPr>
              <w:jc w:val="right"/>
              <w:rPr>
                <w:rFonts w:ascii="David" w:hAnsi="David"/>
                <w:b/>
                <w:bCs/>
                <w:sz w:val="28"/>
                <w:szCs w:val="28"/>
                <w:rtl/>
              </w:rPr>
            </w:pPr>
            <w:r w:rsidRPr="00D93175">
              <w:rPr>
                <w:rFonts w:ascii="David" w:hAnsi="David"/>
                <w:b/>
                <w:bCs/>
                <w:sz w:val="28"/>
                <w:szCs w:val="28"/>
                <w:rtl/>
              </w:rPr>
              <w:t>המאשימה</w:t>
            </w:r>
          </w:p>
        </w:tc>
      </w:tr>
      <w:tr w:rsidR="00731CC2" w:rsidRPr="00D93175" w14:paraId="2F9AE250" w14:textId="77777777" w:rsidTr="00731CC2">
        <w:trPr>
          <w:trHeight w:val="355"/>
          <w:jc w:val="center"/>
        </w:trPr>
        <w:tc>
          <w:tcPr>
            <w:tcW w:w="871" w:type="dxa"/>
            <w:tcBorders>
              <w:top w:val="nil"/>
              <w:left w:val="nil"/>
              <w:bottom w:val="nil"/>
              <w:right w:val="nil"/>
            </w:tcBorders>
            <w:shd w:val="clear" w:color="auto" w:fill="auto"/>
          </w:tcPr>
          <w:p w14:paraId="68C84BAC" w14:textId="77777777" w:rsidR="00731CC2" w:rsidRPr="00D93175" w:rsidRDefault="00731CC2" w:rsidP="00731CC2">
            <w:pPr>
              <w:jc w:val="both"/>
              <w:rPr>
                <w:rFonts w:ascii="David" w:hAnsi="David"/>
                <w:sz w:val="28"/>
                <w:szCs w:val="28"/>
                <w:rtl/>
              </w:rPr>
            </w:pPr>
          </w:p>
        </w:tc>
        <w:tc>
          <w:tcPr>
            <w:tcW w:w="7262" w:type="dxa"/>
            <w:gridSpan w:val="2"/>
            <w:tcBorders>
              <w:top w:val="nil"/>
              <w:left w:val="nil"/>
              <w:bottom w:val="nil"/>
              <w:right w:val="nil"/>
            </w:tcBorders>
            <w:shd w:val="clear" w:color="auto" w:fill="auto"/>
          </w:tcPr>
          <w:p w14:paraId="670BE76A" w14:textId="77777777" w:rsidR="00731CC2" w:rsidRPr="00D93175" w:rsidRDefault="00731CC2" w:rsidP="00731CC2">
            <w:pPr>
              <w:jc w:val="center"/>
              <w:rPr>
                <w:rFonts w:ascii="David" w:hAnsi="David"/>
                <w:b/>
                <w:bCs/>
                <w:sz w:val="28"/>
                <w:szCs w:val="28"/>
                <w:rtl/>
              </w:rPr>
            </w:pPr>
          </w:p>
          <w:p w14:paraId="4EB9B6DB" w14:textId="77777777" w:rsidR="00731CC2" w:rsidRPr="00D93175" w:rsidRDefault="00731CC2" w:rsidP="0025643D">
            <w:pPr>
              <w:rPr>
                <w:rFonts w:ascii="David" w:hAnsi="David"/>
                <w:b/>
                <w:bCs/>
                <w:sz w:val="28"/>
                <w:szCs w:val="28"/>
                <w:rtl/>
              </w:rPr>
            </w:pPr>
            <w:r w:rsidRPr="00D93175">
              <w:rPr>
                <w:rFonts w:ascii="David" w:hAnsi="David" w:hint="cs"/>
                <w:b/>
                <w:bCs/>
                <w:sz w:val="28"/>
                <w:szCs w:val="28"/>
                <w:rtl/>
              </w:rPr>
              <w:t xml:space="preserve">         </w:t>
            </w:r>
            <w:r w:rsidRPr="00D93175">
              <w:rPr>
                <w:rFonts w:ascii="David" w:hAnsi="David"/>
                <w:b/>
                <w:bCs/>
                <w:sz w:val="28"/>
                <w:szCs w:val="28"/>
                <w:rtl/>
              </w:rPr>
              <w:t>נגד</w:t>
            </w:r>
          </w:p>
          <w:p w14:paraId="45A8D83C" w14:textId="77777777" w:rsidR="00731CC2" w:rsidRPr="00D93175" w:rsidRDefault="00731CC2" w:rsidP="0025643D">
            <w:pPr>
              <w:rPr>
                <w:rFonts w:ascii="David" w:hAnsi="David"/>
                <w:b/>
                <w:bCs/>
                <w:sz w:val="28"/>
                <w:szCs w:val="28"/>
                <w:rtl/>
              </w:rPr>
            </w:pPr>
          </w:p>
          <w:p w14:paraId="797C461E" w14:textId="77777777" w:rsidR="00731CC2" w:rsidRPr="00D93175" w:rsidRDefault="00731CC2" w:rsidP="00731CC2">
            <w:pPr>
              <w:jc w:val="both"/>
              <w:rPr>
                <w:rFonts w:ascii="David" w:hAnsi="David"/>
                <w:sz w:val="28"/>
                <w:szCs w:val="28"/>
              </w:rPr>
            </w:pPr>
          </w:p>
        </w:tc>
      </w:tr>
      <w:tr w:rsidR="00731CC2" w:rsidRPr="00D93175" w14:paraId="44B2A2CA" w14:textId="77777777" w:rsidTr="00731CC2">
        <w:trPr>
          <w:trHeight w:val="355"/>
          <w:jc w:val="center"/>
        </w:trPr>
        <w:tc>
          <w:tcPr>
            <w:tcW w:w="871" w:type="dxa"/>
            <w:tcBorders>
              <w:top w:val="nil"/>
              <w:left w:val="nil"/>
              <w:bottom w:val="nil"/>
              <w:right w:val="nil"/>
            </w:tcBorders>
            <w:shd w:val="clear" w:color="auto" w:fill="auto"/>
          </w:tcPr>
          <w:p w14:paraId="63E8E2D0" w14:textId="77777777" w:rsidR="00731CC2" w:rsidRPr="00D93175" w:rsidRDefault="00731CC2" w:rsidP="0025643D">
            <w:pPr>
              <w:rPr>
                <w:rFonts w:ascii="David" w:hAnsi="David"/>
                <w:sz w:val="28"/>
                <w:szCs w:val="28"/>
                <w:rtl/>
              </w:rPr>
            </w:pPr>
          </w:p>
        </w:tc>
        <w:tc>
          <w:tcPr>
            <w:tcW w:w="4287" w:type="dxa"/>
            <w:tcBorders>
              <w:top w:val="nil"/>
              <w:left w:val="nil"/>
              <w:bottom w:val="nil"/>
              <w:right w:val="nil"/>
            </w:tcBorders>
            <w:shd w:val="clear" w:color="auto" w:fill="auto"/>
          </w:tcPr>
          <w:p w14:paraId="785237E6" w14:textId="77777777" w:rsidR="00731CC2" w:rsidRPr="00D93175" w:rsidRDefault="00731CC2" w:rsidP="0025643D">
            <w:pPr>
              <w:rPr>
                <w:rFonts w:ascii="David" w:hAnsi="David"/>
                <w:b/>
                <w:bCs/>
                <w:sz w:val="28"/>
                <w:szCs w:val="28"/>
                <w:rtl/>
              </w:rPr>
            </w:pPr>
            <w:r w:rsidRPr="00D93175">
              <w:rPr>
                <w:rFonts w:ascii="David" w:hAnsi="David"/>
                <w:b/>
                <w:bCs/>
                <w:sz w:val="28"/>
                <w:szCs w:val="28"/>
                <w:rtl/>
              </w:rPr>
              <w:t>ווגדי עווידה</w:t>
            </w:r>
            <w:r w:rsidRPr="00D93175">
              <w:rPr>
                <w:rFonts w:ascii="David" w:hAnsi="David" w:hint="cs"/>
                <w:b/>
                <w:bCs/>
                <w:sz w:val="28"/>
                <w:szCs w:val="28"/>
                <w:rtl/>
              </w:rPr>
              <w:t xml:space="preserve"> ת.ז. </w:t>
            </w:r>
            <w:r w:rsidR="00D93175">
              <w:rPr>
                <w:rFonts w:ascii="David" w:hAnsi="David"/>
                <w:b/>
                <w:bCs/>
                <w:sz w:val="28"/>
                <w:szCs w:val="28"/>
              </w:rPr>
              <w:t>xxxxxxxxx</w:t>
            </w:r>
          </w:p>
          <w:p w14:paraId="053779CE" w14:textId="77777777" w:rsidR="00731CC2" w:rsidRPr="00D93175" w:rsidRDefault="00731CC2" w:rsidP="0025643D">
            <w:pPr>
              <w:rPr>
                <w:rFonts w:ascii="David" w:hAnsi="David"/>
                <w:b/>
                <w:bCs/>
                <w:sz w:val="28"/>
                <w:szCs w:val="28"/>
                <w:rtl/>
              </w:rPr>
            </w:pPr>
          </w:p>
        </w:tc>
        <w:tc>
          <w:tcPr>
            <w:tcW w:w="2975" w:type="dxa"/>
            <w:tcBorders>
              <w:top w:val="nil"/>
              <w:left w:val="nil"/>
              <w:bottom w:val="nil"/>
              <w:right w:val="nil"/>
            </w:tcBorders>
            <w:shd w:val="clear" w:color="auto" w:fill="auto"/>
          </w:tcPr>
          <w:p w14:paraId="3C488211" w14:textId="77777777" w:rsidR="00731CC2" w:rsidRPr="00D93175" w:rsidRDefault="00731CC2" w:rsidP="00731CC2">
            <w:pPr>
              <w:jc w:val="right"/>
              <w:rPr>
                <w:rFonts w:ascii="David" w:hAnsi="David"/>
                <w:b/>
                <w:bCs/>
                <w:sz w:val="28"/>
                <w:szCs w:val="28"/>
              </w:rPr>
            </w:pPr>
          </w:p>
        </w:tc>
      </w:tr>
      <w:tr w:rsidR="00731CC2" w:rsidRPr="00D93175" w14:paraId="6C49AE9D" w14:textId="77777777" w:rsidTr="00731CC2">
        <w:trPr>
          <w:trHeight w:val="355"/>
          <w:jc w:val="center"/>
        </w:trPr>
        <w:tc>
          <w:tcPr>
            <w:tcW w:w="871" w:type="dxa"/>
            <w:tcBorders>
              <w:top w:val="nil"/>
              <w:left w:val="nil"/>
              <w:bottom w:val="nil"/>
              <w:right w:val="nil"/>
            </w:tcBorders>
            <w:shd w:val="clear" w:color="auto" w:fill="auto"/>
          </w:tcPr>
          <w:p w14:paraId="141BE658" w14:textId="77777777" w:rsidR="00731CC2" w:rsidRPr="00D93175" w:rsidRDefault="00731CC2" w:rsidP="00731CC2">
            <w:pPr>
              <w:jc w:val="both"/>
              <w:rPr>
                <w:rFonts w:ascii="David" w:hAnsi="David"/>
                <w:sz w:val="28"/>
                <w:szCs w:val="28"/>
                <w:rtl/>
              </w:rPr>
            </w:pPr>
          </w:p>
        </w:tc>
        <w:tc>
          <w:tcPr>
            <w:tcW w:w="4287" w:type="dxa"/>
            <w:tcBorders>
              <w:top w:val="nil"/>
              <w:left w:val="nil"/>
              <w:bottom w:val="nil"/>
              <w:right w:val="nil"/>
            </w:tcBorders>
            <w:shd w:val="clear" w:color="auto" w:fill="auto"/>
          </w:tcPr>
          <w:p w14:paraId="0D6071F9" w14:textId="77777777" w:rsidR="00731CC2" w:rsidRPr="00D93175" w:rsidRDefault="00731CC2" w:rsidP="00731CC2">
            <w:pPr>
              <w:jc w:val="both"/>
              <w:rPr>
                <w:rFonts w:ascii="David" w:hAnsi="David"/>
                <w:b/>
                <w:bCs/>
                <w:sz w:val="28"/>
                <w:szCs w:val="28"/>
                <w:rtl/>
              </w:rPr>
            </w:pPr>
          </w:p>
        </w:tc>
        <w:tc>
          <w:tcPr>
            <w:tcW w:w="2975" w:type="dxa"/>
            <w:tcBorders>
              <w:top w:val="nil"/>
              <w:left w:val="nil"/>
              <w:bottom w:val="nil"/>
              <w:right w:val="nil"/>
            </w:tcBorders>
            <w:shd w:val="clear" w:color="auto" w:fill="auto"/>
          </w:tcPr>
          <w:p w14:paraId="4801132E" w14:textId="77777777" w:rsidR="00731CC2" w:rsidRPr="00D93175" w:rsidRDefault="00731CC2" w:rsidP="00731CC2">
            <w:pPr>
              <w:jc w:val="right"/>
              <w:rPr>
                <w:rFonts w:ascii="David" w:hAnsi="David"/>
                <w:b/>
                <w:bCs/>
                <w:sz w:val="28"/>
                <w:szCs w:val="28"/>
              </w:rPr>
            </w:pPr>
            <w:r w:rsidRPr="00D93175">
              <w:rPr>
                <w:rFonts w:ascii="David" w:hAnsi="David"/>
                <w:b/>
                <w:bCs/>
                <w:sz w:val="28"/>
                <w:szCs w:val="28"/>
                <w:rtl/>
              </w:rPr>
              <w:t>הנאשם</w:t>
            </w:r>
          </w:p>
        </w:tc>
      </w:tr>
    </w:tbl>
    <w:p w14:paraId="61BCB43F" w14:textId="77777777" w:rsidR="00731CC2" w:rsidRPr="00D93175" w:rsidRDefault="00731CC2" w:rsidP="00731CC2">
      <w:pPr>
        <w:rPr>
          <w:sz w:val="28"/>
          <w:szCs w:val="28"/>
          <w:rtl/>
        </w:rPr>
      </w:pPr>
    </w:p>
    <w:p w14:paraId="1F5BAE6E" w14:textId="77777777" w:rsidR="00271CE5" w:rsidRDefault="00271CE5" w:rsidP="00731CC2">
      <w:pPr>
        <w:rPr>
          <w:rtl/>
        </w:rPr>
      </w:pPr>
    </w:p>
    <w:p w14:paraId="1B3F67C3" w14:textId="77777777" w:rsidR="00271CE5" w:rsidRPr="00271CE5" w:rsidRDefault="00271CE5" w:rsidP="00271CE5">
      <w:pPr>
        <w:spacing w:after="120" w:line="240" w:lineRule="exact"/>
        <w:ind w:left="283" w:hanging="283"/>
        <w:jc w:val="both"/>
        <w:rPr>
          <w:rFonts w:ascii="FrankRuehl" w:hAnsi="FrankRuehl" w:cs="FrankRuehl"/>
          <w:rtl/>
        </w:rPr>
      </w:pPr>
    </w:p>
    <w:p w14:paraId="6A7C6759" w14:textId="77777777" w:rsidR="008700BC" w:rsidRDefault="008700BC" w:rsidP="008700BC">
      <w:pPr>
        <w:rPr>
          <w:rFonts w:ascii="Arial" w:hAnsi="Arial"/>
          <w:rtl/>
        </w:rPr>
      </w:pPr>
      <w:bookmarkStart w:id="2" w:name="LawTable"/>
      <w:bookmarkEnd w:id="2"/>
    </w:p>
    <w:p w14:paraId="4195B46C" w14:textId="77777777" w:rsidR="008700BC" w:rsidRPr="008700BC" w:rsidRDefault="008700BC" w:rsidP="008700BC">
      <w:pPr>
        <w:spacing w:before="120" w:after="120" w:line="240" w:lineRule="exact"/>
        <w:ind w:left="283" w:hanging="283"/>
        <w:jc w:val="both"/>
        <w:rPr>
          <w:rFonts w:ascii="FrankRuehl" w:hAnsi="FrankRuehl" w:cs="FrankRuehl"/>
          <w:rtl/>
        </w:rPr>
      </w:pPr>
    </w:p>
    <w:p w14:paraId="27376D13" w14:textId="77777777" w:rsidR="008700BC" w:rsidRPr="008700BC" w:rsidRDefault="008700BC" w:rsidP="008700BC">
      <w:pPr>
        <w:spacing w:before="120" w:after="120" w:line="240" w:lineRule="exact"/>
        <w:ind w:left="283" w:hanging="283"/>
        <w:jc w:val="both"/>
        <w:rPr>
          <w:rFonts w:ascii="FrankRuehl" w:hAnsi="FrankRuehl" w:cs="FrankRuehl"/>
          <w:rtl/>
        </w:rPr>
      </w:pPr>
    </w:p>
    <w:p w14:paraId="14604394" w14:textId="77777777" w:rsidR="008700BC" w:rsidRPr="008700BC" w:rsidRDefault="008700BC" w:rsidP="008700BC">
      <w:pPr>
        <w:spacing w:before="120" w:after="120" w:line="240" w:lineRule="exact"/>
        <w:ind w:left="283" w:hanging="283"/>
        <w:jc w:val="both"/>
        <w:rPr>
          <w:rFonts w:ascii="FrankRuehl" w:hAnsi="FrankRuehl" w:cs="FrankRuehl"/>
          <w:rtl/>
        </w:rPr>
      </w:pPr>
      <w:r w:rsidRPr="008700BC">
        <w:rPr>
          <w:rFonts w:ascii="FrankRuehl" w:hAnsi="FrankRuehl" w:cs="FrankRuehl"/>
          <w:rtl/>
        </w:rPr>
        <w:t xml:space="preserve">חקיקה שאוזכרה: </w:t>
      </w:r>
    </w:p>
    <w:p w14:paraId="4C0D37CB" w14:textId="77777777" w:rsidR="008700BC" w:rsidRPr="008700BC" w:rsidRDefault="008700BC" w:rsidP="008700BC">
      <w:pPr>
        <w:spacing w:before="120" w:after="120" w:line="240" w:lineRule="exact"/>
        <w:ind w:left="283" w:hanging="283"/>
        <w:jc w:val="both"/>
        <w:rPr>
          <w:rFonts w:ascii="FrankRuehl" w:hAnsi="FrankRuehl" w:cs="FrankRuehl"/>
          <w:rtl/>
        </w:rPr>
      </w:pPr>
      <w:hyperlink r:id="rId7" w:history="1">
        <w:r w:rsidRPr="008700BC">
          <w:rPr>
            <w:rFonts w:ascii="FrankRuehl" w:hAnsi="FrankRuehl" w:cs="FrankRuehl"/>
            <w:color w:val="0000FF"/>
            <w:rtl/>
          </w:rPr>
          <w:t>חוק העונשין, תשל"ז-1977</w:t>
        </w:r>
      </w:hyperlink>
      <w:r w:rsidRPr="008700BC">
        <w:rPr>
          <w:rFonts w:ascii="FrankRuehl" w:hAnsi="FrankRuehl" w:cs="FrankRuehl"/>
          <w:rtl/>
        </w:rPr>
        <w:t xml:space="preserve">: סע'  </w:t>
      </w:r>
      <w:hyperlink r:id="rId8" w:history="1">
        <w:r w:rsidRPr="008700BC">
          <w:rPr>
            <w:rFonts w:ascii="FrankRuehl" w:hAnsi="FrankRuehl" w:cs="FrankRuehl"/>
            <w:color w:val="0000FF"/>
            <w:rtl/>
          </w:rPr>
          <w:t>25</w:t>
        </w:r>
      </w:hyperlink>
      <w:r w:rsidRPr="008700BC">
        <w:rPr>
          <w:rFonts w:ascii="FrankRuehl" w:hAnsi="FrankRuehl" w:cs="FrankRuehl"/>
          <w:rtl/>
        </w:rPr>
        <w:t xml:space="preserve">, </w:t>
      </w:r>
      <w:hyperlink r:id="rId9" w:history="1">
        <w:r w:rsidRPr="008700BC">
          <w:rPr>
            <w:rFonts w:ascii="FrankRuehl" w:hAnsi="FrankRuehl" w:cs="FrankRuehl"/>
            <w:color w:val="0000FF"/>
            <w:rtl/>
          </w:rPr>
          <w:t>28</w:t>
        </w:r>
      </w:hyperlink>
      <w:r w:rsidRPr="008700BC">
        <w:rPr>
          <w:rFonts w:ascii="FrankRuehl" w:hAnsi="FrankRuehl" w:cs="FrankRuehl"/>
          <w:rtl/>
        </w:rPr>
        <w:t xml:space="preserve">, </w:t>
      </w:r>
      <w:hyperlink r:id="rId10" w:history="1">
        <w:r w:rsidRPr="008700BC">
          <w:rPr>
            <w:rFonts w:ascii="FrankRuehl" w:hAnsi="FrankRuehl" w:cs="FrankRuehl"/>
            <w:color w:val="0000FF"/>
            <w:rtl/>
          </w:rPr>
          <w:t>40ט(א)</w:t>
        </w:r>
      </w:hyperlink>
      <w:r w:rsidRPr="008700BC">
        <w:rPr>
          <w:rFonts w:ascii="FrankRuehl" w:hAnsi="FrankRuehl" w:cs="FrankRuehl"/>
          <w:rtl/>
        </w:rPr>
        <w:t xml:space="preserve">, </w:t>
      </w:r>
      <w:hyperlink r:id="rId11" w:history="1">
        <w:r w:rsidRPr="008700BC">
          <w:rPr>
            <w:rFonts w:ascii="FrankRuehl" w:hAnsi="FrankRuehl" w:cs="FrankRuehl"/>
            <w:color w:val="0000FF"/>
            <w:rtl/>
          </w:rPr>
          <w:t>40ט(א)(9)</w:t>
        </w:r>
      </w:hyperlink>
      <w:r w:rsidRPr="008700BC">
        <w:rPr>
          <w:rFonts w:ascii="FrankRuehl" w:hAnsi="FrankRuehl" w:cs="FrankRuehl"/>
          <w:rtl/>
        </w:rPr>
        <w:t xml:space="preserve">, </w:t>
      </w:r>
      <w:hyperlink r:id="rId12" w:history="1">
        <w:r w:rsidRPr="008700BC">
          <w:rPr>
            <w:rFonts w:ascii="FrankRuehl" w:hAnsi="FrankRuehl" w:cs="FrankRuehl"/>
            <w:color w:val="0000FF"/>
            <w:rtl/>
          </w:rPr>
          <w:t>144.א.</w:t>
        </w:r>
      </w:hyperlink>
      <w:r w:rsidRPr="008700BC">
        <w:rPr>
          <w:rFonts w:ascii="FrankRuehl" w:hAnsi="FrankRuehl" w:cs="FrankRuehl"/>
          <w:rtl/>
        </w:rPr>
        <w:t xml:space="preserve">, </w:t>
      </w:r>
      <w:hyperlink r:id="rId13" w:history="1">
        <w:r w:rsidRPr="008700BC">
          <w:rPr>
            <w:rFonts w:ascii="FrankRuehl" w:hAnsi="FrankRuehl" w:cs="FrankRuehl"/>
            <w:color w:val="0000FF"/>
            <w:rtl/>
          </w:rPr>
          <w:t>144.ב2.</w:t>
        </w:r>
      </w:hyperlink>
      <w:r w:rsidRPr="008700BC">
        <w:rPr>
          <w:rFonts w:ascii="FrankRuehl" w:hAnsi="FrankRuehl" w:cs="FrankRuehl"/>
          <w:rtl/>
        </w:rPr>
        <w:t xml:space="preserve">, </w:t>
      </w:r>
      <w:hyperlink r:id="rId14" w:history="1">
        <w:r w:rsidRPr="008700BC">
          <w:rPr>
            <w:rFonts w:ascii="FrankRuehl" w:hAnsi="FrankRuehl" w:cs="FrankRuehl"/>
            <w:color w:val="0000FF"/>
            <w:rtl/>
          </w:rPr>
          <w:t>40יא</w:t>
        </w:r>
      </w:hyperlink>
      <w:r w:rsidRPr="008700BC">
        <w:rPr>
          <w:rFonts w:ascii="FrankRuehl" w:hAnsi="FrankRuehl" w:cs="FrankRuehl"/>
          <w:rtl/>
        </w:rPr>
        <w:t xml:space="preserve">, </w:t>
      </w:r>
      <w:hyperlink r:id="rId15" w:history="1">
        <w:r w:rsidRPr="008700BC">
          <w:rPr>
            <w:rFonts w:ascii="FrankRuehl" w:hAnsi="FrankRuehl" w:cs="FrankRuehl"/>
            <w:color w:val="0000FF"/>
            <w:rtl/>
          </w:rPr>
          <w:t>ב' לפרק ה'1</w:t>
        </w:r>
      </w:hyperlink>
      <w:r w:rsidRPr="008700BC">
        <w:rPr>
          <w:rFonts w:ascii="FrankRuehl" w:hAnsi="FrankRuehl" w:cs="FrankRuehl"/>
          <w:rtl/>
        </w:rPr>
        <w:t xml:space="preserve">, </w:t>
      </w:r>
      <w:hyperlink r:id="rId16" w:history="1">
        <w:r w:rsidRPr="008700BC">
          <w:rPr>
            <w:rFonts w:ascii="FrankRuehl" w:hAnsi="FrankRuehl" w:cs="FrankRuehl"/>
            <w:color w:val="0000FF"/>
            <w:rtl/>
          </w:rPr>
          <w:t>א' לפרק ה'</w:t>
        </w:r>
      </w:hyperlink>
    </w:p>
    <w:p w14:paraId="322234F9" w14:textId="77777777" w:rsidR="008700BC" w:rsidRPr="008700BC" w:rsidRDefault="008700BC" w:rsidP="008700BC">
      <w:pPr>
        <w:rPr>
          <w:rFonts w:ascii="Arial" w:hAnsi="Arial"/>
          <w:rtl/>
        </w:rPr>
      </w:pPr>
      <w:bookmarkStart w:id="3" w:name="LawTable_End"/>
      <w:bookmarkEnd w:id="3"/>
    </w:p>
    <w:p w14:paraId="65570035" w14:textId="77777777" w:rsidR="00731CC2" w:rsidRPr="00D93175" w:rsidRDefault="00731CC2" w:rsidP="00731CC2">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31CC2" w14:paraId="40A4FCF7" w14:textId="77777777" w:rsidTr="00731CC2">
        <w:trPr>
          <w:trHeight w:val="355"/>
          <w:jc w:val="center"/>
        </w:trPr>
        <w:tc>
          <w:tcPr>
            <w:tcW w:w="8820" w:type="dxa"/>
            <w:tcBorders>
              <w:top w:val="nil"/>
              <w:left w:val="nil"/>
              <w:bottom w:val="nil"/>
              <w:right w:val="nil"/>
            </w:tcBorders>
            <w:shd w:val="clear" w:color="auto" w:fill="auto"/>
          </w:tcPr>
          <w:p w14:paraId="55AFE398" w14:textId="77777777" w:rsidR="00D93175" w:rsidRPr="00D93175" w:rsidRDefault="00D93175" w:rsidP="00D93175">
            <w:pPr>
              <w:jc w:val="center"/>
              <w:rPr>
                <w:rFonts w:ascii="David" w:hAnsi="David"/>
                <w:b/>
                <w:bCs/>
                <w:sz w:val="28"/>
                <w:szCs w:val="28"/>
                <w:u w:val="single"/>
                <w:rtl/>
              </w:rPr>
            </w:pPr>
            <w:bookmarkStart w:id="4" w:name="PsakDin" w:colFirst="0" w:colLast="0"/>
            <w:bookmarkEnd w:id="0"/>
            <w:r w:rsidRPr="00D93175">
              <w:rPr>
                <w:rFonts w:ascii="David" w:hAnsi="David"/>
                <w:b/>
                <w:bCs/>
                <w:sz w:val="28"/>
                <w:szCs w:val="28"/>
                <w:u w:val="single"/>
                <w:rtl/>
              </w:rPr>
              <w:t>גזר דין</w:t>
            </w:r>
          </w:p>
          <w:p w14:paraId="57BB1F1A" w14:textId="77777777" w:rsidR="00731CC2" w:rsidRPr="00D93175" w:rsidRDefault="00731CC2" w:rsidP="00D93175">
            <w:pPr>
              <w:jc w:val="center"/>
              <w:rPr>
                <w:rFonts w:ascii="David" w:hAnsi="David"/>
                <w:bCs/>
                <w:sz w:val="28"/>
                <w:szCs w:val="28"/>
                <w:u w:val="single"/>
                <w:rtl/>
              </w:rPr>
            </w:pPr>
          </w:p>
        </w:tc>
      </w:tr>
      <w:bookmarkEnd w:id="4"/>
    </w:tbl>
    <w:p w14:paraId="14896560" w14:textId="77777777" w:rsidR="00731CC2" w:rsidRPr="00B05847" w:rsidRDefault="00731CC2" w:rsidP="00731CC2">
      <w:pPr>
        <w:rPr>
          <w:rFonts w:ascii="Arial" w:hAnsi="Arial"/>
          <w:rtl/>
        </w:rPr>
      </w:pPr>
    </w:p>
    <w:p w14:paraId="7602DEF3" w14:textId="77777777" w:rsidR="00731CC2" w:rsidRPr="00B05847" w:rsidRDefault="00731CC2" w:rsidP="00731CC2">
      <w:pPr>
        <w:rPr>
          <w:rFonts w:ascii="Arial" w:hAnsi="Arial"/>
          <w:rtl/>
        </w:rPr>
      </w:pPr>
    </w:p>
    <w:p w14:paraId="673010A1" w14:textId="77777777" w:rsidR="00731CC2" w:rsidRDefault="00731CC2" w:rsidP="00731CC2">
      <w:pPr>
        <w:pStyle w:val="a9"/>
        <w:numPr>
          <w:ilvl w:val="0"/>
          <w:numId w:val="1"/>
        </w:numPr>
        <w:spacing w:line="360" w:lineRule="auto"/>
        <w:jc w:val="both"/>
        <w:rPr>
          <w:b/>
          <w:bCs/>
          <w:u w:val="single"/>
        </w:rPr>
      </w:pPr>
      <w:r w:rsidRPr="00E73A19">
        <w:rPr>
          <w:rFonts w:hint="cs"/>
          <w:b/>
          <w:bCs/>
          <w:u w:val="single"/>
          <w:rtl/>
        </w:rPr>
        <w:t>העבירות בהן הורשע הנאשם</w:t>
      </w:r>
    </w:p>
    <w:p w14:paraId="39FAD02C" w14:textId="77777777" w:rsidR="00731CC2" w:rsidRDefault="00731CC2" w:rsidP="00731CC2">
      <w:pPr>
        <w:spacing w:line="360" w:lineRule="auto"/>
        <w:ind w:left="720"/>
        <w:jc w:val="both"/>
        <w:rPr>
          <w:rtl/>
        </w:rPr>
      </w:pPr>
      <w:bookmarkStart w:id="5" w:name="ABSTRACT_START"/>
      <w:bookmarkEnd w:id="5"/>
      <w:r>
        <w:rPr>
          <w:rFonts w:hint="cs"/>
          <w:rtl/>
        </w:rPr>
        <w:t xml:space="preserve">הנאשם הורשע על יסוד הודאתו בעובדות כתב אישום מתוקן, במסגרת הסדר טיעון פתוח, בביצוע עבירה של ניסיון לביצוע עסקה אחרת בנשק </w:t>
      </w:r>
      <w:r>
        <w:rPr>
          <w:rtl/>
        </w:rPr>
        <w:t>–</w:t>
      </w:r>
      <w:r>
        <w:rPr>
          <w:rFonts w:hint="cs"/>
          <w:rtl/>
        </w:rPr>
        <w:t xml:space="preserve"> עבירה לפי </w:t>
      </w:r>
      <w:hyperlink r:id="rId17" w:history="1">
        <w:r w:rsidR="00271CE5" w:rsidRPr="00271CE5">
          <w:rPr>
            <w:rStyle w:val="Hyperlink"/>
            <w:rFonts w:hint="eastAsia"/>
            <w:rtl/>
          </w:rPr>
          <w:t>סעיף</w:t>
        </w:r>
        <w:r w:rsidR="00271CE5" w:rsidRPr="00271CE5">
          <w:rPr>
            <w:rStyle w:val="Hyperlink"/>
            <w:rtl/>
          </w:rPr>
          <w:t xml:space="preserve"> 144(ב2)+25</w:t>
        </w:r>
      </w:hyperlink>
      <w:r>
        <w:rPr>
          <w:rFonts w:hint="cs"/>
          <w:rtl/>
        </w:rPr>
        <w:t xml:space="preserve"> ל</w:t>
      </w:r>
      <w:hyperlink r:id="rId18" w:history="1">
        <w:r w:rsidR="00D93175" w:rsidRPr="00D93175">
          <w:rPr>
            <w:color w:val="0000FF"/>
            <w:u w:val="single"/>
            <w:rtl/>
          </w:rPr>
          <w:t>חוק העונשין</w:t>
        </w:r>
      </w:hyperlink>
      <w:r>
        <w:rPr>
          <w:rFonts w:hint="cs"/>
          <w:rtl/>
        </w:rPr>
        <w:t xml:space="preserve">, תשל"ז </w:t>
      </w:r>
      <w:r>
        <w:rPr>
          <w:rtl/>
        </w:rPr>
        <w:t>–</w:t>
      </w:r>
      <w:r>
        <w:rPr>
          <w:rFonts w:hint="cs"/>
          <w:rtl/>
        </w:rPr>
        <w:t xml:space="preserve"> 1977 (להלן </w:t>
      </w:r>
      <w:r>
        <w:rPr>
          <w:rtl/>
        </w:rPr>
        <w:t>–</w:t>
      </w:r>
      <w:r>
        <w:rPr>
          <w:rFonts w:hint="cs"/>
          <w:rtl/>
        </w:rPr>
        <w:t xml:space="preserve"> </w:t>
      </w:r>
      <w:r w:rsidRPr="00A6443B">
        <w:rPr>
          <w:rFonts w:hint="cs"/>
          <w:b/>
          <w:bCs/>
          <w:rtl/>
        </w:rPr>
        <w:t>"החוק"</w:t>
      </w:r>
      <w:r>
        <w:rPr>
          <w:rFonts w:hint="cs"/>
          <w:rtl/>
        </w:rPr>
        <w:t xml:space="preserve">), ובעבירה של ניסיון רכישת נשק </w:t>
      </w:r>
      <w:r>
        <w:rPr>
          <w:rtl/>
        </w:rPr>
        <w:t>–</w:t>
      </w:r>
      <w:r>
        <w:rPr>
          <w:rFonts w:hint="cs"/>
          <w:rtl/>
        </w:rPr>
        <w:t xml:space="preserve"> עבירה לפי </w:t>
      </w:r>
      <w:hyperlink r:id="rId19" w:history="1">
        <w:r w:rsidR="00271CE5" w:rsidRPr="00271CE5">
          <w:rPr>
            <w:rStyle w:val="Hyperlink"/>
            <w:rFonts w:hint="eastAsia"/>
            <w:rtl/>
          </w:rPr>
          <w:t>סעיף</w:t>
        </w:r>
        <w:r w:rsidR="00271CE5" w:rsidRPr="00271CE5">
          <w:rPr>
            <w:rStyle w:val="Hyperlink"/>
            <w:rtl/>
          </w:rPr>
          <w:t xml:space="preserve"> 144(א)+25</w:t>
        </w:r>
      </w:hyperlink>
      <w:r>
        <w:rPr>
          <w:rFonts w:hint="cs"/>
          <w:rtl/>
        </w:rPr>
        <w:t xml:space="preserve"> לחוק העונשין.</w:t>
      </w:r>
    </w:p>
    <w:p w14:paraId="66110019" w14:textId="77777777" w:rsidR="00731CC2" w:rsidRDefault="00731CC2" w:rsidP="00731CC2">
      <w:pPr>
        <w:spacing w:line="360" w:lineRule="auto"/>
        <w:ind w:left="720"/>
        <w:jc w:val="both"/>
        <w:rPr>
          <w:rtl/>
        </w:rPr>
      </w:pPr>
      <w:r>
        <w:rPr>
          <w:rFonts w:hint="cs"/>
          <w:rtl/>
        </w:rPr>
        <w:t xml:space="preserve">על פי האמור בכתב האישום המתוקן, עובר ליום 16.4.19, במועד שאיננו ידוע למאשימה, ניסה הנאשם לקנות אקדח מסוג גלוק 9 (צ"ל גלוק 19 </w:t>
      </w:r>
      <w:r>
        <w:rPr>
          <w:rtl/>
        </w:rPr>
        <w:t>–</w:t>
      </w:r>
      <w:r>
        <w:rPr>
          <w:rFonts w:hint="cs"/>
          <w:rtl/>
        </w:rPr>
        <w:t xml:space="preserve"> ראו סעיף 3 לכתב האישום </w:t>
      </w:r>
      <w:r>
        <w:rPr>
          <w:rtl/>
        </w:rPr>
        <w:t>–</w:t>
      </w:r>
      <w:r>
        <w:rPr>
          <w:rFonts w:hint="cs"/>
          <w:rtl/>
        </w:rPr>
        <w:t xml:space="preserve"> א.ר.), באמצעות אתר בשם "ברלוסקוני", הפועל ברשת האפלה. מסיבה שאיננה ידועה למאשימה עסקה זו לא יצאה אל הפועל.</w:t>
      </w:r>
    </w:p>
    <w:p w14:paraId="353DB04D" w14:textId="77777777" w:rsidR="00731CC2" w:rsidRDefault="00731CC2" w:rsidP="00731CC2">
      <w:pPr>
        <w:spacing w:line="360" w:lineRule="auto"/>
        <w:ind w:left="720"/>
        <w:jc w:val="both"/>
        <w:rPr>
          <w:rtl/>
        </w:rPr>
      </w:pPr>
      <w:bookmarkStart w:id="6" w:name="ABSTRACT_END"/>
      <w:bookmarkEnd w:id="6"/>
      <w:r>
        <w:rPr>
          <w:rFonts w:hint="cs"/>
          <w:rtl/>
        </w:rPr>
        <w:lastRenderedPageBreak/>
        <w:t xml:space="preserve">בהמשך לכך, ביום 15.4.19, עשה הנאשם ניסיון נוסף לרכוש אקדח גלוק 19, גם הפעם באמצעות אתר ברלוסקוני, אלא שהפעם הוא יצר קשר, מבלי ידיעתו כמובן, עם סוכן משטרה אוסטרלי. הנאשם הזדהה בשם קוד וסיכם עם הסוכן על רכישת אקדח כנ"ל בסכום של 1,400 דולר בתוספת עמלות. כן סוכם כי הסוכן ישלח את האקדח לישראל באמצעות חברת משלוחים בינלאומית. בהתאם לסיכום האמור הנאשם העביר לסוכן את התמורה באמצעות מטבע וירטואלי מסוג ביטקוין. בהמשך ביקש הסוכן מהנאשם לבצע את העסקה באמצעות אתר אחר ברשת האפלה </w:t>
      </w:r>
      <w:r>
        <w:rPr>
          <w:rtl/>
        </w:rPr>
        <w:t>–</w:t>
      </w:r>
      <w:r>
        <w:rPr>
          <w:rFonts w:hint="cs"/>
          <w:rtl/>
        </w:rPr>
        <w:t xml:space="preserve"> </w:t>
      </w:r>
      <w:r>
        <w:rPr>
          <w:rFonts w:hint="cs"/>
        </w:rPr>
        <w:t>AGARTHA</w:t>
      </w:r>
      <w:r>
        <w:rPr>
          <w:rFonts w:hint="cs"/>
          <w:rtl/>
        </w:rPr>
        <w:t>, בטענה שאתר ברלוסקוני "אינו יציב". הנאשם הסכים, ועל כן העסקה באתר ברלוסקוני בוטלה, כספו הושב לו, והוא שב ושילם לסוכן עבור האקדח, הפעם דרך האתר האחר. הסוכן התחייב לשלוח לנאשם את האקדח באמצעות חברת שליחויות בינלאומית, ובהמשך לכך ביצע הנאשם מספר פעולות במטרה להסדיר את הגעת האקדח אליו. בין היתר בדק הנאשם באתר חברת השליחויות את מספר ההזמנה ששלח לו הסוכן, זאת בתדירות גבוהה ולעיתים מספר פעמים ביום. הנאשם אף פנה לסוכן מספר פעמים בתלונה על כך שהאקדח לא הגיע לידיו, ובשאלה מה יקרה אם האקדח לא יגיע.</w:t>
      </w:r>
    </w:p>
    <w:p w14:paraId="1AA13F0F" w14:textId="77777777" w:rsidR="00731CC2" w:rsidRPr="00E73A19" w:rsidRDefault="00731CC2" w:rsidP="00731CC2">
      <w:pPr>
        <w:spacing w:line="360" w:lineRule="auto"/>
        <w:ind w:left="720"/>
        <w:jc w:val="both"/>
        <w:rPr>
          <w:rtl/>
        </w:rPr>
      </w:pPr>
      <w:r>
        <w:rPr>
          <w:rFonts w:hint="cs"/>
          <w:rtl/>
        </w:rPr>
        <w:t>כאמור, בגין מעשים אלו הורשע הנאשם על פי הודאתו בעבירה של ניסיון לעסקה אחרת בנשק ובעבירה של ניסיון לרכישת נשק.</w:t>
      </w:r>
    </w:p>
    <w:p w14:paraId="36FCE80F" w14:textId="77777777" w:rsidR="00731CC2" w:rsidRPr="00E73A19" w:rsidRDefault="00731CC2" w:rsidP="00731CC2">
      <w:pPr>
        <w:pStyle w:val="a9"/>
        <w:spacing w:line="360" w:lineRule="auto"/>
        <w:rPr>
          <w:b/>
          <w:bCs/>
          <w:u w:val="single"/>
        </w:rPr>
      </w:pPr>
    </w:p>
    <w:p w14:paraId="1F5F577A" w14:textId="77777777" w:rsidR="00731CC2" w:rsidRDefault="00731CC2" w:rsidP="00731CC2">
      <w:pPr>
        <w:pStyle w:val="a9"/>
        <w:numPr>
          <w:ilvl w:val="0"/>
          <w:numId w:val="1"/>
        </w:numPr>
        <w:spacing w:line="360" w:lineRule="auto"/>
        <w:rPr>
          <w:b/>
          <w:bCs/>
          <w:u w:val="single"/>
        </w:rPr>
      </w:pPr>
      <w:r>
        <w:rPr>
          <w:rFonts w:hint="cs"/>
          <w:b/>
          <w:bCs/>
          <w:u w:val="single"/>
          <w:rtl/>
        </w:rPr>
        <w:t>תסקיר שירות המבחן</w:t>
      </w:r>
    </w:p>
    <w:p w14:paraId="27AB9680" w14:textId="77777777" w:rsidR="00731CC2" w:rsidRDefault="00731CC2" w:rsidP="00731CC2">
      <w:pPr>
        <w:pStyle w:val="a9"/>
        <w:spacing w:line="360" w:lineRule="auto"/>
        <w:jc w:val="both"/>
        <w:rPr>
          <w:rtl/>
        </w:rPr>
      </w:pPr>
      <w:r w:rsidRPr="00F46D23">
        <w:rPr>
          <w:rFonts w:hint="cs"/>
          <w:rtl/>
        </w:rPr>
        <w:t>הנאשם בן 33, נשוי</w:t>
      </w:r>
      <w:r>
        <w:rPr>
          <w:rFonts w:hint="cs"/>
          <w:rtl/>
        </w:rPr>
        <w:t xml:space="preserve"> ואב לשני ילדים. הנאשם גדל במשפחה נורמטיבית ואין לו עבר פלילי. הנאשם ניהל חיים נורמטיביים לגמרי עד לביצוע העבירות בהן הוא הורשע. הוא סיים 12 שנות לימוד עם תעודת "תווג'יה". בהמשך לכך למד הנאשם לימודים אקדמיים חלקיים, אותם הוא הפסיק לצורך השתלבות בשוק העבודה, תחילה כמדריך למבחנים פסיכומטריים, אחר כך כמדריך בתחום המסחר בבורסה, ולבסוף במשך כמה שנים עובר למעצרו, בתחום השיווק והפרסום באינטרנט.</w:t>
      </w:r>
    </w:p>
    <w:p w14:paraId="7CB9624C" w14:textId="77777777" w:rsidR="00731CC2" w:rsidRDefault="00731CC2" w:rsidP="00731CC2">
      <w:pPr>
        <w:pStyle w:val="a9"/>
        <w:spacing w:line="360" w:lineRule="auto"/>
        <w:jc w:val="both"/>
        <w:rPr>
          <w:rtl/>
        </w:rPr>
      </w:pPr>
      <w:r>
        <w:rPr>
          <w:rFonts w:hint="cs"/>
          <w:rtl/>
        </w:rPr>
        <w:t>לשירות המבחן מסר הנאשם כי הוא ביצע את העבירות מתוך סקרנות, זאת לאחר שבמסגרת עבודתו הוא נחשף לאתרים ברשת האפלה. לדבריו הוא לא האמין שהעסקה יכולה להצליח אך הוא רצה לבדוק גבולות ולחוות חוויה של הצלחה שהיא מעבר ליכולתם של אחרים. הנאשם ציין בפני שירות המבחן כי כאשר הוא הבין שהעסקה עומדת להתממש הוא נבהל ולא הלך לאסוף את החבילה מחברת השליחויות.</w:t>
      </w:r>
    </w:p>
    <w:p w14:paraId="6EFCE77B" w14:textId="77777777" w:rsidR="00731CC2" w:rsidRDefault="00731CC2" w:rsidP="00731CC2">
      <w:pPr>
        <w:pStyle w:val="a9"/>
        <w:spacing w:line="360" w:lineRule="auto"/>
        <w:jc w:val="both"/>
        <w:rPr>
          <w:rtl/>
        </w:rPr>
      </w:pPr>
      <w:r>
        <w:rPr>
          <w:rFonts w:hint="cs"/>
          <w:rtl/>
        </w:rPr>
        <w:t xml:space="preserve">שירות המבחן התרשם כי קיים אצל הנאשם פער בין התפיסה העצמית שלו את הישגיו בחיים לבין הישגיו בפועל, וכי הנאשם מתקשה בהכרה ובבדיקה של חלקים בעיתיים וקשיים בחייו. לצד זאת התרשם שירות המבחן כי הנאשם בעל יכולות וכישורים, וכי הוא איננו בעל קווי אישיות עברייניים. שירות המבחן מציין בהקשר זה, כי אין לנאשם עבר פלילי, וכי  עד לביצוע העבירות הוא ניהל חיים תקינים. לדברי שירות המבחן הנאשם נטל </w:t>
      </w:r>
      <w:r>
        <w:rPr>
          <w:rFonts w:hint="cs"/>
          <w:rtl/>
        </w:rPr>
        <w:lastRenderedPageBreak/>
        <w:t>אחריות על מעשיו והביע רצון ליטול חלק בטיפול מעמיק לצורך בחינת המניעים הרגשיים העמוקים שניצבים ברקע ביצוע העבירות.</w:t>
      </w:r>
    </w:p>
    <w:p w14:paraId="77494CD8" w14:textId="77777777" w:rsidR="00731CC2" w:rsidRDefault="00731CC2" w:rsidP="00731CC2">
      <w:pPr>
        <w:pStyle w:val="a9"/>
        <w:spacing w:line="360" w:lineRule="auto"/>
        <w:jc w:val="both"/>
        <w:rPr>
          <w:rtl/>
        </w:rPr>
      </w:pPr>
      <w:r>
        <w:rPr>
          <w:rFonts w:hint="cs"/>
          <w:rtl/>
        </w:rPr>
        <w:t>בסיכומו של דבר ממליץ שירות המבחן, לאחר התלבטות, שכן הנאשם הורשע בעבירות חמורות, לגזור על הנאשם עונש מוחשי של מאסר לריצוי בעבודות שירות. שירות המבחן מדגיש כי להערכתו לשליחת הנאשם לכלא עלולות להיות השלכות חמורות עקב חשיפתו לעבריינות ולאווירה הקשה בכלא. כן ממליץ שירות המבחן על הטלת צו מבחן לשנה.</w:t>
      </w:r>
    </w:p>
    <w:p w14:paraId="521601B7" w14:textId="77777777" w:rsidR="00731CC2" w:rsidRPr="00F46D23" w:rsidRDefault="00731CC2" w:rsidP="00731CC2">
      <w:pPr>
        <w:pStyle w:val="a9"/>
        <w:spacing w:line="360" w:lineRule="auto"/>
        <w:jc w:val="both"/>
      </w:pPr>
    </w:p>
    <w:p w14:paraId="314C9E13" w14:textId="77777777" w:rsidR="00731CC2" w:rsidRDefault="00731CC2" w:rsidP="00731CC2">
      <w:pPr>
        <w:pStyle w:val="a9"/>
        <w:numPr>
          <w:ilvl w:val="0"/>
          <w:numId w:val="1"/>
        </w:numPr>
        <w:spacing w:line="360" w:lineRule="auto"/>
        <w:rPr>
          <w:b/>
          <w:bCs/>
          <w:u w:val="single"/>
        </w:rPr>
      </w:pPr>
      <w:r>
        <w:rPr>
          <w:rFonts w:hint="cs"/>
          <w:b/>
          <w:bCs/>
          <w:u w:val="single"/>
          <w:rtl/>
        </w:rPr>
        <w:t>טענות המאשימה לעונש</w:t>
      </w:r>
    </w:p>
    <w:p w14:paraId="63591B83" w14:textId="77777777" w:rsidR="00731CC2" w:rsidRDefault="00731CC2" w:rsidP="00731CC2">
      <w:pPr>
        <w:pStyle w:val="a9"/>
        <w:spacing w:line="360" w:lineRule="auto"/>
        <w:jc w:val="both"/>
        <w:rPr>
          <w:rtl/>
        </w:rPr>
      </w:pPr>
      <w:r>
        <w:rPr>
          <w:rFonts w:hint="cs"/>
          <w:rtl/>
        </w:rPr>
        <w:t xml:space="preserve">בהמשך לשאלות בית המשפט עמדה ב"כ המאשימה בתחילת טיעוניה על כך ששתי העבירות בהן הורשע הנאשם מתייחסות לחלק השני של כתב האישום, שעוסק בניסיון לרכוש את האקדח מהסוכן המשטרתי האוסטרלי. ב"כ המאשימה אישרה כי החלק הראשון של כתב האישום שעניינו הניסיון הראשון לרכוש אקדח, מהווה רק רקע לעבירות שבוצעו. כמו כן, ציינה ב"כ המאשימה, כי העבירה של ניסיון ביצוע עסקה אחרת בנשק מבוססת על כך שהעסקה שרקם הנאשם עם הסוכן, כללה מרכיב של העברת הנשק מחו"ל אל תוך ישראל. יחד עם זאת, הסכימה ב"כ המאשימה, בהגינותה, כי מדובר בניסיון לעסקה אחרת בנשק המצוי בתחתית חומרת העבירות של עסקאות אחרות בנשק. ולבסוף, לשאלת בית המשפט, אישרה ב"כ המאשימה את טענת הנאשם בפני שירות המבחן, לפיה הוא לא ניסה ליטול את החבילה לידיו כאשר זו הגיעה לישראל. </w:t>
      </w:r>
    </w:p>
    <w:p w14:paraId="6C815DE8" w14:textId="77777777" w:rsidR="00731CC2" w:rsidRDefault="00731CC2" w:rsidP="00731CC2">
      <w:pPr>
        <w:pStyle w:val="a9"/>
        <w:spacing w:line="360" w:lineRule="auto"/>
        <w:jc w:val="both"/>
        <w:rPr>
          <w:rtl/>
        </w:rPr>
      </w:pPr>
      <w:r>
        <w:rPr>
          <w:rFonts w:hint="cs"/>
          <w:rtl/>
        </w:rPr>
        <w:t xml:space="preserve">ב"כ המאשימה עמדה על החומרה הרבה שבה רואה הפסיקה את עבירות הנשק ועל הצורך להיאבק בהן, בין היתר, על ידי הטלת עונשים מרתיעים הכוללים עונשי מאסר בפועל. </w:t>
      </w:r>
    </w:p>
    <w:p w14:paraId="39FC8E02" w14:textId="77777777" w:rsidR="00731CC2" w:rsidRDefault="00731CC2" w:rsidP="00731CC2">
      <w:pPr>
        <w:pStyle w:val="a9"/>
        <w:spacing w:line="360" w:lineRule="auto"/>
        <w:jc w:val="both"/>
        <w:rPr>
          <w:rtl/>
        </w:rPr>
      </w:pPr>
      <w:r>
        <w:rPr>
          <w:rFonts w:hint="cs"/>
          <w:rtl/>
        </w:rPr>
        <w:t xml:space="preserve">ב"כ המאשימה, טענה כי הענישה הנוהגת מחייבת קביעת מתחם אשר נע בין 18 חודשי מאסר לבין 42 חודשי מאסר בפועל. לנוכח הנסיבות שאינן קשורות בביצוע העבירות הסכימה ב"כ המאשימה כי יש למקם את העונש המתאים בתחתית מתחם העונש ההולם. </w:t>
      </w:r>
    </w:p>
    <w:p w14:paraId="28E0BEF7" w14:textId="77777777" w:rsidR="00731CC2" w:rsidRPr="00456C44" w:rsidRDefault="00731CC2" w:rsidP="00731CC2">
      <w:pPr>
        <w:pStyle w:val="a9"/>
        <w:spacing w:line="360" w:lineRule="auto"/>
        <w:jc w:val="both"/>
      </w:pPr>
    </w:p>
    <w:p w14:paraId="510AD435" w14:textId="77777777" w:rsidR="00731CC2" w:rsidRDefault="00731CC2" w:rsidP="00731CC2">
      <w:pPr>
        <w:pStyle w:val="a9"/>
        <w:numPr>
          <w:ilvl w:val="0"/>
          <w:numId w:val="1"/>
        </w:numPr>
        <w:spacing w:line="360" w:lineRule="auto"/>
        <w:rPr>
          <w:b/>
          <w:bCs/>
          <w:u w:val="single"/>
        </w:rPr>
      </w:pPr>
      <w:r>
        <w:rPr>
          <w:rFonts w:hint="cs"/>
          <w:b/>
          <w:bCs/>
          <w:u w:val="single"/>
          <w:rtl/>
        </w:rPr>
        <w:t>ראיות וטענות הנאשם לעונש</w:t>
      </w:r>
    </w:p>
    <w:p w14:paraId="277BE439" w14:textId="77777777" w:rsidR="00731CC2" w:rsidRDefault="00731CC2" w:rsidP="00731CC2">
      <w:pPr>
        <w:pStyle w:val="a9"/>
        <w:spacing w:line="360" w:lineRule="auto"/>
        <w:jc w:val="both"/>
        <w:rPr>
          <w:rtl/>
        </w:rPr>
      </w:pPr>
      <w:r>
        <w:rPr>
          <w:rFonts w:hint="cs"/>
          <w:rtl/>
        </w:rPr>
        <w:t xml:space="preserve">מטעם הנאשם העידו אביו ורעייתו. </w:t>
      </w:r>
    </w:p>
    <w:p w14:paraId="56EF38EB" w14:textId="77777777" w:rsidR="00731CC2" w:rsidRDefault="00731CC2" w:rsidP="00731CC2">
      <w:pPr>
        <w:pStyle w:val="a9"/>
        <w:spacing w:line="360" w:lineRule="auto"/>
        <w:jc w:val="both"/>
        <w:rPr>
          <w:rtl/>
        </w:rPr>
      </w:pPr>
      <w:r>
        <w:rPr>
          <w:rFonts w:hint="cs"/>
          <w:rtl/>
        </w:rPr>
        <w:t xml:space="preserve">אביו של הנאשם, עו"ד במקצועו, הדגיש כי הנאשם גדל במשפחה נורמטיבית לגמרי. לדבריו משפחת הנאשם כעסה עליו מאד כאשר נודע לה על המעשים שביצע הנאשם. האב הדגיש שלנאשם אין כל עבר פלילי וביקש שבית המשפט יתחשב בנסיבות אלו ויטיל על הנאשם את העונש המינימלי האפשרי. </w:t>
      </w:r>
    </w:p>
    <w:p w14:paraId="326783E3" w14:textId="77777777" w:rsidR="00731CC2" w:rsidRDefault="00731CC2" w:rsidP="00731CC2">
      <w:pPr>
        <w:pStyle w:val="a9"/>
        <w:spacing w:line="360" w:lineRule="auto"/>
        <w:jc w:val="both"/>
        <w:rPr>
          <w:rtl/>
        </w:rPr>
      </w:pPr>
      <w:r>
        <w:rPr>
          <w:rFonts w:hint="cs"/>
          <w:rtl/>
        </w:rPr>
        <w:t xml:space="preserve">רעייתו של הנאשם תיארה את הקשיים הגדולים שחוו היא ושני ילדיה הקטנים כתוצאה ממעצרו של הנאשם, ולאחר מכן כתוצאה משהייתו במעצר הבית לתקופה ארוכה יחסית. רעיית הנאשם הדגישה כי הנאשם הוא אדם טוב, בן זוג טוב ואב טוב לילדיו. רעיית הנאשם תיארה גם את תחושת החרטה של הנאשם על מעשיו ועל הנזק שהוא גרם לכל משפחתו. לדבריה, מעשי הנאשם לא מתאימים לו כלל. </w:t>
      </w:r>
    </w:p>
    <w:p w14:paraId="483B6040" w14:textId="77777777" w:rsidR="00731CC2" w:rsidRDefault="00731CC2" w:rsidP="00731CC2">
      <w:pPr>
        <w:spacing w:line="360" w:lineRule="auto"/>
        <w:jc w:val="both"/>
        <w:rPr>
          <w:rtl/>
        </w:rPr>
      </w:pPr>
    </w:p>
    <w:p w14:paraId="28E8475A" w14:textId="77777777" w:rsidR="00731CC2" w:rsidRDefault="00731CC2" w:rsidP="00731CC2">
      <w:pPr>
        <w:pStyle w:val="a9"/>
        <w:numPr>
          <w:ilvl w:val="0"/>
          <w:numId w:val="1"/>
        </w:numPr>
        <w:spacing w:line="360" w:lineRule="auto"/>
        <w:jc w:val="both"/>
        <w:rPr>
          <w:rtl/>
        </w:rPr>
      </w:pPr>
      <w:r w:rsidRPr="00B15963">
        <w:rPr>
          <w:rFonts w:hint="cs"/>
          <w:rtl/>
        </w:rPr>
        <w:t xml:space="preserve">בטיעוניו לעונש, עמד ב"כ הנאשם על כך שהנסיבות הקשורות </w:t>
      </w:r>
      <w:r>
        <w:rPr>
          <w:rFonts w:hint="cs"/>
          <w:rtl/>
        </w:rPr>
        <w:t>בביצוע ה</w:t>
      </w:r>
      <w:r w:rsidRPr="00B15963">
        <w:rPr>
          <w:rFonts w:hint="cs"/>
          <w:rtl/>
        </w:rPr>
        <w:t>עבירות אינן מלמדות על חומרה יתרה. מדובר בשתי עבירות המתייחסות לאותו מעשה</w:t>
      </w:r>
      <w:r>
        <w:rPr>
          <w:rFonts w:hint="cs"/>
          <w:rtl/>
        </w:rPr>
        <w:t>.</w:t>
      </w:r>
      <w:r w:rsidRPr="00B15963">
        <w:rPr>
          <w:rFonts w:hint="cs"/>
          <w:rtl/>
        </w:rPr>
        <w:t xml:space="preserve"> מדובר בשתי עבירות ניסיון</w:t>
      </w:r>
      <w:r>
        <w:rPr>
          <w:rFonts w:hint="cs"/>
          <w:rtl/>
        </w:rPr>
        <w:t>, ולא בעבירות שביצוען הושלם.</w:t>
      </w:r>
      <w:r w:rsidRPr="00B15963">
        <w:rPr>
          <w:rFonts w:hint="cs"/>
          <w:rtl/>
        </w:rPr>
        <w:t xml:space="preserve"> מדובר בניסיון לרכישת אקדח ללא כדורים</w:t>
      </w:r>
      <w:r>
        <w:rPr>
          <w:rFonts w:hint="cs"/>
          <w:rtl/>
        </w:rPr>
        <w:t>, להבדיל, למשל, מ</w:t>
      </w:r>
      <w:r w:rsidRPr="00B15963">
        <w:rPr>
          <w:rFonts w:hint="cs"/>
          <w:rtl/>
        </w:rPr>
        <w:t>ניסיון לרכישת נשק ארוך עם כדורים</w:t>
      </w:r>
      <w:r>
        <w:rPr>
          <w:rFonts w:hint="cs"/>
          <w:rtl/>
        </w:rPr>
        <w:t>. ב"כ הנאשם עמד על כך שמדובר בעבירות שהנזק שהיה צפוי מהן הוא מינימלי, זאת נוכח העובדה שמהרגע הראשון עמד הנאשם בקשר עם סוכן משטרתי אוסטרלי אשר מן הסתם מעולם לא התכוון לשלוח אקדח לישראל.</w:t>
      </w:r>
      <w:r w:rsidRPr="00784490">
        <w:rPr>
          <w:rFonts w:hint="cs"/>
          <w:b/>
          <w:bCs/>
          <w:rtl/>
        </w:rPr>
        <w:t xml:space="preserve"> </w:t>
      </w:r>
      <w:r w:rsidRPr="00E069DC">
        <w:rPr>
          <w:rFonts w:hint="cs"/>
          <w:rtl/>
        </w:rPr>
        <w:t xml:space="preserve">על רקע נסיבות אלה, </w:t>
      </w:r>
      <w:r>
        <w:rPr>
          <w:rFonts w:hint="cs"/>
          <w:rtl/>
        </w:rPr>
        <w:t xml:space="preserve">טען ב"כ הנאשם שעבירת הניסיון לביצוע עסקה אחרת בנשק, נמצאת בתחתית החומרה של העבירות מאותו סוג. </w:t>
      </w:r>
      <w:r w:rsidRPr="005D25A4">
        <w:rPr>
          <w:rFonts w:hint="cs"/>
          <w:rtl/>
        </w:rPr>
        <w:t xml:space="preserve">בהמשך טיעונו, </w:t>
      </w:r>
      <w:r>
        <w:rPr>
          <w:rFonts w:hint="cs"/>
          <w:rtl/>
        </w:rPr>
        <w:t xml:space="preserve">עמד ב"כ הנאשם על נסיבותיו האישיות של הנאשם אשר מצדיקות להטיל עליו עונש המצוי בתחתית מתחם העונש ההולם. </w:t>
      </w:r>
    </w:p>
    <w:p w14:paraId="720601D6" w14:textId="77777777" w:rsidR="00731CC2" w:rsidRDefault="00731CC2" w:rsidP="00731CC2">
      <w:pPr>
        <w:spacing w:line="360" w:lineRule="auto"/>
        <w:ind w:left="720"/>
        <w:jc w:val="both"/>
        <w:rPr>
          <w:rtl/>
        </w:rPr>
      </w:pPr>
      <w:r>
        <w:rPr>
          <w:rFonts w:hint="cs"/>
          <w:rtl/>
        </w:rPr>
        <w:t xml:space="preserve">לסיכום טען ב"כ הנאשם, כי מתחם העונש ההולם צריך להתחיל בעונש של מספר חודשי מאסר לריצוי בעבודות שירות, ובקשתו היא שזה העונש אשר ייגזר על הנאשם. </w:t>
      </w:r>
    </w:p>
    <w:p w14:paraId="6B816D25" w14:textId="77777777" w:rsidR="00731CC2" w:rsidRPr="005D25A4" w:rsidRDefault="00731CC2" w:rsidP="00731CC2">
      <w:pPr>
        <w:spacing w:line="360" w:lineRule="auto"/>
        <w:ind w:left="720"/>
        <w:jc w:val="both"/>
        <w:rPr>
          <w:rtl/>
        </w:rPr>
      </w:pPr>
    </w:p>
    <w:p w14:paraId="5F450EC3" w14:textId="77777777" w:rsidR="00731CC2" w:rsidRDefault="00731CC2" w:rsidP="00731CC2">
      <w:pPr>
        <w:pStyle w:val="a9"/>
        <w:numPr>
          <w:ilvl w:val="0"/>
          <w:numId w:val="1"/>
        </w:numPr>
        <w:spacing w:line="360" w:lineRule="auto"/>
        <w:rPr>
          <w:b/>
          <w:bCs/>
          <w:u w:val="single"/>
        </w:rPr>
      </w:pPr>
      <w:r>
        <w:rPr>
          <w:rFonts w:hint="cs"/>
          <w:b/>
          <w:bCs/>
          <w:u w:val="single"/>
          <w:rtl/>
        </w:rPr>
        <w:t>דברי הנאשם</w:t>
      </w:r>
    </w:p>
    <w:p w14:paraId="77544573" w14:textId="77777777" w:rsidR="00731CC2" w:rsidRPr="005D25A4" w:rsidRDefault="00731CC2" w:rsidP="00731CC2">
      <w:pPr>
        <w:pStyle w:val="a9"/>
        <w:spacing w:line="360" w:lineRule="auto"/>
        <w:jc w:val="both"/>
        <w:rPr>
          <w:rtl/>
        </w:rPr>
      </w:pPr>
      <w:r>
        <w:rPr>
          <w:rFonts w:hint="cs"/>
          <w:rtl/>
        </w:rPr>
        <w:t xml:space="preserve">לאחר טיעוני הסניגור, השמיע הנאשם את דבריו ומסר שהוא מתבייש ומצטער על המעשה שעשה, ועל הנזק האדיר שהוא גרם למשפחתו ולילדיו. הנאשם הדגיש, כי מאז שחרורו מבית המעצר, הוא עומד בקשר עם שירות המבחן מתוך רצון להבין מה גרם לו לבצע את העבירות שבהן הוא הורשע. הנאשם הבטיח כי לא יחזור לבצע עבירות כלשהן. </w:t>
      </w:r>
    </w:p>
    <w:p w14:paraId="76F93B38" w14:textId="77777777" w:rsidR="00731CC2" w:rsidRDefault="00731CC2" w:rsidP="00731CC2">
      <w:pPr>
        <w:pStyle w:val="a9"/>
        <w:spacing w:line="360" w:lineRule="auto"/>
        <w:rPr>
          <w:b/>
          <w:bCs/>
          <w:u w:val="single"/>
          <w:rtl/>
        </w:rPr>
      </w:pPr>
    </w:p>
    <w:p w14:paraId="5261C9A8" w14:textId="77777777" w:rsidR="00731CC2" w:rsidRDefault="00731CC2" w:rsidP="00731CC2">
      <w:pPr>
        <w:pStyle w:val="a9"/>
        <w:spacing w:line="360" w:lineRule="auto"/>
        <w:rPr>
          <w:b/>
          <w:bCs/>
          <w:u w:val="single"/>
          <w:rtl/>
        </w:rPr>
      </w:pPr>
      <w:r>
        <w:rPr>
          <w:rFonts w:hint="cs"/>
          <w:b/>
          <w:bCs/>
          <w:u w:val="single"/>
          <w:rtl/>
        </w:rPr>
        <w:t>דיון והכרעה</w:t>
      </w:r>
    </w:p>
    <w:p w14:paraId="0C8204AE" w14:textId="77777777" w:rsidR="00731CC2" w:rsidRDefault="00731CC2" w:rsidP="00731CC2">
      <w:pPr>
        <w:pStyle w:val="a9"/>
        <w:spacing w:line="360" w:lineRule="auto"/>
        <w:rPr>
          <w:b/>
          <w:bCs/>
          <w:u w:val="single"/>
        </w:rPr>
      </w:pPr>
    </w:p>
    <w:p w14:paraId="72FA4819" w14:textId="77777777" w:rsidR="00731CC2" w:rsidRDefault="00731CC2" w:rsidP="00731CC2">
      <w:pPr>
        <w:pStyle w:val="a9"/>
        <w:numPr>
          <w:ilvl w:val="0"/>
          <w:numId w:val="1"/>
        </w:numPr>
        <w:spacing w:line="360" w:lineRule="auto"/>
        <w:rPr>
          <w:b/>
          <w:bCs/>
          <w:u w:val="single"/>
        </w:rPr>
      </w:pPr>
      <w:r>
        <w:rPr>
          <w:rFonts w:hint="cs"/>
          <w:b/>
          <w:bCs/>
          <w:u w:val="single"/>
          <w:rtl/>
        </w:rPr>
        <w:t xml:space="preserve">מתחם עונש ההולם </w:t>
      </w:r>
      <w:r>
        <w:rPr>
          <w:b/>
          <w:bCs/>
          <w:u w:val="single"/>
          <w:rtl/>
        </w:rPr>
        <w:t>–</w:t>
      </w:r>
      <w:r>
        <w:rPr>
          <w:rFonts w:hint="cs"/>
          <w:b/>
          <w:bCs/>
          <w:u w:val="single"/>
          <w:rtl/>
        </w:rPr>
        <w:t xml:space="preserve"> הערך המוגן ומידת הפגיעה בו</w:t>
      </w:r>
    </w:p>
    <w:p w14:paraId="06ACCC77" w14:textId="77777777" w:rsidR="00731CC2" w:rsidRPr="00C355A6" w:rsidRDefault="00731CC2" w:rsidP="00731CC2">
      <w:pPr>
        <w:spacing w:line="360" w:lineRule="auto"/>
        <w:ind w:left="720" w:hanging="23"/>
        <w:jc w:val="both"/>
        <w:rPr>
          <w:rFonts w:ascii="Arial" w:hAnsi="Arial"/>
          <w:rtl/>
        </w:rPr>
      </w:pPr>
      <w:r w:rsidRPr="00C355A6">
        <w:rPr>
          <w:rFonts w:ascii="Arial" w:hAnsi="Arial"/>
          <w:rtl/>
        </w:rPr>
        <w:t>נפסק לא פעם</w:t>
      </w:r>
      <w:r>
        <w:rPr>
          <w:rFonts w:ascii="Arial" w:hAnsi="Arial" w:hint="cs"/>
          <w:rtl/>
        </w:rPr>
        <w:t>,</w:t>
      </w:r>
      <w:r w:rsidRPr="00C355A6">
        <w:rPr>
          <w:rFonts w:ascii="Arial" w:hAnsi="Arial"/>
          <w:rtl/>
        </w:rPr>
        <w:t xml:space="preserve"> כי עבירות הנשק הן עבירות חמורות, אשר פוגעות בערכים המוגנים הבסיסיים ביותר שעניינם חיי אדם ושלמות גופו של אדם, וכן בערך המוגן של שמירת הסדר הציבורי. עמד על כך בית המשפט בעניין </w:t>
      </w:r>
      <w:r w:rsidRPr="00C355A6">
        <w:rPr>
          <w:rFonts w:ascii="Arial" w:hAnsi="Arial"/>
          <w:b/>
          <w:bCs/>
          <w:rtl/>
        </w:rPr>
        <w:t>בראנסי</w:t>
      </w:r>
      <w:r w:rsidRPr="00C355A6">
        <w:rPr>
          <w:rFonts w:ascii="Arial" w:hAnsi="Arial"/>
          <w:rtl/>
        </w:rPr>
        <w:t>:</w:t>
      </w:r>
    </w:p>
    <w:p w14:paraId="2E2C9B91" w14:textId="77777777" w:rsidR="00731CC2" w:rsidRPr="00C355A6" w:rsidRDefault="00731CC2" w:rsidP="00731CC2">
      <w:pPr>
        <w:spacing w:line="360" w:lineRule="auto"/>
        <w:ind w:left="720" w:hanging="720"/>
        <w:jc w:val="both"/>
        <w:rPr>
          <w:rFonts w:ascii="Arial" w:hAnsi="Arial"/>
          <w:rtl/>
        </w:rPr>
      </w:pPr>
    </w:p>
    <w:p w14:paraId="0058D535" w14:textId="77777777" w:rsidR="00731CC2" w:rsidRPr="00C355A6" w:rsidRDefault="00731CC2" w:rsidP="00731CC2">
      <w:pPr>
        <w:spacing w:line="360" w:lineRule="auto"/>
        <w:ind w:left="1417" w:right="851" w:hanging="720"/>
        <w:jc w:val="both"/>
        <w:rPr>
          <w:rFonts w:ascii="Arial" w:hAnsi="Arial"/>
          <w:b/>
          <w:bCs/>
          <w:rtl/>
        </w:rPr>
      </w:pPr>
      <w:r w:rsidRPr="00C355A6">
        <w:rPr>
          <w:rFonts w:ascii="Arial" w:hAnsi="Arial"/>
          <w:rtl/>
        </w:rPr>
        <w:tab/>
      </w:r>
      <w:r w:rsidRPr="00C355A6">
        <w:rPr>
          <w:rFonts w:ascii="Arial" w:hAnsi="Arial"/>
          <w:b/>
          <w:bCs/>
          <w:rtl/>
        </w:rPr>
        <w:t>"פעילות של סחר בלתי חוקי בנשק אוצרת בחובה פגיעה בערכים חברתיים בעלי חשיבות רבה, בהם שלמות הגוף, חיי אדם ושלום הציבור וביטחונו.</w:t>
      </w:r>
      <w:r>
        <w:rPr>
          <w:rFonts w:ascii="Arial" w:hAnsi="Arial" w:hint="cs"/>
          <w:b/>
          <w:bCs/>
          <w:rtl/>
        </w:rPr>
        <w:t>...</w:t>
      </w:r>
      <w:r w:rsidRPr="00C355A6">
        <w:rPr>
          <w:rFonts w:ascii="Arial" w:hAnsi="Arial"/>
          <w:b/>
          <w:bCs/>
          <w:rtl/>
        </w:rPr>
        <w:t>.</w:t>
      </w:r>
      <w:r>
        <w:rPr>
          <w:rFonts w:ascii="Arial" w:hAnsi="Arial" w:hint="cs"/>
          <w:b/>
          <w:bCs/>
          <w:rtl/>
        </w:rPr>
        <w:t xml:space="preserve"> </w:t>
      </w:r>
      <w:r w:rsidRPr="00C355A6">
        <w:rPr>
          <w:rFonts w:ascii="Arial" w:hAnsi="Arial"/>
          <w:b/>
          <w:bCs/>
          <w:rtl/>
        </w:rPr>
        <w:t xml:space="preserve">חומרת הנזק הנגרם בעקבות ביצוע עבירות כגון אלו מתעצמת במקרים כבענייננו, שבהם נמכרים כלי נשק בעלי פוטנציאל פגיעה ממשי, שהרי דין סחר ברובה סער, בתת-מקלע או באקדח אמין ואיכותי, אינו כדין סחר באקדח מאולתר </w:t>
      </w:r>
      <w:r w:rsidRPr="00C355A6">
        <w:rPr>
          <w:rFonts w:ascii="Arial" w:hAnsi="Arial"/>
          <w:rtl/>
        </w:rPr>
        <w:t xml:space="preserve">(ראו למשל: </w:t>
      </w:r>
      <w:hyperlink r:id="rId20" w:history="1">
        <w:r w:rsidR="00D93175" w:rsidRPr="00D93175">
          <w:rPr>
            <w:rFonts w:ascii="Arial" w:hAnsi="Arial"/>
            <w:color w:val="0000FF"/>
            <w:u w:val="single"/>
            <w:rtl/>
          </w:rPr>
          <w:t>ע"פ 1397/16</w:t>
        </w:r>
      </w:hyperlink>
      <w:r w:rsidRPr="00C355A6">
        <w:rPr>
          <w:rFonts w:ascii="Arial" w:hAnsi="Arial"/>
          <w:rtl/>
        </w:rPr>
        <w:t xml:space="preserve"> מדינת ישראל נ' חמאיל, פסקה 13 (12.9.2016) (להלן: עניין חמאיל); עניין חסן, פסקה 10).</w:t>
      </w:r>
    </w:p>
    <w:p w14:paraId="6AF80953" w14:textId="77777777" w:rsidR="00731CC2" w:rsidRPr="00C355A6" w:rsidRDefault="00731CC2" w:rsidP="00731CC2">
      <w:pPr>
        <w:spacing w:line="360" w:lineRule="auto"/>
        <w:ind w:left="1417" w:right="851" w:hanging="720"/>
        <w:jc w:val="both"/>
        <w:rPr>
          <w:rFonts w:ascii="Arial" w:hAnsi="Arial"/>
          <w:b/>
          <w:bCs/>
          <w:rtl/>
        </w:rPr>
      </w:pPr>
      <w:r w:rsidRPr="00C355A6">
        <w:rPr>
          <w:rFonts w:ascii="Arial" w:hAnsi="Arial"/>
          <w:b/>
          <w:bCs/>
          <w:rtl/>
        </w:rPr>
        <w:tab/>
        <w:t>החומרה היתרה הכרוכה בעבירות נשק והסיכון הנשקף מביצוען לציבור, מקבלים משנה תוקף בשים לב להיקפיה של התופעה ואופן התפשטותה. כמענה לכך, מסתמנת בפסיקה מגמה עקבית להחמיר את הענישה בגין עבירות אלו, באופן שיהלום את מידת פגיעתן בערכים המוגנים ויקדם את מיגור התופעה</w:t>
      </w:r>
      <w:r>
        <w:rPr>
          <w:rFonts w:ascii="Arial" w:hAnsi="Arial" w:hint="cs"/>
          <w:b/>
          <w:bCs/>
          <w:rtl/>
        </w:rPr>
        <w:t>....</w:t>
      </w:r>
      <w:r w:rsidRPr="00C355A6">
        <w:rPr>
          <w:rFonts w:ascii="Arial" w:hAnsi="Arial"/>
          <w:b/>
          <w:bCs/>
          <w:rtl/>
        </w:rPr>
        <w:t xml:space="preserve"> משכך, חרף עיקרון הענישה האינדיבידואלית והמשקל שיש ליתן לנסיבותיו האישיות של כל נאשם לגופו, בבואו לגזור את דינו של מי שהורשע בביצוע עבירות חמורות אלו, על בית המשפט לתת בכורה לשיקולי ההרתעה והאינטרס הציבורי</w:t>
      </w:r>
      <w:r>
        <w:rPr>
          <w:rFonts w:ascii="Arial" w:hAnsi="Arial" w:hint="cs"/>
          <w:b/>
          <w:bCs/>
          <w:rtl/>
        </w:rPr>
        <w:t>...</w:t>
      </w:r>
      <w:r w:rsidRPr="00C355A6">
        <w:rPr>
          <w:rFonts w:ascii="Arial" w:hAnsi="Arial"/>
          <w:b/>
          <w:bCs/>
          <w:rtl/>
        </w:rPr>
        <w:t xml:space="preserve"> "</w:t>
      </w:r>
    </w:p>
    <w:p w14:paraId="488AA266" w14:textId="77777777" w:rsidR="00731CC2" w:rsidRPr="00C355A6" w:rsidRDefault="00731CC2" w:rsidP="00731CC2">
      <w:pPr>
        <w:spacing w:line="360" w:lineRule="auto"/>
        <w:ind w:left="1417" w:right="851" w:hanging="23"/>
        <w:jc w:val="both"/>
        <w:rPr>
          <w:rFonts w:ascii="Arial" w:hAnsi="Arial"/>
          <w:rtl/>
        </w:rPr>
      </w:pPr>
      <w:r w:rsidRPr="00C355A6">
        <w:rPr>
          <w:rFonts w:ascii="Arial" w:hAnsi="Arial"/>
          <w:rtl/>
        </w:rPr>
        <w:t>(</w:t>
      </w:r>
      <w:hyperlink r:id="rId21" w:history="1">
        <w:r w:rsidR="00D93175" w:rsidRPr="00D93175">
          <w:rPr>
            <w:rFonts w:ascii="Arial" w:hAnsi="Arial"/>
            <w:color w:val="0000FF"/>
            <w:u w:val="single"/>
            <w:rtl/>
          </w:rPr>
          <w:t>ע"פ 8045/17</w:t>
        </w:r>
      </w:hyperlink>
      <w:r w:rsidRPr="00C355A6">
        <w:rPr>
          <w:rFonts w:ascii="Arial" w:hAnsi="Arial"/>
          <w:rtl/>
        </w:rPr>
        <w:t xml:space="preserve"> </w:t>
      </w:r>
      <w:r w:rsidRPr="00C355A6">
        <w:rPr>
          <w:rFonts w:ascii="Arial" w:hAnsi="Arial"/>
          <w:b/>
          <w:bCs/>
          <w:rtl/>
        </w:rPr>
        <w:t>בראנסי</w:t>
      </w:r>
      <w:r w:rsidRPr="00C355A6">
        <w:rPr>
          <w:rFonts w:ascii="Arial" w:hAnsi="Arial"/>
          <w:rtl/>
        </w:rPr>
        <w:t xml:space="preserve"> נ' </w:t>
      </w:r>
      <w:r w:rsidRPr="00C355A6">
        <w:rPr>
          <w:rFonts w:ascii="Arial" w:hAnsi="Arial"/>
          <w:b/>
          <w:bCs/>
          <w:rtl/>
        </w:rPr>
        <w:t>מדינת ישראל</w:t>
      </w:r>
      <w:r w:rsidRPr="00C355A6">
        <w:rPr>
          <w:rFonts w:ascii="Arial" w:hAnsi="Arial"/>
          <w:rtl/>
        </w:rPr>
        <w:t xml:space="preserve"> (16.8.18)).</w:t>
      </w:r>
    </w:p>
    <w:p w14:paraId="098504D7" w14:textId="77777777" w:rsidR="00731CC2" w:rsidRPr="00C355A6" w:rsidRDefault="00731CC2" w:rsidP="00731CC2">
      <w:pPr>
        <w:spacing w:line="360" w:lineRule="auto"/>
        <w:ind w:left="720" w:hanging="720"/>
        <w:jc w:val="both"/>
        <w:rPr>
          <w:rFonts w:ascii="Arial" w:hAnsi="Arial"/>
          <w:rtl/>
        </w:rPr>
      </w:pPr>
    </w:p>
    <w:p w14:paraId="4F176127" w14:textId="77777777" w:rsidR="00731CC2" w:rsidRPr="00C355A6" w:rsidRDefault="00731CC2" w:rsidP="00731CC2">
      <w:pPr>
        <w:spacing w:line="360" w:lineRule="auto"/>
        <w:ind w:left="720" w:hanging="23"/>
        <w:jc w:val="both"/>
        <w:rPr>
          <w:rFonts w:ascii="Arial" w:hAnsi="Arial"/>
          <w:rtl/>
        </w:rPr>
      </w:pPr>
      <w:r w:rsidRPr="00C355A6">
        <w:rPr>
          <w:rFonts w:ascii="Arial" w:hAnsi="Arial"/>
          <w:rtl/>
        </w:rPr>
        <w:t xml:space="preserve"> וכן נפסק בעניין </w:t>
      </w:r>
      <w:r w:rsidRPr="00C355A6">
        <w:rPr>
          <w:rFonts w:ascii="Arial" w:hAnsi="Arial"/>
          <w:b/>
          <w:bCs/>
          <w:rtl/>
        </w:rPr>
        <w:t xml:space="preserve">הייבי </w:t>
      </w:r>
      <w:r w:rsidRPr="00C355A6">
        <w:rPr>
          <w:rFonts w:ascii="Arial" w:hAnsi="Arial"/>
          <w:rtl/>
        </w:rPr>
        <w:t>כי:</w:t>
      </w:r>
      <w:r w:rsidRPr="00C355A6">
        <w:rPr>
          <w:rFonts w:ascii="Arial" w:hAnsi="Arial"/>
          <w:b/>
          <w:bCs/>
          <w:rtl/>
        </w:rPr>
        <w:t xml:space="preserve"> </w:t>
      </w:r>
    </w:p>
    <w:p w14:paraId="4EF70616" w14:textId="77777777" w:rsidR="00731CC2" w:rsidRPr="00C355A6" w:rsidRDefault="00731CC2" w:rsidP="00731CC2">
      <w:pPr>
        <w:spacing w:line="360" w:lineRule="auto"/>
        <w:ind w:left="720" w:hanging="720"/>
        <w:jc w:val="both"/>
        <w:rPr>
          <w:rFonts w:ascii="Arial" w:hAnsi="Arial"/>
          <w:rtl/>
        </w:rPr>
      </w:pPr>
    </w:p>
    <w:p w14:paraId="75B14990" w14:textId="77777777" w:rsidR="00731CC2" w:rsidRPr="00C355A6" w:rsidRDefault="00731CC2" w:rsidP="00731CC2">
      <w:pPr>
        <w:spacing w:line="360" w:lineRule="auto"/>
        <w:ind w:left="1417" w:right="851" w:hanging="720"/>
        <w:jc w:val="both"/>
        <w:rPr>
          <w:rFonts w:ascii="Arial" w:hAnsi="Arial"/>
          <w:b/>
          <w:bCs/>
          <w:rtl/>
        </w:rPr>
      </w:pPr>
      <w:r w:rsidRPr="00C355A6">
        <w:rPr>
          <w:rFonts w:ascii="Arial" w:hAnsi="Arial"/>
          <w:rtl/>
        </w:rPr>
        <w:tab/>
      </w:r>
      <w:r w:rsidRPr="00C355A6">
        <w:rPr>
          <w:rFonts w:ascii="Arial" w:hAnsi="Arial"/>
          <w:b/>
          <w:bCs/>
          <w:rtl/>
        </w:rPr>
        <w:t>"עבירות בנשק חומרתן מכופלת, הן בעצם המעבר על החוק והן ובמוטעם במאטריה הספציפית; נשק שאינו כדין, קרי – ברישיון כדבעי, מועד לפורענות. זכורה האמירה, אם ראית במחזה תיאטרון אקדח במערכה הראשונה, סופו שיירה במערכה השנייה או השלישית. הימצאו של נשק בידיים לא נכונות, עלול להביא בסופו של יום אף לקיפוד חיי אדם ר"ל".</w:t>
      </w:r>
    </w:p>
    <w:p w14:paraId="2D6015C5" w14:textId="77777777" w:rsidR="00731CC2" w:rsidRPr="00C355A6" w:rsidRDefault="00731CC2" w:rsidP="00731CC2">
      <w:pPr>
        <w:spacing w:line="360" w:lineRule="auto"/>
        <w:ind w:left="1417" w:right="851" w:hanging="720"/>
        <w:jc w:val="both"/>
        <w:rPr>
          <w:rFonts w:ascii="Arial" w:hAnsi="Arial"/>
          <w:rtl/>
        </w:rPr>
      </w:pPr>
      <w:r w:rsidRPr="00C355A6">
        <w:rPr>
          <w:rFonts w:ascii="Arial" w:hAnsi="Arial"/>
          <w:b/>
          <w:bCs/>
          <w:rtl/>
        </w:rPr>
        <w:tab/>
        <w:t>(</w:t>
      </w:r>
      <w:hyperlink r:id="rId22" w:history="1">
        <w:r w:rsidR="00D93175" w:rsidRPr="00D93175">
          <w:rPr>
            <w:rFonts w:ascii="Arial" w:hAnsi="Arial"/>
            <w:color w:val="0000FF"/>
            <w:u w:val="single"/>
            <w:rtl/>
          </w:rPr>
          <w:t>ע"פ 6371/11</w:t>
        </w:r>
      </w:hyperlink>
      <w:r w:rsidRPr="00C355A6">
        <w:rPr>
          <w:rFonts w:ascii="Arial" w:hAnsi="Arial"/>
          <w:rtl/>
        </w:rPr>
        <w:t xml:space="preserve"> </w:t>
      </w:r>
      <w:r w:rsidRPr="00C355A6">
        <w:rPr>
          <w:rFonts w:ascii="Arial" w:hAnsi="Arial"/>
          <w:b/>
          <w:bCs/>
          <w:rtl/>
        </w:rPr>
        <w:t xml:space="preserve">מדינת ישראל </w:t>
      </w:r>
      <w:r w:rsidRPr="00C355A6">
        <w:rPr>
          <w:rFonts w:ascii="Arial" w:hAnsi="Arial"/>
          <w:rtl/>
        </w:rPr>
        <w:t>נ'</w:t>
      </w:r>
      <w:r w:rsidRPr="00C355A6">
        <w:rPr>
          <w:rFonts w:ascii="Arial" w:hAnsi="Arial"/>
          <w:b/>
          <w:bCs/>
          <w:rtl/>
        </w:rPr>
        <w:t xml:space="preserve"> אנס הייבי </w:t>
      </w:r>
      <w:r w:rsidRPr="00C355A6">
        <w:rPr>
          <w:rFonts w:ascii="Arial" w:hAnsi="Arial"/>
          <w:rtl/>
        </w:rPr>
        <w:t xml:space="preserve">(18.12.11)). </w:t>
      </w:r>
    </w:p>
    <w:p w14:paraId="5A2FF52A" w14:textId="77777777" w:rsidR="00731CC2" w:rsidRPr="00C355A6" w:rsidRDefault="00731CC2" w:rsidP="00731CC2">
      <w:pPr>
        <w:spacing w:line="360" w:lineRule="auto"/>
        <w:ind w:left="720" w:hanging="720"/>
        <w:rPr>
          <w:rtl/>
        </w:rPr>
      </w:pPr>
    </w:p>
    <w:p w14:paraId="7CDD3AD9" w14:textId="77777777" w:rsidR="00731CC2" w:rsidRPr="00C355A6" w:rsidRDefault="00731CC2" w:rsidP="00731CC2">
      <w:pPr>
        <w:spacing w:line="360" w:lineRule="auto"/>
        <w:ind w:left="720" w:hanging="720"/>
        <w:jc w:val="both"/>
        <w:rPr>
          <w:rtl/>
        </w:rPr>
      </w:pPr>
      <w:r w:rsidRPr="00C355A6">
        <w:rPr>
          <w:rtl/>
        </w:rPr>
        <w:tab/>
        <w:t xml:space="preserve">בעניין </w:t>
      </w:r>
      <w:r w:rsidRPr="00C355A6">
        <w:rPr>
          <w:b/>
          <w:bCs/>
          <w:rtl/>
        </w:rPr>
        <w:t>סלימאן</w:t>
      </w:r>
      <w:r w:rsidRPr="00C355A6">
        <w:rPr>
          <w:rtl/>
        </w:rPr>
        <w:t xml:space="preserve"> עמדה כב' השופטת ארבל על מדרג עבירות הנשק לפי חומרתן:</w:t>
      </w:r>
    </w:p>
    <w:p w14:paraId="4E279AEE" w14:textId="77777777" w:rsidR="00731CC2" w:rsidRPr="00C355A6" w:rsidRDefault="00731CC2" w:rsidP="00731CC2">
      <w:pPr>
        <w:spacing w:line="360" w:lineRule="auto"/>
        <w:ind w:left="720" w:hanging="720"/>
        <w:jc w:val="both"/>
        <w:rPr>
          <w:rtl/>
        </w:rPr>
      </w:pPr>
    </w:p>
    <w:p w14:paraId="606F7F4A" w14:textId="77777777" w:rsidR="00731CC2" w:rsidRPr="00C355A6" w:rsidRDefault="00731CC2" w:rsidP="00731CC2">
      <w:pPr>
        <w:spacing w:line="360" w:lineRule="auto"/>
        <w:ind w:left="1417" w:right="851"/>
        <w:jc w:val="both"/>
        <w:rPr>
          <w:b/>
          <w:bCs/>
          <w:rtl/>
        </w:rPr>
      </w:pPr>
      <w:r w:rsidRPr="00C355A6">
        <w:rPr>
          <w:b/>
          <w:bCs/>
          <w:rtl/>
        </w:rPr>
        <w:t>"</w:t>
      </w:r>
      <w:r w:rsidRPr="00C355A6">
        <w:rPr>
          <w:sz w:val="20"/>
          <w:rtl/>
        </w:rPr>
        <w:t xml:space="preserve"> </w:t>
      </w:r>
      <w:r w:rsidRPr="00C355A6">
        <w:rPr>
          <w:b/>
          <w:bCs/>
          <w:rtl/>
        </w:rPr>
        <w:t>בענייננו מדובר בעבירות של רכישה והחזקת נשק ותחמושת לפי סעיף 144(א) רישא וסיפא – עבירות המצויות ברף התחתון במדרג החומרה היחסי שקבע המחוקק לעבירות נשק; וכן בעבירות של נשיאה והובלת נשק ותחמושת לפי סעיף 144(ב) רישא וסיפא, המצויות במעמד ביניים מבחינת חומרתן היחסית, כאשר מעליהן ניצבת העבירה של ייצור, ייבוא או סחר בנשק."</w:t>
      </w:r>
    </w:p>
    <w:p w14:paraId="30732A20" w14:textId="77777777" w:rsidR="00731CC2" w:rsidRPr="00C355A6" w:rsidRDefault="00731CC2" w:rsidP="00731CC2">
      <w:pPr>
        <w:spacing w:line="360" w:lineRule="auto"/>
        <w:ind w:left="1417" w:right="851"/>
        <w:jc w:val="both"/>
        <w:rPr>
          <w:rtl/>
        </w:rPr>
      </w:pPr>
      <w:r w:rsidRPr="00C355A6">
        <w:rPr>
          <w:rtl/>
        </w:rPr>
        <w:t>(</w:t>
      </w:r>
      <w:hyperlink r:id="rId23" w:history="1">
        <w:r w:rsidR="00D93175" w:rsidRPr="00D93175">
          <w:rPr>
            <w:color w:val="0000FF"/>
            <w:u w:val="single"/>
            <w:rtl/>
          </w:rPr>
          <w:t>ע"פ 4945/13</w:t>
        </w:r>
      </w:hyperlink>
      <w:r w:rsidRPr="00C355A6">
        <w:rPr>
          <w:rtl/>
        </w:rPr>
        <w:t xml:space="preserve"> </w:t>
      </w:r>
      <w:r w:rsidRPr="00C355A6">
        <w:rPr>
          <w:b/>
          <w:bCs/>
          <w:rtl/>
        </w:rPr>
        <w:t>מדינת ישראל</w:t>
      </w:r>
      <w:r w:rsidRPr="00C355A6">
        <w:rPr>
          <w:rtl/>
        </w:rPr>
        <w:t xml:space="preserve"> נ' </w:t>
      </w:r>
      <w:r w:rsidRPr="00C355A6">
        <w:rPr>
          <w:b/>
          <w:bCs/>
          <w:rtl/>
        </w:rPr>
        <w:t>סלימאן</w:t>
      </w:r>
      <w:r w:rsidRPr="00C355A6">
        <w:rPr>
          <w:rtl/>
        </w:rPr>
        <w:t xml:space="preserve"> (19.1.14).</w:t>
      </w:r>
    </w:p>
    <w:p w14:paraId="4D23EB36" w14:textId="77777777" w:rsidR="00731CC2" w:rsidRPr="00C355A6" w:rsidRDefault="00731CC2" w:rsidP="00731CC2">
      <w:pPr>
        <w:spacing w:line="360" w:lineRule="auto"/>
        <w:ind w:left="720"/>
        <w:jc w:val="both"/>
        <w:rPr>
          <w:rtl/>
        </w:rPr>
      </w:pPr>
    </w:p>
    <w:p w14:paraId="76034B6F" w14:textId="77777777" w:rsidR="00731CC2" w:rsidRDefault="00731CC2" w:rsidP="00731CC2">
      <w:pPr>
        <w:spacing w:line="360" w:lineRule="auto"/>
        <w:ind w:left="720"/>
        <w:jc w:val="both"/>
        <w:rPr>
          <w:rtl/>
        </w:rPr>
      </w:pPr>
      <w:r w:rsidRPr="00C355A6">
        <w:rPr>
          <w:rtl/>
        </w:rPr>
        <w:t xml:space="preserve">בהמשך לכל האמור לעיל, נפסק כי בכפוף לנסיבות כל מקרה ומקרה הענישה בעבירות נשק צריכה לכלול בדרך כלל רכיב של מאסר בפועל (ראו - </w:t>
      </w:r>
      <w:hyperlink r:id="rId24" w:history="1">
        <w:r w:rsidR="00DE5C88" w:rsidRPr="00DE5C88">
          <w:rPr>
            <w:color w:val="0000FF"/>
            <w:u w:val="single"/>
            <w:rtl/>
          </w:rPr>
          <w:t xml:space="preserve">ע"פ 1332/04 </w:t>
        </w:r>
      </w:hyperlink>
      <w:r w:rsidRPr="00D93175">
        <w:rPr>
          <w:color w:val="000000"/>
          <w:rtl/>
        </w:rPr>
        <w:t xml:space="preserve"> </w:t>
      </w:r>
      <w:r w:rsidRPr="00C355A6">
        <w:rPr>
          <w:rtl/>
        </w:rPr>
        <w:t xml:space="preserve"> </w:t>
      </w:r>
      <w:r w:rsidRPr="00C355A6">
        <w:rPr>
          <w:b/>
          <w:bCs/>
          <w:rtl/>
        </w:rPr>
        <w:t xml:space="preserve">מדינת ישראל </w:t>
      </w:r>
      <w:r w:rsidRPr="00C355A6">
        <w:rPr>
          <w:rtl/>
        </w:rPr>
        <w:t xml:space="preserve">נ' </w:t>
      </w:r>
      <w:r w:rsidRPr="00C355A6">
        <w:rPr>
          <w:b/>
          <w:bCs/>
          <w:rtl/>
        </w:rPr>
        <w:t>פס</w:t>
      </w:r>
      <w:r w:rsidRPr="00C355A6">
        <w:rPr>
          <w:rtl/>
        </w:rPr>
        <w:t xml:space="preserve"> (19.4.04); </w:t>
      </w:r>
      <w:hyperlink r:id="rId25" w:history="1">
        <w:r w:rsidR="00D93175" w:rsidRPr="00D93175">
          <w:rPr>
            <w:color w:val="0000FF"/>
            <w:u w:val="single"/>
            <w:rtl/>
          </w:rPr>
          <w:t>ע"פ 5220/09</w:t>
        </w:r>
      </w:hyperlink>
      <w:r w:rsidRPr="00C355A6">
        <w:rPr>
          <w:rtl/>
        </w:rPr>
        <w:t xml:space="preserve"> </w:t>
      </w:r>
      <w:r w:rsidRPr="00C355A6">
        <w:rPr>
          <w:b/>
          <w:bCs/>
          <w:rtl/>
        </w:rPr>
        <w:t xml:space="preserve">עוואודה </w:t>
      </w:r>
      <w:r w:rsidRPr="00C355A6">
        <w:rPr>
          <w:rtl/>
        </w:rPr>
        <w:t xml:space="preserve">נ' </w:t>
      </w:r>
      <w:r w:rsidRPr="00C355A6">
        <w:rPr>
          <w:b/>
          <w:bCs/>
          <w:rtl/>
        </w:rPr>
        <w:t>מדינת ישראל</w:t>
      </w:r>
      <w:r w:rsidRPr="00C355A6">
        <w:rPr>
          <w:rtl/>
        </w:rPr>
        <w:t xml:space="preserve"> (30.12.09); </w:t>
      </w:r>
      <w:hyperlink r:id="rId26" w:history="1">
        <w:r w:rsidR="00D93175" w:rsidRPr="00D93175">
          <w:rPr>
            <w:color w:val="0000FF"/>
            <w:u w:val="single"/>
            <w:rtl/>
          </w:rPr>
          <w:t>ע"פ 9702/16</w:t>
        </w:r>
      </w:hyperlink>
      <w:r w:rsidRPr="00C355A6">
        <w:rPr>
          <w:rtl/>
        </w:rPr>
        <w:t xml:space="preserve"> </w:t>
      </w:r>
      <w:r w:rsidRPr="00C355A6">
        <w:rPr>
          <w:b/>
          <w:bCs/>
          <w:rtl/>
        </w:rPr>
        <w:t xml:space="preserve">אילוליאיה </w:t>
      </w:r>
      <w:r w:rsidRPr="00C355A6">
        <w:rPr>
          <w:rtl/>
        </w:rPr>
        <w:t>נ'</w:t>
      </w:r>
      <w:r w:rsidRPr="00C355A6">
        <w:rPr>
          <w:b/>
          <w:bCs/>
          <w:rtl/>
        </w:rPr>
        <w:t xml:space="preserve"> מדינת ישראל </w:t>
      </w:r>
      <w:r w:rsidRPr="00C355A6">
        <w:rPr>
          <w:rtl/>
        </w:rPr>
        <w:t>(13.9.17)).</w:t>
      </w:r>
    </w:p>
    <w:p w14:paraId="7771D2D6" w14:textId="77777777" w:rsidR="00731CC2" w:rsidRDefault="00731CC2" w:rsidP="00731CC2">
      <w:pPr>
        <w:spacing w:line="360" w:lineRule="auto"/>
        <w:ind w:left="720"/>
        <w:jc w:val="both"/>
        <w:rPr>
          <w:rtl/>
        </w:rPr>
      </w:pPr>
      <w:r>
        <w:rPr>
          <w:rFonts w:hint="cs"/>
          <w:rtl/>
        </w:rPr>
        <w:t xml:space="preserve">בענייננו מידת הפגיעה בערך המוגן נמוכה עד בינונית. ראשית, האקדח שרכש הנאשם מעולם לא הגיע לידיו וגם לא לידיים בלתי מורשות אחרות. שנית, הנאשם הורשע בעבירות ניסיון ולא בעבירות מושלמות של רכישת נשק או ביצוע עסקה אחרת בנשק. שלישית, הנאשם רכש נשק ולא מכר נשק, ורביעית, כאמור בעניין </w:t>
      </w:r>
      <w:r w:rsidRPr="00E7502C">
        <w:rPr>
          <w:rFonts w:hint="cs"/>
          <w:b/>
          <w:bCs/>
          <w:rtl/>
        </w:rPr>
        <w:t>סלימאן</w:t>
      </w:r>
      <w:r>
        <w:rPr>
          <w:rFonts w:hint="cs"/>
          <w:rtl/>
        </w:rPr>
        <w:t xml:space="preserve"> הנ"ל, העבירה השנייה בה הורשע הנאשם </w:t>
      </w:r>
      <w:r>
        <w:rPr>
          <w:rtl/>
        </w:rPr>
        <w:t>–</w:t>
      </w:r>
      <w:r>
        <w:rPr>
          <w:rFonts w:hint="cs"/>
          <w:rtl/>
        </w:rPr>
        <w:t xml:space="preserve"> עבירה לפי </w:t>
      </w:r>
      <w:hyperlink r:id="rId27" w:history="1">
        <w:r w:rsidR="00271CE5" w:rsidRPr="00271CE5">
          <w:rPr>
            <w:rStyle w:val="Hyperlink"/>
            <w:rFonts w:hint="eastAsia"/>
            <w:rtl/>
          </w:rPr>
          <w:t>סעיף</w:t>
        </w:r>
        <w:r w:rsidR="00271CE5" w:rsidRPr="00271CE5">
          <w:rPr>
            <w:rStyle w:val="Hyperlink"/>
            <w:rtl/>
          </w:rPr>
          <w:t xml:space="preserve"> 144(א)</w:t>
        </w:r>
      </w:hyperlink>
      <w:r>
        <w:rPr>
          <w:rFonts w:hint="cs"/>
          <w:rtl/>
        </w:rPr>
        <w:t xml:space="preserve"> לחוק - מצויה ברף התחתון של מדרג עבירות הנשק. אכן, העבירה הראשונה בה הורשע הנאשם </w:t>
      </w:r>
      <w:r>
        <w:rPr>
          <w:rtl/>
        </w:rPr>
        <w:t>–</w:t>
      </w:r>
      <w:r>
        <w:rPr>
          <w:rFonts w:hint="cs"/>
          <w:rtl/>
        </w:rPr>
        <w:t xml:space="preserve"> עבירה לפי </w:t>
      </w:r>
      <w:hyperlink r:id="rId28" w:history="1">
        <w:r w:rsidR="00271CE5" w:rsidRPr="00271CE5">
          <w:rPr>
            <w:rStyle w:val="Hyperlink"/>
            <w:rFonts w:hint="eastAsia"/>
            <w:rtl/>
          </w:rPr>
          <w:t>סעיף</w:t>
        </w:r>
        <w:r w:rsidR="00271CE5" w:rsidRPr="00271CE5">
          <w:rPr>
            <w:rStyle w:val="Hyperlink"/>
            <w:rtl/>
          </w:rPr>
          <w:t xml:space="preserve"> 144(ב2)</w:t>
        </w:r>
      </w:hyperlink>
      <w:r>
        <w:rPr>
          <w:rFonts w:hint="cs"/>
          <w:rtl/>
        </w:rPr>
        <w:t xml:space="preserve"> לחוק </w:t>
      </w:r>
      <w:r>
        <w:rPr>
          <w:rtl/>
        </w:rPr>
        <w:t>–</w:t>
      </w:r>
      <w:r>
        <w:rPr>
          <w:rFonts w:hint="cs"/>
          <w:rtl/>
        </w:rPr>
        <w:t xml:space="preserve"> מצויה במדרג החומרה העליון של עבירות הנשק, ברם נסיבות ביצועה של עבירה זו במקרה הקונקרטי של הנאשם שלפניי דומות בחומרתן לנסיבות של ביצוע עבירה לפי </w:t>
      </w:r>
      <w:hyperlink r:id="rId29" w:history="1">
        <w:r w:rsidR="00271CE5" w:rsidRPr="00271CE5">
          <w:rPr>
            <w:rStyle w:val="Hyperlink"/>
            <w:rFonts w:hint="eastAsia"/>
            <w:rtl/>
          </w:rPr>
          <w:t>סעיף</w:t>
        </w:r>
        <w:r w:rsidR="00271CE5" w:rsidRPr="00271CE5">
          <w:rPr>
            <w:rStyle w:val="Hyperlink"/>
            <w:rtl/>
          </w:rPr>
          <w:t xml:space="preserve"> 144(א)</w:t>
        </w:r>
      </w:hyperlink>
      <w:r>
        <w:rPr>
          <w:rFonts w:hint="cs"/>
          <w:rtl/>
        </w:rPr>
        <w:t xml:space="preserve"> לחוק (וראו </w:t>
      </w:r>
      <w:r>
        <w:rPr>
          <w:rtl/>
        </w:rPr>
        <w:t>–</w:t>
      </w:r>
      <w:r>
        <w:rPr>
          <w:rFonts w:hint="cs"/>
          <w:rtl/>
        </w:rPr>
        <w:t xml:space="preserve"> </w:t>
      </w:r>
      <w:hyperlink r:id="rId30" w:history="1">
        <w:r w:rsidR="00D93175" w:rsidRPr="00D93175">
          <w:rPr>
            <w:color w:val="0000FF"/>
            <w:u w:val="single"/>
            <w:rtl/>
          </w:rPr>
          <w:t>ע"פ 1142/11</w:t>
        </w:r>
      </w:hyperlink>
      <w:r>
        <w:rPr>
          <w:rFonts w:hint="cs"/>
          <w:rtl/>
        </w:rPr>
        <w:t xml:space="preserve"> </w:t>
      </w:r>
      <w:r w:rsidRPr="00387D63">
        <w:rPr>
          <w:rFonts w:hint="cs"/>
          <w:b/>
          <w:bCs/>
          <w:rtl/>
        </w:rPr>
        <w:t>סדיר</w:t>
      </w:r>
      <w:r>
        <w:rPr>
          <w:rFonts w:hint="cs"/>
          <w:rtl/>
        </w:rPr>
        <w:t xml:space="preserve"> נ' </w:t>
      </w:r>
      <w:r w:rsidRPr="00387D63">
        <w:rPr>
          <w:rFonts w:hint="cs"/>
          <w:b/>
          <w:bCs/>
          <w:rtl/>
        </w:rPr>
        <w:t>מדינת ישראל</w:t>
      </w:r>
      <w:r>
        <w:rPr>
          <w:rFonts w:hint="cs"/>
          <w:rtl/>
        </w:rPr>
        <w:t xml:space="preserve"> (8.2.12)).</w:t>
      </w:r>
    </w:p>
    <w:p w14:paraId="64B26323" w14:textId="77777777" w:rsidR="00731CC2" w:rsidRPr="00C355A6" w:rsidRDefault="00731CC2" w:rsidP="00731CC2">
      <w:pPr>
        <w:spacing w:line="360" w:lineRule="auto"/>
        <w:ind w:left="720"/>
        <w:jc w:val="both"/>
        <w:rPr>
          <w:rtl/>
        </w:rPr>
      </w:pPr>
    </w:p>
    <w:p w14:paraId="2A92183F" w14:textId="77777777" w:rsidR="00731CC2" w:rsidRDefault="00731CC2" w:rsidP="00731CC2">
      <w:pPr>
        <w:pStyle w:val="a9"/>
        <w:numPr>
          <w:ilvl w:val="0"/>
          <w:numId w:val="1"/>
        </w:numPr>
        <w:spacing w:line="360" w:lineRule="auto"/>
        <w:jc w:val="both"/>
        <w:rPr>
          <w:b/>
          <w:bCs/>
          <w:u w:val="single"/>
        </w:rPr>
      </w:pPr>
      <w:r>
        <w:rPr>
          <w:rFonts w:hint="cs"/>
          <w:b/>
          <w:bCs/>
          <w:u w:val="single"/>
          <w:rtl/>
        </w:rPr>
        <w:t xml:space="preserve">מתחם העונש ההולם </w:t>
      </w:r>
      <w:r>
        <w:rPr>
          <w:b/>
          <w:bCs/>
          <w:u w:val="single"/>
          <w:rtl/>
        </w:rPr>
        <w:t>–</w:t>
      </w:r>
      <w:r>
        <w:rPr>
          <w:rFonts w:hint="cs"/>
          <w:b/>
          <w:bCs/>
          <w:u w:val="single"/>
          <w:rtl/>
        </w:rPr>
        <w:t xml:space="preserve"> מדיניות הענישה הנהוגה</w:t>
      </w:r>
    </w:p>
    <w:p w14:paraId="41B8FD42" w14:textId="77777777" w:rsidR="00731CC2" w:rsidRDefault="00731CC2" w:rsidP="00731CC2">
      <w:pPr>
        <w:pStyle w:val="a9"/>
        <w:spacing w:line="360" w:lineRule="auto"/>
        <w:jc w:val="both"/>
        <w:rPr>
          <w:rtl/>
        </w:rPr>
      </w:pPr>
      <w:r>
        <w:rPr>
          <w:rFonts w:hint="cs"/>
          <w:rtl/>
        </w:rPr>
        <w:t>ב"כ המאשימה הגישה לעיון בית המשפט גזר דין שניתן ב</w:t>
      </w:r>
      <w:hyperlink r:id="rId31" w:history="1">
        <w:r w:rsidR="00D93175" w:rsidRPr="00D93175">
          <w:rPr>
            <w:color w:val="0000FF"/>
            <w:u w:val="single"/>
            <w:rtl/>
          </w:rPr>
          <w:t>ת"פ 4795-12-17</w:t>
        </w:r>
      </w:hyperlink>
      <w:r>
        <w:rPr>
          <w:rFonts w:hint="cs"/>
          <w:rtl/>
        </w:rPr>
        <w:t xml:space="preserve"> </w:t>
      </w:r>
      <w:r w:rsidRPr="00AD504B">
        <w:rPr>
          <w:rFonts w:hint="cs"/>
          <w:b/>
          <w:bCs/>
          <w:rtl/>
        </w:rPr>
        <w:t>מדינת ישראל נ' בדראן</w:t>
      </w:r>
      <w:r>
        <w:rPr>
          <w:rFonts w:hint="cs"/>
          <w:b/>
          <w:bCs/>
          <w:rtl/>
        </w:rPr>
        <w:t xml:space="preserve"> </w:t>
      </w:r>
      <w:r>
        <w:rPr>
          <w:rFonts w:hint="cs"/>
          <w:rtl/>
        </w:rPr>
        <w:t xml:space="preserve">(18.12.19), שם בית המשפט סקר את הענישה הנוהגת בעבירות של עסקה אחרת בנשק. בית המשפט קבע באותו עניין, כי טווח הענישה רחב וכי הוא משתנה לנוכח סוג הנשק שבו נעשתה העסקה, חלקו של הנאשם בעסקה והשאלה האם העסקה הושלמה. בית המשפט המחוזי הפנה לכך שבעניין </w:t>
      </w:r>
      <w:r w:rsidRPr="001D1E22">
        <w:rPr>
          <w:rFonts w:hint="cs"/>
          <w:b/>
          <w:bCs/>
          <w:rtl/>
        </w:rPr>
        <w:t>בר</w:t>
      </w:r>
      <w:r>
        <w:rPr>
          <w:rFonts w:hint="cs"/>
          <w:b/>
          <w:bCs/>
          <w:rtl/>
        </w:rPr>
        <w:t>א</w:t>
      </w:r>
      <w:r w:rsidRPr="001D1E22">
        <w:rPr>
          <w:rFonts w:hint="cs"/>
          <w:b/>
          <w:bCs/>
          <w:rtl/>
        </w:rPr>
        <w:t>נסי</w:t>
      </w:r>
      <w:r>
        <w:rPr>
          <w:rFonts w:hint="cs"/>
          <w:b/>
          <w:bCs/>
          <w:rtl/>
        </w:rPr>
        <w:t xml:space="preserve"> </w:t>
      </w:r>
      <w:r>
        <w:rPr>
          <w:rFonts w:hint="cs"/>
          <w:rtl/>
        </w:rPr>
        <w:t xml:space="preserve">נקבע לגבי עסקה של מכירת אקדח, מתחם ענישה של 24 עד 48 חודשי מאסר. בית המשפט הפנה לגזרי דין מהם עולה, כי במקרים של הרשעה בעבירות של ניסיון לביצוע עסקה אחרת בנשק, קבעו בתי המשפט מתחמי ענישה העומדים על מחצית ממתחם הענישה שנקבע לגבי מי שהורשעו בביצוע עבירות מושלמות. מתחמים אלו נעים בין 8 חודשי מאסר ל-48 חודשי מאסר. בסופו של דבר בעניין שלפניו העמיד בית המשפט המחוזי את מתחם העונש ההולם בעניינו של מי שהורשע בעבירה של רכישת נשק על 10 עד 24 חודשי מאסר. </w:t>
      </w:r>
    </w:p>
    <w:p w14:paraId="70D894AE" w14:textId="77777777" w:rsidR="00731CC2" w:rsidRDefault="00731CC2" w:rsidP="00731CC2">
      <w:pPr>
        <w:pStyle w:val="a9"/>
        <w:spacing w:line="360" w:lineRule="auto"/>
        <w:jc w:val="both"/>
        <w:rPr>
          <w:rtl/>
        </w:rPr>
      </w:pPr>
      <w:r>
        <w:rPr>
          <w:rFonts w:hint="cs"/>
          <w:rtl/>
        </w:rPr>
        <w:t>ב"כ הנאשם הציג מספר גזרי דין בהם נגזרו עונשים קלים יחסית בגין עבירות נשק.</w:t>
      </w:r>
    </w:p>
    <w:p w14:paraId="3FCCD0E5" w14:textId="77777777" w:rsidR="00731CC2" w:rsidRDefault="00731CC2" w:rsidP="00731CC2">
      <w:pPr>
        <w:pStyle w:val="a9"/>
        <w:spacing w:line="360" w:lineRule="auto"/>
        <w:jc w:val="both"/>
        <w:rPr>
          <w:rtl/>
        </w:rPr>
      </w:pPr>
      <w:r>
        <w:rPr>
          <w:rFonts w:hint="cs"/>
          <w:rtl/>
        </w:rPr>
        <w:t>כך, ב</w:t>
      </w:r>
      <w:hyperlink r:id="rId32" w:history="1">
        <w:r w:rsidR="00D93175" w:rsidRPr="00D93175">
          <w:rPr>
            <w:color w:val="0000FF"/>
            <w:u w:val="single"/>
            <w:rtl/>
          </w:rPr>
          <w:t>ע"פ 4945/13</w:t>
        </w:r>
      </w:hyperlink>
      <w:r>
        <w:rPr>
          <w:rFonts w:hint="cs"/>
          <w:rtl/>
        </w:rPr>
        <w:t xml:space="preserve">  </w:t>
      </w:r>
      <w:r w:rsidRPr="00864782">
        <w:rPr>
          <w:rFonts w:hint="cs"/>
          <w:b/>
          <w:bCs/>
          <w:rtl/>
        </w:rPr>
        <w:t>מדינת ישראל נ' סלימאן</w:t>
      </w:r>
      <w:r>
        <w:rPr>
          <w:rFonts w:hint="cs"/>
          <w:rtl/>
        </w:rPr>
        <w:t xml:space="preserve"> (19.1.14), נגזר על המשיב שהורשע לאחר שמיעת ראיות בעבירות של רכישת נשק, רכישת תחמושת, נשיאה והובלה של נשק, הובלה של תחמושת, הפרעה לשוטר במילוי תפקידו, מעשה פזיזות ורשלנות והסתייעות ברכב לביצוע פשע, עונש של 6 חודשי מאסר בפועל. בית המשפט העליון קבע, כי מתחם העונש ההולם במקרה זה צריך לנוע בין 12 ל-36 חודשי מאסר בפועל, וכי ככלל לא ניתן להסתפק בעבירות מהסוג הנדון ובנסיבות ביצוען, בעונש של מאסר בעבודות שירות. יחד עם זאת, בסופו של דבר, בית המשפט העליון דחה את ערעורה של המדינה על קולת העונש וזאת מנימוקים של חריגה מהמתחם בשל שיקולי שיקום.</w:t>
      </w:r>
    </w:p>
    <w:p w14:paraId="2F76BA6F" w14:textId="77777777" w:rsidR="00731CC2" w:rsidRDefault="00731CC2" w:rsidP="00731CC2">
      <w:pPr>
        <w:pStyle w:val="a9"/>
        <w:spacing w:line="360" w:lineRule="auto"/>
        <w:jc w:val="both"/>
        <w:rPr>
          <w:rtl/>
        </w:rPr>
      </w:pPr>
      <w:r>
        <w:rPr>
          <w:rFonts w:hint="cs"/>
          <w:rtl/>
        </w:rPr>
        <w:t>ב</w:t>
      </w:r>
      <w:hyperlink r:id="rId33" w:history="1">
        <w:r w:rsidR="00D93175" w:rsidRPr="00D93175">
          <w:rPr>
            <w:color w:val="0000FF"/>
            <w:u w:val="single"/>
            <w:rtl/>
          </w:rPr>
          <w:t>רע"פ 7344/18</w:t>
        </w:r>
      </w:hyperlink>
      <w:r>
        <w:rPr>
          <w:rFonts w:hint="cs"/>
          <w:rtl/>
        </w:rPr>
        <w:t xml:space="preserve"> </w:t>
      </w:r>
      <w:r>
        <w:rPr>
          <w:rFonts w:hint="cs"/>
          <w:b/>
          <w:bCs/>
          <w:rtl/>
        </w:rPr>
        <w:t>מג'יד נ' מדינת ישראל</w:t>
      </w:r>
      <w:r>
        <w:rPr>
          <w:rFonts w:hint="cs"/>
          <w:rtl/>
        </w:rPr>
        <w:t xml:space="preserve"> נדון עניינו של מבקש אשר הורשע בעבירה של החזקת נשק שלא כדין ונגזר עליו עונש של 8 חודשי מאסר לריצוי בפועל. יודגש, שבאותו עניין היה מדובר בנשק דמוי רובה סער. בר"ע שהגיש המבקש על חומרת העונש, נדחתה, תוך שבית המשפט העליון הדגיש, כי העונש שנגזר מבטא איזון ראוי במכלול השיקולים הראויים להישקל בנסיבות העניין, בדגש על החומרה היתרה המיוחסת לעבירות נשק, אשר מחייבת בדרך כלל ענישה בדמות מאסר מאחורי סורג ובריח. </w:t>
      </w:r>
    </w:p>
    <w:p w14:paraId="78DAF49C" w14:textId="77777777" w:rsidR="00731CC2" w:rsidRDefault="00731CC2" w:rsidP="00731CC2">
      <w:pPr>
        <w:pStyle w:val="a9"/>
        <w:spacing w:line="360" w:lineRule="auto"/>
        <w:jc w:val="both"/>
        <w:rPr>
          <w:rtl/>
        </w:rPr>
      </w:pPr>
      <w:r>
        <w:rPr>
          <w:rFonts w:hint="cs"/>
          <w:rtl/>
        </w:rPr>
        <w:t>ב</w:t>
      </w:r>
      <w:hyperlink r:id="rId34" w:history="1">
        <w:r w:rsidR="00D93175" w:rsidRPr="00D93175">
          <w:rPr>
            <w:color w:val="0000FF"/>
            <w:u w:val="single"/>
            <w:rtl/>
          </w:rPr>
          <w:t>ע"פ 5681/14</w:t>
        </w:r>
      </w:hyperlink>
      <w:r>
        <w:rPr>
          <w:rFonts w:hint="cs"/>
          <w:rtl/>
        </w:rPr>
        <w:t xml:space="preserve"> </w:t>
      </w:r>
      <w:r w:rsidRPr="00C43C4B">
        <w:rPr>
          <w:rFonts w:hint="cs"/>
          <w:b/>
          <w:bCs/>
          <w:rtl/>
        </w:rPr>
        <w:t>מדינת ישראל נ' טאטור</w:t>
      </w:r>
      <w:r>
        <w:rPr>
          <w:rFonts w:hint="cs"/>
          <w:b/>
          <w:bCs/>
          <w:rtl/>
        </w:rPr>
        <w:t xml:space="preserve"> </w:t>
      </w:r>
      <w:r>
        <w:rPr>
          <w:rFonts w:hint="cs"/>
          <w:rtl/>
        </w:rPr>
        <w:t xml:space="preserve">(1.2.15), נדון עניינו של משיב אשר הורשע בעקבות הודאתו ברכישה והחזקה של אקדח, לרבות כדור חי אחד, ובעבירה של הפרעה לשוטר בעת מילוי תפקידו. בית המשפט המחוזי גזר על הנאשם עונש של ששה חודשי מאסר בעבודות שירות, לאחר שראה לנכון לסטות ממתחם הענישה בשל שיקולי שיקום. בית המשפט העליון קיבל את הערעור והעמיד את עונשו של הנאשם על שמונה חודשי מאסר בפועל. </w:t>
      </w:r>
    </w:p>
    <w:p w14:paraId="02E6FF09" w14:textId="77777777" w:rsidR="00731CC2" w:rsidRPr="00C43C4B" w:rsidRDefault="00731CC2" w:rsidP="00731CC2">
      <w:pPr>
        <w:pStyle w:val="a9"/>
        <w:spacing w:line="360" w:lineRule="auto"/>
        <w:jc w:val="both"/>
        <w:rPr>
          <w:rtl/>
        </w:rPr>
      </w:pPr>
    </w:p>
    <w:p w14:paraId="72D2A135" w14:textId="77777777" w:rsidR="00731CC2" w:rsidRPr="00E73A19" w:rsidRDefault="00731CC2" w:rsidP="00731CC2">
      <w:pPr>
        <w:pStyle w:val="a9"/>
        <w:numPr>
          <w:ilvl w:val="0"/>
          <w:numId w:val="1"/>
        </w:numPr>
        <w:spacing w:line="360" w:lineRule="auto"/>
        <w:rPr>
          <w:b/>
          <w:bCs/>
          <w:u w:val="single"/>
          <w:rtl/>
        </w:rPr>
      </w:pPr>
      <w:r>
        <w:rPr>
          <w:rFonts w:hint="cs"/>
          <w:b/>
          <w:bCs/>
          <w:u w:val="single"/>
          <w:rtl/>
        </w:rPr>
        <w:t xml:space="preserve">מתחם העונש ההולם </w:t>
      </w:r>
      <w:r>
        <w:rPr>
          <w:b/>
          <w:bCs/>
          <w:u w:val="single"/>
          <w:rtl/>
        </w:rPr>
        <w:t>–</w:t>
      </w:r>
      <w:r>
        <w:rPr>
          <w:rFonts w:hint="cs"/>
          <w:b/>
          <w:bCs/>
          <w:u w:val="single"/>
          <w:rtl/>
        </w:rPr>
        <w:t xml:space="preserve"> הנסיבות הקשורות בביצוע העבירה</w:t>
      </w:r>
    </w:p>
    <w:p w14:paraId="157F5D27" w14:textId="77777777" w:rsidR="00731CC2" w:rsidRDefault="00731CC2" w:rsidP="00731CC2">
      <w:pPr>
        <w:spacing w:line="360" w:lineRule="auto"/>
        <w:ind w:left="720"/>
        <w:jc w:val="both"/>
        <w:rPr>
          <w:rtl/>
        </w:rPr>
      </w:pPr>
      <w:r>
        <w:rPr>
          <w:rFonts w:hint="cs"/>
          <w:rtl/>
        </w:rPr>
        <w:t xml:space="preserve">בראשית הדברים נחזור ונפנה לעניין </w:t>
      </w:r>
      <w:r w:rsidRPr="002E366A">
        <w:rPr>
          <w:rFonts w:hint="cs"/>
          <w:b/>
          <w:bCs/>
          <w:rtl/>
        </w:rPr>
        <w:t>סדיר</w:t>
      </w:r>
      <w:r>
        <w:rPr>
          <w:rFonts w:hint="cs"/>
          <w:rtl/>
        </w:rPr>
        <w:t xml:space="preserve"> הנ"ל, ממנו עולה כי נסיבות המקרה שלפניי אינן דומות במובהק לנסיבות של עבירת עסקה אחרת בנשק, דבר שיש לו השפעה ישירה, לקולא, על האופן שבו יש להשקיף על מעשיו של הנאשם. יש ליתן משקל ראוי לחומרה לכך שהנאשם ביצע שתי עבירות, ברם יש להביא בחשבון לקולא כי לא מדובר בעבירות מושלמות, וכי שתי העבירות מתייחסות לאותו מעשה.</w:t>
      </w:r>
    </w:p>
    <w:p w14:paraId="52256521" w14:textId="77777777" w:rsidR="00731CC2" w:rsidRDefault="00731CC2" w:rsidP="00731CC2">
      <w:pPr>
        <w:spacing w:line="360" w:lineRule="auto"/>
        <w:ind w:left="720"/>
        <w:jc w:val="both"/>
        <w:rPr>
          <w:rtl/>
        </w:rPr>
      </w:pPr>
      <w:r>
        <w:rPr>
          <w:rFonts w:hint="cs"/>
          <w:rtl/>
        </w:rPr>
        <w:t xml:space="preserve">העבירות שביצע הנאשם מתאפיינות בתכנון מוקדם. לא מדובר בעבירות ספונטאניות או בעבירות שבוצעו אגב כישלון רגעי של הנאשם. הנאשם גילה נחישות לבצע את העבירות בכך שניסה פעמיים לרכוש נשק, בכך שהוא המשיך לקדם את העסקה גם לאחר שהוחזר לו כספו בפעם הראשונה, ובכך שהוא עקב מקרוב אחר הגעת החבילה באתר האינטרנט של חברת המשלוחים, ואף התלונן בפני הסוכן אודות העיכוב בהגעת החבילה. עם זאת, יש להביא בחשבון את העובדה לפיה הנאשם בחר שלא ליטול את החבילה מחברת המשלוחים. </w:t>
      </w:r>
    </w:p>
    <w:p w14:paraId="7FA57328" w14:textId="77777777" w:rsidR="00731CC2" w:rsidRDefault="00731CC2" w:rsidP="00731CC2">
      <w:pPr>
        <w:spacing w:line="360" w:lineRule="auto"/>
        <w:ind w:left="720"/>
        <w:jc w:val="both"/>
        <w:rPr>
          <w:rtl/>
        </w:rPr>
      </w:pPr>
      <w:r>
        <w:rPr>
          <w:rFonts w:hint="cs"/>
          <w:rtl/>
        </w:rPr>
        <w:t>חלקו של הנאשם בביצוע העבירות הוא מלא ובלעדי.</w:t>
      </w:r>
    </w:p>
    <w:p w14:paraId="093FD360" w14:textId="77777777" w:rsidR="00731CC2" w:rsidRDefault="00731CC2" w:rsidP="00731CC2">
      <w:pPr>
        <w:spacing w:line="360" w:lineRule="auto"/>
        <w:ind w:left="720"/>
        <w:jc w:val="both"/>
        <w:rPr>
          <w:rtl/>
        </w:rPr>
      </w:pPr>
      <w:r>
        <w:rPr>
          <w:rFonts w:hint="cs"/>
          <w:rtl/>
        </w:rPr>
        <w:t>הנזק שעלול היה להיגרם כתוצאה מביצוע העבירות איננו מאוד חמור, כיוון שהלכה למעשה, גם אם הנאשם לא ידע זאת, הוא עמד בקשר עם סוכן משטרתי, כך שלא היה חשש של ממש כי האקדח יגיע לידיו של הנאשם. ואכן, בפועל לא נגרם נזק של ממש כתוצאה מביצוע העבירות, הן לנוכח העבודה שהנאשם לא השלים את ביצוען, והן לנוכח העובדה שהעסקה השנייה הייתה מפוקחת מראשיתה על ידי סוכן משטרתי אוסטרלי. עם זאת, אין להתעלם מהנזק שנגרם לציבור עקב הצורך בהשקעת משאבים לשם מעקב אחרי מעשיו של הנאשם ותפיסתו.</w:t>
      </w:r>
    </w:p>
    <w:p w14:paraId="709CB781" w14:textId="77777777" w:rsidR="00731CC2" w:rsidRDefault="00731CC2" w:rsidP="00731CC2">
      <w:pPr>
        <w:spacing w:line="360" w:lineRule="auto"/>
        <w:ind w:left="720"/>
        <w:jc w:val="both"/>
        <w:rPr>
          <w:rtl/>
        </w:rPr>
      </w:pPr>
      <w:r>
        <w:rPr>
          <w:rFonts w:hint="cs"/>
          <w:rtl/>
        </w:rPr>
        <w:t>כאמור בתסקיר שירות המבחן, הנסיבות שהביאו את הנאשם לבצע את העבירה קשורות בעיקר במבנה אישיותו של הנאשם וברצונו לחוות תחושת הצלחה, ולא בתוכנית קונקרטית שלו להשתמש בנשק לצרכים פליליים או לסחור בו.</w:t>
      </w:r>
    </w:p>
    <w:p w14:paraId="4738C174" w14:textId="77777777" w:rsidR="00731CC2" w:rsidRDefault="00731CC2" w:rsidP="00731CC2">
      <w:pPr>
        <w:spacing w:line="360" w:lineRule="auto"/>
        <w:ind w:left="720"/>
        <w:jc w:val="both"/>
        <w:rPr>
          <w:rtl/>
        </w:rPr>
      </w:pPr>
      <w:r>
        <w:rPr>
          <w:rFonts w:hint="cs"/>
          <w:rtl/>
        </w:rPr>
        <w:t>לנוכח גילו של הנאשם והשכלתו, ולנוכח מהות העבירות, אין ספק כי הנאשם היה מודע לחלוטין לפסול שבמעשהו.</w:t>
      </w:r>
    </w:p>
    <w:p w14:paraId="67626710" w14:textId="77777777" w:rsidR="00731CC2" w:rsidRPr="00D3042F" w:rsidRDefault="00731CC2" w:rsidP="00731CC2">
      <w:pPr>
        <w:spacing w:line="360" w:lineRule="auto"/>
        <w:ind w:left="720"/>
        <w:jc w:val="both"/>
        <w:rPr>
          <w:rtl/>
        </w:rPr>
      </w:pPr>
      <w:r w:rsidRPr="00D3042F">
        <w:rPr>
          <w:rFonts w:hint="cs"/>
          <w:rtl/>
        </w:rPr>
        <w:t>ב"כ הנאשם טען כי החלטתו של הנאשם שלא ליטול את החבילה שנשלחה אליו מקימה קרבה לסייג של חרטה (</w:t>
      </w:r>
      <w:hyperlink r:id="rId35" w:history="1">
        <w:r w:rsidR="00271CE5" w:rsidRPr="00271CE5">
          <w:rPr>
            <w:rStyle w:val="Hyperlink"/>
            <w:rFonts w:hint="eastAsia"/>
            <w:rtl/>
          </w:rPr>
          <w:t>סעיף</w:t>
        </w:r>
        <w:r w:rsidR="00271CE5" w:rsidRPr="00271CE5">
          <w:rPr>
            <w:rStyle w:val="Hyperlink"/>
            <w:rtl/>
          </w:rPr>
          <w:t xml:space="preserve"> 28</w:t>
        </w:r>
      </w:hyperlink>
      <w:r w:rsidRPr="00D3042F">
        <w:rPr>
          <w:rFonts w:hint="cs"/>
          <w:rtl/>
        </w:rPr>
        <w:t xml:space="preserve"> ל</w:t>
      </w:r>
      <w:hyperlink r:id="rId36" w:history="1">
        <w:r w:rsidR="00D93175" w:rsidRPr="00D93175">
          <w:rPr>
            <w:color w:val="0000FF"/>
            <w:u w:val="single"/>
            <w:rtl/>
          </w:rPr>
          <w:t>חוק העונשין</w:t>
        </w:r>
      </w:hyperlink>
      <w:r w:rsidRPr="00D3042F">
        <w:rPr>
          <w:rFonts w:hint="cs"/>
          <w:rtl/>
        </w:rPr>
        <w:t>).</w:t>
      </w:r>
      <w:r>
        <w:rPr>
          <w:rFonts w:hint="cs"/>
          <w:rtl/>
        </w:rPr>
        <w:t xml:space="preserve"> טענה זו לא נסתרה על ידי המאשימה. עם זאת, יש לתת את הדעת לכך </w:t>
      </w:r>
      <w:hyperlink r:id="rId37" w:history="1">
        <w:r w:rsidR="00271CE5" w:rsidRPr="00271CE5">
          <w:rPr>
            <w:rStyle w:val="Hyperlink"/>
            <w:rFonts w:hint="eastAsia"/>
            <w:rtl/>
          </w:rPr>
          <w:t>שסעיף</w:t>
        </w:r>
        <w:r w:rsidR="00271CE5" w:rsidRPr="00271CE5">
          <w:rPr>
            <w:rStyle w:val="Hyperlink"/>
            <w:rtl/>
          </w:rPr>
          <w:t xml:space="preserve"> 40ט(א)(9)</w:t>
        </w:r>
      </w:hyperlink>
      <w:r>
        <w:rPr>
          <w:rFonts w:hint="cs"/>
          <w:rtl/>
        </w:rPr>
        <w:t xml:space="preserve"> ל</w:t>
      </w:r>
      <w:hyperlink r:id="rId38" w:history="1">
        <w:r w:rsidR="00D93175" w:rsidRPr="00D93175">
          <w:rPr>
            <w:color w:val="0000FF"/>
            <w:u w:val="single"/>
            <w:rtl/>
          </w:rPr>
          <w:t>חוק העונשין</w:t>
        </w:r>
      </w:hyperlink>
      <w:r>
        <w:rPr>
          <w:rFonts w:hint="cs"/>
          <w:rtl/>
        </w:rPr>
        <w:t xml:space="preserve">, אשר קובע כי קרבה לסייג מהווה שיקול לקולא, מפנה לסייגים המנויים בסימן </w:t>
      </w:r>
      <w:hyperlink r:id="rId39" w:history="1">
        <w:r w:rsidR="00271CE5" w:rsidRPr="00271CE5">
          <w:rPr>
            <w:rStyle w:val="Hyperlink"/>
            <w:rFonts w:hint="eastAsia"/>
            <w:rtl/>
          </w:rPr>
          <w:t>ב</w:t>
        </w:r>
        <w:r w:rsidR="00271CE5" w:rsidRPr="00271CE5">
          <w:rPr>
            <w:rStyle w:val="Hyperlink"/>
            <w:rtl/>
          </w:rPr>
          <w:t>' לפרק ה'1</w:t>
        </w:r>
      </w:hyperlink>
      <w:r>
        <w:rPr>
          <w:rFonts w:hint="cs"/>
          <w:rtl/>
        </w:rPr>
        <w:t xml:space="preserve"> לחוק העונשין, ואילו הפטור מאחריות עקב חרטה מצוי </w:t>
      </w:r>
      <w:hyperlink r:id="rId40" w:history="1">
        <w:r w:rsidR="00271CE5" w:rsidRPr="00271CE5">
          <w:rPr>
            <w:rStyle w:val="Hyperlink"/>
            <w:rFonts w:hint="eastAsia"/>
            <w:rtl/>
          </w:rPr>
          <w:t>בסעיף</w:t>
        </w:r>
        <w:r w:rsidR="00271CE5" w:rsidRPr="00271CE5">
          <w:rPr>
            <w:rStyle w:val="Hyperlink"/>
            <w:rtl/>
          </w:rPr>
          <w:t xml:space="preserve"> 28</w:t>
        </w:r>
      </w:hyperlink>
      <w:r>
        <w:rPr>
          <w:rFonts w:hint="cs"/>
          <w:rtl/>
        </w:rPr>
        <w:t xml:space="preserve"> לחוק, הממוקם בסימן </w:t>
      </w:r>
      <w:hyperlink r:id="rId41" w:history="1">
        <w:r w:rsidR="00271CE5" w:rsidRPr="00271CE5">
          <w:rPr>
            <w:rStyle w:val="Hyperlink"/>
            <w:rFonts w:hint="eastAsia"/>
            <w:rtl/>
          </w:rPr>
          <w:t>א</w:t>
        </w:r>
        <w:r w:rsidR="00271CE5" w:rsidRPr="00271CE5">
          <w:rPr>
            <w:rStyle w:val="Hyperlink"/>
            <w:rtl/>
          </w:rPr>
          <w:t>' לפרק ה'</w:t>
        </w:r>
      </w:hyperlink>
      <w:r>
        <w:rPr>
          <w:rFonts w:hint="cs"/>
          <w:rtl/>
        </w:rPr>
        <w:t xml:space="preserve"> שבחוק. ואולם, גם אם אניח </w:t>
      </w:r>
      <w:hyperlink r:id="rId42" w:history="1">
        <w:r w:rsidR="00271CE5" w:rsidRPr="00271CE5">
          <w:rPr>
            <w:rStyle w:val="Hyperlink"/>
            <w:rFonts w:hint="eastAsia"/>
            <w:rtl/>
          </w:rPr>
          <w:t>שסעיף</w:t>
        </w:r>
        <w:r w:rsidR="00271CE5" w:rsidRPr="00271CE5">
          <w:rPr>
            <w:rStyle w:val="Hyperlink"/>
            <w:rtl/>
          </w:rPr>
          <w:t xml:space="preserve"> 40ט(א)(9)</w:t>
        </w:r>
      </w:hyperlink>
      <w:r>
        <w:rPr>
          <w:rFonts w:hint="cs"/>
          <w:rtl/>
        </w:rPr>
        <w:t xml:space="preserve"> לחוק חל גם על הפטור עקב חרטה, לא הונחה לפניי תשתית עובדתית מספקת שלפיה הנאשם </w:t>
      </w:r>
      <w:r w:rsidRPr="00F60361">
        <w:rPr>
          <w:rFonts w:hint="cs"/>
          <w:b/>
          <w:bCs/>
          <w:rtl/>
        </w:rPr>
        <w:t>"מחפץ נפשו בלבד ומתוך חרטה, חדל מהשלמת המעשה או תרם תרומה של ממש למניעת התוצאות שבהן מותנית השלמת העבירה"</w:t>
      </w:r>
      <w:r>
        <w:rPr>
          <w:rFonts w:hint="cs"/>
          <w:rtl/>
        </w:rPr>
        <w:t>. עם זאת, העובדה שהנאשם לא נטל את החבילה תילקח בחשבון, כאמור לעיל, במסגרת הערכת הנזק שנגרם כתוצאה מהעבירות.</w:t>
      </w:r>
    </w:p>
    <w:p w14:paraId="4518CE8B" w14:textId="77777777" w:rsidR="00731CC2" w:rsidRDefault="00731CC2" w:rsidP="00731CC2">
      <w:pPr>
        <w:spacing w:line="360" w:lineRule="auto"/>
        <w:ind w:left="720"/>
        <w:jc w:val="both"/>
        <w:rPr>
          <w:rtl/>
        </w:rPr>
      </w:pPr>
    </w:p>
    <w:p w14:paraId="63B87C64" w14:textId="77777777" w:rsidR="00731CC2" w:rsidRDefault="00731CC2" w:rsidP="00731CC2">
      <w:pPr>
        <w:spacing w:line="360" w:lineRule="auto"/>
        <w:ind w:left="720"/>
        <w:jc w:val="both"/>
        <w:rPr>
          <w:rtl/>
        </w:rPr>
      </w:pPr>
      <w:r>
        <w:rPr>
          <w:rFonts w:hint="cs"/>
          <w:rtl/>
        </w:rPr>
        <w:t xml:space="preserve">יתר הנסיבות המפורטות </w:t>
      </w:r>
      <w:hyperlink r:id="rId43" w:history="1">
        <w:r w:rsidR="00271CE5" w:rsidRPr="00271CE5">
          <w:rPr>
            <w:rStyle w:val="Hyperlink"/>
            <w:rFonts w:hint="eastAsia"/>
            <w:rtl/>
          </w:rPr>
          <w:t>בסעיף</w:t>
        </w:r>
        <w:r w:rsidR="00271CE5" w:rsidRPr="00271CE5">
          <w:rPr>
            <w:rStyle w:val="Hyperlink"/>
            <w:rtl/>
          </w:rPr>
          <w:t xml:space="preserve"> 40ט(א)</w:t>
        </w:r>
      </w:hyperlink>
      <w:r>
        <w:rPr>
          <w:rFonts w:hint="cs"/>
          <w:rtl/>
        </w:rPr>
        <w:t xml:space="preserve"> לחוק אינן רלוונטיות לענייננו.</w:t>
      </w:r>
    </w:p>
    <w:p w14:paraId="3788F6A0" w14:textId="77777777" w:rsidR="00731CC2" w:rsidRPr="00B05847" w:rsidRDefault="00731CC2" w:rsidP="00731CC2">
      <w:pPr>
        <w:spacing w:line="360" w:lineRule="auto"/>
        <w:ind w:left="720"/>
        <w:jc w:val="both"/>
        <w:rPr>
          <w:rtl/>
        </w:rPr>
      </w:pPr>
    </w:p>
    <w:p w14:paraId="1C6A19FD" w14:textId="77777777" w:rsidR="00731CC2" w:rsidRDefault="00731CC2" w:rsidP="00731CC2">
      <w:pPr>
        <w:pStyle w:val="a9"/>
        <w:numPr>
          <w:ilvl w:val="0"/>
          <w:numId w:val="1"/>
        </w:numPr>
        <w:spacing w:line="360" w:lineRule="auto"/>
        <w:jc w:val="both"/>
        <w:rPr>
          <w:rtl/>
        </w:rPr>
      </w:pPr>
      <w:r>
        <w:rPr>
          <w:rFonts w:hint="cs"/>
          <w:rtl/>
        </w:rPr>
        <w:t xml:space="preserve">אשר על כן, אני קובע כי בנסיבות העניין הקונקרטי עומד מתחם העונש ההולם על תשעה חודשי מאסר, הניתנים לריצוי גם בעבודות שירות, עד 30 חודשי מאסר בפועל, ובתוספת מאסר על תנאי. </w:t>
      </w:r>
    </w:p>
    <w:p w14:paraId="2D73CBCA" w14:textId="77777777" w:rsidR="00731CC2" w:rsidRDefault="00731CC2" w:rsidP="00731CC2">
      <w:pPr>
        <w:pStyle w:val="a9"/>
        <w:spacing w:line="360" w:lineRule="auto"/>
      </w:pPr>
    </w:p>
    <w:p w14:paraId="4E5DC5CB" w14:textId="77777777" w:rsidR="00731CC2" w:rsidRPr="008B0713" w:rsidRDefault="00731CC2" w:rsidP="00731CC2">
      <w:pPr>
        <w:pStyle w:val="a9"/>
        <w:numPr>
          <w:ilvl w:val="0"/>
          <w:numId w:val="1"/>
        </w:numPr>
        <w:spacing w:line="360" w:lineRule="auto"/>
        <w:rPr>
          <w:b/>
          <w:bCs/>
          <w:u w:val="single"/>
          <w:rtl/>
        </w:rPr>
      </w:pPr>
      <w:r w:rsidRPr="008B0713">
        <w:rPr>
          <w:rFonts w:hint="cs"/>
          <w:b/>
          <w:bCs/>
          <w:u w:val="single"/>
          <w:rtl/>
        </w:rPr>
        <w:t xml:space="preserve"> העונש המתאים</w:t>
      </w:r>
    </w:p>
    <w:p w14:paraId="7E79EC89" w14:textId="77777777" w:rsidR="00731CC2" w:rsidRDefault="00731CC2" w:rsidP="00731CC2">
      <w:pPr>
        <w:spacing w:line="360" w:lineRule="auto"/>
        <w:ind w:left="720"/>
        <w:jc w:val="both"/>
        <w:rPr>
          <w:rtl/>
        </w:rPr>
      </w:pPr>
      <w:r>
        <w:rPr>
          <w:rFonts w:hint="cs"/>
          <w:rtl/>
        </w:rPr>
        <w:t>בקביעת העונש המתאים על בית המשפט להביא בחשבון את הנסיבות שאינן קשורות בביצוע העבירה (</w:t>
      </w:r>
      <w:hyperlink r:id="rId44" w:history="1">
        <w:r w:rsidR="00271CE5" w:rsidRPr="00271CE5">
          <w:rPr>
            <w:rStyle w:val="Hyperlink"/>
            <w:rFonts w:hint="eastAsia"/>
            <w:rtl/>
          </w:rPr>
          <w:t>סעיף</w:t>
        </w:r>
        <w:r w:rsidR="00271CE5" w:rsidRPr="00271CE5">
          <w:rPr>
            <w:rStyle w:val="Hyperlink"/>
            <w:rtl/>
          </w:rPr>
          <w:t xml:space="preserve"> 40יא</w:t>
        </w:r>
      </w:hyperlink>
      <w:r>
        <w:rPr>
          <w:rFonts w:hint="cs"/>
          <w:rtl/>
        </w:rPr>
        <w:t xml:space="preserve"> ל</w:t>
      </w:r>
      <w:hyperlink r:id="rId45" w:history="1">
        <w:r w:rsidR="00D93175" w:rsidRPr="00D93175">
          <w:rPr>
            <w:color w:val="0000FF"/>
            <w:u w:val="single"/>
            <w:rtl/>
          </w:rPr>
          <w:t>חוק העונשין</w:t>
        </w:r>
      </w:hyperlink>
      <w:r>
        <w:rPr>
          <w:rFonts w:hint="cs"/>
          <w:rtl/>
        </w:rPr>
        <w:t>).</w:t>
      </w:r>
    </w:p>
    <w:p w14:paraId="26744446" w14:textId="77777777" w:rsidR="00731CC2" w:rsidRDefault="00731CC2" w:rsidP="00731CC2">
      <w:pPr>
        <w:spacing w:line="360" w:lineRule="auto"/>
        <w:ind w:left="720"/>
        <w:jc w:val="both"/>
        <w:rPr>
          <w:rtl/>
        </w:rPr>
      </w:pPr>
      <w:r>
        <w:rPr>
          <w:rFonts w:hint="cs"/>
          <w:rtl/>
        </w:rPr>
        <w:t xml:space="preserve">הנסיבות שאינן קשורות בביצוע העבירה מצדיקות למקם את עונשו של הנאשם בתחתית מתחם העונש ההולם. הנאשם הודה במיוחס לו ובכך חסך מזמנה של המאשימה ומזמנו של בית המשפט. לשיקול זה יש חשיבות רבה בענייננו לנוכח העובדה שניהול הוכחות בתיק היה מחייב גביית עדות מהסוכן האוסטרלי, על כל הקשיים הכרוכים בכך. מעבר לכך, הודאתו של הנאשם מהווה גם קבלה של אחריות על מעשיו. שירות המבחן התרשם כי חרטתו של הנאשם כנה ואמתית. כאמור בתסקיר שירות המבחן, חרטתו של הנאשם גם מלווה ברצון אמתי וכן שלו ליטול חלק בהליך טיפולי מעמיק בהנחיית שירות המבחן. הנאשם נעדר עבר פלילי ועד לביצוע העבירות בהן הוא הורשע הוא ניהל חיים נורמטיביים לחלוטין. עובדה זו תומכת במסקנת שירות המבחן לפיה אישיותו של הנאשם נעדרת דפוסים עברייניים. הנאשם שהה במעצר של שבועיים לראשונה בחייו, ולאחר מכן הוא שהה במשך כשנה במעצר בית ללא כל הפרה. יש לתת גם משקל להתרשמות שירות המבחן לפיה לשליחתו של הנאשם למאסר ממש: </w:t>
      </w:r>
      <w:r w:rsidRPr="00C64266">
        <w:rPr>
          <w:rFonts w:hint="cs"/>
          <w:b/>
          <w:bCs/>
          <w:rtl/>
        </w:rPr>
        <w:t>"עלולות להיות השלכות חמורות, עקב החשיפה לעבריינות ולאווירה הקשה השוררת בין כתלי הכלא"</w:t>
      </w:r>
      <w:r>
        <w:rPr>
          <w:rFonts w:hint="cs"/>
          <w:rtl/>
        </w:rPr>
        <w:t xml:space="preserve"> (עמ' 3 לתסקיר בפסקה האחת לפני אחרונה).</w:t>
      </w:r>
    </w:p>
    <w:p w14:paraId="556BF8AF" w14:textId="77777777" w:rsidR="00731CC2" w:rsidRDefault="00731CC2" w:rsidP="00731CC2">
      <w:pPr>
        <w:spacing w:line="360" w:lineRule="auto"/>
        <w:ind w:left="720"/>
        <w:jc w:val="both"/>
        <w:rPr>
          <w:rtl/>
        </w:rPr>
      </w:pPr>
    </w:p>
    <w:p w14:paraId="2A3047D0" w14:textId="77777777" w:rsidR="00731CC2" w:rsidRDefault="00731CC2" w:rsidP="00731CC2">
      <w:pPr>
        <w:spacing w:line="360" w:lineRule="auto"/>
        <w:ind w:left="720"/>
        <w:jc w:val="both"/>
        <w:rPr>
          <w:rtl/>
        </w:rPr>
      </w:pPr>
    </w:p>
    <w:p w14:paraId="193FC22B" w14:textId="77777777" w:rsidR="00731CC2" w:rsidRDefault="00731CC2" w:rsidP="00731CC2">
      <w:pPr>
        <w:spacing w:line="360" w:lineRule="auto"/>
        <w:ind w:left="720"/>
        <w:jc w:val="both"/>
        <w:rPr>
          <w:rtl/>
        </w:rPr>
      </w:pPr>
    </w:p>
    <w:p w14:paraId="3E08A9AA" w14:textId="77777777" w:rsidR="00731CC2" w:rsidRDefault="00731CC2" w:rsidP="00731CC2">
      <w:pPr>
        <w:pStyle w:val="a9"/>
        <w:numPr>
          <w:ilvl w:val="0"/>
          <w:numId w:val="1"/>
        </w:numPr>
        <w:spacing w:line="360" w:lineRule="auto"/>
        <w:jc w:val="both"/>
      </w:pPr>
      <w:r>
        <w:rPr>
          <w:rFonts w:hint="cs"/>
          <w:rtl/>
        </w:rPr>
        <w:t>אשר על כן, ולאחר שהתקבלה חוות דעת מאת הממונה על עבודות השירות לפיה הנאשם מתאים לביצוע עבודות שירות, אני גוזר על הנאשם את העונשים שלהלן:</w:t>
      </w:r>
    </w:p>
    <w:p w14:paraId="6D61A184" w14:textId="77777777" w:rsidR="00731CC2" w:rsidRDefault="00731CC2" w:rsidP="00731CC2">
      <w:pPr>
        <w:pStyle w:val="a9"/>
        <w:numPr>
          <w:ilvl w:val="0"/>
          <w:numId w:val="2"/>
        </w:numPr>
        <w:spacing w:line="360" w:lineRule="auto"/>
        <w:jc w:val="both"/>
      </w:pPr>
      <w:r>
        <w:rPr>
          <w:rFonts w:hint="cs"/>
          <w:rtl/>
        </w:rPr>
        <w:t xml:space="preserve">תשעה חודשי מאסר אותם ירצה הנאשם בעבודות שירות. כאמור בחוות דעתו של הממונה, את עבודות השירות יבצע הנאשם בבית אבות "בית באייר </w:t>
      </w:r>
      <w:r>
        <w:rPr>
          <w:rtl/>
        </w:rPr>
        <w:t>–</w:t>
      </w:r>
      <w:r>
        <w:rPr>
          <w:rFonts w:hint="cs"/>
          <w:rtl/>
        </w:rPr>
        <w:t xml:space="preserve"> נאמנות לתכנון ולפיתוח שירותים למען הזקן בירושלים", רח' ים סוף 33 ירושלים, זאת במשך חמישה ימים בשבוע.</w:t>
      </w:r>
    </w:p>
    <w:p w14:paraId="557E3F16" w14:textId="77777777" w:rsidR="00731CC2" w:rsidRDefault="00731CC2" w:rsidP="00731CC2">
      <w:pPr>
        <w:pStyle w:val="a9"/>
        <w:numPr>
          <w:ilvl w:val="0"/>
          <w:numId w:val="2"/>
        </w:numPr>
        <w:spacing w:line="360" w:lineRule="auto"/>
        <w:jc w:val="both"/>
      </w:pPr>
      <w:r>
        <w:rPr>
          <w:rFonts w:hint="cs"/>
          <w:rtl/>
        </w:rPr>
        <w:t>6 חודשי מאסר על תנאי, אותם ירצה הנאשם בפועל אם בתוך שלוש שנים מהיום הוא יעבור עבירת נשק.</w:t>
      </w:r>
    </w:p>
    <w:p w14:paraId="67470BD4" w14:textId="77777777" w:rsidR="00731CC2" w:rsidRDefault="00731CC2" w:rsidP="00731CC2">
      <w:pPr>
        <w:pStyle w:val="a9"/>
        <w:numPr>
          <w:ilvl w:val="0"/>
          <w:numId w:val="2"/>
        </w:numPr>
        <w:spacing w:line="360" w:lineRule="auto"/>
        <w:jc w:val="both"/>
      </w:pPr>
      <w:r>
        <w:rPr>
          <w:rFonts w:hint="cs"/>
          <w:rtl/>
        </w:rPr>
        <w:t>ניתן בזאת צו מבחן לגבי הנאשם, אשר יעמוד בתקפו למשך שנה אחת מהיום.</w:t>
      </w:r>
    </w:p>
    <w:p w14:paraId="2B9D9FE1" w14:textId="77777777" w:rsidR="00731CC2" w:rsidRDefault="00731CC2" w:rsidP="00731CC2">
      <w:pPr>
        <w:spacing w:line="360" w:lineRule="auto"/>
        <w:ind w:left="720"/>
        <w:jc w:val="both"/>
        <w:rPr>
          <w:rtl/>
        </w:rPr>
      </w:pPr>
    </w:p>
    <w:p w14:paraId="590B48BD" w14:textId="77777777" w:rsidR="00731CC2" w:rsidRDefault="00731CC2" w:rsidP="00731CC2">
      <w:pPr>
        <w:spacing w:line="360" w:lineRule="auto"/>
        <w:ind w:left="720"/>
        <w:jc w:val="both"/>
        <w:rPr>
          <w:rtl/>
        </w:rPr>
      </w:pPr>
      <w:r>
        <w:rPr>
          <w:rFonts w:hint="cs"/>
          <w:rtl/>
        </w:rPr>
        <w:t xml:space="preserve">הנאשם יתייצב לתחילת ביצוע עבודות השירות ביום 29.12.20 בשעה 08:00, במשרדי הממונה על עבודות השירות </w:t>
      </w:r>
      <w:r>
        <w:rPr>
          <w:rtl/>
        </w:rPr>
        <w:t>–</w:t>
      </w:r>
      <w:r>
        <w:rPr>
          <w:rFonts w:hint="cs"/>
          <w:rtl/>
        </w:rPr>
        <w:t xml:space="preserve"> יחידת עבודות שירות מפקדת מחוז דרום, ת"ד 741 באר שבע 8400. אוטובוסים להגעה </w:t>
      </w:r>
      <w:r>
        <w:rPr>
          <w:rtl/>
        </w:rPr>
        <w:t>–</w:t>
      </w:r>
      <w:r>
        <w:rPr>
          <w:rFonts w:hint="cs"/>
          <w:rtl/>
        </w:rPr>
        <w:t xml:space="preserve"> ליד כלא אשל אוטובוס אגד קו 46 מהתחנה המרכזית בבאר שבע.</w:t>
      </w:r>
    </w:p>
    <w:p w14:paraId="20F257E0" w14:textId="77777777" w:rsidR="00731CC2" w:rsidRDefault="00731CC2" w:rsidP="00731CC2">
      <w:pPr>
        <w:spacing w:line="360" w:lineRule="auto"/>
        <w:ind w:firstLine="720"/>
        <w:jc w:val="both"/>
        <w:rPr>
          <w:b/>
          <w:bCs/>
          <w:rtl/>
        </w:rPr>
      </w:pPr>
    </w:p>
    <w:p w14:paraId="0C21DE5B" w14:textId="77777777" w:rsidR="00731CC2" w:rsidRPr="00EC7E6B" w:rsidRDefault="00731CC2" w:rsidP="00731CC2">
      <w:pPr>
        <w:spacing w:line="360" w:lineRule="auto"/>
        <w:ind w:firstLine="720"/>
        <w:jc w:val="both"/>
        <w:rPr>
          <w:b/>
          <w:bCs/>
          <w:rtl/>
        </w:rPr>
      </w:pPr>
      <w:r w:rsidRPr="00EC7E6B">
        <w:rPr>
          <w:rFonts w:hint="cs"/>
          <w:b/>
          <w:bCs/>
          <w:rtl/>
        </w:rPr>
        <w:t>הודע לנאשם על זכותו לערער לבית המשפט העליון בתוך 45 יום מהיום.</w:t>
      </w:r>
    </w:p>
    <w:p w14:paraId="0A5C0275" w14:textId="77777777" w:rsidR="00731CC2" w:rsidRDefault="00731CC2" w:rsidP="00731CC2">
      <w:pPr>
        <w:spacing w:line="360" w:lineRule="auto"/>
        <w:jc w:val="both"/>
        <w:rPr>
          <w:rtl/>
        </w:rPr>
      </w:pPr>
    </w:p>
    <w:p w14:paraId="06D6FB3A" w14:textId="77777777" w:rsidR="00731CC2" w:rsidRPr="00B05847" w:rsidRDefault="00731CC2" w:rsidP="00731CC2">
      <w:pPr>
        <w:spacing w:line="360" w:lineRule="auto"/>
        <w:jc w:val="both"/>
        <w:rPr>
          <w:rtl/>
        </w:rPr>
      </w:pPr>
      <w:r>
        <w:rPr>
          <w:rtl/>
        </w:rPr>
        <w:tab/>
      </w:r>
    </w:p>
    <w:p w14:paraId="0070A6CF" w14:textId="77777777" w:rsidR="00731CC2" w:rsidRPr="00B05847" w:rsidRDefault="00731CC2" w:rsidP="00731CC2">
      <w:pPr>
        <w:rPr>
          <w:rtl/>
        </w:rPr>
      </w:pPr>
    </w:p>
    <w:p w14:paraId="7CBBF24B" w14:textId="77777777" w:rsidR="00731CC2" w:rsidRPr="00B05847" w:rsidRDefault="00731CC2" w:rsidP="00731CC2">
      <w:pPr>
        <w:rPr>
          <w:rtl/>
        </w:rPr>
      </w:pPr>
    </w:p>
    <w:p w14:paraId="514B0FB2" w14:textId="77777777" w:rsidR="00731CC2" w:rsidRPr="00D93175" w:rsidRDefault="00D93175" w:rsidP="00731CC2">
      <w:pPr>
        <w:rPr>
          <w:color w:val="FFFFFF"/>
          <w:sz w:val="2"/>
          <w:szCs w:val="2"/>
          <w:rtl/>
        </w:rPr>
      </w:pPr>
      <w:r w:rsidRPr="00D93175">
        <w:rPr>
          <w:color w:val="FFFFFF"/>
          <w:sz w:val="2"/>
          <w:szCs w:val="2"/>
          <w:rtl/>
        </w:rPr>
        <w:t>5129371</w:t>
      </w:r>
    </w:p>
    <w:p w14:paraId="47A60CFC" w14:textId="77777777" w:rsidR="00731CC2" w:rsidRDefault="00D93175" w:rsidP="00731CC2">
      <w:pPr>
        <w:rPr>
          <w:rFonts w:cs="FrankRuehl"/>
          <w:sz w:val="28"/>
          <w:szCs w:val="28"/>
          <w:rtl/>
        </w:rPr>
      </w:pPr>
      <w:bookmarkStart w:id="7" w:name="Nitan"/>
      <w:r w:rsidRPr="00D93175">
        <w:rPr>
          <w:rFonts w:ascii="Arial" w:hAnsi="Arial"/>
          <w:color w:val="FFFFFF"/>
          <w:sz w:val="2"/>
          <w:szCs w:val="2"/>
          <w:rtl/>
        </w:rPr>
        <w:t>54678313</w:t>
      </w:r>
      <w:r>
        <w:rPr>
          <w:rFonts w:ascii="Arial" w:hAnsi="Arial"/>
          <w:rtl/>
        </w:rPr>
        <w:t xml:space="preserve">ניתן במעמד הנוכחים היום,  ו' אלול תש"ף, 26 באוגוסט  2020. </w:t>
      </w:r>
      <w:bookmarkEnd w:id="7"/>
    </w:p>
    <w:p w14:paraId="484CF9E9" w14:textId="77777777" w:rsidR="00731CC2" w:rsidRDefault="00731CC2" w:rsidP="00D9317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C1C3BBB" w14:textId="77777777" w:rsidR="00D93175" w:rsidRDefault="00D93175" w:rsidP="00D93175">
      <w:pPr>
        <w:rPr>
          <w:rtl/>
        </w:rPr>
      </w:pPr>
    </w:p>
    <w:p w14:paraId="722C57D6" w14:textId="77777777" w:rsidR="00D93175" w:rsidRDefault="00D93175" w:rsidP="00D93175">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14:paraId="2A32A3F4" w14:textId="77777777" w:rsidR="00271CE5" w:rsidRPr="00271CE5" w:rsidRDefault="00271CE5" w:rsidP="00271CE5">
      <w:pPr>
        <w:keepNext/>
        <w:rPr>
          <w:rFonts w:ascii="David" w:hAnsi="David"/>
          <w:color w:val="000000"/>
          <w:sz w:val="22"/>
          <w:szCs w:val="22"/>
          <w:rtl/>
        </w:rPr>
      </w:pPr>
    </w:p>
    <w:p w14:paraId="73C8A12D" w14:textId="77777777" w:rsidR="00271CE5" w:rsidRPr="00271CE5" w:rsidRDefault="00271CE5" w:rsidP="00271CE5">
      <w:pPr>
        <w:keepNext/>
        <w:rPr>
          <w:rFonts w:ascii="David" w:hAnsi="David"/>
          <w:color w:val="000000"/>
          <w:sz w:val="22"/>
          <w:szCs w:val="22"/>
          <w:rtl/>
        </w:rPr>
      </w:pPr>
      <w:r w:rsidRPr="00271CE5">
        <w:rPr>
          <w:rFonts w:ascii="David" w:hAnsi="David"/>
          <w:color w:val="000000"/>
          <w:sz w:val="22"/>
          <w:szCs w:val="22"/>
          <w:rtl/>
        </w:rPr>
        <w:t>אברהם רובין 54678313-/</w:t>
      </w:r>
    </w:p>
    <w:p w14:paraId="72DC3DDF" w14:textId="77777777" w:rsidR="00D93175" w:rsidRPr="00D93175" w:rsidRDefault="00271CE5" w:rsidP="00271CE5">
      <w:pPr>
        <w:rPr>
          <w:rFonts w:hint="cs"/>
          <w:color w:val="0000FF"/>
          <w:u w:val="single"/>
        </w:rPr>
      </w:pPr>
      <w:r w:rsidRPr="00271CE5">
        <w:rPr>
          <w:color w:val="000000"/>
          <w:u w:val="single"/>
          <w:rtl/>
        </w:rPr>
        <w:t>נוסח מסמך זה כפוף לשינויי ניסוח ועריכה</w:t>
      </w:r>
      <w:r w:rsidR="00DE5C88">
        <w:rPr>
          <w:rFonts w:hint="cs"/>
          <w:color w:val="0000FF"/>
          <w:u w:val="single"/>
          <w:rtl/>
        </w:rPr>
        <w:t xml:space="preserve"> </w:t>
      </w:r>
    </w:p>
    <w:sectPr w:rsidR="00D93175" w:rsidRPr="00D93175" w:rsidSect="00271CE5">
      <w:headerReference w:type="even" r:id="rId47"/>
      <w:headerReference w:type="default" r:id="rId48"/>
      <w:footerReference w:type="even" r:id="rId49"/>
      <w:footerReference w:type="default" r:id="rId5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90AFD" w14:textId="77777777" w:rsidR="00C559FE" w:rsidRDefault="00C559FE" w:rsidP="00461653">
      <w:r>
        <w:separator/>
      </w:r>
    </w:p>
  </w:endnote>
  <w:endnote w:type="continuationSeparator" w:id="0">
    <w:p w14:paraId="48441DD5" w14:textId="77777777" w:rsidR="00C559FE" w:rsidRDefault="00C559FE" w:rsidP="00461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E0FD3" w14:textId="77777777" w:rsidR="00271CE5" w:rsidRDefault="00271CE5" w:rsidP="00271CE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CD1C7D3" w14:textId="77777777" w:rsidR="0025643D" w:rsidRPr="00271CE5" w:rsidRDefault="00271CE5" w:rsidP="00271CE5">
    <w:pPr>
      <w:pStyle w:val="a5"/>
      <w:pBdr>
        <w:top w:val="single" w:sz="4" w:space="1" w:color="auto"/>
        <w:between w:val="single" w:sz="4" w:space="0" w:color="auto"/>
      </w:pBdr>
      <w:spacing w:after="60"/>
      <w:jc w:val="center"/>
      <w:rPr>
        <w:rFonts w:ascii="FrankRuehl" w:hAnsi="FrankRuehl" w:cs="FrankRuehl"/>
        <w:color w:val="000000"/>
      </w:rPr>
    </w:pPr>
    <w:r w:rsidRPr="00271CE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794D9" w14:textId="77777777" w:rsidR="00271CE5" w:rsidRDefault="00271CE5" w:rsidP="00271CE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4488F">
      <w:rPr>
        <w:rFonts w:ascii="FrankRuehl" w:hAnsi="FrankRuehl" w:cs="FrankRuehl"/>
        <w:noProof/>
        <w:rtl/>
      </w:rPr>
      <w:t>1</w:t>
    </w:r>
    <w:r>
      <w:rPr>
        <w:rFonts w:ascii="FrankRuehl" w:hAnsi="FrankRuehl" w:cs="FrankRuehl"/>
        <w:rtl/>
      </w:rPr>
      <w:fldChar w:fldCharType="end"/>
    </w:r>
  </w:p>
  <w:p w14:paraId="6536248B" w14:textId="77777777" w:rsidR="0025643D" w:rsidRPr="00271CE5" w:rsidRDefault="00271CE5" w:rsidP="00271CE5">
    <w:pPr>
      <w:pStyle w:val="a5"/>
      <w:pBdr>
        <w:top w:val="single" w:sz="4" w:space="1" w:color="auto"/>
        <w:between w:val="single" w:sz="4" w:space="0" w:color="auto"/>
      </w:pBdr>
      <w:spacing w:after="60"/>
      <w:jc w:val="center"/>
      <w:rPr>
        <w:rFonts w:ascii="FrankRuehl" w:hAnsi="FrankRuehl" w:cs="FrankRuehl"/>
        <w:color w:val="000000"/>
      </w:rPr>
    </w:pPr>
    <w:r w:rsidRPr="00271CE5">
      <w:rPr>
        <w:rFonts w:ascii="FrankRuehl" w:hAnsi="FrankRuehl" w:cs="FrankRuehl"/>
        <w:color w:val="000000"/>
      </w:rPr>
      <w:pict w14:anchorId="118A1E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5FA02" w14:textId="77777777" w:rsidR="00C559FE" w:rsidRDefault="00C559FE" w:rsidP="00461653">
      <w:r>
        <w:separator/>
      </w:r>
    </w:p>
  </w:footnote>
  <w:footnote w:type="continuationSeparator" w:id="0">
    <w:p w14:paraId="348FC68C" w14:textId="77777777" w:rsidR="00C559FE" w:rsidRDefault="00C559FE" w:rsidP="004616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5B47A" w14:textId="77777777" w:rsidR="00D93175" w:rsidRPr="00271CE5" w:rsidRDefault="00271CE5" w:rsidP="00271CE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11104-07-19</w:t>
    </w:r>
    <w:r>
      <w:rPr>
        <w:rFonts w:ascii="David" w:hAnsi="David"/>
        <w:color w:val="000000"/>
        <w:sz w:val="22"/>
        <w:szCs w:val="22"/>
        <w:rtl/>
      </w:rPr>
      <w:tab/>
      <w:t xml:space="preserve"> מדינת ישראל נ' ווגדי עווידה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08798" w14:textId="77777777" w:rsidR="00D93175" w:rsidRPr="00271CE5" w:rsidRDefault="00271CE5" w:rsidP="00271CE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11104-07-19</w:t>
    </w:r>
    <w:r>
      <w:rPr>
        <w:rFonts w:ascii="David" w:hAnsi="David"/>
        <w:color w:val="000000"/>
        <w:sz w:val="22"/>
        <w:szCs w:val="22"/>
        <w:rtl/>
      </w:rPr>
      <w:tab/>
      <w:t xml:space="preserve"> מדינת ישראל נ' ווגדי עווידה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C4091"/>
    <w:multiLevelType w:val="hybridMultilevel"/>
    <w:tmpl w:val="35C2AF2E"/>
    <w:lvl w:ilvl="0" w:tplc="0B645B0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107DAC"/>
    <w:multiLevelType w:val="hybridMultilevel"/>
    <w:tmpl w:val="925692C4"/>
    <w:lvl w:ilvl="0" w:tplc="91C2357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67860264">
    <w:abstractNumId w:val="0"/>
  </w:num>
  <w:num w:numId="2" w16cid:durableId="776363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31CC2"/>
    <w:rsid w:val="000C3CE1"/>
    <w:rsid w:val="00177578"/>
    <w:rsid w:val="0025643D"/>
    <w:rsid w:val="00271CE5"/>
    <w:rsid w:val="002D325F"/>
    <w:rsid w:val="0034488F"/>
    <w:rsid w:val="00461653"/>
    <w:rsid w:val="00731CC2"/>
    <w:rsid w:val="00805111"/>
    <w:rsid w:val="008700BC"/>
    <w:rsid w:val="009328CB"/>
    <w:rsid w:val="00A02430"/>
    <w:rsid w:val="00C501AB"/>
    <w:rsid w:val="00C559FE"/>
    <w:rsid w:val="00D93175"/>
    <w:rsid w:val="00DE5C88"/>
    <w:rsid w:val="00FB00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0D4E6E7"/>
  <w15:chartTrackingRefBased/>
  <w15:docId w15:val="{268F9F6D-B082-441A-B179-82C544708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31CC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31CC2"/>
    <w:pPr>
      <w:tabs>
        <w:tab w:val="center" w:pos="4153"/>
        <w:tab w:val="right" w:pos="8306"/>
      </w:tabs>
    </w:pPr>
  </w:style>
  <w:style w:type="character" w:customStyle="1" w:styleId="a4">
    <w:name w:val="כותרת עליונה תו"/>
    <w:link w:val="a3"/>
    <w:rsid w:val="00731CC2"/>
    <w:rPr>
      <w:rFonts w:ascii="Times New Roman" w:eastAsia="Times New Roman" w:hAnsi="Times New Roman" w:cs="David"/>
      <w:sz w:val="24"/>
      <w:szCs w:val="24"/>
    </w:rPr>
  </w:style>
  <w:style w:type="paragraph" w:styleId="a5">
    <w:name w:val="footer"/>
    <w:basedOn w:val="a"/>
    <w:link w:val="a6"/>
    <w:rsid w:val="00731CC2"/>
    <w:pPr>
      <w:tabs>
        <w:tab w:val="center" w:pos="4153"/>
        <w:tab w:val="right" w:pos="8306"/>
      </w:tabs>
    </w:pPr>
  </w:style>
  <w:style w:type="character" w:customStyle="1" w:styleId="a6">
    <w:name w:val="כותרת תחתונה תו"/>
    <w:link w:val="a5"/>
    <w:rsid w:val="00731CC2"/>
    <w:rPr>
      <w:rFonts w:ascii="Times New Roman" w:eastAsia="Times New Roman" w:hAnsi="Times New Roman" w:cs="David"/>
      <w:sz w:val="24"/>
      <w:szCs w:val="24"/>
    </w:rPr>
  </w:style>
  <w:style w:type="table" w:styleId="a7">
    <w:name w:val="Table Grid"/>
    <w:basedOn w:val="a1"/>
    <w:rsid w:val="00731CC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31CC2"/>
  </w:style>
  <w:style w:type="paragraph" w:styleId="a9">
    <w:name w:val="List Paragraph"/>
    <w:basedOn w:val="a"/>
    <w:qFormat/>
    <w:rsid w:val="00731CC2"/>
    <w:pPr>
      <w:ind w:left="720"/>
      <w:contextualSpacing/>
    </w:pPr>
  </w:style>
  <w:style w:type="character" w:styleId="Hyperlink">
    <w:name w:val="Hyperlink"/>
    <w:rsid w:val="00D931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2."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1771409" TargetMode="External"/><Relationship Id="rId39" Type="http://schemas.openxmlformats.org/officeDocument/2006/relationships/hyperlink" Target="http://www.nevo.co.il/law/70301/e(1)CbS" TargetMode="External"/><Relationship Id="rId21" Type="http://schemas.openxmlformats.org/officeDocument/2006/relationships/hyperlink" Target="http://www.nevo.co.il/case/23750625" TargetMode="External"/><Relationship Id="rId34" Type="http://schemas.openxmlformats.org/officeDocument/2006/relationships/hyperlink" Target="http://www.nevo.co.il/case/17954222" TargetMode="External"/><Relationship Id="rId42" Type="http://schemas.openxmlformats.org/officeDocument/2006/relationships/hyperlink" Target="http://www.nevo.co.il/law/70301/40i.a.9"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eCaS" TargetMode="External"/><Relationship Id="rId29" Type="http://schemas.openxmlformats.org/officeDocument/2006/relationships/hyperlink" Target="http://www.nevo.co.il/law/70301/144.a" TargetMode="External"/><Relationship Id="rId11" Type="http://schemas.openxmlformats.org/officeDocument/2006/relationships/hyperlink" Target="http://www.nevo.co.il/law/70301/40i.a.9" TargetMode="External"/><Relationship Id="rId24" Type="http://schemas.openxmlformats.org/officeDocument/2006/relationships/hyperlink" Target="http://www.nevo.co.il/case/5762686" TargetMode="External"/><Relationship Id="rId32" Type="http://schemas.openxmlformats.org/officeDocument/2006/relationships/hyperlink" Target="http://www.nevo.co.il/case/7791493" TargetMode="External"/><Relationship Id="rId37" Type="http://schemas.openxmlformats.org/officeDocument/2006/relationships/hyperlink" Target="http://www.nevo.co.il/law/70301/40i.a.9" TargetMode="External"/><Relationship Id="rId40" Type="http://schemas.openxmlformats.org/officeDocument/2006/relationships/hyperlink" Target="http://www.nevo.co.il/law/70301/28" TargetMode="External"/><Relationship Id="rId45" Type="http://schemas.openxmlformats.org/officeDocument/2006/relationships/hyperlink" Target="http://www.nevo.co.il/law/70301" TargetMode="External"/><Relationship Id="rId5" Type="http://schemas.openxmlformats.org/officeDocument/2006/relationships/footnotes" Target="footnotes.xml"/><Relationship Id="rId15" Type="http://schemas.openxmlformats.org/officeDocument/2006/relationships/hyperlink" Target="http://www.nevo.co.il/law/70301/e(1)CbS" TargetMode="External"/><Relationship Id="rId23" Type="http://schemas.openxmlformats.org/officeDocument/2006/relationships/hyperlink" Target="http://www.nevo.co.il/case/7791493" TargetMode="External"/><Relationship Id="rId28" Type="http://schemas.openxmlformats.org/officeDocument/2006/relationships/hyperlink" Target="http://www.nevo.co.il/law/70301/144.b2" TargetMode="External"/><Relationship Id="rId36" Type="http://schemas.openxmlformats.org/officeDocument/2006/relationships/hyperlink" Target="http://www.nevo.co.il/law/70301" TargetMode="External"/><Relationship Id="rId49" Type="http://schemas.openxmlformats.org/officeDocument/2006/relationships/footer" Target="footer1.xml"/><Relationship Id="rId10" Type="http://schemas.openxmlformats.org/officeDocument/2006/relationships/hyperlink" Target="http://www.nevo.co.il/law/70301/40i.a" TargetMode="External"/><Relationship Id="rId19" Type="http://schemas.openxmlformats.org/officeDocument/2006/relationships/hyperlink" Target="http://www.nevo.co.il/law/70301/144.a.;25" TargetMode="External"/><Relationship Id="rId31" Type="http://schemas.openxmlformats.org/officeDocument/2006/relationships/hyperlink" Target="http://www.nevo.co.il/case/23383615" TargetMode="External"/><Relationship Id="rId44" Type="http://schemas.openxmlformats.org/officeDocument/2006/relationships/hyperlink" Target="http://www.nevo.co.il/law/70301/40ja"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28"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case/5594385" TargetMode="External"/><Relationship Id="rId27" Type="http://schemas.openxmlformats.org/officeDocument/2006/relationships/hyperlink" Target="http://www.nevo.co.il/law/70301/144.a" TargetMode="External"/><Relationship Id="rId30" Type="http://schemas.openxmlformats.org/officeDocument/2006/relationships/hyperlink" Target="http://www.nevo.co.il/case/5748837" TargetMode="External"/><Relationship Id="rId35" Type="http://schemas.openxmlformats.org/officeDocument/2006/relationships/hyperlink" Target="http://www.nevo.co.il/law/70301/28" TargetMode="External"/><Relationship Id="rId43" Type="http://schemas.openxmlformats.org/officeDocument/2006/relationships/hyperlink" Target="http://www.nevo.co.il/law/70301/40i.a" TargetMode="External"/><Relationship Id="rId48" Type="http://schemas.openxmlformats.org/officeDocument/2006/relationships/header" Target="header2.xml"/><Relationship Id="rId8" Type="http://schemas.openxmlformats.org/officeDocument/2006/relationships/hyperlink" Target="http://www.nevo.co.il/law/70301/25"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144.b2.;25" TargetMode="External"/><Relationship Id="rId25" Type="http://schemas.openxmlformats.org/officeDocument/2006/relationships/hyperlink" Target="http://www.nevo.co.il/case/6000182" TargetMode="External"/><Relationship Id="rId33" Type="http://schemas.openxmlformats.org/officeDocument/2006/relationships/hyperlink" Target="http://www.nevo.co.il/case/25063920" TargetMode="External"/><Relationship Id="rId38" Type="http://schemas.openxmlformats.org/officeDocument/2006/relationships/hyperlink" Target="http://www.nevo.co.il/law/70301"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case/21472788" TargetMode="External"/><Relationship Id="rId41" Type="http://schemas.openxmlformats.org/officeDocument/2006/relationships/hyperlink" Target="http://www.nevo.co.il/law/70301/eCaS"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3086</Words>
  <Characters>15431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18481</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7995492</vt:i4>
      </vt:variant>
      <vt:variant>
        <vt:i4>114</vt:i4>
      </vt:variant>
      <vt:variant>
        <vt:i4>0</vt:i4>
      </vt:variant>
      <vt:variant>
        <vt:i4>5</vt:i4>
      </vt:variant>
      <vt:variant>
        <vt:lpwstr>http://www.nevo.co.il/law/70301</vt:lpwstr>
      </vt:variant>
      <vt:variant>
        <vt:lpwstr/>
      </vt:variant>
      <vt:variant>
        <vt:i4>262155</vt:i4>
      </vt:variant>
      <vt:variant>
        <vt:i4>111</vt:i4>
      </vt:variant>
      <vt:variant>
        <vt:i4>0</vt:i4>
      </vt:variant>
      <vt:variant>
        <vt:i4>5</vt:i4>
      </vt:variant>
      <vt:variant>
        <vt:lpwstr>http://www.nevo.co.il/law/70301/40ja</vt:lpwstr>
      </vt:variant>
      <vt:variant>
        <vt:lpwstr/>
      </vt:variant>
      <vt:variant>
        <vt:i4>4915208</vt:i4>
      </vt:variant>
      <vt:variant>
        <vt:i4>108</vt:i4>
      </vt:variant>
      <vt:variant>
        <vt:i4>0</vt:i4>
      </vt:variant>
      <vt:variant>
        <vt:i4>5</vt:i4>
      </vt:variant>
      <vt:variant>
        <vt:lpwstr>http://www.nevo.co.il/law/70301/40i.a</vt:lpwstr>
      </vt:variant>
      <vt:variant>
        <vt:lpwstr/>
      </vt:variant>
      <vt:variant>
        <vt:i4>6619241</vt:i4>
      </vt:variant>
      <vt:variant>
        <vt:i4>105</vt:i4>
      </vt:variant>
      <vt:variant>
        <vt:i4>0</vt:i4>
      </vt:variant>
      <vt:variant>
        <vt:i4>5</vt:i4>
      </vt:variant>
      <vt:variant>
        <vt:lpwstr>http://www.nevo.co.il/law/70301/40i.a.9</vt:lpwstr>
      </vt:variant>
      <vt:variant>
        <vt:lpwstr/>
      </vt:variant>
      <vt:variant>
        <vt:i4>4522065</vt:i4>
      </vt:variant>
      <vt:variant>
        <vt:i4>102</vt:i4>
      </vt:variant>
      <vt:variant>
        <vt:i4>0</vt:i4>
      </vt:variant>
      <vt:variant>
        <vt:i4>5</vt:i4>
      </vt:variant>
      <vt:variant>
        <vt:lpwstr>http://www.nevo.co.il/law/70301/eCaS</vt:lpwstr>
      </vt:variant>
      <vt:variant>
        <vt:lpwstr/>
      </vt:variant>
      <vt:variant>
        <vt:i4>7143527</vt:i4>
      </vt:variant>
      <vt:variant>
        <vt:i4>99</vt:i4>
      </vt:variant>
      <vt:variant>
        <vt:i4>0</vt:i4>
      </vt:variant>
      <vt:variant>
        <vt:i4>5</vt:i4>
      </vt:variant>
      <vt:variant>
        <vt:lpwstr>http://www.nevo.co.il/law/70301/28</vt:lpwstr>
      </vt:variant>
      <vt:variant>
        <vt:lpwstr/>
      </vt:variant>
      <vt:variant>
        <vt:i4>3539042</vt:i4>
      </vt:variant>
      <vt:variant>
        <vt:i4>96</vt:i4>
      </vt:variant>
      <vt:variant>
        <vt:i4>0</vt:i4>
      </vt:variant>
      <vt:variant>
        <vt:i4>5</vt:i4>
      </vt:variant>
      <vt:variant>
        <vt:lpwstr>http://www.nevo.co.il/law/70301/e(1)CbS</vt:lpwstr>
      </vt:variant>
      <vt:variant>
        <vt:lpwstr/>
      </vt:variant>
      <vt:variant>
        <vt:i4>7995492</vt:i4>
      </vt:variant>
      <vt:variant>
        <vt:i4>93</vt:i4>
      </vt:variant>
      <vt:variant>
        <vt:i4>0</vt:i4>
      </vt:variant>
      <vt:variant>
        <vt:i4>5</vt:i4>
      </vt:variant>
      <vt:variant>
        <vt:lpwstr>http://www.nevo.co.il/law/70301</vt:lpwstr>
      </vt:variant>
      <vt:variant>
        <vt:lpwstr/>
      </vt:variant>
      <vt:variant>
        <vt:i4>6619241</vt:i4>
      </vt:variant>
      <vt:variant>
        <vt:i4>90</vt:i4>
      </vt:variant>
      <vt:variant>
        <vt:i4>0</vt:i4>
      </vt:variant>
      <vt:variant>
        <vt:i4>5</vt:i4>
      </vt:variant>
      <vt:variant>
        <vt:lpwstr>http://www.nevo.co.il/law/70301/40i.a.9</vt:lpwstr>
      </vt:variant>
      <vt:variant>
        <vt:lpwstr/>
      </vt:variant>
      <vt:variant>
        <vt:i4>7995492</vt:i4>
      </vt:variant>
      <vt:variant>
        <vt:i4>87</vt:i4>
      </vt:variant>
      <vt:variant>
        <vt:i4>0</vt:i4>
      </vt:variant>
      <vt:variant>
        <vt:i4>5</vt:i4>
      </vt:variant>
      <vt:variant>
        <vt:lpwstr>http://www.nevo.co.il/law/70301</vt:lpwstr>
      </vt:variant>
      <vt:variant>
        <vt:lpwstr/>
      </vt:variant>
      <vt:variant>
        <vt:i4>7143527</vt:i4>
      </vt:variant>
      <vt:variant>
        <vt:i4>84</vt:i4>
      </vt:variant>
      <vt:variant>
        <vt:i4>0</vt:i4>
      </vt:variant>
      <vt:variant>
        <vt:i4>5</vt:i4>
      </vt:variant>
      <vt:variant>
        <vt:lpwstr>http://www.nevo.co.il/law/70301/28</vt:lpwstr>
      </vt:variant>
      <vt:variant>
        <vt:lpwstr/>
      </vt:variant>
      <vt:variant>
        <vt:i4>4063348</vt:i4>
      </vt:variant>
      <vt:variant>
        <vt:i4>81</vt:i4>
      </vt:variant>
      <vt:variant>
        <vt:i4>0</vt:i4>
      </vt:variant>
      <vt:variant>
        <vt:i4>5</vt:i4>
      </vt:variant>
      <vt:variant>
        <vt:lpwstr>http://www.nevo.co.il/case/17954222</vt:lpwstr>
      </vt:variant>
      <vt:variant>
        <vt:lpwstr/>
      </vt:variant>
      <vt:variant>
        <vt:i4>3342462</vt:i4>
      </vt:variant>
      <vt:variant>
        <vt:i4>78</vt:i4>
      </vt:variant>
      <vt:variant>
        <vt:i4>0</vt:i4>
      </vt:variant>
      <vt:variant>
        <vt:i4>5</vt:i4>
      </vt:variant>
      <vt:variant>
        <vt:lpwstr>http://www.nevo.co.il/case/25063920</vt:lpwstr>
      </vt:variant>
      <vt:variant>
        <vt:lpwstr/>
      </vt:variant>
      <vt:variant>
        <vt:i4>3735675</vt:i4>
      </vt:variant>
      <vt:variant>
        <vt:i4>75</vt:i4>
      </vt:variant>
      <vt:variant>
        <vt:i4>0</vt:i4>
      </vt:variant>
      <vt:variant>
        <vt:i4>5</vt:i4>
      </vt:variant>
      <vt:variant>
        <vt:lpwstr>http://www.nevo.co.il/case/7791493</vt:lpwstr>
      </vt:variant>
      <vt:variant>
        <vt:lpwstr/>
      </vt:variant>
      <vt:variant>
        <vt:i4>3342457</vt:i4>
      </vt:variant>
      <vt:variant>
        <vt:i4>72</vt:i4>
      </vt:variant>
      <vt:variant>
        <vt:i4>0</vt:i4>
      </vt:variant>
      <vt:variant>
        <vt:i4>5</vt:i4>
      </vt:variant>
      <vt:variant>
        <vt:lpwstr>http://www.nevo.co.il/case/23383615</vt:lpwstr>
      </vt:variant>
      <vt:variant>
        <vt:lpwstr/>
      </vt:variant>
      <vt:variant>
        <vt:i4>4063352</vt:i4>
      </vt:variant>
      <vt:variant>
        <vt:i4>69</vt:i4>
      </vt:variant>
      <vt:variant>
        <vt:i4>0</vt:i4>
      </vt:variant>
      <vt:variant>
        <vt:i4>5</vt:i4>
      </vt:variant>
      <vt:variant>
        <vt:lpwstr>http://www.nevo.co.il/case/5748837</vt:lpwstr>
      </vt:variant>
      <vt:variant>
        <vt:lpwstr/>
      </vt:variant>
      <vt:variant>
        <vt:i4>5177424</vt:i4>
      </vt:variant>
      <vt:variant>
        <vt:i4>66</vt:i4>
      </vt:variant>
      <vt:variant>
        <vt:i4>0</vt:i4>
      </vt:variant>
      <vt:variant>
        <vt:i4>5</vt:i4>
      </vt:variant>
      <vt:variant>
        <vt:lpwstr>http://www.nevo.co.il/law/70301/144.a</vt:lpwstr>
      </vt:variant>
      <vt:variant>
        <vt:lpwstr/>
      </vt:variant>
      <vt:variant>
        <vt:i4>8192050</vt:i4>
      </vt:variant>
      <vt:variant>
        <vt:i4>63</vt:i4>
      </vt:variant>
      <vt:variant>
        <vt:i4>0</vt:i4>
      </vt:variant>
      <vt:variant>
        <vt:i4>5</vt:i4>
      </vt:variant>
      <vt:variant>
        <vt:lpwstr>http://www.nevo.co.il/law/70301/144.b2</vt:lpwstr>
      </vt:variant>
      <vt:variant>
        <vt:lpwstr/>
      </vt:variant>
      <vt:variant>
        <vt:i4>5177424</vt:i4>
      </vt:variant>
      <vt:variant>
        <vt:i4>60</vt:i4>
      </vt:variant>
      <vt:variant>
        <vt:i4>0</vt:i4>
      </vt:variant>
      <vt:variant>
        <vt:i4>5</vt:i4>
      </vt:variant>
      <vt:variant>
        <vt:lpwstr>http://www.nevo.co.il/law/70301/144.a</vt:lpwstr>
      </vt:variant>
      <vt:variant>
        <vt:lpwstr/>
      </vt:variant>
      <vt:variant>
        <vt:i4>3407990</vt:i4>
      </vt:variant>
      <vt:variant>
        <vt:i4>57</vt:i4>
      </vt:variant>
      <vt:variant>
        <vt:i4>0</vt:i4>
      </vt:variant>
      <vt:variant>
        <vt:i4>5</vt:i4>
      </vt:variant>
      <vt:variant>
        <vt:lpwstr>http://www.nevo.co.il/case/21771409</vt:lpwstr>
      </vt:variant>
      <vt:variant>
        <vt:lpwstr/>
      </vt:variant>
      <vt:variant>
        <vt:i4>3473532</vt:i4>
      </vt:variant>
      <vt:variant>
        <vt:i4>54</vt:i4>
      </vt:variant>
      <vt:variant>
        <vt:i4>0</vt:i4>
      </vt:variant>
      <vt:variant>
        <vt:i4>5</vt:i4>
      </vt:variant>
      <vt:variant>
        <vt:lpwstr>http://www.nevo.co.il/case/6000182</vt:lpwstr>
      </vt:variant>
      <vt:variant>
        <vt:lpwstr/>
      </vt:variant>
      <vt:variant>
        <vt:i4>3342457</vt:i4>
      </vt:variant>
      <vt:variant>
        <vt:i4>51</vt:i4>
      </vt:variant>
      <vt:variant>
        <vt:i4>0</vt:i4>
      </vt:variant>
      <vt:variant>
        <vt:i4>5</vt:i4>
      </vt:variant>
      <vt:variant>
        <vt:lpwstr>http://www.nevo.co.il/case/5762686</vt:lpwstr>
      </vt:variant>
      <vt:variant>
        <vt:lpwstr/>
      </vt:variant>
      <vt:variant>
        <vt:i4>3735675</vt:i4>
      </vt:variant>
      <vt:variant>
        <vt:i4>48</vt:i4>
      </vt:variant>
      <vt:variant>
        <vt:i4>0</vt:i4>
      </vt:variant>
      <vt:variant>
        <vt:i4>5</vt:i4>
      </vt:variant>
      <vt:variant>
        <vt:lpwstr>http://www.nevo.co.il/case/7791493</vt:lpwstr>
      </vt:variant>
      <vt:variant>
        <vt:lpwstr/>
      </vt:variant>
      <vt:variant>
        <vt:i4>3801213</vt:i4>
      </vt:variant>
      <vt:variant>
        <vt:i4>45</vt:i4>
      </vt:variant>
      <vt:variant>
        <vt:i4>0</vt:i4>
      </vt:variant>
      <vt:variant>
        <vt:i4>5</vt:i4>
      </vt:variant>
      <vt:variant>
        <vt:lpwstr>http://www.nevo.co.il/case/5594385</vt:lpwstr>
      </vt:variant>
      <vt:variant>
        <vt:lpwstr/>
      </vt:variant>
      <vt:variant>
        <vt:i4>3604596</vt:i4>
      </vt:variant>
      <vt:variant>
        <vt:i4>42</vt:i4>
      </vt:variant>
      <vt:variant>
        <vt:i4>0</vt:i4>
      </vt:variant>
      <vt:variant>
        <vt:i4>5</vt:i4>
      </vt:variant>
      <vt:variant>
        <vt:lpwstr>http://www.nevo.co.il/case/23750625</vt:lpwstr>
      </vt:variant>
      <vt:variant>
        <vt:lpwstr/>
      </vt:variant>
      <vt:variant>
        <vt:i4>3932277</vt:i4>
      </vt:variant>
      <vt:variant>
        <vt:i4>39</vt:i4>
      </vt:variant>
      <vt:variant>
        <vt:i4>0</vt:i4>
      </vt:variant>
      <vt:variant>
        <vt:i4>5</vt:i4>
      </vt:variant>
      <vt:variant>
        <vt:lpwstr>http://www.nevo.co.il/case/21472788</vt:lpwstr>
      </vt:variant>
      <vt:variant>
        <vt:lpwstr/>
      </vt:variant>
      <vt:variant>
        <vt:i4>5439498</vt:i4>
      </vt:variant>
      <vt:variant>
        <vt:i4>36</vt:i4>
      </vt:variant>
      <vt:variant>
        <vt:i4>0</vt:i4>
      </vt:variant>
      <vt:variant>
        <vt:i4>5</vt:i4>
      </vt:variant>
      <vt:variant>
        <vt:lpwstr>http://www.nevo.co.il/law/70301/144.a.;25</vt:lpwstr>
      </vt:variant>
      <vt:variant>
        <vt:lpwstr/>
      </vt:variant>
      <vt:variant>
        <vt:i4>7995492</vt:i4>
      </vt:variant>
      <vt:variant>
        <vt:i4>33</vt:i4>
      </vt:variant>
      <vt:variant>
        <vt:i4>0</vt:i4>
      </vt:variant>
      <vt:variant>
        <vt:i4>5</vt:i4>
      </vt:variant>
      <vt:variant>
        <vt:lpwstr>http://www.nevo.co.il/law/70301</vt:lpwstr>
      </vt:variant>
      <vt:variant>
        <vt:lpwstr/>
      </vt:variant>
      <vt:variant>
        <vt:i4>7536686</vt:i4>
      </vt:variant>
      <vt:variant>
        <vt:i4>30</vt:i4>
      </vt:variant>
      <vt:variant>
        <vt:i4>0</vt:i4>
      </vt:variant>
      <vt:variant>
        <vt:i4>5</vt:i4>
      </vt:variant>
      <vt:variant>
        <vt:lpwstr>http://www.nevo.co.il/law/70301/144.b2.;25</vt:lpwstr>
      </vt:variant>
      <vt:variant>
        <vt:lpwstr/>
      </vt:variant>
      <vt:variant>
        <vt:i4>4522065</vt:i4>
      </vt:variant>
      <vt:variant>
        <vt:i4>27</vt:i4>
      </vt:variant>
      <vt:variant>
        <vt:i4>0</vt:i4>
      </vt:variant>
      <vt:variant>
        <vt:i4>5</vt:i4>
      </vt:variant>
      <vt:variant>
        <vt:lpwstr>http://www.nevo.co.il/law/70301/eCaS</vt:lpwstr>
      </vt:variant>
      <vt:variant>
        <vt:lpwstr/>
      </vt:variant>
      <vt:variant>
        <vt:i4>3539042</vt:i4>
      </vt:variant>
      <vt:variant>
        <vt:i4>24</vt:i4>
      </vt:variant>
      <vt:variant>
        <vt:i4>0</vt:i4>
      </vt:variant>
      <vt:variant>
        <vt:i4>5</vt:i4>
      </vt:variant>
      <vt:variant>
        <vt:lpwstr>http://www.nevo.co.il/law/70301/e(1)CbS</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6357041</vt:i4>
      </vt:variant>
      <vt:variant>
        <vt:i4>15</vt:i4>
      </vt:variant>
      <vt:variant>
        <vt:i4>0</vt:i4>
      </vt:variant>
      <vt:variant>
        <vt:i4>5</vt:i4>
      </vt:variant>
      <vt:variant>
        <vt:lpwstr>http://www.nevo.co.il/law/70301/144.a.</vt:lpwstr>
      </vt:variant>
      <vt:variant>
        <vt:lpwstr/>
      </vt:variant>
      <vt:variant>
        <vt:i4>6619241</vt:i4>
      </vt:variant>
      <vt:variant>
        <vt:i4>12</vt:i4>
      </vt:variant>
      <vt:variant>
        <vt:i4>0</vt:i4>
      </vt:variant>
      <vt:variant>
        <vt:i4>5</vt:i4>
      </vt:variant>
      <vt:variant>
        <vt:lpwstr>http://www.nevo.co.il/law/70301/40i.a.9</vt:lpwstr>
      </vt:variant>
      <vt:variant>
        <vt:lpwstr/>
      </vt:variant>
      <vt:variant>
        <vt:i4>4915208</vt:i4>
      </vt:variant>
      <vt:variant>
        <vt:i4>9</vt:i4>
      </vt:variant>
      <vt:variant>
        <vt:i4>0</vt:i4>
      </vt:variant>
      <vt:variant>
        <vt:i4>5</vt:i4>
      </vt:variant>
      <vt:variant>
        <vt:lpwstr>http://www.nevo.co.il/law/70301/40i.a</vt:lpwstr>
      </vt:variant>
      <vt:variant>
        <vt:lpwstr/>
      </vt:variant>
      <vt:variant>
        <vt:i4>7143527</vt:i4>
      </vt:variant>
      <vt:variant>
        <vt:i4>6</vt:i4>
      </vt:variant>
      <vt:variant>
        <vt:i4>0</vt:i4>
      </vt:variant>
      <vt:variant>
        <vt:i4>5</vt:i4>
      </vt:variant>
      <vt:variant>
        <vt:lpwstr>http://www.nevo.co.il/law/70301/28</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2023-12-07T12:23:00Z</dcterms:created>
  <dcterms:modified xsi:type="dcterms:W3CDTF">2023-12-07T12:23:00Z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11104</vt:lpwstr>
  </property>
  <property fmtid="{D5CDD505-2E9C-101B-9397-08002B2CF9AE}" pid="6" name="NEWPARTB">
    <vt:lpwstr>07</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ווגדי עווידה</vt:lpwstr>
  </property>
  <property fmtid="{D5CDD505-2E9C-101B-9397-08002B2CF9AE}" pid="10" name="JUDGE">
    <vt:lpwstr>אברהם רובין</vt:lpwstr>
  </property>
  <property fmtid="{D5CDD505-2E9C-101B-9397-08002B2CF9AE}" pid="11" name="CITY">
    <vt:lpwstr>י-ם</vt:lpwstr>
  </property>
  <property fmtid="{D5CDD505-2E9C-101B-9397-08002B2CF9AE}" pid="12" name="DATE">
    <vt:lpwstr>20200826</vt:lpwstr>
  </property>
  <property fmtid="{D5CDD505-2E9C-101B-9397-08002B2CF9AE}" pid="13" name="TYPE_N_DATE">
    <vt:lpwstr>39020200826</vt:lpwstr>
  </property>
  <property fmtid="{D5CDD505-2E9C-101B-9397-08002B2CF9AE}" pid="14" name="WORDNUMPAGES">
    <vt:lpwstr>9</vt:lpwstr>
  </property>
  <property fmtid="{D5CDD505-2E9C-101B-9397-08002B2CF9AE}" pid="15" name="TYPE_ABS_DATE">
    <vt:lpwstr>390020200826</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21472788;23750625;5594385;7791493:2;5762686;6000182;21771409;5748837;23383615;25063920;17954222</vt:lpwstr>
  </property>
  <property fmtid="{D5CDD505-2E9C-101B-9397-08002B2CF9AE}" pid="36" name="LAWLISTTMP1">
    <vt:lpwstr>70301/144.b2:2;025:2;144.a:3;028:2;040i.a.9:2;e(1)CbS;eCaS;040i.a;40ja</vt:lpwstr>
  </property>
</Properties>
</file>