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7"/>
        <w:gridCol w:w="3664"/>
      </w:tblGrid>
      <w:tr w:rsidR="000202CC" w:rsidRPr="00F115F8" w14:paraId="21B8ECBB" w14:textId="77777777" w:rsidTr="00801A26">
        <w:trPr>
          <w:trHeight w:hRule="exact" w:val="418"/>
          <w:jc w:val="center"/>
        </w:trPr>
        <w:tc>
          <w:tcPr>
            <w:tcW w:w="8721" w:type="dxa"/>
            <w:gridSpan w:val="2"/>
          </w:tcPr>
          <w:p w14:paraId="4491A021" w14:textId="77777777" w:rsidR="000202CC" w:rsidRPr="00F115F8" w:rsidRDefault="000202CC" w:rsidP="000C1A32">
            <w:pPr>
              <w:pStyle w:val="a3"/>
              <w:jc w:val="center"/>
              <w:rPr>
                <w:rFonts w:ascii="Tahoma" w:hAnsi="Tahoma" w:cs="Tahoma"/>
                <w:color w:val="000080"/>
                <w:rtl/>
              </w:rPr>
            </w:pPr>
            <w:bookmarkStart w:id="0" w:name="LastJudge"/>
            <w:r w:rsidRPr="00F115F8">
              <w:rPr>
                <w:rFonts w:ascii="Tahoma" w:hAnsi="Tahoma" w:cs="Tahoma"/>
                <w:b/>
                <w:bCs/>
                <w:color w:val="000080"/>
                <w:rtl/>
              </w:rPr>
              <w:t>בית המשפט המחוזי מרכז-לוד</w:t>
            </w:r>
          </w:p>
        </w:tc>
      </w:tr>
      <w:tr w:rsidR="000202CC" w:rsidRPr="00F115F8" w14:paraId="23393B35" w14:textId="77777777" w:rsidTr="00801A26">
        <w:trPr>
          <w:trHeight w:val="337"/>
          <w:jc w:val="center"/>
        </w:trPr>
        <w:tc>
          <w:tcPr>
            <w:tcW w:w="5057" w:type="dxa"/>
          </w:tcPr>
          <w:p w14:paraId="4E5E7423" w14:textId="77777777" w:rsidR="000202CC" w:rsidRPr="00F115F8" w:rsidRDefault="000202CC" w:rsidP="000C1A32">
            <w:pPr>
              <w:rPr>
                <w:rFonts w:cs="FrankRuehl"/>
                <w:sz w:val="28"/>
                <w:szCs w:val="28"/>
                <w:rtl/>
              </w:rPr>
            </w:pPr>
            <w:r w:rsidRPr="00F115F8">
              <w:rPr>
                <w:rFonts w:cs="FrankRuehl"/>
                <w:sz w:val="28"/>
                <w:szCs w:val="28"/>
                <w:rtl/>
              </w:rPr>
              <w:t>ת"פ</w:t>
            </w:r>
            <w:r w:rsidRPr="00F115F8">
              <w:rPr>
                <w:rFonts w:cs="FrankRuehl" w:hint="cs"/>
                <w:sz w:val="28"/>
                <w:szCs w:val="28"/>
                <w:rtl/>
              </w:rPr>
              <w:t xml:space="preserve"> </w:t>
            </w:r>
            <w:r w:rsidRPr="00F115F8">
              <w:rPr>
                <w:rFonts w:cs="FrankRuehl"/>
                <w:sz w:val="28"/>
                <w:szCs w:val="28"/>
                <w:rtl/>
              </w:rPr>
              <w:t>12376-10-18</w:t>
            </w:r>
            <w:r w:rsidRPr="00F115F8">
              <w:rPr>
                <w:rFonts w:cs="FrankRuehl" w:hint="cs"/>
                <w:sz w:val="28"/>
                <w:szCs w:val="28"/>
                <w:rtl/>
              </w:rPr>
              <w:t xml:space="preserve"> </w:t>
            </w:r>
            <w:r w:rsidRPr="00F115F8">
              <w:rPr>
                <w:rFonts w:cs="FrankRuehl"/>
                <w:sz w:val="28"/>
                <w:szCs w:val="28"/>
                <w:rtl/>
              </w:rPr>
              <w:t>מדינת ישראל נ' היילי(עציר)</w:t>
            </w:r>
          </w:p>
          <w:p w14:paraId="189A3105" w14:textId="77777777" w:rsidR="000202CC" w:rsidRPr="00F115F8" w:rsidRDefault="000202CC" w:rsidP="000C1A32">
            <w:pPr>
              <w:pStyle w:val="a3"/>
              <w:rPr>
                <w:rFonts w:cs="FrankRuehl"/>
                <w:sz w:val="28"/>
                <w:szCs w:val="28"/>
                <w:rtl/>
              </w:rPr>
            </w:pPr>
          </w:p>
        </w:tc>
        <w:tc>
          <w:tcPr>
            <w:tcW w:w="3664" w:type="dxa"/>
          </w:tcPr>
          <w:p w14:paraId="6E57392C" w14:textId="77777777" w:rsidR="000202CC" w:rsidRPr="00F115F8" w:rsidRDefault="000202CC" w:rsidP="000C1A32">
            <w:pPr>
              <w:pStyle w:val="a3"/>
              <w:jc w:val="right"/>
              <w:rPr>
                <w:rFonts w:cs="FrankRuehl"/>
                <w:sz w:val="28"/>
                <w:szCs w:val="28"/>
                <w:rtl/>
              </w:rPr>
            </w:pPr>
          </w:p>
        </w:tc>
      </w:tr>
    </w:tbl>
    <w:p w14:paraId="65A11B38" w14:textId="77777777" w:rsidR="000202CC" w:rsidRPr="00F115F8" w:rsidRDefault="000202CC" w:rsidP="000202CC">
      <w:pPr>
        <w:pStyle w:val="a3"/>
        <w:rPr>
          <w:rtl/>
        </w:rPr>
      </w:pPr>
      <w:r w:rsidRPr="00F115F8">
        <w:rPr>
          <w:rFonts w:hint="cs"/>
          <w:rtl/>
        </w:rPr>
        <w:t xml:space="preserve"> </w:t>
      </w:r>
    </w:p>
    <w:p w14:paraId="709E31AC" w14:textId="77777777" w:rsidR="000202CC" w:rsidRPr="00F115F8" w:rsidRDefault="000202CC" w:rsidP="000202CC">
      <w:pPr>
        <w:rPr>
          <w:rtl/>
        </w:rPr>
      </w:pPr>
    </w:p>
    <w:p w14:paraId="7FE476C3" w14:textId="77777777" w:rsidR="000202CC" w:rsidRPr="00F115F8" w:rsidRDefault="000202CC" w:rsidP="000202C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202CC" w:rsidRPr="00F115F8" w14:paraId="00109E86" w14:textId="77777777" w:rsidTr="000202CC">
        <w:trPr>
          <w:trHeight w:val="295"/>
          <w:jc w:val="center"/>
        </w:trPr>
        <w:tc>
          <w:tcPr>
            <w:tcW w:w="923" w:type="dxa"/>
            <w:tcBorders>
              <w:top w:val="nil"/>
              <w:left w:val="nil"/>
              <w:bottom w:val="nil"/>
              <w:right w:val="nil"/>
            </w:tcBorders>
            <w:shd w:val="clear" w:color="auto" w:fill="auto"/>
          </w:tcPr>
          <w:p w14:paraId="7AAD0A9A" w14:textId="77777777" w:rsidR="000202CC" w:rsidRPr="00F115F8" w:rsidRDefault="000202CC" w:rsidP="000202CC">
            <w:pPr>
              <w:jc w:val="both"/>
              <w:rPr>
                <w:rFonts w:ascii="Arial" w:hAnsi="Arial" w:cs="FrankRuehl"/>
                <w:sz w:val="28"/>
                <w:szCs w:val="28"/>
              </w:rPr>
            </w:pPr>
            <w:r w:rsidRPr="00F115F8">
              <w:rPr>
                <w:rFonts w:ascii="Arial" w:hAnsi="Arial" w:cs="FrankRuehl" w:hint="cs"/>
                <w:sz w:val="28"/>
                <w:szCs w:val="28"/>
                <w:rtl/>
              </w:rPr>
              <w:t>ב</w:t>
            </w:r>
            <w:r w:rsidRPr="00F115F8">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B7CA836" w14:textId="77777777" w:rsidR="000202CC" w:rsidRPr="00F115F8" w:rsidRDefault="000202CC" w:rsidP="000C1A32">
            <w:pPr>
              <w:rPr>
                <w:rFonts w:ascii="Arial" w:hAnsi="Arial"/>
                <w:b/>
                <w:bCs/>
                <w:rtl/>
              </w:rPr>
            </w:pPr>
            <w:r w:rsidRPr="00F115F8">
              <w:rPr>
                <w:rFonts w:ascii="Arial" w:hAnsi="Arial" w:hint="cs"/>
                <w:b/>
                <w:bCs/>
                <w:rtl/>
              </w:rPr>
              <w:t>כבוד ה</w:t>
            </w:r>
            <w:r w:rsidRPr="00F115F8">
              <w:rPr>
                <w:rFonts w:ascii="Arial" w:hAnsi="Arial"/>
                <w:b/>
                <w:bCs/>
                <w:rtl/>
              </w:rPr>
              <w:t>שופטת</w:t>
            </w:r>
            <w:r w:rsidRPr="00F115F8">
              <w:rPr>
                <w:rFonts w:ascii="Arial" w:hAnsi="Arial" w:hint="cs"/>
                <w:b/>
                <w:bCs/>
                <w:rtl/>
              </w:rPr>
              <w:t xml:space="preserve">  </w:t>
            </w:r>
            <w:r w:rsidRPr="00F115F8">
              <w:rPr>
                <w:rFonts w:ascii="Arial" w:hAnsi="Arial"/>
                <w:b/>
                <w:bCs/>
                <w:rtl/>
              </w:rPr>
              <w:t>דנה מרשק מרום</w:t>
            </w:r>
          </w:p>
          <w:p w14:paraId="584DF99B" w14:textId="77777777" w:rsidR="000202CC" w:rsidRPr="00F115F8" w:rsidRDefault="000202CC" w:rsidP="000C1A32">
            <w:pPr>
              <w:rPr>
                <w:rtl/>
              </w:rPr>
            </w:pPr>
          </w:p>
          <w:p w14:paraId="426D8EEB" w14:textId="77777777" w:rsidR="000202CC" w:rsidRPr="00F115F8" w:rsidRDefault="000202CC" w:rsidP="000202CC">
            <w:pPr>
              <w:jc w:val="both"/>
              <w:rPr>
                <w:rFonts w:ascii="Arial" w:hAnsi="Arial" w:cs="FrankRuehl"/>
                <w:sz w:val="28"/>
                <w:szCs w:val="28"/>
              </w:rPr>
            </w:pPr>
          </w:p>
        </w:tc>
      </w:tr>
      <w:tr w:rsidR="000202CC" w:rsidRPr="00F115F8" w14:paraId="741DD568" w14:textId="77777777" w:rsidTr="000202CC">
        <w:trPr>
          <w:trHeight w:val="355"/>
          <w:jc w:val="center"/>
        </w:trPr>
        <w:tc>
          <w:tcPr>
            <w:tcW w:w="923" w:type="dxa"/>
            <w:tcBorders>
              <w:top w:val="nil"/>
              <w:left w:val="nil"/>
              <w:bottom w:val="nil"/>
              <w:right w:val="nil"/>
            </w:tcBorders>
            <w:shd w:val="clear" w:color="auto" w:fill="auto"/>
          </w:tcPr>
          <w:p w14:paraId="189E234B" w14:textId="77777777" w:rsidR="000202CC" w:rsidRPr="00F115F8" w:rsidRDefault="000202CC" w:rsidP="000202CC">
            <w:pPr>
              <w:jc w:val="both"/>
              <w:rPr>
                <w:rFonts w:ascii="Arial" w:hAnsi="Arial" w:cs="FrankRuehl"/>
                <w:sz w:val="28"/>
                <w:szCs w:val="28"/>
              </w:rPr>
            </w:pPr>
            <w:bookmarkStart w:id="1" w:name="FirstAppellant"/>
            <w:bookmarkStart w:id="2" w:name="FirstLawyer"/>
            <w:r w:rsidRPr="00F115F8">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5BCB8F6" w14:textId="77777777" w:rsidR="000202CC" w:rsidRPr="00F115F8" w:rsidRDefault="000202CC" w:rsidP="000C1A32">
            <w:r w:rsidRPr="00F115F8">
              <w:rPr>
                <w:rFonts w:ascii="Arial" w:hAnsi="Arial" w:cs="FrankRuehl"/>
                <w:sz w:val="28"/>
                <w:szCs w:val="28"/>
                <w:rtl/>
              </w:rPr>
              <w:t xml:space="preserve">מדינת ישראל – באמצעות </w:t>
            </w:r>
            <w:r w:rsidRPr="00F115F8">
              <w:rPr>
                <w:rFonts w:ascii="Arial" w:hAnsi="Arial" w:cs="FrankRuehl" w:hint="cs"/>
                <w:sz w:val="28"/>
                <w:szCs w:val="28"/>
                <w:rtl/>
              </w:rPr>
              <w:t>פמ"מ וע"י עו"ד יעל תרם</w:t>
            </w:r>
          </w:p>
        </w:tc>
        <w:tc>
          <w:tcPr>
            <w:tcW w:w="3771" w:type="dxa"/>
            <w:tcBorders>
              <w:top w:val="nil"/>
              <w:left w:val="nil"/>
              <w:bottom w:val="nil"/>
              <w:right w:val="nil"/>
            </w:tcBorders>
            <w:shd w:val="clear" w:color="auto" w:fill="auto"/>
          </w:tcPr>
          <w:p w14:paraId="341065CA" w14:textId="77777777" w:rsidR="000202CC" w:rsidRPr="00F115F8" w:rsidRDefault="000202CC" w:rsidP="000202CC">
            <w:pPr>
              <w:jc w:val="both"/>
              <w:rPr>
                <w:rFonts w:ascii="Arial" w:hAnsi="Arial" w:cs="FrankRuehl"/>
                <w:sz w:val="28"/>
                <w:szCs w:val="28"/>
              </w:rPr>
            </w:pPr>
          </w:p>
        </w:tc>
      </w:tr>
      <w:bookmarkEnd w:id="1"/>
      <w:bookmarkEnd w:id="2"/>
      <w:tr w:rsidR="000202CC" w:rsidRPr="00F115F8" w14:paraId="2DCE3E45" w14:textId="77777777" w:rsidTr="000202CC">
        <w:trPr>
          <w:trHeight w:val="355"/>
          <w:jc w:val="center"/>
        </w:trPr>
        <w:tc>
          <w:tcPr>
            <w:tcW w:w="923" w:type="dxa"/>
            <w:tcBorders>
              <w:top w:val="nil"/>
              <w:left w:val="nil"/>
              <w:bottom w:val="nil"/>
              <w:right w:val="nil"/>
            </w:tcBorders>
            <w:shd w:val="clear" w:color="auto" w:fill="auto"/>
          </w:tcPr>
          <w:p w14:paraId="3790FB68" w14:textId="77777777" w:rsidR="000202CC" w:rsidRPr="00F115F8" w:rsidRDefault="000202CC" w:rsidP="000202CC">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0098BBD" w14:textId="77777777" w:rsidR="000202CC" w:rsidRPr="00F115F8" w:rsidRDefault="000202CC" w:rsidP="000202CC">
            <w:pPr>
              <w:jc w:val="both"/>
              <w:rPr>
                <w:rtl/>
              </w:rPr>
            </w:pPr>
          </w:p>
        </w:tc>
        <w:tc>
          <w:tcPr>
            <w:tcW w:w="3771" w:type="dxa"/>
            <w:tcBorders>
              <w:top w:val="nil"/>
              <w:left w:val="nil"/>
              <w:bottom w:val="nil"/>
              <w:right w:val="nil"/>
            </w:tcBorders>
            <w:shd w:val="clear" w:color="auto" w:fill="auto"/>
          </w:tcPr>
          <w:p w14:paraId="1942AC07" w14:textId="77777777" w:rsidR="000202CC" w:rsidRPr="00F115F8" w:rsidRDefault="000202CC" w:rsidP="000202CC">
            <w:pPr>
              <w:jc w:val="right"/>
              <w:rPr>
                <w:rFonts w:ascii="Arial" w:hAnsi="Arial" w:cs="FrankRuehl"/>
                <w:sz w:val="28"/>
                <w:szCs w:val="28"/>
                <w:rtl/>
              </w:rPr>
            </w:pPr>
            <w:r w:rsidRPr="00F115F8">
              <w:rPr>
                <w:rFonts w:ascii="Arial" w:hAnsi="Arial" w:cs="FrankRuehl" w:hint="cs"/>
                <w:sz w:val="28"/>
                <w:szCs w:val="28"/>
                <w:rtl/>
              </w:rPr>
              <w:t>ה</w:t>
            </w:r>
            <w:r w:rsidRPr="00F115F8">
              <w:rPr>
                <w:rFonts w:ascii="Arial" w:hAnsi="Arial" w:cs="FrankRuehl"/>
                <w:sz w:val="28"/>
                <w:szCs w:val="28"/>
                <w:rtl/>
              </w:rPr>
              <w:t>מאשימה</w:t>
            </w:r>
          </w:p>
        </w:tc>
      </w:tr>
      <w:tr w:rsidR="000202CC" w:rsidRPr="00F115F8" w14:paraId="45BF08E7" w14:textId="77777777" w:rsidTr="000202CC">
        <w:trPr>
          <w:trHeight w:val="355"/>
          <w:jc w:val="center"/>
        </w:trPr>
        <w:tc>
          <w:tcPr>
            <w:tcW w:w="923" w:type="dxa"/>
            <w:tcBorders>
              <w:top w:val="nil"/>
              <w:left w:val="nil"/>
              <w:bottom w:val="nil"/>
              <w:right w:val="nil"/>
            </w:tcBorders>
            <w:shd w:val="clear" w:color="auto" w:fill="auto"/>
          </w:tcPr>
          <w:p w14:paraId="5C37999B" w14:textId="77777777" w:rsidR="000202CC" w:rsidRPr="00F115F8" w:rsidRDefault="000202CC" w:rsidP="000202CC">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C0CC685" w14:textId="77777777" w:rsidR="000202CC" w:rsidRPr="00F115F8" w:rsidRDefault="000202CC" w:rsidP="000202CC">
            <w:pPr>
              <w:jc w:val="center"/>
              <w:rPr>
                <w:rFonts w:ascii="Arial" w:hAnsi="Arial" w:cs="FrankRuehl"/>
                <w:b/>
                <w:bCs/>
                <w:sz w:val="28"/>
                <w:szCs w:val="28"/>
                <w:rtl/>
              </w:rPr>
            </w:pPr>
          </w:p>
          <w:p w14:paraId="7128B5C7" w14:textId="77777777" w:rsidR="000202CC" w:rsidRPr="00F115F8" w:rsidRDefault="000202CC" w:rsidP="000202CC">
            <w:pPr>
              <w:jc w:val="center"/>
              <w:rPr>
                <w:rFonts w:ascii="Arial" w:hAnsi="Arial" w:cs="FrankRuehl"/>
                <w:b/>
                <w:bCs/>
                <w:sz w:val="28"/>
                <w:szCs w:val="28"/>
                <w:rtl/>
              </w:rPr>
            </w:pPr>
            <w:r w:rsidRPr="00F115F8">
              <w:rPr>
                <w:rFonts w:ascii="Arial" w:hAnsi="Arial" w:cs="FrankRuehl"/>
                <w:b/>
                <w:bCs/>
                <w:sz w:val="28"/>
                <w:szCs w:val="28"/>
                <w:rtl/>
              </w:rPr>
              <w:t>נגד</w:t>
            </w:r>
          </w:p>
          <w:p w14:paraId="41D28EDA" w14:textId="77777777" w:rsidR="000202CC" w:rsidRPr="00F115F8" w:rsidRDefault="000202CC" w:rsidP="000202CC">
            <w:pPr>
              <w:jc w:val="both"/>
              <w:rPr>
                <w:rFonts w:ascii="Arial" w:hAnsi="Arial" w:cs="FrankRuehl"/>
                <w:sz w:val="28"/>
                <w:szCs w:val="28"/>
              </w:rPr>
            </w:pPr>
          </w:p>
        </w:tc>
      </w:tr>
      <w:tr w:rsidR="000202CC" w:rsidRPr="00F115F8" w14:paraId="6ECE68BF" w14:textId="77777777" w:rsidTr="000202CC">
        <w:trPr>
          <w:trHeight w:val="355"/>
          <w:jc w:val="center"/>
        </w:trPr>
        <w:tc>
          <w:tcPr>
            <w:tcW w:w="923" w:type="dxa"/>
            <w:tcBorders>
              <w:top w:val="nil"/>
              <w:left w:val="nil"/>
              <w:bottom w:val="nil"/>
              <w:right w:val="nil"/>
            </w:tcBorders>
            <w:shd w:val="clear" w:color="auto" w:fill="auto"/>
          </w:tcPr>
          <w:p w14:paraId="4CC5593D" w14:textId="77777777" w:rsidR="000202CC" w:rsidRPr="00F115F8" w:rsidRDefault="000202CC" w:rsidP="000C1A32">
            <w:pPr>
              <w:rPr>
                <w:rFonts w:ascii="Arial" w:hAnsi="Arial" w:cs="FrankRuehl"/>
                <w:sz w:val="28"/>
                <w:szCs w:val="28"/>
                <w:rtl/>
              </w:rPr>
            </w:pPr>
          </w:p>
        </w:tc>
        <w:tc>
          <w:tcPr>
            <w:tcW w:w="4126" w:type="dxa"/>
            <w:tcBorders>
              <w:top w:val="nil"/>
              <w:left w:val="nil"/>
              <w:bottom w:val="nil"/>
              <w:right w:val="nil"/>
            </w:tcBorders>
            <w:shd w:val="clear" w:color="auto" w:fill="auto"/>
          </w:tcPr>
          <w:p w14:paraId="49FD5266" w14:textId="77777777" w:rsidR="000202CC" w:rsidRPr="00F115F8" w:rsidRDefault="000202CC" w:rsidP="000C1A32">
            <w:pPr>
              <w:rPr>
                <w:rtl/>
              </w:rPr>
            </w:pPr>
            <w:r w:rsidRPr="00F115F8">
              <w:rPr>
                <w:rFonts w:ascii="Arial" w:hAnsi="Arial" w:cs="FrankRuehl"/>
                <w:sz w:val="28"/>
                <w:szCs w:val="28"/>
                <w:rtl/>
              </w:rPr>
              <w:t>קנאו היילי (עציר) – הוב</w:t>
            </w:r>
            <w:r w:rsidRPr="00F115F8">
              <w:rPr>
                <w:rFonts w:ascii="Arial" w:hAnsi="Arial" w:cs="FrankRuehl" w:hint="cs"/>
                <w:sz w:val="28"/>
                <w:szCs w:val="28"/>
                <w:rtl/>
              </w:rPr>
              <w:t>א וע"י עו"ד יניב דניאל</w:t>
            </w:r>
          </w:p>
        </w:tc>
        <w:tc>
          <w:tcPr>
            <w:tcW w:w="3771" w:type="dxa"/>
            <w:tcBorders>
              <w:top w:val="nil"/>
              <w:left w:val="nil"/>
              <w:bottom w:val="nil"/>
              <w:right w:val="nil"/>
            </w:tcBorders>
            <w:shd w:val="clear" w:color="auto" w:fill="auto"/>
          </w:tcPr>
          <w:p w14:paraId="164EF9B6" w14:textId="77777777" w:rsidR="000202CC" w:rsidRPr="00F115F8" w:rsidRDefault="000202CC" w:rsidP="000202CC">
            <w:pPr>
              <w:jc w:val="right"/>
              <w:rPr>
                <w:rFonts w:ascii="Arial" w:hAnsi="Arial" w:cs="FrankRuehl"/>
                <w:sz w:val="28"/>
                <w:szCs w:val="28"/>
              </w:rPr>
            </w:pPr>
          </w:p>
        </w:tc>
      </w:tr>
      <w:tr w:rsidR="000202CC" w:rsidRPr="00F115F8" w14:paraId="7F5D01E1" w14:textId="77777777" w:rsidTr="000202CC">
        <w:trPr>
          <w:trHeight w:val="355"/>
          <w:jc w:val="center"/>
        </w:trPr>
        <w:tc>
          <w:tcPr>
            <w:tcW w:w="923" w:type="dxa"/>
            <w:tcBorders>
              <w:top w:val="nil"/>
              <w:left w:val="nil"/>
              <w:bottom w:val="nil"/>
              <w:right w:val="nil"/>
            </w:tcBorders>
            <w:shd w:val="clear" w:color="auto" w:fill="auto"/>
          </w:tcPr>
          <w:p w14:paraId="7F9558F9" w14:textId="77777777" w:rsidR="000202CC" w:rsidRPr="00F115F8" w:rsidRDefault="000202CC" w:rsidP="000202CC">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F8356C0" w14:textId="77777777" w:rsidR="000202CC" w:rsidRPr="00F115F8" w:rsidRDefault="000202CC" w:rsidP="000202CC">
            <w:pPr>
              <w:jc w:val="both"/>
              <w:rPr>
                <w:rtl/>
              </w:rPr>
            </w:pPr>
          </w:p>
        </w:tc>
        <w:tc>
          <w:tcPr>
            <w:tcW w:w="3771" w:type="dxa"/>
            <w:tcBorders>
              <w:top w:val="nil"/>
              <w:left w:val="nil"/>
              <w:bottom w:val="nil"/>
              <w:right w:val="nil"/>
            </w:tcBorders>
            <w:shd w:val="clear" w:color="auto" w:fill="auto"/>
          </w:tcPr>
          <w:p w14:paraId="0CA3B4D5" w14:textId="77777777" w:rsidR="000202CC" w:rsidRPr="00F115F8" w:rsidRDefault="000202CC" w:rsidP="000202CC">
            <w:pPr>
              <w:jc w:val="center"/>
              <w:rPr>
                <w:rFonts w:ascii="Arial" w:hAnsi="Arial" w:cs="FrankRuehl"/>
                <w:sz w:val="28"/>
                <w:szCs w:val="28"/>
              </w:rPr>
            </w:pPr>
            <w:r w:rsidRPr="00F115F8">
              <w:rPr>
                <w:rFonts w:ascii="Arial" w:hAnsi="Arial" w:cs="FrankRuehl" w:hint="cs"/>
                <w:sz w:val="28"/>
                <w:szCs w:val="28"/>
                <w:rtl/>
              </w:rPr>
              <w:t xml:space="preserve">                                      ה</w:t>
            </w:r>
            <w:r w:rsidRPr="00F115F8">
              <w:rPr>
                <w:rFonts w:ascii="Arial" w:hAnsi="Arial" w:cs="FrankRuehl"/>
                <w:sz w:val="28"/>
                <w:szCs w:val="28"/>
                <w:rtl/>
              </w:rPr>
              <w:t>נאש</w:t>
            </w:r>
            <w:r w:rsidRPr="00F115F8">
              <w:rPr>
                <w:rFonts w:ascii="Arial" w:hAnsi="Arial" w:cs="FrankRuehl" w:hint="cs"/>
                <w:sz w:val="28"/>
                <w:szCs w:val="28"/>
                <w:rtl/>
              </w:rPr>
              <w:t>ם</w:t>
            </w:r>
          </w:p>
        </w:tc>
      </w:tr>
      <w:tr w:rsidR="000202CC" w:rsidRPr="00F115F8" w14:paraId="7685583E" w14:textId="77777777" w:rsidTr="000202CC">
        <w:trPr>
          <w:trHeight w:val="355"/>
          <w:jc w:val="center"/>
        </w:trPr>
        <w:tc>
          <w:tcPr>
            <w:tcW w:w="923" w:type="dxa"/>
            <w:tcBorders>
              <w:top w:val="nil"/>
              <w:left w:val="nil"/>
              <w:bottom w:val="nil"/>
              <w:right w:val="nil"/>
            </w:tcBorders>
            <w:shd w:val="clear" w:color="auto" w:fill="auto"/>
          </w:tcPr>
          <w:p w14:paraId="2E1DFEEA" w14:textId="77777777" w:rsidR="000202CC" w:rsidRPr="00F115F8" w:rsidRDefault="000202CC" w:rsidP="000202CC">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FC91952" w14:textId="77777777" w:rsidR="000202CC" w:rsidRPr="00F115F8" w:rsidRDefault="000202CC" w:rsidP="000202CC">
            <w:pPr>
              <w:jc w:val="both"/>
              <w:rPr>
                <w:rtl/>
              </w:rPr>
            </w:pPr>
          </w:p>
          <w:p w14:paraId="70DD2F1C" w14:textId="77777777" w:rsidR="000202CC" w:rsidRPr="00F115F8" w:rsidRDefault="000202CC" w:rsidP="000202CC">
            <w:pPr>
              <w:jc w:val="both"/>
              <w:rPr>
                <w:rtl/>
              </w:rPr>
            </w:pPr>
          </w:p>
        </w:tc>
        <w:tc>
          <w:tcPr>
            <w:tcW w:w="3771" w:type="dxa"/>
            <w:tcBorders>
              <w:top w:val="nil"/>
              <w:left w:val="nil"/>
              <w:bottom w:val="nil"/>
              <w:right w:val="nil"/>
            </w:tcBorders>
            <w:shd w:val="clear" w:color="auto" w:fill="auto"/>
          </w:tcPr>
          <w:p w14:paraId="70653A95" w14:textId="77777777" w:rsidR="000202CC" w:rsidRPr="00F115F8" w:rsidRDefault="000202CC" w:rsidP="000202CC">
            <w:pPr>
              <w:jc w:val="center"/>
              <w:rPr>
                <w:rFonts w:ascii="Arial" w:hAnsi="Arial" w:cs="FrankRuehl"/>
                <w:sz w:val="28"/>
                <w:szCs w:val="28"/>
                <w:rtl/>
              </w:rPr>
            </w:pPr>
          </w:p>
        </w:tc>
      </w:tr>
    </w:tbl>
    <w:p w14:paraId="749734F0" w14:textId="77777777" w:rsidR="00801A26" w:rsidRDefault="00801A26" w:rsidP="000202CC">
      <w:pPr>
        <w:rPr>
          <w:rtl/>
        </w:rPr>
      </w:pPr>
    </w:p>
    <w:p w14:paraId="67D6C31C" w14:textId="77777777" w:rsidR="00801A26" w:rsidRPr="00801A26" w:rsidRDefault="00801A26" w:rsidP="00801A26">
      <w:pPr>
        <w:spacing w:after="120" w:line="240" w:lineRule="exact"/>
        <w:ind w:left="283" w:hanging="283"/>
        <w:jc w:val="both"/>
        <w:rPr>
          <w:rFonts w:ascii="FrankRuehl" w:hAnsi="FrankRuehl" w:cs="FrankRuehl"/>
          <w:rtl/>
        </w:rPr>
      </w:pPr>
    </w:p>
    <w:p w14:paraId="350806FA" w14:textId="77777777" w:rsidR="009A1C56" w:rsidRPr="009A1C56" w:rsidRDefault="009A1C56" w:rsidP="009A1C56">
      <w:pPr>
        <w:spacing w:before="120" w:after="120" w:line="240" w:lineRule="exact"/>
        <w:ind w:left="283" w:hanging="283"/>
        <w:jc w:val="both"/>
        <w:rPr>
          <w:rFonts w:ascii="FrankRuehl" w:hAnsi="FrankRuehl" w:cs="FrankRuehl"/>
          <w:rtl/>
        </w:rPr>
      </w:pPr>
      <w:bookmarkStart w:id="3" w:name="LawTable"/>
      <w:bookmarkEnd w:id="3"/>
    </w:p>
    <w:p w14:paraId="10007DB0" w14:textId="77777777" w:rsidR="009A1C56" w:rsidRPr="009A1C56" w:rsidRDefault="009A1C56" w:rsidP="009A1C56">
      <w:pPr>
        <w:spacing w:before="120" w:after="120" w:line="240" w:lineRule="exact"/>
        <w:ind w:left="283" w:hanging="283"/>
        <w:jc w:val="both"/>
        <w:rPr>
          <w:rFonts w:ascii="FrankRuehl" w:hAnsi="FrankRuehl" w:cs="FrankRuehl"/>
          <w:rtl/>
        </w:rPr>
      </w:pPr>
      <w:r w:rsidRPr="009A1C56">
        <w:rPr>
          <w:rFonts w:ascii="FrankRuehl" w:hAnsi="FrankRuehl" w:cs="FrankRuehl"/>
          <w:rtl/>
        </w:rPr>
        <w:t xml:space="preserve">חקיקה שאוזכרה: </w:t>
      </w:r>
    </w:p>
    <w:p w14:paraId="7DE28CBF" w14:textId="77777777" w:rsidR="009A1C56" w:rsidRPr="009A1C56" w:rsidRDefault="009A1C56" w:rsidP="009A1C56">
      <w:pPr>
        <w:spacing w:before="120" w:after="120" w:line="240" w:lineRule="exact"/>
        <w:ind w:left="283" w:hanging="283"/>
        <w:jc w:val="both"/>
        <w:rPr>
          <w:rFonts w:ascii="FrankRuehl" w:hAnsi="FrankRuehl" w:cs="FrankRuehl"/>
          <w:color w:val="0000FF"/>
          <w:rtl/>
        </w:rPr>
      </w:pPr>
      <w:hyperlink r:id="rId6" w:history="1">
        <w:r w:rsidRPr="009A1C56">
          <w:rPr>
            <w:rStyle w:val="Hyperlink"/>
            <w:rFonts w:ascii="FrankRuehl" w:hAnsi="FrankRuehl" w:cs="FrankRuehl"/>
            <w:u w:val="none"/>
            <w:rtl/>
          </w:rPr>
          <w:t>חוק העונשין, תשל"ז-1977</w:t>
        </w:r>
      </w:hyperlink>
      <w:r w:rsidRPr="009A1C56">
        <w:rPr>
          <w:rFonts w:ascii="FrankRuehl" w:hAnsi="FrankRuehl" w:cs="FrankRuehl"/>
          <w:color w:val="0000FF"/>
          <w:rtl/>
        </w:rPr>
        <w:t xml:space="preserve">: סע'  </w:t>
      </w:r>
      <w:hyperlink r:id="rId7" w:history="1">
        <w:r w:rsidRPr="009A1C56">
          <w:rPr>
            <w:rStyle w:val="Hyperlink"/>
            <w:rFonts w:ascii="FrankRuehl" w:hAnsi="FrankRuehl" w:cs="FrankRuehl"/>
            <w:u w:val="none"/>
          </w:rPr>
          <w:t>40</w:t>
        </w:r>
        <w:r w:rsidRPr="009A1C56">
          <w:rPr>
            <w:rStyle w:val="Hyperlink"/>
            <w:rFonts w:ascii="FrankRuehl" w:hAnsi="FrankRuehl" w:cs="FrankRuehl"/>
            <w:u w:val="none"/>
            <w:rtl/>
          </w:rPr>
          <w:t>ג</w:t>
        </w:r>
      </w:hyperlink>
      <w:r w:rsidRPr="009A1C56">
        <w:rPr>
          <w:rFonts w:ascii="FrankRuehl" w:hAnsi="FrankRuehl" w:cs="FrankRuehl"/>
          <w:color w:val="0000FF"/>
          <w:rtl/>
        </w:rPr>
        <w:t xml:space="preserve">(א), </w:t>
      </w:r>
      <w:hyperlink r:id="rId8" w:history="1">
        <w:r w:rsidRPr="009A1C56">
          <w:rPr>
            <w:rStyle w:val="Hyperlink"/>
            <w:rFonts w:ascii="FrankRuehl" w:hAnsi="FrankRuehl" w:cs="FrankRuehl"/>
            <w:u w:val="none"/>
          </w:rPr>
          <w:t>40</w:t>
        </w:r>
        <w:r w:rsidRPr="009A1C56">
          <w:rPr>
            <w:rStyle w:val="Hyperlink"/>
            <w:rFonts w:ascii="FrankRuehl" w:hAnsi="FrankRuehl" w:cs="FrankRuehl"/>
            <w:u w:val="none"/>
            <w:rtl/>
          </w:rPr>
          <w:t>ט</w:t>
        </w:r>
      </w:hyperlink>
      <w:r w:rsidRPr="009A1C56">
        <w:rPr>
          <w:rFonts w:ascii="FrankRuehl" w:hAnsi="FrankRuehl" w:cs="FrankRuehl"/>
          <w:color w:val="0000FF"/>
          <w:rtl/>
        </w:rPr>
        <w:t xml:space="preserve">(א), </w:t>
      </w:r>
      <w:hyperlink r:id="rId9" w:history="1">
        <w:r w:rsidRPr="009A1C56">
          <w:rPr>
            <w:rStyle w:val="Hyperlink"/>
            <w:rFonts w:ascii="FrankRuehl" w:hAnsi="FrankRuehl" w:cs="FrankRuehl"/>
            <w:u w:val="none"/>
          </w:rPr>
          <w:t>144.</w:t>
        </w:r>
        <w:r w:rsidRPr="009A1C56">
          <w:rPr>
            <w:rStyle w:val="Hyperlink"/>
            <w:rFonts w:ascii="FrankRuehl" w:hAnsi="FrankRuehl" w:cs="FrankRuehl"/>
            <w:u w:val="none"/>
            <w:rtl/>
          </w:rPr>
          <w:t>א</w:t>
        </w:r>
        <w:r w:rsidRPr="009A1C56">
          <w:rPr>
            <w:rStyle w:val="Hyperlink"/>
            <w:rFonts w:ascii="FrankRuehl" w:hAnsi="FrankRuehl" w:cs="FrankRuehl"/>
            <w:u w:val="none"/>
          </w:rPr>
          <w:t>.</w:t>
        </w:r>
      </w:hyperlink>
      <w:r w:rsidRPr="009A1C56">
        <w:rPr>
          <w:rFonts w:ascii="FrankRuehl" w:hAnsi="FrankRuehl" w:cs="FrankRuehl"/>
          <w:color w:val="0000FF"/>
          <w:rtl/>
        </w:rPr>
        <w:t xml:space="preserve">, </w:t>
      </w:r>
      <w:hyperlink r:id="rId10" w:history="1">
        <w:r w:rsidRPr="009A1C56">
          <w:rPr>
            <w:rStyle w:val="Hyperlink"/>
            <w:rFonts w:ascii="FrankRuehl" w:hAnsi="FrankRuehl" w:cs="FrankRuehl"/>
            <w:u w:val="none"/>
          </w:rPr>
          <w:t>144</w:t>
        </w:r>
      </w:hyperlink>
      <w:r w:rsidRPr="009A1C56">
        <w:rPr>
          <w:rFonts w:ascii="FrankRuehl" w:hAnsi="FrankRuehl" w:cs="FrankRuehl"/>
          <w:color w:val="0000FF"/>
          <w:rtl/>
        </w:rPr>
        <w:t xml:space="preserve">(ב), </w:t>
      </w:r>
      <w:hyperlink r:id="rId11" w:history="1">
        <w:r w:rsidRPr="009A1C56">
          <w:rPr>
            <w:rStyle w:val="Hyperlink"/>
            <w:rFonts w:ascii="FrankRuehl" w:hAnsi="FrankRuehl" w:cs="FrankRuehl"/>
            <w:u w:val="none"/>
          </w:rPr>
          <w:t>249</w:t>
        </w:r>
      </w:hyperlink>
      <w:r w:rsidRPr="009A1C56">
        <w:rPr>
          <w:rFonts w:ascii="FrankRuehl" w:hAnsi="FrankRuehl" w:cs="FrankRuehl"/>
          <w:color w:val="0000FF"/>
          <w:rtl/>
        </w:rPr>
        <w:t xml:space="preserve">, </w:t>
      </w:r>
      <w:hyperlink r:id="rId12" w:history="1">
        <w:r w:rsidRPr="009A1C56">
          <w:rPr>
            <w:rStyle w:val="Hyperlink"/>
            <w:rFonts w:ascii="FrankRuehl" w:hAnsi="FrankRuehl" w:cs="FrankRuehl"/>
            <w:u w:val="none"/>
          </w:rPr>
          <w:t>333</w:t>
        </w:r>
      </w:hyperlink>
      <w:r w:rsidRPr="009A1C56">
        <w:rPr>
          <w:rFonts w:ascii="FrankRuehl" w:hAnsi="FrankRuehl" w:cs="FrankRuehl"/>
          <w:color w:val="0000FF"/>
          <w:rtl/>
        </w:rPr>
        <w:t xml:space="preserve">, </w:t>
      </w:r>
      <w:hyperlink r:id="rId13" w:history="1">
        <w:r w:rsidRPr="009A1C56">
          <w:rPr>
            <w:rStyle w:val="Hyperlink"/>
            <w:rFonts w:ascii="FrankRuehl" w:hAnsi="FrankRuehl" w:cs="FrankRuehl"/>
            <w:u w:val="none"/>
          </w:rPr>
          <w:t>335</w:t>
        </w:r>
      </w:hyperlink>
      <w:r w:rsidRPr="009A1C56">
        <w:rPr>
          <w:rFonts w:ascii="FrankRuehl" w:hAnsi="FrankRuehl" w:cs="FrankRuehl"/>
          <w:color w:val="0000FF"/>
          <w:rtl/>
        </w:rPr>
        <w:t xml:space="preserve">, </w:t>
      </w:r>
      <w:hyperlink r:id="rId14" w:history="1">
        <w:r w:rsidRPr="009A1C56">
          <w:rPr>
            <w:rStyle w:val="Hyperlink"/>
            <w:rFonts w:ascii="FrankRuehl" w:hAnsi="FrankRuehl" w:cs="FrankRuehl"/>
            <w:u w:val="none"/>
          </w:rPr>
          <w:t>340</w:t>
        </w:r>
        <w:r w:rsidRPr="009A1C56">
          <w:rPr>
            <w:rStyle w:val="Hyperlink"/>
            <w:rFonts w:ascii="FrankRuehl" w:hAnsi="FrankRuehl" w:cs="FrankRuehl"/>
            <w:u w:val="none"/>
            <w:rtl/>
          </w:rPr>
          <w:t>א</w:t>
        </w:r>
      </w:hyperlink>
      <w:r w:rsidRPr="009A1C56">
        <w:rPr>
          <w:rFonts w:ascii="FrankRuehl" w:hAnsi="FrankRuehl" w:cs="FrankRuehl"/>
          <w:color w:val="0000FF"/>
          <w:rtl/>
        </w:rPr>
        <w:t xml:space="preserve">(ב)(1), </w:t>
      </w:r>
      <w:hyperlink r:id="rId15" w:history="1">
        <w:r w:rsidRPr="009A1C56">
          <w:rPr>
            <w:rStyle w:val="Hyperlink"/>
            <w:rFonts w:ascii="FrankRuehl" w:hAnsi="FrankRuehl" w:cs="FrankRuehl"/>
            <w:u w:val="none"/>
          </w:rPr>
          <w:t>380</w:t>
        </w:r>
      </w:hyperlink>
      <w:r w:rsidRPr="009A1C56">
        <w:rPr>
          <w:rFonts w:ascii="FrankRuehl" w:hAnsi="FrankRuehl" w:cs="FrankRuehl"/>
          <w:color w:val="0000FF"/>
          <w:rtl/>
        </w:rPr>
        <w:t xml:space="preserve">, </w:t>
      </w:r>
      <w:hyperlink r:id="rId16" w:history="1">
        <w:r w:rsidRPr="009A1C56">
          <w:rPr>
            <w:rStyle w:val="Hyperlink"/>
            <w:rFonts w:ascii="FrankRuehl" w:hAnsi="FrankRuehl" w:cs="FrankRuehl"/>
            <w:u w:val="none"/>
          </w:rPr>
          <w:t>40</w:t>
        </w:r>
        <w:r w:rsidRPr="009A1C56">
          <w:rPr>
            <w:rStyle w:val="Hyperlink"/>
            <w:rFonts w:ascii="FrankRuehl" w:hAnsi="FrankRuehl" w:cs="FrankRuehl"/>
            <w:u w:val="none"/>
            <w:rtl/>
          </w:rPr>
          <w:t>יא</w:t>
        </w:r>
        <w:r w:rsidRPr="009A1C56">
          <w:rPr>
            <w:rStyle w:val="Hyperlink"/>
            <w:rFonts w:ascii="FrankRuehl" w:hAnsi="FrankRuehl" w:cs="FrankRuehl"/>
            <w:u w:val="none"/>
          </w:rPr>
          <w:t>'</w:t>
        </w:r>
      </w:hyperlink>
    </w:p>
    <w:p w14:paraId="773E63FC" w14:textId="77777777" w:rsidR="00801A26" w:rsidRPr="009A1C56" w:rsidRDefault="00801A26" w:rsidP="009A1C56">
      <w:pPr>
        <w:jc w:val="center"/>
        <w:rPr>
          <w:rFonts w:ascii="Arial" w:hAnsi="Arial" w:cs="FrankRuehl"/>
          <w:sz w:val="32"/>
          <w:szCs w:val="32"/>
          <w:rtl/>
        </w:rPr>
      </w:pPr>
      <w:bookmarkStart w:id="4" w:name="LawTable_End"/>
      <w:bookmarkEnd w:id="4"/>
    </w:p>
    <w:p w14:paraId="2F8EAA44" w14:textId="77777777" w:rsidR="00801A26" w:rsidRPr="00F115F8" w:rsidRDefault="00801A26" w:rsidP="00F115F8">
      <w:pPr>
        <w:jc w:val="center"/>
        <w:rPr>
          <w:rFonts w:ascii="Arial" w:hAnsi="Arial" w:cs="FrankRuehl"/>
          <w:b/>
          <w:bCs/>
          <w:sz w:val="32"/>
          <w:szCs w:val="32"/>
          <w:u w:val="single"/>
          <w:rtl/>
        </w:rPr>
      </w:pPr>
      <w:bookmarkStart w:id="5" w:name="PsakDin"/>
      <w:r w:rsidRPr="00F115F8">
        <w:rPr>
          <w:rFonts w:ascii="Arial" w:hAnsi="Arial" w:cs="FrankRuehl"/>
          <w:b/>
          <w:bCs/>
          <w:sz w:val="32"/>
          <w:szCs w:val="32"/>
          <w:u w:val="single"/>
          <w:rtl/>
        </w:rPr>
        <w:t>גזר דין</w:t>
      </w:r>
    </w:p>
    <w:bookmarkEnd w:id="5"/>
    <w:p w14:paraId="0F26C5F4" w14:textId="77777777" w:rsidR="00801A26" w:rsidRPr="000202CC" w:rsidRDefault="00801A26" w:rsidP="000202CC">
      <w:pPr>
        <w:jc w:val="center"/>
        <w:rPr>
          <w:rFonts w:ascii="Arial" w:hAnsi="Arial" w:cs="FrankRuehl"/>
          <w:sz w:val="32"/>
          <w:szCs w:val="32"/>
          <w:u w:val="single"/>
          <w:rtl/>
        </w:rPr>
      </w:pPr>
    </w:p>
    <w:p w14:paraId="5D84CD8C" w14:textId="77777777" w:rsidR="00801A26" w:rsidRPr="000202CC" w:rsidRDefault="00801A26" w:rsidP="000202CC">
      <w:pPr>
        <w:jc w:val="center"/>
        <w:rPr>
          <w:rFonts w:ascii="Arial" w:hAnsi="Arial" w:cs="FrankRuehl"/>
          <w:sz w:val="32"/>
          <w:szCs w:val="32"/>
          <w:u w:val="single"/>
          <w:rtl/>
        </w:rPr>
      </w:pPr>
    </w:p>
    <w:bookmarkEnd w:id="0"/>
    <w:p w14:paraId="4ACE5EA2" w14:textId="77777777" w:rsidR="000202CC" w:rsidRPr="00B05847" w:rsidRDefault="000202CC" w:rsidP="000202CC">
      <w:pPr>
        <w:rPr>
          <w:rFonts w:ascii="Arial" w:hAnsi="Arial"/>
          <w:rtl/>
        </w:rPr>
      </w:pPr>
    </w:p>
    <w:p w14:paraId="6A114078" w14:textId="77777777" w:rsidR="000202CC" w:rsidRDefault="000202CC" w:rsidP="000202CC">
      <w:pPr>
        <w:spacing w:line="360" w:lineRule="auto"/>
        <w:ind w:left="720" w:hanging="720"/>
        <w:jc w:val="both"/>
        <w:rPr>
          <w:rFonts w:ascii="Calibri" w:hAnsi="Calibri"/>
        </w:rPr>
      </w:pPr>
      <w:r>
        <w:rPr>
          <w:rFonts w:ascii="Calibri" w:hAnsi="Calibri"/>
          <w:rtl/>
        </w:rPr>
        <w:t>1.</w:t>
      </w:r>
      <w:r>
        <w:rPr>
          <w:rFonts w:ascii="Calibri" w:hAnsi="Calibri"/>
          <w:rtl/>
        </w:rPr>
        <w:tab/>
      </w:r>
      <w:bookmarkStart w:id="6" w:name="ABSTRACT_START"/>
      <w:bookmarkEnd w:id="6"/>
      <w:r>
        <w:rPr>
          <w:rFonts w:ascii="Calibri" w:hAnsi="Calibri"/>
          <w:rtl/>
        </w:rPr>
        <w:t xml:space="preserve">הנאשם הורשע לאחר ניהול הוכחות בביצוע עבירות של </w:t>
      </w:r>
      <w:r>
        <w:rPr>
          <w:rFonts w:ascii="Calibri" w:hAnsi="Calibri"/>
          <w:b/>
          <w:bCs/>
          <w:rtl/>
        </w:rPr>
        <w:t>תקיפה הגורמת חבלה של ממש</w:t>
      </w:r>
      <w:r>
        <w:rPr>
          <w:rFonts w:ascii="Calibri" w:hAnsi="Calibri"/>
          <w:rtl/>
        </w:rPr>
        <w:t xml:space="preserve"> לפי </w:t>
      </w:r>
      <w:hyperlink r:id="rId17" w:history="1">
        <w:r w:rsidR="00801A26" w:rsidRPr="00801A26">
          <w:rPr>
            <w:rStyle w:val="Hyperlink"/>
            <w:rFonts w:ascii="Calibri" w:hAnsi="Calibri" w:hint="eastAsia"/>
            <w:rtl/>
          </w:rPr>
          <w:t>סעיף</w:t>
        </w:r>
        <w:r w:rsidR="00801A26" w:rsidRPr="00801A26">
          <w:rPr>
            <w:rStyle w:val="Hyperlink"/>
            <w:rFonts w:ascii="Calibri" w:hAnsi="Calibri"/>
            <w:rtl/>
          </w:rPr>
          <w:t xml:space="preserve"> 380</w:t>
        </w:r>
      </w:hyperlink>
      <w:r>
        <w:rPr>
          <w:rFonts w:ascii="Calibri" w:hAnsi="Calibri"/>
          <w:rtl/>
        </w:rPr>
        <w:t xml:space="preserve"> ל</w:t>
      </w:r>
      <w:hyperlink r:id="rId18" w:history="1">
        <w:r w:rsidR="00F115F8" w:rsidRPr="00F115F8">
          <w:rPr>
            <w:rFonts w:ascii="Calibri" w:hAnsi="Calibri" w:hint="eastAsia"/>
            <w:color w:val="0000FF"/>
            <w:u w:val="single"/>
            <w:rtl/>
          </w:rPr>
          <w:t>חוק</w:t>
        </w:r>
        <w:r w:rsidR="00F115F8" w:rsidRPr="00F115F8">
          <w:rPr>
            <w:rFonts w:ascii="Calibri" w:hAnsi="Calibri"/>
            <w:color w:val="0000FF"/>
            <w:u w:val="single"/>
            <w:rtl/>
          </w:rPr>
          <w:t xml:space="preserve"> </w:t>
        </w:r>
        <w:r w:rsidR="00F115F8" w:rsidRPr="00F115F8">
          <w:rPr>
            <w:rFonts w:ascii="Calibri" w:hAnsi="Calibri" w:hint="eastAsia"/>
            <w:color w:val="0000FF"/>
            <w:u w:val="single"/>
            <w:rtl/>
          </w:rPr>
          <w:t>העונשין</w:t>
        </w:r>
      </w:hyperlink>
      <w:r>
        <w:rPr>
          <w:rFonts w:ascii="Calibri" w:hAnsi="Calibri"/>
          <w:rtl/>
        </w:rPr>
        <w:t xml:space="preserve">, התשל"ז – 1977 (להלן: "חוק העונשין"), </w:t>
      </w:r>
      <w:r>
        <w:rPr>
          <w:rFonts w:ascii="Calibri" w:hAnsi="Calibri"/>
          <w:b/>
          <w:bCs/>
          <w:rtl/>
        </w:rPr>
        <w:t xml:space="preserve">נשיאת נשק ותחמושת </w:t>
      </w:r>
      <w:r>
        <w:rPr>
          <w:rFonts w:ascii="Calibri" w:hAnsi="Calibri"/>
          <w:rtl/>
        </w:rPr>
        <w:t xml:space="preserve">לפי </w:t>
      </w:r>
      <w:hyperlink r:id="rId19" w:history="1">
        <w:r w:rsidR="00801A26" w:rsidRPr="00801A26">
          <w:rPr>
            <w:rStyle w:val="Hyperlink"/>
            <w:rFonts w:ascii="Calibri" w:hAnsi="Calibri" w:hint="eastAsia"/>
            <w:rtl/>
          </w:rPr>
          <w:t>סעיף</w:t>
        </w:r>
        <w:r w:rsidR="00801A26" w:rsidRPr="00801A26">
          <w:rPr>
            <w:rStyle w:val="Hyperlink"/>
            <w:rFonts w:ascii="Calibri" w:hAnsi="Calibri"/>
            <w:rtl/>
          </w:rPr>
          <w:t xml:space="preserve"> 144(</w:t>
        </w:r>
        <w:r w:rsidR="00801A26" w:rsidRPr="00801A26">
          <w:rPr>
            <w:rStyle w:val="Hyperlink"/>
            <w:rFonts w:ascii="Calibri" w:hAnsi="Calibri" w:hint="eastAsia"/>
            <w:rtl/>
          </w:rPr>
          <w:t>ב</w:t>
        </w:r>
        <w:r w:rsidR="00801A26" w:rsidRPr="00801A26">
          <w:rPr>
            <w:rStyle w:val="Hyperlink"/>
            <w:rFonts w:ascii="Calibri" w:hAnsi="Calibri"/>
            <w:rtl/>
          </w:rPr>
          <w:t>)</w:t>
        </w:r>
      </w:hyperlink>
      <w:r>
        <w:rPr>
          <w:rFonts w:ascii="Calibri" w:hAnsi="Calibri"/>
          <w:rtl/>
        </w:rPr>
        <w:t xml:space="preserve"> רישא+ סיפא לחוק העונשין, </w:t>
      </w:r>
      <w:r>
        <w:rPr>
          <w:rFonts w:ascii="Calibri" w:hAnsi="Calibri"/>
          <w:b/>
          <w:bCs/>
          <w:rtl/>
        </w:rPr>
        <w:t>ירי מנשק חם באזור מגורים</w:t>
      </w:r>
      <w:r>
        <w:rPr>
          <w:rFonts w:ascii="Calibri" w:hAnsi="Calibri"/>
          <w:rtl/>
        </w:rPr>
        <w:t xml:space="preserve"> לפי </w:t>
      </w:r>
      <w:hyperlink r:id="rId20" w:history="1">
        <w:r w:rsidR="00801A26" w:rsidRPr="00801A26">
          <w:rPr>
            <w:rStyle w:val="Hyperlink"/>
            <w:rFonts w:ascii="Calibri" w:hAnsi="Calibri" w:hint="eastAsia"/>
            <w:rtl/>
          </w:rPr>
          <w:t>סעיף</w:t>
        </w:r>
        <w:r w:rsidR="00801A26" w:rsidRPr="00801A26">
          <w:rPr>
            <w:rStyle w:val="Hyperlink"/>
            <w:rFonts w:ascii="Calibri" w:hAnsi="Calibri"/>
            <w:rtl/>
          </w:rPr>
          <w:t xml:space="preserve"> 340</w:t>
        </w:r>
        <w:r w:rsidR="00801A26" w:rsidRPr="00801A26">
          <w:rPr>
            <w:rStyle w:val="Hyperlink"/>
            <w:rFonts w:ascii="Calibri" w:hAnsi="Calibri" w:hint="eastAsia"/>
            <w:rtl/>
          </w:rPr>
          <w:t>א</w:t>
        </w:r>
        <w:r w:rsidR="00801A26" w:rsidRPr="00801A26">
          <w:rPr>
            <w:rStyle w:val="Hyperlink"/>
            <w:rFonts w:ascii="Calibri" w:hAnsi="Calibri"/>
            <w:rtl/>
          </w:rPr>
          <w:t>(</w:t>
        </w:r>
        <w:r w:rsidR="00801A26" w:rsidRPr="00801A26">
          <w:rPr>
            <w:rStyle w:val="Hyperlink"/>
            <w:rFonts w:ascii="Calibri" w:hAnsi="Calibri" w:hint="eastAsia"/>
            <w:rtl/>
          </w:rPr>
          <w:t>ב</w:t>
        </w:r>
        <w:r w:rsidR="00801A26" w:rsidRPr="00801A26">
          <w:rPr>
            <w:rStyle w:val="Hyperlink"/>
            <w:rFonts w:ascii="Calibri" w:hAnsi="Calibri"/>
            <w:rtl/>
          </w:rPr>
          <w:t>)(1)</w:t>
        </w:r>
      </w:hyperlink>
      <w:r>
        <w:rPr>
          <w:rFonts w:ascii="Calibri" w:hAnsi="Calibri"/>
          <w:rtl/>
        </w:rPr>
        <w:t xml:space="preserve"> לחוק העונשין ו</w:t>
      </w:r>
      <w:r>
        <w:rPr>
          <w:rFonts w:ascii="Calibri" w:hAnsi="Calibri"/>
          <w:b/>
          <w:bCs/>
          <w:rtl/>
        </w:rPr>
        <w:t xml:space="preserve">הטרדת עד </w:t>
      </w:r>
      <w:r>
        <w:rPr>
          <w:rFonts w:ascii="Calibri" w:hAnsi="Calibri"/>
          <w:rtl/>
        </w:rPr>
        <w:t xml:space="preserve">לפי </w:t>
      </w:r>
      <w:hyperlink r:id="rId21" w:history="1">
        <w:r w:rsidR="00801A26" w:rsidRPr="00801A26">
          <w:rPr>
            <w:rStyle w:val="Hyperlink"/>
            <w:rFonts w:ascii="Calibri" w:hAnsi="Calibri" w:hint="eastAsia"/>
            <w:rtl/>
          </w:rPr>
          <w:t>סעיף</w:t>
        </w:r>
        <w:r w:rsidR="00801A26" w:rsidRPr="00801A26">
          <w:rPr>
            <w:rStyle w:val="Hyperlink"/>
            <w:rFonts w:ascii="Calibri" w:hAnsi="Calibri"/>
            <w:rtl/>
          </w:rPr>
          <w:t xml:space="preserve"> 249</w:t>
        </w:r>
      </w:hyperlink>
      <w:r>
        <w:rPr>
          <w:rFonts w:ascii="Calibri" w:hAnsi="Calibri"/>
          <w:rtl/>
        </w:rPr>
        <w:t xml:space="preserve"> לחוק העונשין.</w:t>
      </w:r>
    </w:p>
    <w:p w14:paraId="32E330B5" w14:textId="77777777" w:rsidR="000202CC" w:rsidRDefault="000202CC" w:rsidP="000202CC">
      <w:pPr>
        <w:spacing w:line="360" w:lineRule="auto"/>
        <w:ind w:left="720" w:hanging="720"/>
        <w:jc w:val="both"/>
        <w:rPr>
          <w:rFonts w:ascii="Calibri" w:hAnsi="Calibri"/>
          <w:rtl/>
        </w:rPr>
      </w:pPr>
    </w:p>
    <w:p w14:paraId="50D065EC" w14:textId="77777777" w:rsidR="000202CC" w:rsidRDefault="000202CC" w:rsidP="00801A26">
      <w:pPr>
        <w:spacing w:line="360" w:lineRule="auto"/>
        <w:ind w:left="720" w:hanging="720"/>
        <w:jc w:val="both"/>
        <w:rPr>
          <w:rFonts w:ascii="Calibri" w:hAnsi="Calibri"/>
          <w:rtl/>
        </w:rPr>
      </w:pPr>
      <w:bookmarkStart w:id="7" w:name="ABSTRACT_END"/>
      <w:bookmarkEnd w:id="7"/>
      <w:r>
        <w:rPr>
          <w:rFonts w:ascii="Calibri" w:hAnsi="Calibri"/>
          <w:rtl/>
        </w:rPr>
        <w:t xml:space="preserve">2. </w:t>
      </w:r>
      <w:r>
        <w:rPr>
          <w:rFonts w:ascii="Calibri" w:hAnsi="Calibri"/>
          <w:rtl/>
        </w:rPr>
        <w:tab/>
        <w:t>על-פי האמור בהכרעת הדין ובכתב-האישום, ברקע האירועים הפליליים היכרות מוקדמת בין</w:t>
      </w:r>
      <w:r>
        <w:rPr>
          <w:rFonts w:ascii="Calibri" w:hAnsi="Calibri" w:hint="cs"/>
        </w:rPr>
        <w:t xml:space="preserve"> </w:t>
      </w:r>
      <w:r>
        <w:rPr>
          <w:rFonts w:ascii="Calibri" w:hAnsi="Calibri"/>
          <w:rtl/>
        </w:rPr>
        <w:t>הנאשם</w:t>
      </w:r>
      <w:r>
        <w:rPr>
          <w:rFonts w:ascii="Calibri" w:hAnsi="Calibri" w:hint="cs"/>
        </w:rPr>
        <w:t xml:space="preserve"> </w:t>
      </w:r>
      <w:r w:rsidR="00801A26">
        <w:rPr>
          <w:rFonts w:ascii="Calibri" w:hAnsi="Calibri" w:hint="cs"/>
          <w:rtl/>
        </w:rPr>
        <w:t xml:space="preserve">לפלוני </w:t>
      </w:r>
      <w:r>
        <w:rPr>
          <w:rFonts w:ascii="Calibri" w:hAnsi="Calibri"/>
          <w:rtl/>
        </w:rPr>
        <w:t xml:space="preserve"> (להלן: "המתלונן" או "</w:t>
      </w:r>
      <w:r w:rsidR="00801A26">
        <w:rPr>
          <w:rFonts w:ascii="Calibri" w:hAnsi="Calibri" w:hint="cs"/>
          <w:rtl/>
        </w:rPr>
        <w:t xml:space="preserve">פלוני </w:t>
      </w:r>
      <w:r>
        <w:rPr>
          <w:rFonts w:ascii="Calibri" w:hAnsi="Calibri"/>
          <w:rtl/>
        </w:rPr>
        <w:t>"). בנוסף, כנגד אחיו של הנאשם, ליאור היילי (להלן: "ליאור") הוגש כתב אישום בנובמבר 2016 בגין אירוע אלימות כלפי המתלונן, והמתלונן נרשם כעד תביעה בכתב-אישום זה.</w:t>
      </w:r>
    </w:p>
    <w:p w14:paraId="65E2E43A" w14:textId="77777777" w:rsidR="000202CC" w:rsidRDefault="000202CC" w:rsidP="000202CC">
      <w:pPr>
        <w:spacing w:line="360" w:lineRule="auto"/>
        <w:ind w:left="720"/>
        <w:jc w:val="both"/>
        <w:rPr>
          <w:rFonts w:ascii="Calibri" w:hAnsi="Calibri"/>
          <w:rtl/>
        </w:rPr>
      </w:pPr>
    </w:p>
    <w:p w14:paraId="4C5A6893" w14:textId="77777777" w:rsidR="000202CC" w:rsidRDefault="000202CC" w:rsidP="000202CC">
      <w:pPr>
        <w:spacing w:line="360" w:lineRule="auto"/>
        <w:ind w:left="720"/>
        <w:jc w:val="both"/>
        <w:rPr>
          <w:rFonts w:ascii="Calibri" w:hAnsi="Calibri"/>
          <w:rtl/>
        </w:rPr>
      </w:pPr>
      <w:r>
        <w:rPr>
          <w:rFonts w:ascii="Calibri" w:hAnsi="Calibri"/>
          <w:rtl/>
        </w:rPr>
        <w:lastRenderedPageBreak/>
        <w:t>כפי שנקבע בהכרעת הדין, במהלך חודשי הקיץ של שנת 2017, פגש הנאשם את המתלונן בשכונת חפציבה בעיר נתניה [להלן: "השכונה"] ואיים עליו כי אם אחיו ליאור ייכנס לכלא הוא ייפגע.</w:t>
      </w:r>
    </w:p>
    <w:p w14:paraId="436AB1A2" w14:textId="77777777" w:rsidR="000202CC" w:rsidRDefault="000202CC" w:rsidP="000202CC">
      <w:pPr>
        <w:spacing w:line="360" w:lineRule="auto"/>
        <w:ind w:left="720"/>
        <w:jc w:val="both"/>
        <w:rPr>
          <w:rFonts w:ascii="Calibri" w:hAnsi="Calibri"/>
          <w:rtl/>
        </w:rPr>
      </w:pPr>
    </w:p>
    <w:p w14:paraId="6F2D72B5" w14:textId="77777777" w:rsidR="000202CC" w:rsidRDefault="000202CC" w:rsidP="000202CC">
      <w:pPr>
        <w:spacing w:line="360" w:lineRule="auto"/>
        <w:ind w:left="720"/>
        <w:jc w:val="both"/>
        <w:rPr>
          <w:rFonts w:ascii="Calibri" w:hAnsi="Calibri"/>
          <w:rtl/>
        </w:rPr>
      </w:pPr>
      <w:r>
        <w:rPr>
          <w:rFonts w:ascii="Calibri" w:hAnsi="Calibri"/>
          <w:rtl/>
        </w:rPr>
        <w:t xml:space="preserve">ביום 22.9.18, שהה המתלונן בחורשה בשכונה (להלן: "החורשה"). בשעה 16:00 לערך, הגיע הנאשם לחורשה, התקרב אל המתלונן שישב על כיסא, והמתלונן אמר לו שלום. בהמשך אמר הנאשם למתלונן "ממתי בעצם צריך את השלום שלך". המתלונן לא ענה וקם מהכיסא. אז התקרב אליו הנאשם, חבט בפניו, הפילו לקרקע ובעט בחזהו כאשר הוא על הקרקע. כתוצאה מהחבטות נגרמה למתלונן חבלה בשפתו התחתונה. מיד בסמוך לכך, הגיע ליאור למקום וניסה לפגוע במתלונן באמצעות סלע. המתלונן קם מהקרקע וברח לביתו אשר נמצא בבניין מגורים סמוך לחורשה (להלן: "הבניין"). </w:t>
      </w:r>
    </w:p>
    <w:p w14:paraId="3D96884F" w14:textId="77777777" w:rsidR="000202CC" w:rsidRDefault="000202CC" w:rsidP="000202CC">
      <w:pPr>
        <w:pStyle w:val="a9"/>
        <w:spacing w:after="0" w:line="360" w:lineRule="auto"/>
        <w:jc w:val="both"/>
        <w:rPr>
          <w:rFonts w:eastAsia="Times New Roman" w:cs="David"/>
          <w:sz w:val="24"/>
          <w:szCs w:val="24"/>
          <w:rtl/>
        </w:rPr>
      </w:pPr>
    </w:p>
    <w:p w14:paraId="52F81098" w14:textId="77777777" w:rsidR="000202CC" w:rsidRDefault="000202CC" w:rsidP="000202CC">
      <w:pPr>
        <w:pStyle w:val="a9"/>
        <w:spacing w:after="0" w:line="360" w:lineRule="auto"/>
        <w:jc w:val="both"/>
        <w:rPr>
          <w:rFonts w:eastAsia="Times New Roman" w:cs="David"/>
          <w:sz w:val="24"/>
          <w:szCs w:val="24"/>
          <w:rtl/>
        </w:rPr>
      </w:pPr>
      <w:r>
        <w:rPr>
          <w:rFonts w:eastAsia="Times New Roman" w:cs="David"/>
          <w:sz w:val="24"/>
          <w:szCs w:val="24"/>
          <w:rtl/>
        </w:rPr>
        <w:t xml:space="preserve">כעבור מספר דקות הגיע הנאשם רכוב על קטנוע לחניית הבניין כשהוא נושא בידו </w:t>
      </w:r>
      <w:r>
        <w:rPr>
          <w:rFonts w:ascii="David" w:eastAsia="Times New Roman" w:hAnsi="David" w:cs="David"/>
          <w:sz w:val="24"/>
          <w:szCs w:val="24"/>
          <w:rtl/>
        </w:rPr>
        <w:t xml:space="preserve">תת-מקלע מאולתר (שנתפס רק ביום 23.10.18; ראו בפסקה 47 להכרעת הדין). </w:t>
      </w:r>
      <w:r>
        <w:rPr>
          <w:rFonts w:eastAsia="Times New Roman" w:cs="David"/>
          <w:sz w:val="24"/>
          <w:szCs w:val="24"/>
          <w:rtl/>
        </w:rPr>
        <w:t>הנאשם ירד מהקטנוע כשהנשק בידו, התקרב לפתח הבניין וירה ירייה אחת באוויר. לאחר מכן, חזר אל הקטנוע ועזב את המקום כשהוא נושא עמו את תת המקלע.</w:t>
      </w:r>
    </w:p>
    <w:p w14:paraId="11A18584" w14:textId="77777777" w:rsidR="000202CC" w:rsidRDefault="000202CC" w:rsidP="000202CC">
      <w:pPr>
        <w:spacing w:line="360" w:lineRule="auto"/>
        <w:jc w:val="both"/>
        <w:rPr>
          <w:rFonts w:ascii="Calibri" w:hAnsi="Calibri"/>
          <w:rtl/>
        </w:rPr>
      </w:pPr>
    </w:p>
    <w:p w14:paraId="7C8BDAD0" w14:textId="77777777" w:rsidR="000202CC" w:rsidRDefault="000202CC" w:rsidP="000202CC">
      <w:pPr>
        <w:spacing w:line="360" w:lineRule="auto"/>
        <w:ind w:left="720" w:hanging="720"/>
        <w:jc w:val="both"/>
        <w:rPr>
          <w:rFonts w:ascii="Calibri" w:hAnsi="Calibri"/>
          <w:b/>
          <w:bCs/>
          <w:u w:val="single"/>
          <w:rtl/>
        </w:rPr>
      </w:pPr>
      <w:r>
        <w:rPr>
          <w:rFonts w:ascii="Calibri" w:hAnsi="Calibri"/>
          <w:b/>
          <w:bCs/>
          <w:u w:val="single"/>
          <w:rtl/>
        </w:rPr>
        <w:t>ראיות לעונש</w:t>
      </w:r>
    </w:p>
    <w:p w14:paraId="1C5650CE" w14:textId="77777777" w:rsidR="000202CC" w:rsidRDefault="000202CC" w:rsidP="000202CC">
      <w:pPr>
        <w:spacing w:line="360" w:lineRule="auto"/>
        <w:ind w:left="720" w:hanging="720"/>
        <w:jc w:val="both"/>
        <w:rPr>
          <w:rFonts w:ascii="Calibri" w:hAnsi="Calibri"/>
          <w:b/>
          <w:bCs/>
          <w:u w:val="single"/>
          <w:rtl/>
        </w:rPr>
      </w:pPr>
    </w:p>
    <w:p w14:paraId="3666B066" w14:textId="77777777" w:rsidR="000202CC" w:rsidRDefault="000202CC" w:rsidP="000202CC">
      <w:pPr>
        <w:spacing w:line="360" w:lineRule="auto"/>
        <w:ind w:left="720" w:hanging="720"/>
        <w:jc w:val="both"/>
        <w:rPr>
          <w:rFonts w:ascii="Calibri" w:hAnsi="Calibri"/>
          <w:u w:val="single"/>
          <w:rtl/>
        </w:rPr>
      </w:pPr>
      <w:r>
        <w:rPr>
          <w:rFonts w:ascii="Calibri" w:hAnsi="Calibri"/>
          <w:u w:val="single"/>
          <w:rtl/>
        </w:rPr>
        <w:t>ראיות מטעם התביעה</w:t>
      </w:r>
    </w:p>
    <w:p w14:paraId="1C8A106C" w14:textId="77777777" w:rsidR="000202CC" w:rsidRDefault="000202CC" w:rsidP="000202CC">
      <w:pPr>
        <w:spacing w:line="360" w:lineRule="auto"/>
        <w:ind w:left="720" w:hanging="720"/>
        <w:jc w:val="both"/>
        <w:rPr>
          <w:rFonts w:ascii="Calibri" w:hAnsi="Calibri"/>
          <w:u w:val="single"/>
          <w:rtl/>
        </w:rPr>
      </w:pPr>
    </w:p>
    <w:p w14:paraId="77A4D121" w14:textId="77777777" w:rsidR="000202CC" w:rsidRDefault="000202CC" w:rsidP="000202CC">
      <w:pPr>
        <w:spacing w:line="360" w:lineRule="auto"/>
        <w:ind w:left="720" w:hanging="720"/>
        <w:jc w:val="both"/>
        <w:rPr>
          <w:rFonts w:ascii="Calibri" w:hAnsi="Calibri"/>
          <w:rtl/>
        </w:rPr>
      </w:pPr>
      <w:r>
        <w:rPr>
          <w:rFonts w:ascii="Calibri" w:hAnsi="Calibri"/>
          <w:rtl/>
        </w:rPr>
        <w:t>3.</w:t>
      </w:r>
      <w:r>
        <w:rPr>
          <w:rFonts w:ascii="Calibri" w:hAnsi="Calibri"/>
          <w:rtl/>
        </w:rPr>
        <w:tab/>
        <w:t>ב"כ המאשימה הגישה את גיליון הרישום הפלילי של הנאשם (ע/1) ממנו עולה, כי לחובתו של הנאשם 6 הרשעות ותיק נוסף שהסתיים ללא הרשעה מבית המשפט לנוער, הכוללים ביצוע עבירות רכוש, סמים, נהיגה ללא רישיון ואלימות. הנאשם נשא מספר מאסרים בפועל, המסתכמים ליותר מ- 7 שנות מאסר.</w:t>
      </w:r>
    </w:p>
    <w:p w14:paraId="08F7CD49" w14:textId="77777777" w:rsidR="000202CC" w:rsidRDefault="000202CC" w:rsidP="000202CC">
      <w:pPr>
        <w:spacing w:line="360" w:lineRule="auto"/>
        <w:ind w:left="720" w:hanging="720"/>
        <w:jc w:val="both"/>
        <w:rPr>
          <w:rFonts w:ascii="Calibri" w:hAnsi="Calibri"/>
          <w:rtl/>
        </w:rPr>
      </w:pPr>
      <w:r>
        <w:rPr>
          <w:rFonts w:ascii="Calibri" w:hAnsi="Calibri"/>
          <w:rtl/>
        </w:rPr>
        <w:tab/>
      </w:r>
    </w:p>
    <w:p w14:paraId="258B2B62" w14:textId="77777777" w:rsidR="000202CC" w:rsidRDefault="000202CC" w:rsidP="000202CC">
      <w:pPr>
        <w:spacing w:line="360" w:lineRule="auto"/>
        <w:ind w:left="720" w:hanging="720"/>
        <w:jc w:val="both"/>
        <w:rPr>
          <w:rFonts w:ascii="Calibri" w:hAnsi="Calibri"/>
          <w:rtl/>
        </w:rPr>
      </w:pPr>
      <w:r>
        <w:rPr>
          <w:rFonts w:ascii="Calibri" w:hAnsi="Calibri"/>
          <w:rtl/>
        </w:rPr>
        <w:t>4.</w:t>
      </w:r>
      <w:r>
        <w:rPr>
          <w:rFonts w:ascii="Calibri" w:hAnsi="Calibri"/>
          <w:rtl/>
        </w:rPr>
        <w:tab/>
        <w:t xml:space="preserve">מאסרו האחרון בפלילים הוא בגין הרשעה מבית משפט השלום בנתניה בשנת 2013, לאחר שהורשע בביצוע עבירות רכוש וסמים, והושת עליו עונש מאסר בפועל בן 50 חודשים שכלל הפעלת מאסר על תנאי וכן פסילת רישיון נהיגה למשך שנה. על-פי פלט מאסרים (ע/3),  שוחרר ממאסר זה ביום 8.5.17, ועיננו הרואות, כי בסמוך לכך, בקיץ 2017, ביצע את עבירות האיומים כלפי המתלונן על רקע המשפט של אחיו. </w:t>
      </w:r>
    </w:p>
    <w:p w14:paraId="670C1B7A" w14:textId="77777777" w:rsidR="000202CC" w:rsidRDefault="000202CC" w:rsidP="000202CC">
      <w:pPr>
        <w:spacing w:line="360" w:lineRule="auto"/>
        <w:ind w:left="720" w:hanging="720"/>
        <w:jc w:val="both"/>
        <w:rPr>
          <w:rFonts w:ascii="Calibri" w:hAnsi="Calibri"/>
          <w:rtl/>
        </w:rPr>
      </w:pPr>
      <w:r>
        <w:rPr>
          <w:rFonts w:ascii="Calibri" w:hAnsi="Calibri"/>
          <w:rtl/>
        </w:rPr>
        <w:t xml:space="preserve">  </w:t>
      </w:r>
    </w:p>
    <w:p w14:paraId="5686FF18" w14:textId="77777777" w:rsidR="000202CC" w:rsidRDefault="000202CC" w:rsidP="000202CC">
      <w:pPr>
        <w:spacing w:line="360" w:lineRule="auto"/>
        <w:ind w:left="720" w:hanging="720"/>
        <w:jc w:val="both"/>
        <w:rPr>
          <w:rFonts w:ascii="Calibri" w:hAnsi="Calibri"/>
          <w:rtl/>
        </w:rPr>
      </w:pPr>
      <w:r>
        <w:rPr>
          <w:rFonts w:ascii="Calibri" w:hAnsi="Calibri"/>
          <w:rtl/>
        </w:rPr>
        <w:t>5.</w:t>
      </w:r>
      <w:r>
        <w:rPr>
          <w:rFonts w:ascii="Calibri" w:hAnsi="Calibri"/>
          <w:rtl/>
        </w:rPr>
        <w:tab/>
        <w:t xml:space="preserve">גיליון רישום תעבורתי של הנאשם (ע/2) מעלה, כי הורשע בשנת 2018 בבית-משפט  לתעבורה בפתח תקווה בביצוע עבירות של נהיגה בזמן פסילה, נהיגה כשלא הוציא מעולם </w:t>
      </w:r>
      <w:r>
        <w:rPr>
          <w:rFonts w:ascii="Calibri" w:hAnsi="Calibri"/>
          <w:rtl/>
        </w:rPr>
        <w:lastRenderedPageBreak/>
        <w:t xml:space="preserve">רישיון נהיגה וזיוף סימן המשמש לזיהוי רכב, והוטל עליו עונש של 6 חודשי מאסר ופסילת רישיון נהיגה למשך 14 חודשים. </w:t>
      </w:r>
    </w:p>
    <w:p w14:paraId="13F52B84" w14:textId="77777777" w:rsidR="000202CC" w:rsidRDefault="000202CC" w:rsidP="000202CC">
      <w:pPr>
        <w:spacing w:line="360" w:lineRule="auto"/>
        <w:ind w:left="720" w:hanging="720"/>
        <w:jc w:val="both"/>
        <w:rPr>
          <w:rFonts w:ascii="Calibri" w:hAnsi="Calibri"/>
          <w:rtl/>
        </w:rPr>
      </w:pPr>
      <w:r>
        <w:rPr>
          <w:rFonts w:ascii="Calibri" w:hAnsi="Calibri"/>
          <w:rtl/>
        </w:rPr>
        <w:tab/>
        <w:t xml:space="preserve">הנאשם החל לשאת מאסר זה ביום 28.1.18 ושוחרר ביום 12.7.18, כאשר אירוע האלימות והירי נושא גזר-דין זה התרחשו ביום 22.9.18, כחודשיים לאחר שחרורו ממאסר. </w:t>
      </w:r>
    </w:p>
    <w:p w14:paraId="3F931ABB" w14:textId="77777777" w:rsidR="000202CC" w:rsidRDefault="000202CC" w:rsidP="000202CC">
      <w:pPr>
        <w:spacing w:line="360" w:lineRule="auto"/>
        <w:ind w:left="720" w:hanging="720"/>
        <w:jc w:val="both"/>
        <w:rPr>
          <w:rFonts w:ascii="Calibri" w:hAnsi="Calibri"/>
          <w:rtl/>
        </w:rPr>
      </w:pPr>
      <w:r>
        <w:rPr>
          <w:rFonts w:ascii="Calibri" w:hAnsi="Calibri"/>
          <w:rtl/>
        </w:rPr>
        <w:tab/>
      </w:r>
      <w:r>
        <w:rPr>
          <w:rFonts w:ascii="Calibri" w:hAnsi="Calibri"/>
          <w:rtl/>
        </w:rPr>
        <w:tab/>
        <w:t xml:space="preserve"> </w:t>
      </w:r>
    </w:p>
    <w:p w14:paraId="09753F1E" w14:textId="77777777" w:rsidR="000202CC" w:rsidRDefault="000202CC" w:rsidP="000202CC">
      <w:pPr>
        <w:spacing w:line="360" w:lineRule="auto"/>
        <w:ind w:left="720" w:hanging="720"/>
        <w:jc w:val="both"/>
        <w:rPr>
          <w:rFonts w:ascii="Calibri" w:hAnsi="Calibri"/>
          <w:rtl/>
        </w:rPr>
      </w:pPr>
      <w:r>
        <w:rPr>
          <w:rFonts w:ascii="Calibri" w:hAnsi="Calibri"/>
          <w:rtl/>
        </w:rPr>
        <w:t>6.</w:t>
      </w:r>
      <w:r>
        <w:rPr>
          <w:rFonts w:ascii="Calibri" w:hAnsi="Calibri"/>
          <w:rtl/>
        </w:rPr>
        <w:tab/>
      </w:r>
      <w:r>
        <w:rPr>
          <w:rFonts w:ascii="Calibri" w:hAnsi="Calibri"/>
          <w:u w:val="single"/>
          <w:rtl/>
        </w:rPr>
        <w:t>הצהרת נפגע עבירה (ע/4) מיום 11.6.20</w:t>
      </w:r>
      <w:r>
        <w:rPr>
          <w:rFonts w:ascii="Calibri" w:hAnsi="Calibri"/>
          <w:rtl/>
        </w:rPr>
        <w:t xml:space="preserve">, ממנה עולה (בחלקים הניתנים לקריאה), כי המתלונן סובל מנזק נפשי מהאירוע, מקשיי שינה, דכאון וקושי בתפקוד היומיומי. במישור הפיסי, הוא סובל ממיגרנות וכאבי בטן, וכן נגרמו הוצאות כספיות לו ולמשפחתו. לטענתו, הנאשם גרם לנידוי חברתי שלו בכך שיצר לו תדמית של "מלשן" בקרב חבריו ושכניו. </w:t>
      </w:r>
    </w:p>
    <w:p w14:paraId="72032ACD" w14:textId="77777777" w:rsidR="000202CC" w:rsidRDefault="000202CC" w:rsidP="000202CC">
      <w:pPr>
        <w:spacing w:line="360" w:lineRule="auto"/>
        <w:ind w:left="720"/>
        <w:jc w:val="both"/>
        <w:rPr>
          <w:rFonts w:ascii="Calibri" w:hAnsi="Calibri"/>
          <w:rtl/>
        </w:rPr>
      </w:pPr>
      <w:r>
        <w:rPr>
          <w:rFonts w:ascii="Calibri" w:hAnsi="Calibri"/>
          <w:rtl/>
        </w:rPr>
        <w:t xml:space="preserve">המתלונן צירף מסמך מהמרכז לבריאות הנפש לב השרון מיום 15.6.20, ממנו עולה כי אובחן כסובל מ - </w:t>
      </w:r>
      <w:r>
        <w:rPr>
          <w:rFonts w:ascii="Calibri" w:hAnsi="Calibri"/>
        </w:rPr>
        <w:t>PTSD</w:t>
      </w:r>
      <w:r>
        <w:rPr>
          <w:rFonts w:ascii="Calibri" w:hAnsi="Calibri"/>
          <w:rtl/>
        </w:rPr>
        <w:t xml:space="preserve"> </w:t>
      </w:r>
      <w:r>
        <w:rPr>
          <w:rFonts w:ascii="Calibri" w:hAnsi="Calibri" w:hint="cs"/>
          <w:rtl/>
        </w:rPr>
        <w:t xml:space="preserve">עם פגיעה תפקודית ניכרת, מצב רוח ירוד וסובל מפלאשבקים של תקיפות גופניות קשות וסיוטים, הכל בעקבות תקיפות אלימות חוזרות על-ידי אותם אנשים, וכן קיימת התרשמות מהפרעת אישיות אנטי-סוציאלית. במהלך 2018-2019 עבר חמישה אשפוזים בלב השרון בשל התרשמות ממצב פסיכוטי. המתלונן מסר לרופאיו, כי בחודשים האחרונים הפחדים, החרדות והקשיים התגברו באופן ניכר, דבר המונע ממנו את האפשרות לקיים שגרת יום הכוללת עבודה או פיתוח עצמאות. </w:t>
      </w:r>
    </w:p>
    <w:p w14:paraId="7E8DF08E" w14:textId="77777777" w:rsidR="000202CC" w:rsidRDefault="000202CC" w:rsidP="000202CC">
      <w:pPr>
        <w:spacing w:line="360" w:lineRule="auto"/>
        <w:ind w:left="720" w:hanging="720"/>
        <w:jc w:val="both"/>
        <w:rPr>
          <w:rFonts w:ascii="Calibri" w:hAnsi="Calibri"/>
          <w:rtl/>
        </w:rPr>
      </w:pPr>
    </w:p>
    <w:p w14:paraId="265281FB" w14:textId="77777777" w:rsidR="000202CC" w:rsidRDefault="000202CC" w:rsidP="000202CC">
      <w:pPr>
        <w:spacing w:line="360" w:lineRule="auto"/>
        <w:ind w:left="720" w:hanging="720"/>
        <w:jc w:val="both"/>
        <w:rPr>
          <w:rFonts w:ascii="Calibri" w:hAnsi="Calibri"/>
          <w:b/>
          <w:bCs/>
          <w:u w:val="single"/>
          <w:rtl/>
        </w:rPr>
      </w:pPr>
      <w:r>
        <w:rPr>
          <w:rFonts w:ascii="Calibri" w:hAnsi="Calibri"/>
          <w:b/>
          <w:bCs/>
          <w:u w:val="single"/>
          <w:rtl/>
        </w:rPr>
        <w:t>טיעוני הצדדים</w:t>
      </w:r>
    </w:p>
    <w:p w14:paraId="4651408B" w14:textId="77777777" w:rsidR="000202CC" w:rsidRDefault="000202CC" w:rsidP="000202CC">
      <w:pPr>
        <w:spacing w:line="360" w:lineRule="auto"/>
        <w:ind w:left="720" w:hanging="720"/>
        <w:jc w:val="both"/>
        <w:rPr>
          <w:rFonts w:ascii="Calibri" w:hAnsi="Calibri"/>
          <w:b/>
          <w:bCs/>
          <w:u w:val="single"/>
          <w:rtl/>
        </w:rPr>
      </w:pPr>
    </w:p>
    <w:p w14:paraId="3625DD7A" w14:textId="77777777" w:rsidR="000202CC" w:rsidRPr="000202CC" w:rsidRDefault="000202CC" w:rsidP="000202CC">
      <w:pPr>
        <w:spacing w:line="360" w:lineRule="auto"/>
        <w:ind w:left="720" w:hanging="720"/>
        <w:jc w:val="both"/>
        <w:rPr>
          <w:rFonts w:ascii="Calibri" w:eastAsia="Calibri" w:hAnsi="Calibri" w:cs="Arial"/>
          <w:sz w:val="22"/>
          <w:szCs w:val="22"/>
          <w:rtl/>
        </w:rPr>
      </w:pPr>
      <w:r>
        <w:rPr>
          <w:rFonts w:ascii="Calibri" w:hAnsi="Calibri"/>
          <w:rtl/>
        </w:rPr>
        <w:t>7.</w:t>
      </w:r>
      <w:r>
        <w:rPr>
          <w:rFonts w:ascii="Calibri" w:hAnsi="Calibri"/>
          <w:rtl/>
        </w:rPr>
        <w:tab/>
        <w:t>ב"כ המאשימה עתרה לקביעת</w:t>
      </w:r>
      <w:r>
        <w:rPr>
          <w:rFonts w:ascii="David" w:hAnsi="David"/>
          <w:rtl/>
        </w:rPr>
        <w:t xml:space="preserve"> מתחם עונש כולל שנע בין 2.5 עד 5.5 שנות מאסר בגין כל האירועים המתוארים בכתב האישום, ולגזור את דינו של הנאשם ברף העליון של המתחם או בסמוך אליו, כך שיושת עליו עונש של 5 שנות מאסר, מאסר על תנאי ממושך ופיצוי למתלונן.</w:t>
      </w:r>
    </w:p>
    <w:p w14:paraId="65AE6803" w14:textId="77777777" w:rsidR="000202CC" w:rsidRDefault="000202CC" w:rsidP="000202CC">
      <w:pPr>
        <w:spacing w:line="360" w:lineRule="auto"/>
        <w:jc w:val="both"/>
        <w:rPr>
          <w:rFonts w:ascii="David" w:hAnsi="David"/>
          <w:rtl/>
        </w:rPr>
      </w:pPr>
    </w:p>
    <w:p w14:paraId="6ED91AFF" w14:textId="77777777" w:rsidR="000202CC" w:rsidRDefault="000202CC" w:rsidP="000202CC">
      <w:pPr>
        <w:spacing w:line="360" w:lineRule="auto"/>
        <w:ind w:left="720"/>
        <w:jc w:val="both"/>
        <w:rPr>
          <w:rFonts w:ascii="David" w:hAnsi="David"/>
          <w:rtl/>
        </w:rPr>
      </w:pPr>
      <w:r>
        <w:rPr>
          <w:rFonts w:ascii="David" w:hAnsi="David"/>
          <w:rtl/>
        </w:rPr>
        <w:t>ב"כ המאשימה ביקשה לשכנע, כי נסיבות התיק חריגות, כאשר המדובר בפרשה שראשיתה בכתב אישום שהוגש נגד האח ליאור ושניים נוספים בגין אירועי אלימות במהלכם נדקר המתלונן. המתלונן הגיש תלונה, העיד בבית-המשפט ובטרם מתן הכרעת הדין, במהלך 2017, כשלושה חודשים לאחר שהנאשם שוחרר ממאסר, בשלוש הזדמנויות שונות, איים על המתלונן באמירות שאם לא יחזור מהתלונה הוא ייפגע. טיבן של האמירות ועיתוי השמעתן ממקם אותן ברף חומרה גבוה ומלמד על תעוזה והעדר מורא של הנאשם.</w:t>
      </w:r>
    </w:p>
    <w:p w14:paraId="19ED95A9" w14:textId="77777777" w:rsidR="000202CC" w:rsidRDefault="000202CC" w:rsidP="000202CC">
      <w:pPr>
        <w:spacing w:line="360" w:lineRule="auto"/>
        <w:ind w:left="720"/>
        <w:jc w:val="both"/>
        <w:rPr>
          <w:rFonts w:ascii="David" w:hAnsi="David"/>
          <w:rtl/>
        </w:rPr>
      </w:pPr>
    </w:p>
    <w:p w14:paraId="4A9332F6" w14:textId="77777777" w:rsidR="000202CC" w:rsidRDefault="000202CC" w:rsidP="000202CC">
      <w:pPr>
        <w:spacing w:line="360" w:lineRule="auto"/>
        <w:ind w:left="720"/>
        <w:jc w:val="both"/>
        <w:rPr>
          <w:rFonts w:ascii="David" w:hAnsi="David"/>
          <w:rtl/>
        </w:rPr>
      </w:pPr>
      <w:r>
        <w:rPr>
          <w:rFonts w:ascii="David" w:hAnsi="David"/>
          <w:rtl/>
        </w:rPr>
        <w:t xml:space="preserve">אירוע התקיפה התרחש בצהרי יום 22.9.18 הסתיים בחשד לשבר בצלע בלבד מאחר שהמתלונן הצליח להימלט מהמקום (וצויין, כי כנגד ליאור הוגש כתב אישום בבית משפט השלום – ע/6, בהליך נפרד שעודנו מתנהל). חצי שעה לאחר מכן, ירה הנאשם באוויר מתחת לחלון חדרו של המתלונן באמצעות תת- מקלע מאולתר. הצטיידות בנשק תוך זמן כה קצר מלמדת על מיהות הנאשם ועל קשריו עם גורמים עברייניים. לטענתה, אין מקום להקל ראש בכך שמדובר "רק" בירי באזור מגורים ולא בירי שגרם לפציעה, כאשר ירי בנשק חם בנסיבות המתוארות מהווה אלימות בדרגה גבוהה. </w:t>
      </w:r>
    </w:p>
    <w:p w14:paraId="0C16D48C" w14:textId="77777777" w:rsidR="000202CC" w:rsidRDefault="000202CC" w:rsidP="000202CC">
      <w:pPr>
        <w:spacing w:line="360" w:lineRule="auto"/>
        <w:ind w:left="720"/>
        <w:jc w:val="both"/>
        <w:rPr>
          <w:rFonts w:ascii="David" w:hAnsi="David"/>
          <w:rtl/>
        </w:rPr>
      </w:pPr>
      <w:r>
        <w:rPr>
          <w:rFonts w:ascii="David" w:hAnsi="David"/>
          <w:rtl/>
        </w:rPr>
        <w:t>נסיבה מחמירה נוספת היא הפחד של המתלונן מהנאשם, ממשפחתו ומחבריו אשר מצא את ביטויו בראיות שהוגשו לרבות במזכרים של השוטרים שפגשו בו. ב"כ המאשימה טענה, כי דקירת המתלונן סמוך לאחר עדותו בבית המשפט בתיק זה על- ידי אח אחר של הנאשם (קנה היילי, כפי שהדברים עדיין מתבררים במסגרת תיק פלילי בבית-משפט זה – ע/5) מלמדת כי חששותיו היו אמיתיים.</w:t>
      </w:r>
    </w:p>
    <w:p w14:paraId="62E4B5C8" w14:textId="77777777" w:rsidR="000202CC" w:rsidRDefault="000202CC" w:rsidP="000202CC">
      <w:pPr>
        <w:spacing w:line="360" w:lineRule="auto"/>
        <w:ind w:left="720"/>
        <w:jc w:val="both"/>
        <w:rPr>
          <w:rFonts w:ascii="David" w:hAnsi="David"/>
          <w:rtl/>
        </w:rPr>
      </w:pPr>
      <w:r>
        <w:rPr>
          <w:rFonts w:ascii="David" w:hAnsi="David"/>
          <w:rtl/>
        </w:rPr>
        <w:t xml:space="preserve">ב"כ המאשימה הדגישה את הנזקים שנגרמו למתלונן בפן הפיסי, הכלכלי, הנפשי והחברתי והפנתה, בין השאר, למסמכים הרפואיים המעידים על פוסט-טראומה ממנה הוא סובל בעקבות התקיפות האלימות שעבר, ולקושי התפקודי בחיי היומיום. ב"כ המאשימה הבהירה, כי אמנם למתלונן רקע נפשי קודם, אך ההחרפה במצבו היא על רקע האירועים עם האח ליאור והמשכה במעשים הפליליים שביצע הנאשם כלפיו. </w:t>
      </w:r>
    </w:p>
    <w:p w14:paraId="7B1E98F6" w14:textId="77777777" w:rsidR="000202CC" w:rsidRDefault="000202CC" w:rsidP="000202CC">
      <w:pPr>
        <w:spacing w:line="360" w:lineRule="auto"/>
        <w:ind w:left="720"/>
        <w:jc w:val="both"/>
        <w:rPr>
          <w:rFonts w:ascii="David" w:hAnsi="David"/>
          <w:rtl/>
        </w:rPr>
      </w:pPr>
    </w:p>
    <w:p w14:paraId="5FDF175E" w14:textId="77777777" w:rsidR="000202CC" w:rsidRDefault="000202CC" w:rsidP="000202CC">
      <w:pPr>
        <w:spacing w:line="360" w:lineRule="auto"/>
        <w:ind w:left="720"/>
        <w:jc w:val="both"/>
        <w:rPr>
          <w:rFonts w:ascii="David" w:hAnsi="David"/>
          <w:rtl/>
        </w:rPr>
      </w:pPr>
      <w:r>
        <w:rPr>
          <w:rFonts w:ascii="David" w:hAnsi="David"/>
          <w:rtl/>
        </w:rPr>
        <w:t xml:space="preserve">אשר לנסיבות שאינן קשורות לביצוע העבירות הזכירה, כי הנאשם ניהל הוכחות, לא נטל אחריות על מעשיו ועל כן אינו זכאי להקלה של מי שבחר להודות במעשיו ולחסוך בזמן שיפוטי. ב"כ המאשימה הרחיבה באשר לעברו הפלילי של הנאשם, לעיתוי ביצוע העבירות ולכך שלכאורה הנאשם נדקר על-ידי אח אחר של הנאשם לאחר שהעיד בתיק דנן. לאור נסיבות אלו עתרה לגזור על הנאשם עונש מאסר בפועל המצוי ברף העליון של המתחם או בסמוך לו, והכל כאמור בפתיח פסקה זו. </w:t>
      </w:r>
    </w:p>
    <w:p w14:paraId="0C9050AF" w14:textId="77777777" w:rsidR="000202CC" w:rsidRDefault="000202CC" w:rsidP="000202CC">
      <w:pPr>
        <w:spacing w:line="360" w:lineRule="auto"/>
        <w:ind w:firstLine="720"/>
        <w:jc w:val="both"/>
        <w:rPr>
          <w:rFonts w:ascii="David" w:hAnsi="David"/>
          <w:rtl/>
        </w:rPr>
      </w:pPr>
    </w:p>
    <w:p w14:paraId="177413C2" w14:textId="77777777" w:rsidR="000202CC" w:rsidRDefault="000202CC" w:rsidP="000202CC">
      <w:pPr>
        <w:spacing w:line="360" w:lineRule="auto"/>
        <w:ind w:left="720" w:hanging="720"/>
        <w:jc w:val="both"/>
        <w:rPr>
          <w:rFonts w:ascii="David" w:hAnsi="David"/>
          <w:rtl/>
        </w:rPr>
      </w:pPr>
      <w:r>
        <w:rPr>
          <w:rFonts w:ascii="David" w:hAnsi="David"/>
          <w:rtl/>
        </w:rPr>
        <w:t xml:space="preserve">8. </w:t>
      </w:r>
      <w:r>
        <w:rPr>
          <w:rFonts w:ascii="David" w:hAnsi="David"/>
          <w:rtl/>
        </w:rPr>
        <w:tab/>
        <w:t>הסניגור תיאר את נסיבותיו האישיות והמשפחתיות של הנאשם וטען, כי הנאשם בן 32, בן למשפחה המונה עשרה ילדים, שעבר ילדות קשה, ועבד מגיל צעיר לפרנסתו. היפנה לדבריו של הנאשם בבית-המשפט לפיהם, בת-זוגו נאלצה להפסיקה את הריונה בעקבות מעצרו, והקשר ביניהם נפסק.</w:t>
      </w:r>
    </w:p>
    <w:p w14:paraId="5B26A635" w14:textId="77777777" w:rsidR="000202CC" w:rsidRDefault="000202CC" w:rsidP="000202CC">
      <w:pPr>
        <w:spacing w:line="360" w:lineRule="auto"/>
        <w:ind w:left="720"/>
        <w:jc w:val="both"/>
        <w:rPr>
          <w:rFonts w:ascii="David" w:hAnsi="David"/>
          <w:rtl/>
        </w:rPr>
      </w:pPr>
      <w:r>
        <w:rPr>
          <w:rFonts w:ascii="David" w:hAnsi="David"/>
          <w:rtl/>
        </w:rPr>
        <w:t xml:space="preserve">מהרישום הפלילי ניתן ללמוד שהנאשם לא הסתבך באלימות בעשור האחרון, ולא ניתן לקבוע שמדובר באדם אלים שתוקף אנשים. בגין התיק דנן, הנאשם שוהה במעצר למעלה מ – 20 חודשים, ואינו זכאי לזכויות הניתנות לאסירים. </w:t>
      </w:r>
    </w:p>
    <w:p w14:paraId="74C329F3" w14:textId="77777777" w:rsidR="000202CC" w:rsidRDefault="000202CC" w:rsidP="000202CC">
      <w:pPr>
        <w:spacing w:line="360" w:lineRule="auto"/>
        <w:ind w:left="720"/>
        <w:jc w:val="both"/>
        <w:rPr>
          <w:rFonts w:ascii="David" w:hAnsi="David"/>
          <w:rtl/>
        </w:rPr>
      </w:pPr>
    </w:p>
    <w:p w14:paraId="7E2D424A" w14:textId="77777777" w:rsidR="000202CC" w:rsidRDefault="000202CC" w:rsidP="000202CC">
      <w:pPr>
        <w:spacing w:line="360" w:lineRule="auto"/>
        <w:ind w:left="720"/>
        <w:jc w:val="both"/>
        <w:rPr>
          <w:rFonts w:ascii="David" w:hAnsi="David"/>
          <w:rtl/>
        </w:rPr>
      </w:pPr>
      <w:r>
        <w:rPr>
          <w:rFonts w:ascii="David" w:hAnsi="David"/>
          <w:rtl/>
        </w:rPr>
        <w:t>ב"כ הנאשם עתר לקביעת מתחם עונש הולם אחד, ולהסתפק בימי מעצרו. טען, שאמנם הנאשם לא הודה ולא חסך זמן שיפוטי, אך לפי תיקון 113 ל</w:t>
      </w:r>
      <w:hyperlink r:id="rId22" w:history="1">
        <w:r w:rsidR="00F115F8" w:rsidRPr="00F115F8">
          <w:rPr>
            <w:rFonts w:ascii="David" w:hAnsi="David"/>
            <w:color w:val="0000FF"/>
            <w:u w:val="single"/>
            <w:rtl/>
          </w:rPr>
          <w:t>חוק העונשין</w:t>
        </w:r>
      </w:hyperlink>
      <w:r>
        <w:rPr>
          <w:rFonts w:ascii="David" w:hAnsi="David"/>
          <w:rtl/>
        </w:rPr>
        <w:t xml:space="preserve"> אין בכך כדי להביא להחמרת עונשו, כשהנאשם ממשיך לטעון לחפותו.  </w:t>
      </w:r>
    </w:p>
    <w:p w14:paraId="29550A32" w14:textId="77777777" w:rsidR="000202CC" w:rsidRDefault="000202CC" w:rsidP="000202CC">
      <w:pPr>
        <w:spacing w:line="360" w:lineRule="auto"/>
        <w:ind w:left="720"/>
        <w:jc w:val="both"/>
        <w:rPr>
          <w:rFonts w:ascii="David" w:hAnsi="David"/>
          <w:rtl/>
        </w:rPr>
      </w:pPr>
    </w:p>
    <w:p w14:paraId="3E74D6A3" w14:textId="77777777" w:rsidR="000202CC" w:rsidRDefault="000202CC" w:rsidP="000202CC">
      <w:pPr>
        <w:spacing w:line="360" w:lineRule="auto"/>
        <w:ind w:left="720"/>
        <w:jc w:val="both"/>
        <w:rPr>
          <w:rFonts w:ascii="David" w:hAnsi="David"/>
          <w:rtl/>
        </w:rPr>
      </w:pPr>
      <w:r>
        <w:rPr>
          <w:rFonts w:ascii="David" w:hAnsi="David"/>
          <w:rtl/>
        </w:rPr>
        <w:t xml:space="preserve">ב"כ הנאשם טען, מבלי להקל ראש בחומרת העבירות, כי למתלונן לא נגרם נזק פיסי כתוצאה מהתקיפה, כאשר בתמונות שהוגשו ניתן להבחין במעט דם על שפתיו והחשד לשבר בצלע התברר כלא היה. </w:t>
      </w:r>
    </w:p>
    <w:p w14:paraId="235B0714" w14:textId="77777777" w:rsidR="000202CC" w:rsidRDefault="000202CC" w:rsidP="000202CC">
      <w:pPr>
        <w:spacing w:line="360" w:lineRule="auto"/>
        <w:ind w:left="720"/>
        <w:jc w:val="both"/>
        <w:rPr>
          <w:rFonts w:ascii="David" w:hAnsi="David"/>
        </w:rPr>
      </w:pPr>
      <w:r>
        <w:rPr>
          <w:rFonts w:ascii="David" w:hAnsi="David"/>
          <w:rtl/>
        </w:rPr>
        <w:t xml:space="preserve">אשר לעבירות הנשק טען, שמדובר בירייה אחת בודדת שבוצעה בעוד הנאשם מניף את הנשק כלפי מעלה ולא היה ניסיון לפגוע בחלון הבית או בבניין, כשגם המתלונן לא אמר מעולם שהנשק כוון כלפיו. מהעדים שהעידו ולפי המזכרים שהוגשו עולה, שאיש לא שמע את הירי מלבד המתלונן והוריו, כך שתיאור התובעת בדבר הפחדת השכונה אין לו בסיס. </w:t>
      </w:r>
    </w:p>
    <w:p w14:paraId="762B5843" w14:textId="77777777" w:rsidR="000202CC" w:rsidRDefault="000202CC" w:rsidP="000202CC">
      <w:pPr>
        <w:spacing w:line="360" w:lineRule="auto"/>
        <w:ind w:left="720"/>
        <w:jc w:val="both"/>
        <w:rPr>
          <w:rFonts w:ascii="David" w:hAnsi="David"/>
          <w:rtl/>
        </w:rPr>
      </w:pPr>
      <w:r>
        <w:rPr>
          <w:rFonts w:ascii="David" w:hAnsi="David"/>
          <w:rtl/>
        </w:rPr>
        <w:t xml:space="preserve">בסופו של יום, מדובר בנשיאה והובלה לזמן קצר של מספר דקות מהיער לחניון הבניין, שהיה מרחק של מאות מטרים בודדים. </w:t>
      </w:r>
    </w:p>
    <w:p w14:paraId="77E605E9" w14:textId="77777777" w:rsidR="000202CC" w:rsidRDefault="000202CC" w:rsidP="000202CC">
      <w:pPr>
        <w:spacing w:line="360" w:lineRule="auto"/>
        <w:jc w:val="both"/>
        <w:rPr>
          <w:rFonts w:ascii="David" w:hAnsi="David"/>
          <w:rtl/>
        </w:rPr>
      </w:pPr>
    </w:p>
    <w:p w14:paraId="4E7DBA59" w14:textId="77777777" w:rsidR="000202CC" w:rsidRDefault="000202CC" w:rsidP="000202CC">
      <w:pPr>
        <w:spacing w:line="360" w:lineRule="auto"/>
        <w:ind w:left="720"/>
        <w:jc w:val="both"/>
        <w:rPr>
          <w:rFonts w:ascii="David" w:hAnsi="David"/>
          <w:rtl/>
        </w:rPr>
      </w:pPr>
      <w:r>
        <w:rPr>
          <w:rFonts w:ascii="David" w:hAnsi="David"/>
          <w:rtl/>
        </w:rPr>
        <w:t>הסניגור טען, כי ההליך החל לפני כשנתיים, כאשר העבירה של הטרדת עד בוצעה לפני למעלה משלוש שנים. הדגיש, כי אין מקום לטענה שמצבו הנפשי של המתלונן נעוץ במעשי הנאשם או משפחתו, כאשר הוריו ואחיו של המתלונן סיפרו שהוא סובל מהפרעה נפשית מאז שירותו הצבאי, ושוחרר מהצבא בעקבות אי- התאמה. עוד טען, שיש להעניש את הנאשם רק בשל מעשיו ולא בשל מעשיהם הנטענים של אחיו.</w:t>
      </w:r>
    </w:p>
    <w:p w14:paraId="4862C82A" w14:textId="77777777" w:rsidR="000202CC" w:rsidRDefault="000202CC" w:rsidP="000202CC">
      <w:pPr>
        <w:spacing w:line="360" w:lineRule="auto"/>
        <w:ind w:left="720"/>
        <w:jc w:val="both"/>
        <w:rPr>
          <w:rFonts w:ascii="David" w:hAnsi="David"/>
          <w:rtl/>
        </w:rPr>
      </w:pPr>
    </w:p>
    <w:p w14:paraId="10A5D950" w14:textId="77777777" w:rsidR="000202CC" w:rsidRDefault="000202CC" w:rsidP="000202CC">
      <w:pPr>
        <w:spacing w:line="360" w:lineRule="auto"/>
        <w:ind w:left="720"/>
        <w:jc w:val="both"/>
        <w:rPr>
          <w:rFonts w:ascii="David" w:hAnsi="David"/>
          <w:rtl/>
        </w:rPr>
      </w:pPr>
      <w:r>
        <w:rPr>
          <w:rFonts w:ascii="David" w:hAnsi="David"/>
          <w:rtl/>
        </w:rPr>
        <w:t>לאור האמור לעיל, ב"כ הנאשם עתר לקביעת מתחם עונש הולם שנע בין 15 ל - 30 חודשי מאסר בפועל, ועל כן יש להסתפק בתקופת מעצרו.</w:t>
      </w:r>
    </w:p>
    <w:p w14:paraId="458E94AC" w14:textId="77777777" w:rsidR="000202CC" w:rsidRDefault="000202CC" w:rsidP="000202CC">
      <w:pPr>
        <w:spacing w:line="360" w:lineRule="auto"/>
        <w:ind w:left="720"/>
        <w:jc w:val="both"/>
        <w:rPr>
          <w:rFonts w:ascii="David" w:hAnsi="David"/>
          <w:rtl/>
        </w:rPr>
      </w:pPr>
    </w:p>
    <w:p w14:paraId="09EA76AF" w14:textId="77777777" w:rsidR="000202CC" w:rsidRPr="000202CC" w:rsidRDefault="000202CC" w:rsidP="000202CC">
      <w:pPr>
        <w:rPr>
          <w:rFonts w:ascii="David" w:eastAsia="Calibri" w:hAnsi="David"/>
          <w:rtl/>
        </w:rPr>
      </w:pPr>
      <w:r>
        <w:rPr>
          <w:rFonts w:ascii="David" w:hAnsi="David"/>
          <w:rtl/>
        </w:rPr>
        <w:t xml:space="preserve">9. </w:t>
      </w:r>
      <w:r>
        <w:rPr>
          <w:rFonts w:ascii="David" w:hAnsi="David"/>
          <w:rtl/>
        </w:rPr>
        <w:tab/>
        <w:t>הנאשם בחר שלא למסור דברים לבית-המשפט.</w:t>
      </w:r>
    </w:p>
    <w:p w14:paraId="02D7D625" w14:textId="77777777" w:rsidR="000202CC" w:rsidRDefault="000202CC" w:rsidP="000202CC">
      <w:pPr>
        <w:rPr>
          <w:rFonts w:ascii="David" w:hAnsi="David"/>
          <w:rtl/>
        </w:rPr>
      </w:pPr>
    </w:p>
    <w:p w14:paraId="2D3EF041" w14:textId="77777777" w:rsidR="000202CC" w:rsidRDefault="000202CC" w:rsidP="000202CC">
      <w:pPr>
        <w:rPr>
          <w:rFonts w:ascii="David" w:hAnsi="David"/>
          <w:rtl/>
        </w:rPr>
      </w:pPr>
    </w:p>
    <w:p w14:paraId="6293CAE6" w14:textId="77777777" w:rsidR="000202CC" w:rsidRDefault="000202CC" w:rsidP="000202CC">
      <w:pPr>
        <w:spacing w:line="360" w:lineRule="auto"/>
        <w:ind w:left="720" w:hanging="720"/>
        <w:jc w:val="both"/>
        <w:rPr>
          <w:rFonts w:ascii="David" w:hAnsi="David"/>
          <w:b/>
          <w:bCs/>
          <w:u w:val="single"/>
          <w:rtl/>
        </w:rPr>
      </w:pPr>
      <w:r>
        <w:rPr>
          <w:rFonts w:ascii="David" w:hAnsi="David"/>
          <w:b/>
          <w:bCs/>
          <w:u w:val="single"/>
          <w:rtl/>
        </w:rPr>
        <w:t>דיון והכרעה</w:t>
      </w:r>
    </w:p>
    <w:p w14:paraId="5ADBCFDD" w14:textId="77777777" w:rsidR="000202CC" w:rsidRDefault="000202CC" w:rsidP="000202CC">
      <w:pPr>
        <w:spacing w:line="360" w:lineRule="auto"/>
        <w:ind w:left="720" w:hanging="720"/>
        <w:jc w:val="both"/>
        <w:rPr>
          <w:rFonts w:ascii="David" w:hAnsi="David"/>
          <w:b/>
          <w:bCs/>
          <w:u w:val="single"/>
          <w:rtl/>
        </w:rPr>
      </w:pPr>
    </w:p>
    <w:p w14:paraId="3DC24A38" w14:textId="77777777" w:rsidR="000202CC" w:rsidRDefault="000202CC" w:rsidP="000202CC">
      <w:pPr>
        <w:spacing w:line="360" w:lineRule="auto"/>
        <w:ind w:left="720" w:hanging="720"/>
        <w:jc w:val="both"/>
        <w:rPr>
          <w:rFonts w:ascii="Calibri" w:eastAsia="Calibri" w:hAnsi="Calibri"/>
          <w:rtl/>
        </w:rPr>
      </w:pPr>
      <w:r>
        <w:rPr>
          <w:rFonts w:ascii="David" w:hAnsi="David"/>
          <w:rtl/>
        </w:rPr>
        <w:t>10.</w:t>
      </w:r>
      <w:r>
        <w:rPr>
          <w:rFonts w:ascii="David" w:hAnsi="David"/>
          <w:rtl/>
        </w:rPr>
        <w:tab/>
      </w:r>
      <w:r>
        <w:rPr>
          <w:rFonts w:ascii="Calibri" w:eastAsia="Calibri" w:hAnsi="Calibri"/>
          <w:rtl/>
        </w:rPr>
        <w:t>בהתאם להוראות תיקון 113 ל</w:t>
      </w:r>
      <w:hyperlink r:id="rId23" w:history="1">
        <w:r w:rsidR="00F115F8" w:rsidRPr="00F115F8">
          <w:rPr>
            <w:rFonts w:ascii="Calibri" w:eastAsia="Calibri" w:hAnsi="Calibri" w:hint="cs"/>
            <w:color w:val="0000FF"/>
            <w:u w:val="single"/>
            <w:rtl/>
          </w:rPr>
          <w:t>חוק</w:t>
        </w:r>
        <w:r w:rsidR="00F115F8" w:rsidRPr="00F115F8">
          <w:rPr>
            <w:rFonts w:ascii="Calibri" w:eastAsia="Calibri" w:hAnsi="Calibri"/>
            <w:color w:val="0000FF"/>
            <w:u w:val="single"/>
            <w:rtl/>
          </w:rPr>
          <w:t xml:space="preserve"> </w:t>
        </w:r>
        <w:r w:rsidR="00F115F8" w:rsidRPr="00F115F8">
          <w:rPr>
            <w:rFonts w:ascii="Calibri" w:eastAsia="Calibri" w:hAnsi="Calibri" w:hint="cs"/>
            <w:color w:val="0000FF"/>
            <w:u w:val="single"/>
            <w:rtl/>
          </w:rPr>
          <w:t>העונשין</w:t>
        </w:r>
      </w:hyperlink>
      <w:r>
        <w:rPr>
          <w:rFonts w:ascii="Calibri" w:eastAsia="Calibri" w:hAnsi="Calibri"/>
          <w:rtl/>
        </w:rPr>
        <w:t xml:space="preserve"> </w:t>
      </w:r>
      <w:hyperlink r:id="rId24" w:history="1">
        <w:r w:rsidR="00801A26" w:rsidRPr="00801A26">
          <w:rPr>
            <w:rStyle w:val="Hyperlink"/>
            <w:rFonts w:ascii="Calibri" w:eastAsia="Calibri" w:hAnsi="Calibri" w:hint="cs"/>
            <w:rtl/>
          </w:rPr>
          <w:t>בסעיף</w:t>
        </w:r>
        <w:r w:rsidR="00801A26" w:rsidRPr="00801A26">
          <w:rPr>
            <w:rStyle w:val="Hyperlink"/>
            <w:rFonts w:ascii="Calibri" w:eastAsia="Calibri" w:hAnsi="Calibri"/>
            <w:rtl/>
          </w:rPr>
          <w:t xml:space="preserve"> 40</w:t>
        </w:r>
        <w:r w:rsidR="00801A26" w:rsidRPr="00801A26">
          <w:rPr>
            <w:rStyle w:val="Hyperlink"/>
            <w:rFonts w:ascii="Calibri" w:eastAsia="Calibri" w:hAnsi="Calibri" w:hint="cs"/>
            <w:rtl/>
          </w:rPr>
          <w:t>ג</w:t>
        </w:r>
        <w:r w:rsidR="00801A26" w:rsidRPr="00801A26">
          <w:rPr>
            <w:rStyle w:val="Hyperlink"/>
            <w:rFonts w:ascii="Calibri" w:eastAsia="Calibri" w:hAnsi="Calibri"/>
            <w:rtl/>
          </w:rPr>
          <w:t>(</w:t>
        </w:r>
        <w:r w:rsidR="00801A26" w:rsidRPr="00801A26">
          <w:rPr>
            <w:rStyle w:val="Hyperlink"/>
            <w:rFonts w:ascii="Calibri" w:eastAsia="Calibri" w:hAnsi="Calibri" w:hint="cs"/>
            <w:rtl/>
          </w:rPr>
          <w:t>א</w:t>
        </w:r>
        <w:r w:rsidR="00801A26" w:rsidRPr="00801A26">
          <w:rPr>
            <w:rStyle w:val="Hyperlink"/>
            <w:rFonts w:ascii="Calibri" w:eastAsia="Calibri" w:hAnsi="Calibri"/>
            <w:rtl/>
          </w:rPr>
          <w:t>)</w:t>
        </w:r>
      </w:hyperlink>
      <w:r>
        <w:rPr>
          <w:rFonts w:ascii="Calibri" w:eastAsia="Calibri" w:hAnsi="Calibri"/>
          <w:rtl/>
        </w:rPr>
        <w:t xml:space="preserve">, לצורך קביעת מתחם העונש ההולם יש להתחשב בערך החברתי שנפגע, במידת הפגיעה בו, במדיניות הענישה הנוהגת ובנסיבות הקשורות בביצוע העבירה. </w:t>
      </w:r>
    </w:p>
    <w:p w14:paraId="61A626A0" w14:textId="77777777" w:rsidR="000202CC" w:rsidRDefault="000202CC" w:rsidP="000202CC">
      <w:pPr>
        <w:spacing w:line="360" w:lineRule="auto"/>
        <w:ind w:left="720" w:hanging="720"/>
        <w:jc w:val="both"/>
        <w:rPr>
          <w:rFonts w:ascii="Calibri" w:eastAsia="Calibri" w:hAnsi="Calibri"/>
          <w:u w:val="single"/>
          <w:rtl/>
        </w:rPr>
      </w:pPr>
    </w:p>
    <w:p w14:paraId="3E24B1A0" w14:textId="77777777" w:rsidR="000202CC" w:rsidRDefault="000202CC" w:rsidP="000202CC">
      <w:pPr>
        <w:spacing w:line="360" w:lineRule="auto"/>
        <w:ind w:left="720" w:hanging="720"/>
        <w:jc w:val="both"/>
        <w:rPr>
          <w:rFonts w:ascii="Calibri" w:eastAsia="Calibri" w:hAnsi="Calibri"/>
          <w:rtl/>
        </w:rPr>
      </w:pPr>
      <w:r>
        <w:rPr>
          <w:rFonts w:ascii="Calibri" w:eastAsia="Calibri" w:hAnsi="Calibri"/>
          <w:rtl/>
        </w:rPr>
        <w:t>11.</w:t>
      </w:r>
      <w:r>
        <w:rPr>
          <w:rFonts w:ascii="Calibri" w:eastAsia="Calibri" w:hAnsi="Calibri"/>
          <w:rtl/>
        </w:rPr>
        <w:tab/>
        <w:t xml:space="preserve">הנאשם פגע במספר </w:t>
      </w:r>
      <w:r>
        <w:rPr>
          <w:rFonts w:ascii="Calibri" w:eastAsia="Calibri" w:hAnsi="Calibri"/>
          <w:u w:val="single"/>
          <w:rtl/>
        </w:rPr>
        <w:t>ערכים מוגנים</w:t>
      </w:r>
      <w:r>
        <w:rPr>
          <w:rFonts w:ascii="Calibri" w:eastAsia="Calibri" w:hAnsi="Calibri"/>
          <w:rtl/>
        </w:rPr>
        <w:t xml:space="preserve">, בראש ובראשונה בשלומו הנפשי והפיסי של המתלונן. הפגיעה היא מובהקת וקשה, ובאה לידי ביטוי לאורך כל המעשים המפורטים בכתב-האישום שתחילתם באמירות מאיימות על רקע הליך שיפוטי, המשך בפגיעה מכוערת בגופו וכלה בהתנהגות עבריינית בריונית באמצעות נשק. </w:t>
      </w:r>
    </w:p>
    <w:p w14:paraId="20BF1760" w14:textId="77777777" w:rsidR="000202CC" w:rsidRDefault="000202CC" w:rsidP="000202CC">
      <w:pPr>
        <w:spacing w:line="360" w:lineRule="auto"/>
        <w:ind w:left="720"/>
        <w:jc w:val="both"/>
        <w:rPr>
          <w:rtl/>
        </w:rPr>
      </w:pPr>
      <w:r>
        <w:rPr>
          <w:rFonts w:ascii="Calibri" w:eastAsia="Calibri" w:hAnsi="Calibri"/>
          <w:rtl/>
        </w:rPr>
        <w:t xml:space="preserve">מעבר לכך, יש במעשיו של הנאשם גם פגיעה בהיבט הציבורי הרחב.  </w:t>
      </w:r>
      <w:r>
        <w:rPr>
          <w:rtl/>
        </w:rPr>
        <w:t>באשר למעשי הנאשם המקימים עבירה של הטרדת עד, נקבע:</w:t>
      </w:r>
    </w:p>
    <w:p w14:paraId="5DF085F4" w14:textId="77777777" w:rsidR="000202CC" w:rsidRDefault="000202CC" w:rsidP="000202CC">
      <w:pPr>
        <w:ind w:left="1440" w:right="1418"/>
        <w:jc w:val="both"/>
        <w:rPr>
          <w:rtl/>
        </w:rPr>
      </w:pPr>
      <w:r>
        <w:rPr>
          <w:b/>
          <w:bCs/>
          <w:rtl/>
        </w:rPr>
        <w:t xml:space="preserve">"הערך המוגן שביסוד עבירה זו הוא מניעת הכשלת ההליך השיפוטי באמצעות הטרדתם של עדים על מנת לגרום להם שלא לשתף פעולה עם גורמי אכיפת החוק. תכלית האיסור הפלילי שבנדון היא להקנות ביטחון אישי לעדים לצורך חקר האמת ומיצוי הדין עם האשמים" </w:t>
      </w:r>
      <w:r>
        <w:rPr>
          <w:rtl/>
        </w:rPr>
        <w:t>(ראו ב</w:t>
      </w:r>
      <w:hyperlink r:id="rId25" w:history="1">
        <w:r w:rsidR="00F115F8" w:rsidRPr="00F115F8">
          <w:rPr>
            <w:color w:val="0000FF"/>
            <w:u w:val="single"/>
            <w:rtl/>
          </w:rPr>
          <w:t>ע"פ 6367/12</w:t>
        </w:r>
      </w:hyperlink>
      <w:r>
        <w:rPr>
          <w:rtl/>
        </w:rPr>
        <w:t xml:space="preserve"> </w:t>
      </w:r>
      <w:r>
        <w:rPr>
          <w:b/>
          <w:bCs/>
          <w:rtl/>
        </w:rPr>
        <w:t>נתנאל בנימין נגד מדינת ישראל</w:t>
      </w:r>
      <w:r>
        <w:rPr>
          <w:rtl/>
        </w:rPr>
        <w:t xml:space="preserve"> [8.4.13], פסקה 19).</w:t>
      </w:r>
    </w:p>
    <w:p w14:paraId="6F4FD7CD" w14:textId="77777777" w:rsidR="000202CC" w:rsidRDefault="000202CC" w:rsidP="000202CC">
      <w:pPr>
        <w:spacing w:line="360" w:lineRule="auto"/>
        <w:ind w:left="720"/>
        <w:jc w:val="both"/>
      </w:pPr>
    </w:p>
    <w:p w14:paraId="6516BE78" w14:textId="77777777" w:rsidR="000202CC" w:rsidRDefault="000202CC" w:rsidP="000202CC">
      <w:pPr>
        <w:spacing w:line="360" w:lineRule="auto"/>
        <w:ind w:left="720"/>
        <w:jc w:val="both"/>
        <w:rPr>
          <w:rtl/>
        </w:rPr>
      </w:pPr>
      <w:r>
        <w:rPr>
          <w:rtl/>
        </w:rPr>
        <w:t>בעבירות הקשורות לנשק שביצע הנאשם, פגע הוא בערך המוגן של הגנה של שלום הציבור וביטחונו. הפגיעה בערך זה היא ברף חומרה גבוה נוכח השימוש בתת מקלע מאולתר ונשיאתו, בקרבה לבנייני מגורים, ביום שבת אחר הצהריים:</w:t>
      </w:r>
    </w:p>
    <w:p w14:paraId="3495EA1F" w14:textId="77777777" w:rsidR="000202CC" w:rsidRDefault="000202CC" w:rsidP="000202CC">
      <w:pPr>
        <w:ind w:left="1440" w:right="1440"/>
        <w:jc w:val="both"/>
        <w:rPr>
          <w:rtl/>
        </w:rPr>
      </w:pPr>
      <w:r>
        <w:rPr>
          <w:b/>
          <w:bCs/>
          <w:rtl/>
        </w:rPr>
        <w:t xml:space="preserve">"בית משפט זה עמד לא אחת על הסכנות הגלומות בשימוש בנשק חם לשם פתרון סכסוכים, אשר עלול לפגוע בזכותו של כל אדם לשלמות גופו... חומרה מיוחדת מיוחסת בפסיקת בית משפט זה לאותם מקרים שבהם השימוש בנשק חם נעשה בתוך שטח עירוני ובסביבת בתי מגורים..." </w:t>
      </w:r>
      <w:r>
        <w:rPr>
          <w:rtl/>
        </w:rPr>
        <w:t>(ראו ב</w:t>
      </w:r>
      <w:hyperlink r:id="rId26" w:history="1">
        <w:r w:rsidR="00F115F8" w:rsidRPr="00F115F8">
          <w:rPr>
            <w:color w:val="0000FF"/>
            <w:u w:val="single"/>
            <w:rtl/>
          </w:rPr>
          <w:t>ע"פ 4377/16</w:t>
        </w:r>
      </w:hyperlink>
      <w:r>
        <w:rPr>
          <w:rtl/>
        </w:rPr>
        <w:t xml:space="preserve"> </w:t>
      </w:r>
      <w:r>
        <w:rPr>
          <w:b/>
          <w:bCs/>
          <w:rtl/>
        </w:rPr>
        <w:t>תורק נגד מדינת ישראל</w:t>
      </w:r>
      <w:r>
        <w:rPr>
          <w:rtl/>
        </w:rPr>
        <w:t xml:space="preserve"> [6.10.16], פסקה 18). </w:t>
      </w:r>
    </w:p>
    <w:p w14:paraId="764369A5" w14:textId="77777777" w:rsidR="000202CC" w:rsidRDefault="000202CC" w:rsidP="000202CC">
      <w:pPr>
        <w:ind w:left="1440" w:right="1440"/>
        <w:jc w:val="both"/>
        <w:rPr>
          <w:rtl/>
        </w:rPr>
      </w:pPr>
    </w:p>
    <w:p w14:paraId="1338DC99" w14:textId="77777777" w:rsidR="000202CC" w:rsidRDefault="000202CC" w:rsidP="000202CC">
      <w:pPr>
        <w:ind w:left="1440" w:right="1440"/>
        <w:jc w:val="both"/>
        <w:rPr>
          <w:rtl/>
        </w:rPr>
      </w:pPr>
    </w:p>
    <w:p w14:paraId="0773A497" w14:textId="77777777" w:rsidR="000202CC" w:rsidRDefault="000202CC" w:rsidP="000202CC">
      <w:pPr>
        <w:spacing w:line="360" w:lineRule="auto"/>
        <w:ind w:left="720" w:hanging="720"/>
        <w:jc w:val="both"/>
        <w:rPr>
          <w:rFonts w:ascii="Calibri" w:eastAsia="Calibri" w:hAnsi="Calibri"/>
          <w:rtl/>
        </w:rPr>
      </w:pPr>
      <w:r>
        <w:rPr>
          <w:rFonts w:ascii="Calibri" w:eastAsia="Calibri" w:hAnsi="Calibri"/>
          <w:rtl/>
        </w:rPr>
        <w:t>12.</w:t>
      </w:r>
      <w:r>
        <w:rPr>
          <w:rFonts w:ascii="Calibri" w:eastAsia="Calibri" w:hAnsi="Calibri"/>
          <w:rtl/>
        </w:rPr>
        <w:tab/>
        <w:t>באשר ל</w:t>
      </w:r>
      <w:r>
        <w:rPr>
          <w:rFonts w:ascii="Calibri" w:eastAsia="Calibri" w:hAnsi="Calibri"/>
          <w:u w:val="single"/>
          <w:rtl/>
        </w:rPr>
        <w:t>נסיבות הקשורות בביצוע העבירות</w:t>
      </w:r>
      <w:r>
        <w:rPr>
          <w:rFonts w:ascii="Calibri" w:eastAsia="Calibri" w:hAnsi="Calibri"/>
          <w:rtl/>
        </w:rPr>
        <w:t xml:space="preserve">, לפי </w:t>
      </w:r>
      <w:hyperlink r:id="rId27" w:history="1">
        <w:r w:rsidR="00801A26" w:rsidRPr="00801A26">
          <w:rPr>
            <w:rStyle w:val="Hyperlink"/>
            <w:rFonts w:ascii="Calibri" w:eastAsia="Calibri" w:hAnsi="Calibri" w:hint="cs"/>
            <w:rtl/>
          </w:rPr>
          <w:t>סעיף</w:t>
        </w:r>
        <w:r w:rsidR="00801A26" w:rsidRPr="00801A26">
          <w:rPr>
            <w:rStyle w:val="Hyperlink"/>
            <w:rFonts w:ascii="Calibri" w:eastAsia="Calibri" w:hAnsi="Calibri"/>
            <w:rtl/>
          </w:rPr>
          <w:t xml:space="preserve"> 40</w:t>
        </w:r>
        <w:r w:rsidR="00801A26" w:rsidRPr="00801A26">
          <w:rPr>
            <w:rStyle w:val="Hyperlink"/>
            <w:rFonts w:ascii="Calibri" w:eastAsia="Calibri" w:hAnsi="Calibri" w:hint="cs"/>
            <w:rtl/>
          </w:rPr>
          <w:t>ט</w:t>
        </w:r>
        <w:r w:rsidR="00801A26" w:rsidRPr="00801A26">
          <w:rPr>
            <w:rStyle w:val="Hyperlink"/>
            <w:rFonts w:ascii="Calibri" w:eastAsia="Calibri" w:hAnsi="Calibri"/>
            <w:rtl/>
          </w:rPr>
          <w:t>(</w:t>
        </w:r>
        <w:r w:rsidR="00801A26" w:rsidRPr="00801A26">
          <w:rPr>
            <w:rStyle w:val="Hyperlink"/>
            <w:rFonts w:ascii="Calibri" w:eastAsia="Calibri" w:hAnsi="Calibri" w:hint="cs"/>
            <w:rtl/>
          </w:rPr>
          <w:t>א</w:t>
        </w:r>
        <w:r w:rsidR="00801A26" w:rsidRPr="00801A26">
          <w:rPr>
            <w:rStyle w:val="Hyperlink"/>
            <w:rFonts w:ascii="Calibri" w:eastAsia="Calibri" w:hAnsi="Calibri"/>
            <w:rtl/>
          </w:rPr>
          <w:t>)</w:t>
        </w:r>
      </w:hyperlink>
      <w:r>
        <w:rPr>
          <w:rFonts w:ascii="Calibri" w:eastAsia="Calibri" w:hAnsi="Calibri"/>
          <w:rtl/>
        </w:rPr>
        <w:t xml:space="preserve"> ל</w:t>
      </w:r>
      <w:hyperlink r:id="rId28" w:history="1">
        <w:r w:rsidR="00F115F8" w:rsidRPr="00F115F8">
          <w:rPr>
            <w:rFonts w:ascii="Calibri" w:eastAsia="Calibri" w:hAnsi="Calibri" w:hint="cs"/>
            <w:color w:val="0000FF"/>
            <w:u w:val="single"/>
            <w:rtl/>
          </w:rPr>
          <w:t>חוק</w:t>
        </w:r>
        <w:r w:rsidR="00F115F8" w:rsidRPr="00F115F8">
          <w:rPr>
            <w:rFonts w:ascii="Calibri" w:eastAsia="Calibri" w:hAnsi="Calibri"/>
            <w:color w:val="0000FF"/>
            <w:u w:val="single"/>
            <w:rtl/>
          </w:rPr>
          <w:t xml:space="preserve"> </w:t>
        </w:r>
        <w:r w:rsidR="00F115F8" w:rsidRPr="00F115F8">
          <w:rPr>
            <w:rFonts w:ascii="Calibri" w:eastAsia="Calibri" w:hAnsi="Calibri" w:hint="cs"/>
            <w:color w:val="0000FF"/>
            <w:u w:val="single"/>
            <w:rtl/>
          </w:rPr>
          <w:t>העונשין</w:t>
        </w:r>
      </w:hyperlink>
      <w:r>
        <w:rPr>
          <w:rFonts w:ascii="Calibri" w:eastAsia="Calibri" w:hAnsi="Calibri"/>
          <w:rtl/>
        </w:rPr>
        <w:t>, ראוי להדגיש מספר נקודות לחומרה:</w:t>
      </w:r>
    </w:p>
    <w:p w14:paraId="7A7DE182" w14:textId="77777777" w:rsidR="000202CC" w:rsidRDefault="000202CC" w:rsidP="000202CC">
      <w:pPr>
        <w:spacing w:line="360" w:lineRule="auto"/>
        <w:ind w:left="720" w:hanging="720"/>
        <w:jc w:val="both"/>
        <w:rPr>
          <w:rFonts w:ascii="Calibri" w:eastAsia="Calibri" w:hAnsi="Calibri"/>
          <w:rtl/>
        </w:rPr>
      </w:pPr>
      <w:r>
        <w:rPr>
          <w:rFonts w:ascii="Calibri" w:eastAsia="Calibri" w:hAnsi="Calibri"/>
          <w:rtl/>
        </w:rPr>
        <w:tab/>
      </w:r>
    </w:p>
    <w:p w14:paraId="4A414252" w14:textId="77777777" w:rsidR="000202CC" w:rsidRDefault="000202CC" w:rsidP="000202CC">
      <w:pPr>
        <w:spacing w:line="360" w:lineRule="auto"/>
        <w:ind w:left="720"/>
        <w:jc w:val="both"/>
        <w:rPr>
          <w:rFonts w:ascii="Calibri" w:eastAsia="Calibri" w:hAnsi="Calibri"/>
          <w:rtl/>
        </w:rPr>
      </w:pPr>
      <w:r>
        <w:rPr>
          <w:rFonts w:ascii="Calibri" w:eastAsia="Calibri" w:hAnsi="Calibri"/>
          <w:rtl/>
        </w:rPr>
        <w:t xml:space="preserve">כפי שתואר בכתב האישום, ברקע מעשי הנאשם שני אירועים קודמים של תקיפת המתלונן על- ידי ליאור, אחיו של הנאשם. הנאשם השמיע את אמירתו המאיימת כלפי הנאשם בעוד משפטו של אחיו מתנהל, ובטרם ניתנה הכרעת-דין בעניינו. </w:t>
      </w:r>
    </w:p>
    <w:p w14:paraId="449A14A3" w14:textId="77777777" w:rsidR="000202CC" w:rsidRDefault="000202CC" w:rsidP="000202CC">
      <w:pPr>
        <w:spacing w:line="360" w:lineRule="auto"/>
        <w:ind w:left="720"/>
        <w:jc w:val="both"/>
        <w:rPr>
          <w:rFonts w:ascii="Calibri" w:eastAsia="Calibri" w:hAnsi="Calibri"/>
          <w:rtl/>
        </w:rPr>
      </w:pPr>
    </w:p>
    <w:p w14:paraId="66168AAD" w14:textId="77777777" w:rsidR="000202CC" w:rsidRDefault="000202CC" w:rsidP="000202CC">
      <w:pPr>
        <w:spacing w:line="360" w:lineRule="auto"/>
        <w:ind w:left="720"/>
        <w:jc w:val="both"/>
        <w:rPr>
          <w:rFonts w:ascii="Calibri" w:eastAsia="Calibri" w:hAnsi="Calibri"/>
          <w:rtl/>
        </w:rPr>
      </w:pPr>
      <w:r>
        <w:rPr>
          <w:rFonts w:ascii="Calibri" w:eastAsia="Calibri" w:hAnsi="Calibri"/>
          <w:rtl/>
        </w:rPr>
        <w:t xml:space="preserve">הנאשם מצא את עצמו קורבן לאלימות הנאשם ואחיו ליאור בחורשה, כאשר נראה שלמעשה האלימות לא קדם תכנון, אך הוא בוצע בצוותא וללא כל סיבה נראית לעין, אלימות סתמית ומיותרת. </w:t>
      </w:r>
    </w:p>
    <w:p w14:paraId="09D30A68" w14:textId="77777777" w:rsidR="000202CC" w:rsidRDefault="000202CC" w:rsidP="000202CC">
      <w:pPr>
        <w:spacing w:line="360" w:lineRule="auto"/>
        <w:ind w:left="720"/>
        <w:jc w:val="both"/>
        <w:rPr>
          <w:rFonts w:ascii="Calibri" w:eastAsia="Calibri" w:hAnsi="Calibri"/>
          <w:rtl/>
        </w:rPr>
      </w:pPr>
    </w:p>
    <w:p w14:paraId="0042FF6B" w14:textId="77777777" w:rsidR="000202CC" w:rsidRDefault="000202CC" w:rsidP="000202CC">
      <w:pPr>
        <w:spacing w:line="360" w:lineRule="auto"/>
        <w:ind w:left="720"/>
        <w:jc w:val="both"/>
        <w:rPr>
          <w:rFonts w:ascii="Calibri" w:eastAsia="Calibri" w:hAnsi="Calibri"/>
          <w:rtl/>
        </w:rPr>
      </w:pPr>
      <w:r>
        <w:rPr>
          <w:rFonts w:ascii="Calibri" w:eastAsia="Calibri" w:hAnsi="Calibri"/>
          <w:rtl/>
        </w:rPr>
        <w:t>שיא האירועים בירי שביצע הנאשם בחניון בניין המגורים של הנאשם, דקות מספר לאחר אירוע האלימות בחורשה. כאילו לא די באלימות המיותרת שהופעלה כלפי המתלונן בחורשה, הצטייד הנאשם בכלי נשק מאולתר בפרק זמן קצר ביותר, באופן הממחיש את זמינותו לנשק שטמון בו סיכון ממשי, ונשא אותו בלב שכונת מגורים בעודו נוהג על קטנוע. עסקינן בהתנהגות עבריינית ממש, של איום באמצעות ירי בנשק, כשהנאשם לא היסס מלנהוג באופן האמור באזור מגורים ביום שבת אחר-הצהריים, ונראה שאך בנס האירוע לא הסתיים בנזק לגוף או לרכוש.</w:t>
      </w:r>
    </w:p>
    <w:p w14:paraId="254D51DD" w14:textId="77777777" w:rsidR="000202CC" w:rsidRDefault="000202CC" w:rsidP="000202CC">
      <w:pPr>
        <w:spacing w:line="360" w:lineRule="auto"/>
        <w:ind w:left="720" w:hanging="720"/>
        <w:jc w:val="both"/>
        <w:rPr>
          <w:rFonts w:ascii="Calibri" w:eastAsia="Calibri" w:hAnsi="Calibri"/>
          <w:rtl/>
        </w:rPr>
      </w:pPr>
      <w:r>
        <w:rPr>
          <w:rFonts w:ascii="Calibri" w:eastAsia="Calibri" w:hAnsi="Calibri"/>
          <w:rtl/>
        </w:rPr>
        <w:tab/>
      </w:r>
    </w:p>
    <w:p w14:paraId="224A4249" w14:textId="77777777" w:rsidR="000202CC" w:rsidRDefault="000202CC" w:rsidP="000202CC">
      <w:pPr>
        <w:spacing w:line="360" w:lineRule="auto"/>
        <w:ind w:left="720" w:hanging="720"/>
        <w:jc w:val="both"/>
        <w:rPr>
          <w:rFonts w:ascii="Calibri" w:eastAsia="Calibri" w:hAnsi="Calibri"/>
          <w:rtl/>
        </w:rPr>
      </w:pPr>
      <w:r>
        <w:rPr>
          <w:rFonts w:ascii="Calibri" w:eastAsia="Calibri" w:hAnsi="Calibri"/>
          <w:rtl/>
        </w:rPr>
        <w:t>13.</w:t>
      </w:r>
      <w:r>
        <w:rPr>
          <w:rFonts w:ascii="Calibri" w:eastAsia="Calibri" w:hAnsi="Calibri"/>
          <w:rtl/>
        </w:rPr>
        <w:tab/>
        <w:t>אירוע התקיפה הסתיים בחבלות קלות באופן יחסי (ת/16 – ת/18), אך לא יכולה להיות מחלוקת, כי השתלשלות האירועים המאיימת שנקט הנאשם כלפי המתלונן – החל מאמירה בעיצומו של הליך משפטי, המשך בתקיפה פיסית וכלה בנשיאת כלי נשק מאולתר לשם ביצוע ירי בסמוך לביתו וירי באוויר, אכן מבססת נזק נפשי כבד למתלונן, המצוי במצב פוסט טראומטי וסובל מקשיי תפקוד בכל מישורי חייו. אמנם, מצבו הנפשי של המתלונן היה מורכב עוד בטרם המסכת המתוארת</w:t>
      </w:r>
      <w:r>
        <w:rPr>
          <w:rFonts w:ascii="Calibri" w:hAnsi="Calibri"/>
          <w:rtl/>
        </w:rPr>
        <w:t>, אך כפי שקבעתי בהכרעת-הדין, המתלונן מצא עצמו קורבן באופן שיטתי להתנכלויות אלימות מצד הנאשם וקרובי משפחתו, אשר גרמו לו לטראומה והחריפו את מצבו הנפשי שהוא אכן שברירי</w:t>
      </w:r>
      <w:r>
        <w:rPr>
          <w:rFonts w:ascii="Calibri" w:eastAsia="Calibri" w:hAnsi="Calibri"/>
          <w:rtl/>
        </w:rPr>
        <w:t>.</w:t>
      </w:r>
    </w:p>
    <w:p w14:paraId="15DDB8D3" w14:textId="77777777" w:rsidR="000202CC" w:rsidRDefault="000202CC" w:rsidP="000202CC">
      <w:pPr>
        <w:spacing w:line="360" w:lineRule="auto"/>
        <w:ind w:left="720" w:hanging="720"/>
        <w:jc w:val="both"/>
        <w:rPr>
          <w:rFonts w:ascii="Calibri" w:eastAsia="Calibri" w:hAnsi="Calibri"/>
          <w:rtl/>
        </w:rPr>
      </w:pPr>
    </w:p>
    <w:p w14:paraId="76082302" w14:textId="77777777" w:rsidR="000202CC" w:rsidRDefault="000202CC" w:rsidP="000202CC">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Calibri" w:eastAsia="Calibri" w:hAnsi="Calibri"/>
          <w:rtl/>
        </w:rPr>
      </w:pPr>
      <w:r>
        <w:rPr>
          <w:rtl/>
        </w:rPr>
        <w:t>14.</w:t>
      </w:r>
      <w:r>
        <w:rPr>
          <w:rtl/>
        </w:rPr>
        <w:tab/>
      </w:r>
      <w:r>
        <w:rPr>
          <w:rtl/>
        </w:rPr>
        <w:tab/>
      </w:r>
      <w:r>
        <w:rPr>
          <w:rFonts w:ascii="Calibri" w:eastAsia="Calibri" w:hAnsi="Calibri"/>
          <w:rtl/>
        </w:rPr>
        <w:t xml:space="preserve">לעניין </w:t>
      </w:r>
      <w:r>
        <w:rPr>
          <w:rFonts w:ascii="Calibri" w:eastAsia="Calibri" w:hAnsi="Calibri"/>
          <w:u w:val="single"/>
          <w:rtl/>
        </w:rPr>
        <w:t>מדיניות הענישה</w:t>
      </w:r>
      <w:r>
        <w:rPr>
          <w:rFonts w:ascii="Calibri" w:eastAsia="Calibri" w:hAnsi="Calibri"/>
          <w:rtl/>
        </w:rPr>
        <w:t>, ייאמר באופן כללי כי בשנים האחרונות יוצא מבית-המשפט העליון מסר ברור של מגמת החמרה בעונשי המאסר שראוי שייגזרו על נאשמים המורשעים בעבירות נשק ואלימות כדרך לפתרון סכסוכים. לעניין זה, ראו למשל:</w:t>
      </w:r>
    </w:p>
    <w:p w14:paraId="3133F1F3" w14:textId="77777777" w:rsidR="000202CC" w:rsidRDefault="000202CC" w:rsidP="000202CC">
      <w:pPr>
        <w:ind w:left="1440" w:right="1440"/>
        <w:jc w:val="both"/>
        <w:rPr>
          <w:b/>
          <w:bCs/>
          <w:rtl/>
        </w:rPr>
      </w:pPr>
      <w:r>
        <w:rPr>
          <w:b/>
          <w:bCs/>
          <w:rtl/>
        </w:rPr>
        <w:t>"... לעיתים מדיניות הענישה הנוהגת ביחס לעבירה מסוימת אינה מספקת, ועל בית המשפט להורות על החמרה בענישה על מנת לקדם ולהגן על הערכים אשר ביסודה, ובכך לבלום את נפיצותן של עבירות מסוימות ההופכות ל'מכת מדינה', ולתת ביטוי לחומרה שיש לייחס להן...</w:t>
      </w:r>
    </w:p>
    <w:p w14:paraId="30D5B23F" w14:textId="77777777" w:rsidR="000202CC" w:rsidRDefault="000202CC" w:rsidP="000202CC">
      <w:pPr>
        <w:ind w:left="1440" w:right="1440"/>
        <w:jc w:val="both"/>
        <w:rPr>
          <w:b/>
          <w:bCs/>
          <w:rtl/>
        </w:rPr>
      </w:pPr>
      <w:r>
        <w:rPr>
          <w:b/>
          <w:bCs/>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על רקע המציאות אותה אנו חווים למרבה הצער מדי יום, אנו עדים לקריאה ציבורית נרגשת להגברת האכיפה כלפי עבירות נשק – ולהחמרה במדיניות הענישה הנוהגת.</w:t>
      </w:r>
    </w:p>
    <w:p w14:paraId="1123F2DB" w14:textId="77777777" w:rsidR="000202CC" w:rsidRDefault="000202CC" w:rsidP="000202CC">
      <w:pPr>
        <w:ind w:left="1440" w:right="1440"/>
        <w:jc w:val="both"/>
        <w:rPr>
          <w:b/>
          <w:bCs/>
          <w:rtl/>
        </w:rPr>
      </w:pPr>
      <w:r>
        <w:rPr>
          <w:b/>
          <w:bCs/>
          <w:rtl/>
        </w:rPr>
        <w:t xml:space="preserve">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 </w:t>
      </w:r>
    </w:p>
    <w:p w14:paraId="2B28787A" w14:textId="77777777" w:rsidR="000202CC" w:rsidRDefault="000202CC" w:rsidP="000202CC">
      <w:pPr>
        <w:ind w:left="1440" w:right="1440"/>
        <w:jc w:val="both"/>
        <w:rPr>
          <w:rtl/>
        </w:rPr>
      </w:pPr>
      <w:r>
        <w:rPr>
          <w:b/>
          <w:bCs/>
          <w:rtl/>
        </w:rPr>
        <w:t xml:space="preserve">...נמצא אפוא כי בנסיבות דהיום, ראוי ונכון להחמיר את מדיניות הענישה הנוהגת, זאת בין היתר על מנת להרתיע עבריינים פוטנציאליים משימוש בו כאמצעי ליישוב סכסוכים..." </w:t>
      </w:r>
      <w:r>
        <w:rPr>
          <w:rtl/>
        </w:rPr>
        <w:t>(</w:t>
      </w:r>
      <w:hyperlink r:id="rId29" w:history="1">
        <w:r w:rsidR="00F115F8" w:rsidRPr="00F115F8">
          <w:rPr>
            <w:color w:val="0000FF"/>
            <w:u w:val="single"/>
            <w:rtl/>
          </w:rPr>
          <w:t>ע"פ 4406/19</w:t>
        </w:r>
      </w:hyperlink>
      <w:r>
        <w:rPr>
          <w:rtl/>
        </w:rPr>
        <w:t xml:space="preserve"> </w:t>
      </w:r>
      <w:r>
        <w:rPr>
          <w:b/>
          <w:bCs/>
          <w:rtl/>
        </w:rPr>
        <w:t>מדינת ישראל נגד סובח</w:t>
      </w:r>
      <w:r>
        <w:rPr>
          <w:rtl/>
        </w:rPr>
        <w:t xml:space="preserve"> [5.11.19], בפסקה 15- 17). </w:t>
      </w:r>
    </w:p>
    <w:p w14:paraId="4AA2ADA5" w14:textId="77777777" w:rsidR="000202CC" w:rsidRDefault="000202CC" w:rsidP="000202CC">
      <w:pPr>
        <w:ind w:right="1440"/>
        <w:jc w:val="both"/>
        <w:rPr>
          <w:b/>
          <w:bCs/>
          <w:rtl/>
        </w:rPr>
      </w:pPr>
    </w:p>
    <w:p w14:paraId="5DEC7E2A" w14:textId="77777777" w:rsidR="000202CC" w:rsidRDefault="000202CC" w:rsidP="000202CC">
      <w:pPr>
        <w:overflowPunct w:val="0"/>
        <w:autoSpaceDE w:val="0"/>
        <w:autoSpaceDN w:val="0"/>
        <w:adjustRightInd w:val="0"/>
        <w:spacing w:line="360" w:lineRule="auto"/>
        <w:ind w:firstLine="720"/>
        <w:jc w:val="both"/>
        <w:rPr>
          <w:rtl/>
        </w:rPr>
      </w:pPr>
      <w:r>
        <w:rPr>
          <w:rtl/>
        </w:rPr>
        <w:t>וכן:</w:t>
      </w:r>
    </w:p>
    <w:p w14:paraId="54B0E853" w14:textId="77777777" w:rsidR="000202CC" w:rsidRDefault="000202CC" w:rsidP="000202CC">
      <w:pPr>
        <w:overflowPunct w:val="0"/>
        <w:autoSpaceDE w:val="0"/>
        <w:autoSpaceDN w:val="0"/>
        <w:adjustRightInd w:val="0"/>
        <w:ind w:left="1440" w:right="1418"/>
        <w:jc w:val="both"/>
        <w:rPr>
          <w:rtl/>
        </w:rPr>
      </w:pPr>
      <w:r>
        <w:rPr>
          <w:b/>
          <w:bCs/>
          <w:rtl/>
        </w:rPr>
        <w:t xml:space="preserve">"בית משפט זה עמד לא פעם על כך שחברה מתוקנת אינה יכולה להשלים עם התופעה של יישוב סכסוכים בדרך של אלימות, המלווה לעתים אף בשימוש בנשק קר או חם. תופעה זו חותרת תחת הסדר החברתי ופוגעת בערך היסוד בדבר זכותו של כל אדם לשלמות גופו... לבתי המשפט תפקיד משמעותי במאמץ החברתי למיגור נגע זה, בין היתר על ידי מסר ברור של העדר סובלנות כלפי תופעות כאלה באמצעות ענישה משמעותית ומרתיעה, תוך מתן משקל ממשי לשיקולי הרתעת היחיד והרבים אל מול שיקולים אישיים..." </w:t>
      </w:r>
      <w:r>
        <w:rPr>
          <w:rtl/>
        </w:rPr>
        <w:t>(ראו ב</w:t>
      </w:r>
      <w:hyperlink r:id="rId30" w:history="1">
        <w:r w:rsidR="00F115F8" w:rsidRPr="00F115F8">
          <w:rPr>
            <w:color w:val="0000FF"/>
            <w:u w:val="single"/>
            <w:rtl/>
          </w:rPr>
          <w:t>ע"פ 3799/14</w:t>
        </w:r>
      </w:hyperlink>
      <w:r>
        <w:rPr>
          <w:rtl/>
        </w:rPr>
        <w:t xml:space="preserve"> </w:t>
      </w:r>
      <w:r>
        <w:rPr>
          <w:b/>
          <w:bCs/>
          <w:rtl/>
        </w:rPr>
        <w:t>אבו שנב נגד מדינת ישראל</w:t>
      </w:r>
      <w:r>
        <w:rPr>
          <w:rtl/>
        </w:rPr>
        <w:t xml:space="preserve"> [17.8.15], פסקה 19). </w:t>
      </w:r>
    </w:p>
    <w:p w14:paraId="21CD948B" w14:textId="77777777" w:rsidR="000202CC" w:rsidRDefault="000202CC" w:rsidP="000202CC">
      <w:pPr>
        <w:overflowPunct w:val="0"/>
        <w:autoSpaceDE w:val="0"/>
        <w:autoSpaceDN w:val="0"/>
        <w:adjustRightInd w:val="0"/>
        <w:spacing w:line="360" w:lineRule="auto"/>
        <w:ind w:left="720"/>
        <w:jc w:val="both"/>
        <w:rPr>
          <w:rtl/>
        </w:rPr>
      </w:pPr>
      <w:r>
        <w:rPr>
          <w:b/>
          <w:bCs/>
          <w:rtl/>
        </w:rPr>
        <w:tab/>
      </w:r>
    </w:p>
    <w:p w14:paraId="66C84A8C" w14:textId="77777777" w:rsidR="000202CC" w:rsidRDefault="000202CC" w:rsidP="000202CC">
      <w:pPr>
        <w:overflowPunct w:val="0"/>
        <w:autoSpaceDE w:val="0"/>
        <w:autoSpaceDN w:val="0"/>
        <w:adjustRightInd w:val="0"/>
        <w:spacing w:line="360" w:lineRule="auto"/>
        <w:ind w:left="720" w:hanging="720"/>
        <w:jc w:val="both"/>
        <w:rPr>
          <w:rFonts w:ascii="Calibri" w:eastAsia="Calibri" w:hAnsi="Calibri"/>
          <w:rtl/>
        </w:rPr>
      </w:pPr>
      <w:r>
        <w:rPr>
          <w:rFonts w:ascii="Calibri" w:eastAsia="Calibri" w:hAnsi="Calibri"/>
          <w:rtl/>
        </w:rPr>
        <w:t>15.</w:t>
      </w:r>
      <w:r>
        <w:rPr>
          <w:rFonts w:ascii="Calibri" w:eastAsia="Calibri" w:hAnsi="Calibri"/>
          <w:rtl/>
        </w:rPr>
        <w:tab/>
      </w:r>
      <w:r>
        <w:rPr>
          <w:rFonts w:ascii="Calibri" w:eastAsia="Calibri" w:hAnsi="Calibri"/>
          <w:u w:val="single"/>
          <w:rtl/>
        </w:rPr>
        <w:t>מתחם העונש ההולם</w:t>
      </w:r>
      <w:r>
        <w:rPr>
          <w:rFonts w:ascii="Calibri" w:eastAsia="Calibri" w:hAnsi="Calibri"/>
          <w:rtl/>
        </w:rPr>
        <w:t xml:space="preserve"> ייקבע בהתחשב במדיניות ענישה זו ובנסיבות ביצוע העבירות, הכוללות: הטרדת המתלונן במהלך משפט שהתנהל כנגד אחיו של הנאשם בגין אירוע אלימות נגד המתלונן, שהיה עד במשפטו; תקיפה שהתרחשה כשנה וחודשיים לאחר מכן בצוותא עם אותו אח; אירוע ירי בחניית בנין המגורים של המתלונן מספר דקות לאחר מכן, תוך הצטיידות בתת-מקלע מאולתר, באופן של ירייה אחת באוויר ונסיעה מהמקום. </w:t>
      </w:r>
    </w:p>
    <w:p w14:paraId="2CE0C396" w14:textId="77777777" w:rsidR="000202CC" w:rsidRDefault="000202CC" w:rsidP="000202CC">
      <w:pPr>
        <w:overflowPunct w:val="0"/>
        <w:autoSpaceDE w:val="0"/>
        <w:autoSpaceDN w:val="0"/>
        <w:adjustRightInd w:val="0"/>
        <w:spacing w:line="360" w:lineRule="auto"/>
        <w:ind w:left="720" w:hanging="720"/>
        <w:jc w:val="both"/>
        <w:rPr>
          <w:rFonts w:ascii="Calibri" w:eastAsia="Calibri" w:hAnsi="Calibri"/>
          <w:rtl/>
        </w:rPr>
      </w:pPr>
    </w:p>
    <w:p w14:paraId="45BC2C75" w14:textId="77777777" w:rsidR="000202CC" w:rsidRDefault="000202CC" w:rsidP="000202CC">
      <w:pPr>
        <w:overflowPunct w:val="0"/>
        <w:autoSpaceDE w:val="0"/>
        <w:autoSpaceDN w:val="0"/>
        <w:adjustRightInd w:val="0"/>
        <w:spacing w:line="360" w:lineRule="auto"/>
        <w:ind w:left="713" w:hanging="713"/>
        <w:jc w:val="both"/>
        <w:rPr>
          <w:rFonts w:ascii="Calibri" w:eastAsia="Calibri" w:hAnsi="Calibri"/>
          <w:rtl/>
        </w:rPr>
      </w:pPr>
      <w:r>
        <w:rPr>
          <w:rFonts w:ascii="Calibri" w:eastAsia="Calibri" w:hAnsi="Calibri"/>
          <w:rtl/>
        </w:rPr>
        <w:t>16.</w:t>
      </w:r>
      <w:r>
        <w:rPr>
          <w:rFonts w:ascii="Calibri" w:eastAsia="Calibri" w:hAnsi="Calibri"/>
          <w:rtl/>
        </w:rPr>
        <w:tab/>
        <w:t xml:space="preserve">עיינתי בפסיקה שהוצגה על-ידי ב"כ הצדדים ובפסיקה נוספת, ולצורך קביעת מתחם העונש ההולם אציין את המרכזיים שבהם תוך מתן דגש לאירוע המרכזי של הירי: </w:t>
      </w:r>
    </w:p>
    <w:p w14:paraId="5F024B9C" w14:textId="77777777" w:rsidR="000202CC" w:rsidRDefault="000202CC" w:rsidP="000202CC">
      <w:pPr>
        <w:overflowPunct w:val="0"/>
        <w:autoSpaceDE w:val="0"/>
        <w:autoSpaceDN w:val="0"/>
        <w:adjustRightInd w:val="0"/>
        <w:spacing w:line="360" w:lineRule="auto"/>
        <w:ind w:left="713" w:hanging="713"/>
        <w:jc w:val="both"/>
        <w:rPr>
          <w:rFonts w:ascii="Calibri" w:eastAsia="Calibri" w:hAnsi="Calibri"/>
          <w:rtl/>
        </w:rPr>
      </w:pPr>
      <w:r>
        <w:rPr>
          <w:rFonts w:ascii="Calibri" w:eastAsia="Calibri" w:hAnsi="Calibri"/>
          <w:rtl/>
        </w:rPr>
        <w:tab/>
      </w:r>
    </w:p>
    <w:p w14:paraId="761B87F8" w14:textId="77777777" w:rsidR="000202CC" w:rsidRDefault="00F115F8" w:rsidP="000202CC">
      <w:pPr>
        <w:overflowPunct w:val="0"/>
        <w:autoSpaceDE w:val="0"/>
        <w:autoSpaceDN w:val="0"/>
        <w:adjustRightInd w:val="0"/>
        <w:spacing w:line="360" w:lineRule="auto"/>
        <w:ind w:left="720" w:hanging="7"/>
        <w:jc w:val="both"/>
        <w:rPr>
          <w:rFonts w:ascii="Calibri" w:eastAsia="Calibri" w:hAnsi="Calibri"/>
          <w:rtl/>
        </w:rPr>
      </w:pPr>
      <w:hyperlink r:id="rId31" w:history="1">
        <w:r w:rsidRPr="00F115F8">
          <w:rPr>
            <w:rFonts w:ascii="Calibri" w:eastAsia="Calibri" w:hAnsi="Calibri" w:hint="cs"/>
            <w:color w:val="0000FF"/>
            <w:u w:val="single"/>
            <w:rtl/>
          </w:rPr>
          <w:t>ע</w:t>
        </w:r>
        <w:r w:rsidRPr="00F115F8">
          <w:rPr>
            <w:rFonts w:ascii="Calibri" w:eastAsia="Calibri" w:hAnsi="Calibri"/>
            <w:color w:val="0000FF"/>
            <w:u w:val="single"/>
            <w:rtl/>
          </w:rPr>
          <w:t>"</w:t>
        </w:r>
        <w:r w:rsidRPr="00F115F8">
          <w:rPr>
            <w:rFonts w:ascii="Calibri" w:eastAsia="Calibri" w:hAnsi="Calibri" w:hint="cs"/>
            <w:color w:val="0000FF"/>
            <w:u w:val="single"/>
            <w:rtl/>
          </w:rPr>
          <w:t>פ</w:t>
        </w:r>
        <w:r w:rsidRPr="00F115F8">
          <w:rPr>
            <w:rFonts w:ascii="Calibri" w:eastAsia="Calibri" w:hAnsi="Calibri"/>
            <w:color w:val="0000FF"/>
            <w:u w:val="single"/>
            <w:rtl/>
          </w:rPr>
          <w:t xml:space="preserve"> 1509/20</w:t>
        </w:r>
      </w:hyperlink>
      <w:r w:rsidR="000202CC">
        <w:rPr>
          <w:rFonts w:ascii="Calibri" w:eastAsia="Calibri" w:hAnsi="Calibri"/>
          <w:rtl/>
        </w:rPr>
        <w:t xml:space="preserve"> </w:t>
      </w:r>
      <w:r w:rsidR="000202CC">
        <w:rPr>
          <w:rFonts w:ascii="Calibri" w:eastAsia="Calibri" w:hAnsi="Calibri"/>
          <w:b/>
          <w:bCs/>
          <w:rtl/>
        </w:rPr>
        <w:t>מדינת ישראל נגד נבארי</w:t>
      </w:r>
      <w:r w:rsidR="000202CC">
        <w:rPr>
          <w:rFonts w:ascii="Calibri" w:eastAsia="Calibri" w:hAnsi="Calibri"/>
          <w:rtl/>
        </w:rPr>
        <w:t xml:space="preserve"> [2.7.20]: ערעור המדינה על קולת עונשו של נאשם אשר הורשע על יסוד הודאתו בעבירות של נשיאה והובלת נשק ובירי מנשק חם באזור מגורים. הנאשם נהג בשעת לילה ברכב בעיר לוד, כשברשותו תת מקלע מאולתר מסוג "קרלו", אשר היה דרוך ובו מחסנית טעונה בכדורים. מסיבה בלתי ידועה, הנאשם ירה שני כדורים באזור מגורים ועזב את המקום ברכבו. זמן קצר לאחר מכן, יצא מהרכב כשברשותו הנשק, ולאחר שהבחין בשוטרים אשר הגיעו למקום, השליך את הנשק ארצה ובהמשך נעצר. בית-המשפט המחוזי קבע מתחם עונש הולם שנע בין 20 – 50 חודשי מאסר בפועל. בעניינו של הנאשם, בעל נסיבות אישיות לא פשוטות, הוגש תסקיר שקבע רמת סיכון בינונית, קיומה של התמכרות לאלכוהול, ולחובתו ארבע הרשעות קודמות בעבירות אלימות. בית-המשפט המחוזי גזר עליו 27 חודשי מאסר בפועל, ובית-המשפט העליון קיבל את הערעור, תוך שקבע: </w:t>
      </w:r>
    </w:p>
    <w:p w14:paraId="193C2F4E" w14:textId="77777777" w:rsidR="000202CC" w:rsidRDefault="000202CC" w:rsidP="000202CC">
      <w:pPr>
        <w:overflowPunct w:val="0"/>
        <w:autoSpaceDE w:val="0"/>
        <w:autoSpaceDN w:val="0"/>
        <w:adjustRightInd w:val="0"/>
        <w:spacing w:line="360" w:lineRule="auto"/>
        <w:ind w:left="720" w:hanging="7"/>
        <w:jc w:val="both"/>
        <w:rPr>
          <w:rFonts w:ascii="Calibri" w:eastAsia="Calibri" w:hAnsi="Calibri"/>
          <w:rtl/>
        </w:rPr>
      </w:pPr>
    </w:p>
    <w:p w14:paraId="34EF80B4" w14:textId="77777777" w:rsidR="000202CC" w:rsidRDefault="000202CC" w:rsidP="000202CC">
      <w:pPr>
        <w:overflowPunct w:val="0"/>
        <w:autoSpaceDE w:val="0"/>
        <w:autoSpaceDN w:val="0"/>
        <w:adjustRightInd w:val="0"/>
        <w:ind w:left="1435" w:right="1418"/>
        <w:jc w:val="both"/>
        <w:rPr>
          <w:rFonts w:ascii="Calibri" w:eastAsia="Calibri" w:hAnsi="Calibri"/>
          <w:b/>
          <w:bCs/>
          <w:rtl/>
        </w:rPr>
      </w:pPr>
      <w:r>
        <w:rPr>
          <w:rFonts w:ascii="Calibri" w:eastAsia="Calibri" w:hAnsi="Calibri"/>
          <w:b/>
          <w:bCs/>
          <w:rtl/>
        </w:rPr>
        <w:t xml:space="preserve">"בבואו לקבוע את עונשו של המשיב, בית משפט קמא שקל את כל השיקולים שעליו לשקול ואף היה ער לפסיקתו של בית משפט זה </w:t>
      </w:r>
      <w:r>
        <w:rPr>
          <w:rFonts w:ascii="Calibri" w:eastAsia="Calibri" w:hAnsi="Calibri"/>
          <w:b/>
          <w:bCs/>
          <w:u w:val="single"/>
          <w:rtl/>
        </w:rPr>
        <w:t>בעניין סובח</w:t>
      </w:r>
      <w:r>
        <w:rPr>
          <w:rFonts w:ascii="Calibri" w:eastAsia="Calibri" w:hAnsi="Calibri"/>
          <w:b/>
          <w:bCs/>
          <w:rtl/>
        </w:rPr>
        <w:t xml:space="preserve">, אשר הצהירה על מדיניות ההחמרה בענישה. ברם, בית משפט קמא לא נתן ביטוי הולם למדיניות זו בקביעת המתחם הראוי לעונשו של המשיב. לאור מדיניות זו, ולנוכח הריבוי של אירועי ירי באזורי מגורים בעת האחרונה, הרף התחתון של המתחם צריך, לדעתי, להיות גבוה יותר מעשרים חודשי מאסר, וזאת באופן משמעותי..." </w:t>
      </w:r>
      <w:r>
        <w:rPr>
          <w:rFonts w:ascii="Calibri" w:eastAsia="Calibri" w:hAnsi="Calibri"/>
          <w:rtl/>
        </w:rPr>
        <w:t xml:space="preserve">(ראו בפסקה 12). </w:t>
      </w:r>
    </w:p>
    <w:p w14:paraId="63294A29" w14:textId="77777777" w:rsidR="000202CC" w:rsidRDefault="000202CC" w:rsidP="000202CC">
      <w:pPr>
        <w:overflowPunct w:val="0"/>
        <w:autoSpaceDE w:val="0"/>
        <w:autoSpaceDN w:val="0"/>
        <w:adjustRightInd w:val="0"/>
        <w:spacing w:line="360" w:lineRule="auto"/>
        <w:ind w:left="720" w:hanging="720"/>
        <w:jc w:val="both"/>
        <w:rPr>
          <w:rFonts w:ascii="Calibri" w:eastAsia="Calibri" w:hAnsi="Calibri"/>
          <w:rtl/>
        </w:rPr>
      </w:pPr>
      <w:r>
        <w:rPr>
          <w:rFonts w:ascii="Calibri" w:eastAsia="Calibri" w:hAnsi="Calibri"/>
          <w:rtl/>
        </w:rPr>
        <w:tab/>
      </w:r>
    </w:p>
    <w:p w14:paraId="420EFFC1" w14:textId="77777777" w:rsidR="000202CC" w:rsidRDefault="000202CC" w:rsidP="000202CC">
      <w:pPr>
        <w:overflowPunct w:val="0"/>
        <w:autoSpaceDE w:val="0"/>
        <w:autoSpaceDN w:val="0"/>
        <w:adjustRightInd w:val="0"/>
        <w:spacing w:line="360" w:lineRule="auto"/>
        <w:ind w:left="720"/>
        <w:jc w:val="both"/>
        <w:rPr>
          <w:rFonts w:ascii="Calibri" w:eastAsia="Calibri" w:hAnsi="Calibri"/>
          <w:rtl/>
        </w:rPr>
      </w:pPr>
      <w:r>
        <w:rPr>
          <w:rFonts w:ascii="Calibri" w:eastAsia="Calibri" w:hAnsi="Calibri"/>
          <w:rtl/>
        </w:rPr>
        <w:t xml:space="preserve">בהתחשב בהלכה לפיה ערכאת ערעור אינה ממצה את הדין בקבלת ערעור על קולת העונש, ותוך התחשבות בנסיבותיו האישיות הקשות, הועמד עונשו של הנאשם על 36 חודשי מאסר בפועל. </w:t>
      </w:r>
    </w:p>
    <w:p w14:paraId="5476686D" w14:textId="77777777" w:rsidR="000202CC" w:rsidRDefault="000202CC" w:rsidP="000202CC">
      <w:pPr>
        <w:overflowPunct w:val="0"/>
        <w:autoSpaceDE w:val="0"/>
        <w:autoSpaceDN w:val="0"/>
        <w:adjustRightInd w:val="0"/>
        <w:spacing w:line="360" w:lineRule="auto"/>
        <w:ind w:left="713" w:hanging="713"/>
        <w:jc w:val="both"/>
        <w:rPr>
          <w:rFonts w:ascii="Calibri" w:eastAsia="Calibri" w:hAnsi="Calibri"/>
        </w:rPr>
      </w:pPr>
    </w:p>
    <w:p w14:paraId="5D910B37" w14:textId="77777777" w:rsidR="000202CC" w:rsidRDefault="000202CC" w:rsidP="000202CC">
      <w:pPr>
        <w:spacing w:line="360" w:lineRule="auto"/>
        <w:ind w:left="720"/>
        <w:jc w:val="both"/>
        <w:rPr>
          <w:rtl/>
        </w:rPr>
      </w:pPr>
      <w:r>
        <w:rPr>
          <w:rtl/>
        </w:rPr>
        <w:t>ב</w:t>
      </w:r>
      <w:hyperlink r:id="rId32" w:history="1">
        <w:r w:rsidR="00F115F8" w:rsidRPr="00F115F8">
          <w:rPr>
            <w:color w:val="0000FF"/>
            <w:u w:val="single"/>
            <w:rtl/>
          </w:rPr>
          <w:t>ע"פ 4595/13</w:t>
        </w:r>
      </w:hyperlink>
      <w:r>
        <w:rPr>
          <w:rtl/>
        </w:rPr>
        <w:t xml:space="preserve"> </w:t>
      </w:r>
      <w:r>
        <w:rPr>
          <w:b/>
          <w:bCs/>
          <w:rtl/>
        </w:rPr>
        <w:t>זובידאת ואח' נ' מדינת ישראל</w:t>
      </w:r>
      <w:r>
        <w:rPr>
          <w:rtl/>
        </w:rPr>
        <w:t xml:space="preserve"> (6.7.14), הקל בית המשפט העליון בעונשם של נאשמים אשר הורשעו על פי הודאתם בעבירות של נשיאה והובלת נשק, ירי באזור מגורים, איומים וקשירת קשר לפשע. הנאשמים הגיעו ברכב לחצר ביתו של המתלונן, עימו היה הנאשם 1 מסוכסך, כשהם נושאים אקדח ותחמושת. הנאשם 2 ירה לעבר בית המתלונן וכתוצאה מכך פגעו מספר קליעים בקירות הבית ובחלון. בית המשפט המחוזי קבע מתחם ענישה הנע בין 30 חודשי מאסר ל- 5 שנות מאסר והשית עליהם עונש של 42 חודשי מאסר בפועל לצד ענישה נלווית. </w:t>
      </w:r>
    </w:p>
    <w:p w14:paraId="20683338" w14:textId="77777777" w:rsidR="000202CC" w:rsidRDefault="000202CC" w:rsidP="000202CC">
      <w:pPr>
        <w:spacing w:line="360" w:lineRule="auto"/>
        <w:ind w:left="720"/>
        <w:jc w:val="both"/>
        <w:rPr>
          <w:rtl/>
        </w:rPr>
      </w:pPr>
      <w:r>
        <w:rPr>
          <w:rtl/>
        </w:rPr>
        <w:t xml:space="preserve">בית המשפט העליון הפנה לכך שירי, אף אם אינו מכוון לפגיעה, מייצר סיכון ממשי לשלום הציבור ואישר את מתחם העונש שנקבע. עם זאת, הערעור התקבל בשל נסיבות שאינן קשורות לביצוע העבירות, והעונש הופחת ל – 30 חודשי מאסר בפועל. </w:t>
      </w:r>
    </w:p>
    <w:p w14:paraId="5881B6F2" w14:textId="77777777" w:rsidR="000202CC" w:rsidRDefault="000202CC" w:rsidP="000202CC">
      <w:pPr>
        <w:spacing w:line="360" w:lineRule="auto"/>
        <w:ind w:left="748"/>
        <w:jc w:val="both"/>
        <w:rPr>
          <w:rtl/>
        </w:rPr>
      </w:pPr>
      <w:bookmarkStart w:id="8" w:name="Text1"/>
    </w:p>
    <w:p w14:paraId="03544652" w14:textId="77777777" w:rsidR="000202CC" w:rsidRDefault="000202CC" w:rsidP="000202CC">
      <w:pPr>
        <w:spacing w:line="360" w:lineRule="auto"/>
        <w:ind w:left="748"/>
        <w:jc w:val="both"/>
        <w:rPr>
          <w:rtl/>
        </w:rPr>
      </w:pPr>
      <w:r>
        <w:rPr>
          <w:rtl/>
        </w:rPr>
        <w:t>ב</w:t>
      </w:r>
      <w:hyperlink r:id="rId33" w:history="1">
        <w:r w:rsidR="00F115F8" w:rsidRPr="00F115F8">
          <w:rPr>
            <w:color w:val="0000FF"/>
            <w:u w:val="single"/>
            <w:rtl/>
          </w:rPr>
          <w:t>ע"פ 1357/12</w:t>
        </w:r>
      </w:hyperlink>
      <w:r>
        <w:rPr>
          <w:rtl/>
        </w:rPr>
        <w:t xml:space="preserve"> </w:t>
      </w:r>
      <w:r>
        <w:rPr>
          <w:b/>
          <w:bCs/>
          <w:rtl/>
        </w:rPr>
        <w:t>סאלח נ' מדינת ישראל</w:t>
      </w:r>
      <w:r>
        <w:rPr>
          <w:rtl/>
        </w:rPr>
        <w:t xml:space="preserve"> [7.3.13] (הוגש על-ידי התביעה) קיבל בית המשפט העליון את ערעורו של נאשם, צעיר בן 21 ללא עבר פלילי, אשר הורשע על פי הודאתו בעבירות של נשיאת נשק וירי מנשק חם באזור מגורים. הנאשם נסע ברכב ביחד עם אחר בכפר כשהוא נושא אקדח ובתוכו מחסנית ותחמושת ובנסיבות אלה, הוציא הנאשם את האקדח מחלון הרכב וירה באוויר 6 כדורים. בית המשפט המחוזי השית על הנאשם עונש של 42 חודשי מאסר בפועל לצד ענישה נלווית. </w:t>
      </w:r>
    </w:p>
    <w:p w14:paraId="531A7A8D" w14:textId="77777777" w:rsidR="000202CC" w:rsidRDefault="000202CC" w:rsidP="000202CC">
      <w:pPr>
        <w:spacing w:line="360" w:lineRule="auto"/>
        <w:ind w:left="748"/>
        <w:jc w:val="both"/>
        <w:rPr>
          <w:rtl/>
        </w:rPr>
      </w:pPr>
      <w:r>
        <w:rPr>
          <w:rtl/>
        </w:rPr>
        <w:t xml:space="preserve">בית המשפט העליון קבע כי לנוכח רמת הענישה הנהוגה וכדי לעודד את המערער שהתנהגותו במאסר תקינה, יופחת עונשו ל- 28 חודשי מאסר בפועל. </w:t>
      </w:r>
    </w:p>
    <w:p w14:paraId="39DC46FF" w14:textId="77777777" w:rsidR="000202CC" w:rsidRDefault="000202CC" w:rsidP="000202CC">
      <w:pPr>
        <w:spacing w:line="360" w:lineRule="auto"/>
        <w:ind w:left="746"/>
        <w:jc w:val="both"/>
        <w:rPr>
          <w:rtl/>
        </w:rPr>
      </w:pPr>
    </w:p>
    <w:bookmarkEnd w:id="8"/>
    <w:p w14:paraId="529C71F6" w14:textId="77777777" w:rsidR="000202CC" w:rsidRDefault="000202CC" w:rsidP="000202CC">
      <w:pPr>
        <w:spacing w:line="360" w:lineRule="auto"/>
        <w:ind w:left="720"/>
        <w:jc w:val="both"/>
        <w:rPr>
          <w:rFonts w:ascii="David" w:hAnsi="David"/>
        </w:rPr>
      </w:pPr>
      <w:r>
        <w:rPr>
          <w:rFonts w:ascii="David" w:hAnsi="David"/>
          <w:rtl/>
        </w:rPr>
        <w:t>ב</w:t>
      </w:r>
      <w:hyperlink r:id="rId34" w:history="1">
        <w:r w:rsidR="00F115F8" w:rsidRPr="00F115F8">
          <w:rPr>
            <w:rFonts w:ascii="David" w:hAnsi="David"/>
            <w:color w:val="0000FF"/>
            <w:u w:val="single"/>
            <w:rtl/>
          </w:rPr>
          <w:t>ע"פ 2006/12</w:t>
        </w:r>
      </w:hyperlink>
      <w:r>
        <w:rPr>
          <w:rFonts w:ascii="David" w:hAnsi="David"/>
          <w:rtl/>
        </w:rPr>
        <w:t xml:space="preserve"> </w:t>
      </w:r>
      <w:r>
        <w:rPr>
          <w:rFonts w:ascii="David" w:hAnsi="David"/>
          <w:b/>
          <w:bCs/>
          <w:rtl/>
        </w:rPr>
        <w:t xml:space="preserve">מדינת ישראל נ' אסדי </w:t>
      </w:r>
      <w:r>
        <w:rPr>
          <w:rFonts w:ascii="David" w:hAnsi="David"/>
          <w:rtl/>
        </w:rPr>
        <w:t>[28.3.12] (הוגש על-ידי ההגנה)</w:t>
      </w:r>
      <w:r>
        <w:rPr>
          <w:rFonts w:ascii="David" w:hAnsi="David"/>
          <w:b/>
          <w:bCs/>
          <w:rtl/>
        </w:rPr>
        <w:t xml:space="preserve">, </w:t>
      </w:r>
      <w:r>
        <w:rPr>
          <w:rFonts w:ascii="David" w:hAnsi="David"/>
          <w:rtl/>
        </w:rPr>
        <w:t xml:space="preserve">נדחה ערעור המדינה על קולת עונשו של נאשם, צעיר נעדר עבר פלילי, אשר הורשע על פי הודאתו בעבירות של נשיאת נשק ותחמושת, איומים, ויריות באזור מגורים. הנאשם הגיע לביתו של אדם שלו אחיו היה חייב כספים, כשהוא נושא אקדח טעון בכדורים, איים בפגיעה באותו אדם, וירה כדור לעבר חלקו העליון של הבית. בית המשפט המחוזי הטיל על הנאשם 15 חודשי מאסר בפועל, ובית המשפט העליון קבע כי אין מקום להתערב בענישה. </w:t>
      </w:r>
    </w:p>
    <w:p w14:paraId="56CCD597" w14:textId="77777777" w:rsidR="000202CC" w:rsidRDefault="000202CC" w:rsidP="000202CC">
      <w:pPr>
        <w:spacing w:line="360" w:lineRule="auto"/>
        <w:ind w:left="720"/>
        <w:jc w:val="both"/>
        <w:rPr>
          <w:rFonts w:ascii="David" w:hAnsi="David"/>
          <w:rtl/>
        </w:rPr>
      </w:pPr>
    </w:p>
    <w:p w14:paraId="0B2AD8ED" w14:textId="77777777" w:rsidR="000202CC" w:rsidRDefault="00F115F8" w:rsidP="000202CC">
      <w:pPr>
        <w:spacing w:line="360" w:lineRule="auto"/>
        <w:ind w:left="714"/>
        <w:jc w:val="both"/>
        <w:rPr>
          <w:rFonts w:ascii="David" w:hAnsi="David"/>
          <w:rtl/>
        </w:rPr>
      </w:pPr>
      <w:hyperlink r:id="rId35" w:history="1">
        <w:r w:rsidRPr="00F115F8">
          <w:rPr>
            <w:rFonts w:ascii="David" w:hAnsi="David"/>
            <w:color w:val="0000FF"/>
            <w:u w:val="single"/>
            <w:rtl/>
          </w:rPr>
          <w:t>ע"פ 5717/14</w:t>
        </w:r>
      </w:hyperlink>
      <w:r w:rsidR="000202CC">
        <w:rPr>
          <w:rFonts w:ascii="David" w:hAnsi="David"/>
          <w:rtl/>
        </w:rPr>
        <w:t xml:space="preserve"> </w:t>
      </w:r>
      <w:r w:rsidR="000202CC">
        <w:rPr>
          <w:rFonts w:ascii="David" w:hAnsi="David"/>
          <w:b/>
          <w:bCs/>
          <w:rtl/>
        </w:rPr>
        <w:t>מדינת ישראל נגד מוסא גדבאן</w:t>
      </w:r>
      <w:r w:rsidR="000202CC">
        <w:rPr>
          <w:rFonts w:ascii="David" w:hAnsi="David"/>
          <w:rtl/>
        </w:rPr>
        <w:t xml:space="preserve"> [2.12.14] (הוגש על- ידי ההגנה): ערעור המדינה על קולת העונש בעניינו של נאשם שהורשע על יסוד הודאתו בעובדות כתב אישום מתוקן, בעבירות של </w:t>
      </w:r>
      <w:r w:rsidR="000202CC">
        <w:rPr>
          <w:rFonts w:ascii="David" w:hAnsi="David"/>
          <w:b/>
          <w:bCs/>
          <w:rtl/>
        </w:rPr>
        <w:t>חבלה חמורה בנסיבות מחמירות</w:t>
      </w:r>
      <w:r w:rsidR="000202CC">
        <w:rPr>
          <w:rFonts w:ascii="David" w:hAnsi="David"/>
          <w:rtl/>
        </w:rPr>
        <w:t xml:space="preserve">, לפי סעיפים </w:t>
      </w:r>
      <w:hyperlink r:id="rId36" w:history="1">
        <w:r w:rsidR="00801A26" w:rsidRPr="00801A26">
          <w:rPr>
            <w:rStyle w:val="Hyperlink"/>
            <w:rFonts w:ascii="David" w:hAnsi="David"/>
            <w:rtl/>
          </w:rPr>
          <w:t>333 ו-335</w:t>
        </w:r>
      </w:hyperlink>
      <w:r w:rsidR="000202CC">
        <w:rPr>
          <w:rFonts w:ascii="David" w:hAnsi="David"/>
          <w:rtl/>
        </w:rPr>
        <w:t xml:space="preserve"> ל</w:t>
      </w:r>
      <w:hyperlink r:id="rId37" w:history="1">
        <w:r w:rsidRPr="00F115F8">
          <w:rPr>
            <w:rFonts w:ascii="David" w:hAnsi="David"/>
            <w:color w:val="0000FF"/>
            <w:u w:val="single"/>
            <w:rtl/>
          </w:rPr>
          <w:t>חוק העונשין</w:t>
        </w:r>
      </w:hyperlink>
      <w:r w:rsidR="000202CC">
        <w:rPr>
          <w:rFonts w:ascii="David" w:hAnsi="David"/>
          <w:rtl/>
        </w:rPr>
        <w:t>, ו</w:t>
      </w:r>
      <w:r w:rsidR="000202CC">
        <w:rPr>
          <w:rFonts w:ascii="David" w:hAnsi="David"/>
          <w:b/>
          <w:bCs/>
          <w:rtl/>
        </w:rPr>
        <w:t>נשיאת והובלת נשק</w:t>
      </w:r>
      <w:r w:rsidR="000202CC">
        <w:rPr>
          <w:rFonts w:ascii="David" w:hAnsi="David"/>
          <w:rtl/>
        </w:rPr>
        <w:t xml:space="preserve">, לפי סעיפים </w:t>
      </w:r>
      <w:hyperlink r:id="rId38" w:history="1">
        <w:r w:rsidR="00801A26" w:rsidRPr="00801A26">
          <w:rPr>
            <w:rStyle w:val="Hyperlink"/>
            <w:rFonts w:ascii="David" w:hAnsi="David"/>
            <w:rtl/>
          </w:rPr>
          <w:t>144(א) ו-144(ב)</w:t>
        </w:r>
      </w:hyperlink>
      <w:r w:rsidR="000202CC">
        <w:rPr>
          <w:rFonts w:ascii="David" w:hAnsi="David"/>
          <w:rtl/>
        </w:rPr>
        <w:t xml:space="preserve"> לחוק העונשין. על רקע חשדו של הנאשם כי המתלונן פגע בשמו הטוב, הוא הגיע למטע בו ישב המתלונן עם חבריו כשהוא נושא עמו כלי נשק ותחמושת. משהבחין במתלונן, ירה המשיב ירייה אחת באוויר, צעק לעברו של המתלונן: "אני לא מניאק", התקרב אליו, וממרחק של מטר וחצי לערך ירה באמצעות כלי הנשק שתי יריות לעבר הקרקע, למקום שבו עמד המתלונן. קליע אחד מהקליעים שנורו פגע ברגלו הימנית של המתלונן, וכתוצאה מהפגיעה, המתלונן אושפז ורגלו גובסה. בית- המשפט המחוזי שקל את נסיבותיו האישיות של הנאשם, את הודאתו, ואת העובדה שלא היה מעורב בפלילים בעשור האחרון, והשית עליו עונש של 20 חודשי מאסר בפועל, קנס בסך 2,000 ₪ ופיצוי למתלונן בסך 5,000 ש"ח.</w:t>
      </w:r>
    </w:p>
    <w:p w14:paraId="05D0B220" w14:textId="77777777" w:rsidR="000202CC" w:rsidRDefault="000202CC" w:rsidP="000202CC">
      <w:pPr>
        <w:spacing w:line="360" w:lineRule="auto"/>
        <w:ind w:left="714"/>
        <w:jc w:val="both"/>
        <w:rPr>
          <w:rFonts w:ascii="David" w:hAnsi="David"/>
          <w:rtl/>
        </w:rPr>
      </w:pPr>
      <w:r>
        <w:rPr>
          <w:rFonts w:ascii="David" w:hAnsi="David"/>
          <w:rtl/>
        </w:rPr>
        <w:t xml:space="preserve">בית-המשפט העליון קבע, כי חרף הנסיבות לקולה, האינטרס הציבורי מצדיק ומחייב את העלאת רף הענישה, כך שעונשי המאסר יהיו ממשיים ומשמעותיים, והעונש הוחמר ל – 30 חודשי מאסר בפועל. </w:t>
      </w:r>
    </w:p>
    <w:p w14:paraId="324E27AE" w14:textId="77777777" w:rsidR="000202CC" w:rsidRDefault="000202CC" w:rsidP="000202CC">
      <w:pPr>
        <w:spacing w:line="360" w:lineRule="auto"/>
        <w:ind w:left="720"/>
        <w:jc w:val="both"/>
        <w:rPr>
          <w:rFonts w:ascii="David" w:hAnsi="David"/>
          <w:rtl/>
        </w:rPr>
      </w:pPr>
    </w:p>
    <w:p w14:paraId="7B54FE92" w14:textId="77777777" w:rsidR="000202CC" w:rsidRDefault="000202CC" w:rsidP="000202CC">
      <w:pPr>
        <w:spacing w:line="360" w:lineRule="auto"/>
        <w:ind w:left="714"/>
        <w:jc w:val="both"/>
        <w:rPr>
          <w:rFonts w:ascii="David" w:hAnsi="David"/>
          <w:rtl/>
        </w:rPr>
      </w:pPr>
      <w:r>
        <w:rPr>
          <w:rFonts w:ascii="Calibri" w:eastAsia="Calibri" w:hAnsi="Calibri"/>
          <w:rtl/>
        </w:rPr>
        <w:t>ב</w:t>
      </w:r>
      <w:hyperlink r:id="rId39" w:history="1">
        <w:r w:rsidR="00F115F8" w:rsidRPr="00F115F8">
          <w:rPr>
            <w:rFonts w:ascii="Calibri" w:eastAsia="Calibri" w:hAnsi="Calibri" w:hint="cs"/>
            <w:color w:val="0000FF"/>
            <w:u w:val="single"/>
            <w:rtl/>
          </w:rPr>
          <w:t>ת</w:t>
        </w:r>
        <w:r w:rsidR="00F115F8" w:rsidRPr="00F115F8">
          <w:rPr>
            <w:rFonts w:ascii="Calibri" w:eastAsia="Calibri" w:hAnsi="Calibri"/>
            <w:color w:val="0000FF"/>
            <w:u w:val="single"/>
            <w:rtl/>
          </w:rPr>
          <w:t>"</w:t>
        </w:r>
        <w:r w:rsidR="00F115F8" w:rsidRPr="00F115F8">
          <w:rPr>
            <w:rFonts w:ascii="Calibri" w:eastAsia="Calibri" w:hAnsi="Calibri" w:hint="cs"/>
            <w:color w:val="0000FF"/>
            <w:u w:val="single"/>
            <w:rtl/>
          </w:rPr>
          <w:t>פ</w:t>
        </w:r>
        <w:r w:rsidR="00F115F8" w:rsidRPr="00F115F8">
          <w:rPr>
            <w:rFonts w:ascii="Calibri" w:eastAsia="Calibri" w:hAnsi="Calibri"/>
            <w:color w:val="0000FF"/>
            <w:u w:val="single"/>
            <w:rtl/>
          </w:rPr>
          <w:t xml:space="preserve"> 18300-11-18</w:t>
        </w:r>
      </w:hyperlink>
      <w:r>
        <w:rPr>
          <w:rFonts w:ascii="Calibri" w:eastAsia="Calibri" w:hAnsi="Calibri"/>
          <w:rtl/>
        </w:rPr>
        <w:t xml:space="preserve"> (מחוזי מרכז) </w:t>
      </w:r>
      <w:r>
        <w:rPr>
          <w:rFonts w:ascii="Calibri" w:eastAsia="Calibri" w:hAnsi="Calibri"/>
          <w:b/>
          <w:bCs/>
          <w:rtl/>
        </w:rPr>
        <w:t>מדינת ישראל נגד נאשף</w:t>
      </w:r>
      <w:r>
        <w:rPr>
          <w:rFonts w:ascii="Calibri" w:eastAsia="Calibri" w:hAnsi="Calibri"/>
          <w:rtl/>
        </w:rPr>
        <w:t xml:space="preserve"> [7.5.19], הורשע הנאשם על-פי הודאתו </w:t>
      </w:r>
      <w:r>
        <w:rPr>
          <w:rFonts w:ascii="David" w:hAnsi="David"/>
          <w:rtl/>
        </w:rPr>
        <w:t xml:space="preserve">בעבירות של נשיאת נשק וירי מנשק חם. בין הנאשם למתדלק התפתח ויכוח אשר הסלים לכדי קטטה, שהופסקה בהתערבות אחרים. כחצי שעה לאחר מכן, הגיעו הנאשם ואחר ברכב אל הכניסה לתחנת הדלק, כשהאחר נהג ברכב. השניים יצאו מהרכב בעוד הנאשם אחז בידו נשק מסוג תת מקלע ומיד ירה מספר צרורות מהנשק, כשהנשק כוון כלפי מעלה. באותה עת היו אנשים בתחנת הדלק. לאחר הירי חזרו הנאשם והאחר לרכב ונסעו מהמקום. בתיק זה, ב"כ הצדדים הגיעו להסדר טיעון מסוג "הסדר רף" במסגרתו הוסכם שהמאשימה תעתור לעונש ראוי של 24 חודשי מאסר בפועל. בית-המשפט קבע מתחם עונש הולם שנע בין 20 עד 50 חודשי מאסר בפועל, ועל הנאשם, אדם כבן 26 ללא עבר פלילי, אשר לקח אחריות מלאה על מעשיו, הושת עונש מאסר בפועל בן 21 חודשים. </w:t>
      </w:r>
    </w:p>
    <w:p w14:paraId="06B7285E" w14:textId="77777777" w:rsidR="000202CC" w:rsidRDefault="000202CC" w:rsidP="000202CC">
      <w:pPr>
        <w:overflowPunct w:val="0"/>
        <w:autoSpaceDE w:val="0"/>
        <w:autoSpaceDN w:val="0"/>
        <w:adjustRightInd w:val="0"/>
        <w:spacing w:line="360" w:lineRule="auto"/>
        <w:ind w:left="720" w:hanging="720"/>
        <w:jc w:val="both"/>
        <w:rPr>
          <w:rFonts w:ascii="Calibri" w:eastAsia="Calibri" w:hAnsi="Calibri"/>
          <w:rtl/>
        </w:rPr>
      </w:pPr>
    </w:p>
    <w:p w14:paraId="3B946568" w14:textId="77777777" w:rsidR="000202CC" w:rsidRDefault="000202CC" w:rsidP="000202CC">
      <w:pPr>
        <w:spacing w:line="360" w:lineRule="auto"/>
        <w:ind w:left="714" w:hanging="720"/>
        <w:jc w:val="both"/>
        <w:rPr>
          <w:rFonts w:ascii="Calibri" w:eastAsia="Calibri" w:hAnsi="Calibri"/>
          <w:rtl/>
        </w:rPr>
      </w:pPr>
      <w:r>
        <w:rPr>
          <w:rFonts w:ascii="Calibri" w:eastAsia="Calibri" w:hAnsi="Calibri"/>
          <w:rtl/>
        </w:rPr>
        <w:t>14.</w:t>
      </w:r>
      <w:r>
        <w:rPr>
          <w:rFonts w:ascii="Calibri" w:eastAsia="Calibri" w:hAnsi="Calibri"/>
          <w:b/>
          <w:bCs/>
          <w:rtl/>
        </w:rPr>
        <w:tab/>
      </w:r>
      <w:r>
        <w:rPr>
          <w:rFonts w:ascii="Calibri" w:eastAsia="Calibri" w:hAnsi="Calibri"/>
          <w:rtl/>
        </w:rPr>
        <w:t xml:space="preserve">פסקי-דין אלו משקפים קשת מקרים רלבנטיים, כאשר לאחר ביצוע אבחנות מתבקשות, לרבות ביצוע עבירות מקדימות של הטרדת עד ותקיפה, אני קובעת </w:t>
      </w:r>
      <w:r>
        <w:rPr>
          <w:rFonts w:ascii="Calibri" w:eastAsia="Calibri" w:hAnsi="Calibri"/>
          <w:u w:val="single"/>
          <w:rtl/>
        </w:rPr>
        <w:t>מתחם עונש הולם אשר נע בין 30 – 60 חודשי מאסר בפועל לצד ענישה נלווית.</w:t>
      </w:r>
      <w:r>
        <w:rPr>
          <w:rFonts w:ascii="Calibri" w:eastAsia="Calibri" w:hAnsi="Calibri"/>
          <w:rtl/>
        </w:rPr>
        <w:t xml:space="preserve"> </w:t>
      </w:r>
    </w:p>
    <w:p w14:paraId="470316A8" w14:textId="77777777" w:rsidR="000202CC" w:rsidRDefault="000202CC" w:rsidP="000202CC">
      <w:pPr>
        <w:spacing w:line="360" w:lineRule="auto"/>
        <w:ind w:left="714" w:hanging="720"/>
        <w:jc w:val="both"/>
        <w:rPr>
          <w:rFonts w:ascii="Calibri" w:eastAsia="Calibri" w:hAnsi="Calibri"/>
          <w:rtl/>
        </w:rPr>
      </w:pPr>
    </w:p>
    <w:p w14:paraId="5C88F6A2" w14:textId="77777777" w:rsidR="000202CC" w:rsidRDefault="000202CC" w:rsidP="000202CC">
      <w:pPr>
        <w:spacing w:line="360" w:lineRule="auto"/>
        <w:ind w:left="714" w:hanging="720"/>
        <w:jc w:val="both"/>
        <w:rPr>
          <w:rFonts w:ascii="Calibri" w:eastAsia="Calibri" w:hAnsi="Calibri"/>
          <w:rtl/>
        </w:rPr>
      </w:pPr>
      <w:r>
        <w:rPr>
          <w:rFonts w:ascii="Calibri" w:eastAsia="Calibri" w:hAnsi="Calibri"/>
          <w:rtl/>
        </w:rPr>
        <w:t>15.</w:t>
      </w:r>
      <w:r>
        <w:rPr>
          <w:rFonts w:ascii="Calibri" w:eastAsia="Calibri" w:hAnsi="Calibri"/>
          <w:rtl/>
        </w:rPr>
        <w:tab/>
      </w:r>
      <w:r>
        <w:rPr>
          <w:rFonts w:ascii="Calibri" w:eastAsia="Calibri" w:hAnsi="Calibri"/>
          <w:rtl/>
        </w:rPr>
        <w:tab/>
        <w:t xml:space="preserve">בעניינו של הנאשם לא נטען ולא הוצג כל שיקול אשר מצדיק חריגה מהמתחם מטעמי שיקום (או מטעמי הגנה על שלום הציבור). על כן, עונשו ייגזר בתוך המתחם ויש להתחשב בנסיבות אשר אינן קשורות בביצוע העבירות, כמפורט </w:t>
      </w:r>
      <w:hyperlink r:id="rId40" w:history="1">
        <w:r w:rsidR="00801A26" w:rsidRPr="00801A26">
          <w:rPr>
            <w:rStyle w:val="Hyperlink"/>
            <w:rFonts w:ascii="Calibri" w:eastAsia="Calibri" w:hAnsi="Calibri" w:hint="cs"/>
            <w:rtl/>
          </w:rPr>
          <w:t>בסעיף</w:t>
        </w:r>
        <w:r w:rsidR="00801A26" w:rsidRPr="00801A26">
          <w:rPr>
            <w:rStyle w:val="Hyperlink"/>
            <w:rFonts w:ascii="Calibri" w:eastAsia="Calibri" w:hAnsi="Calibri"/>
            <w:rtl/>
          </w:rPr>
          <w:t xml:space="preserve"> 40</w:t>
        </w:r>
        <w:r w:rsidR="00801A26" w:rsidRPr="00801A26">
          <w:rPr>
            <w:rStyle w:val="Hyperlink"/>
            <w:rFonts w:ascii="Calibri" w:eastAsia="Calibri" w:hAnsi="Calibri" w:hint="cs"/>
            <w:rtl/>
          </w:rPr>
          <w:t>יא</w:t>
        </w:r>
        <w:r w:rsidR="00801A26" w:rsidRPr="00801A26">
          <w:rPr>
            <w:rStyle w:val="Hyperlink"/>
            <w:rFonts w:ascii="Calibri" w:eastAsia="Calibri" w:hAnsi="Calibri"/>
            <w:rtl/>
          </w:rPr>
          <w:t>'</w:t>
        </w:r>
      </w:hyperlink>
      <w:r>
        <w:rPr>
          <w:rFonts w:ascii="Calibri" w:eastAsia="Calibri" w:hAnsi="Calibri"/>
          <w:rtl/>
        </w:rPr>
        <w:t xml:space="preserve"> ל</w:t>
      </w:r>
      <w:hyperlink r:id="rId41" w:history="1">
        <w:r w:rsidR="00F115F8" w:rsidRPr="00F115F8">
          <w:rPr>
            <w:rFonts w:ascii="Calibri" w:eastAsia="Calibri" w:hAnsi="Calibri" w:hint="cs"/>
            <w:color w:val="0000FF"/>
            <w:u w:val="single"/>
            <w:rtl/>
          </w:rPr>
          <w:t>חוק</w:t>
        </w:r>
        <w:r w:rsidR="00F115F8" w:rsidRPr="00F115F8">
          <w:rPr>
            <w:rFonts w:ascii="Calibri" w:eastAsia="Calibri" w:hAnsi="Calibri"/>
            <w:color w:val="0000FF"/>
            <w:u w:val="single"/>
            <w:rtl/>
          </w:rPr>
          <w:t xml:space="preserve"> </w:t>
        </w:r>
        <w:r w:rsidR="00F115F8" w:rsidRPr="00F115F8">
          <w:rPr>
            <w:rFonts w:ascii="Calibri" w:eastAsia="Calibri" w:hAnsi="Calibri" w:hint="cs"/>
            <w:color w:val="0000FF"/>
            <w:u w:val="single"/>
            <w:rtl/>
          </w:rPr>
          <w:t>העונשין</w:t>
        </w:r>
      </w:hyperlink>
      <w:r>
        <w:rPr>
          <w:rFonts w:ascii="Calibri" w:eastAsia="Calibri" w:hAnsi="Calibri"/>
          <w:rtl/>
        </w:rPr>
        <w:t xml:space="preserve">. </w:t>
      </w:r>
    </w:p>
    <w:p w14:paraId="0D6A8942" w14:textId="77777777" w:rsidR="000202CC" w:rsidRDefault="000202CC" w:rsidP="000202CC">
      <w:pPr>
        <w:spacing w:line="360" w:lineRule="auto"/>
        <w:ind w:left="714" w:hanging="720"/>
        <w:jc w:val="both"/>
        <w:rPr>
          <w:rFonts w:ascii="Calibri" w:eastAsia="Calibri" w:hAnsi="Calibri"/>
          <w:rtl/>
        </w:rPr>
      </w:pPr>
    </w:p>
    <w:p w14:paraId="4B206BBD" w14:textId="77777777" w:rsidR="000202CC" w:rsidRDefault="000202CC" w:rsidP="000202CC">
      <w:pPr>
        <w:spacing w:line="360" w:lineRule="auto"/>
        <w:ind w:left="714" w:hanging="720"/>
        <w:jc w:val="both"/>
        <w:rPr>
          <w:rFonts w:ascii="Calibri" w:eastAsia="Calibri" w:hAnsi="Calibri"/>
          <w:rtl/>
        </w:rPr>
      </w:pPr>
      <w:r>
        <w:rPr>
          <w:rFonts w:ascii="Calibri" w:eastAsia="Calibri" w:hAnsi="Calibri"/>
          <w:rtl/>
        </w:rPr>
        <w:t>16.</w:t>
      </w:r>
      <w:r>
        <w:rPr>
          <w:rFonts w:ascii="Calibri" w:eastAsia="Calibri" w:hAnsi="Calibri"/>
          <w:rtl/>
        </w:rPr>
        <w:tab/>
      </w:r>
      <w:r>
        <w:rPr>
          <w:rFonts w:ascii="Calibri" w:eastAsia="Calibri" w:hAnsi="Calibri"/>
          <w:rtl/>
        </w:rPr>
        <w:tab/>
        <w:t>באשר לנסיבות שאינן קשורות לביצוע העבירות, יש לשקול לחומרה את עברו הפלילי המכביד של הנאשם, שלחובתו 6 הרשעות בעבירות רכוש, סמים, נהיגה ללא רישיון ואלימות, מעת שהיה קטין ונדון בבית-משפט לנוער בשנת 2006 ועד לשנת 2014, בגינן נשא תקופות מאסר המסתכמות ליותר מ-7 שנות מאסר. לחובתו גם הרשעה בתעבורה, בגינה נשא את מאסרו האחרון, בשל עבירה של נהיגה ללא רשיון נהיגה, כשהוא לא הוציא רשיון מעולם. כפי שנטען על-ידי ההגנה, בעשור האחרון לא הורשע בעבירות אלימות, והרשעתו האחרונה באלימות היא משנת 2009, שאז הורשע בביצוע עבירות של תקיפת שוטר, איומים, פציעה כשהעבריין מזויין והפרת הוראה חוקית, והוטל עליו עונש מאסר של 17 חודשים.</w:t>
      </w:r>
    </w:p>
    <w:p w14:paraId="35D2056E" w14:textId="77777777" w:rsidR="000202CC" w:rsidRDefault="000202CC" w:rsidP="000202CC">
      <w:pPr>
        <w:spacing w:line="360" w:lineRule="auto"/>
        <w:ind w:left="713" w:hanging="720"/>
        <w:jc w:val="both"/>
        <w:rPr>
          <w:rFonts w:ascii="Calibri" w:eastAsia="Calibri" w:hAnsi="Calibri"/>
          <w:rtl/>
        </w:rPr>
      </w:pPr>
    </w:p>
    <w:p w14:paraId="552729A5" w14:textId="77777777" w:rsidR="000202CC" w:rsidRDefault="000202CC" w:rsidP="000202CC">
      <w:pPr>
        <w:spacing w:line="360" w:lineRule="auto"/>
        <w:ind w:left="714" w:hanging="720"/>
        <w:jc w:val="both"/>
        <w:rPr>
          <w:rFonts w:ascii="Calibri" w:eastAsia="Calibri" w:hAnsi="Calibri"/>
          <w:rtl/>
        </w:rPr>
      </w:pPr>
      <w:r>
        <w:rPr>
          <w:rFonts w:ascii="Calibri" w:eastAsia="Calibri" w:hAnsi="Calibri"/>
          <w:rtl/>
        </w:rPr>
        <w:t>17.</w:t>
      </w:r>
      <w:r>
        <w:rPr>
          <w:rFonts w:ascii="Calibri" w:eastAsia="Calibri" w:hAnsi="Calibri"/>
          <w:rtl/>
        </w:rPr>
        <w:tab/>
        <w:t>עוד יש לזקוף לחומרה את עיתוי ביצוע העבירות, כשמהראיות לעונש (ע/3, פלט מאסרים) עולה, כי את העבירה של הטרדת עד ביצע כחודשיים לאחר ששוחרר ממאסר ממושך בן 50 חודשים, ואת עבירות הירי והתקיפה ביצע כחודשיים לאחר שהשתחרר מנשיאת מאסרו האחרון.  יש בכך כדי להעיד על רמת הסיכון הגבוהה הטמונה בנאשם, אשר מאסרים חוזרים ואף ממושכים לא הרתיעו אותו מלהתעמר ולנהוג בבריונות מתמשכת כלפי המתלונן.</w:t>
      </w:r>
    </w:p>
    <w:p w14:paraId="5A75933B" w14:textId="77777777" w:rsidR="000202CC" w:rsidRDefault="000202CC" w:rsidP="000202CC">
      <w:pPr>
        <w:spacing w:line="360" w:lineRule="auto"/>
        <w:ind w:left="714" w:hanging="720"/>
        <w:jc w:val="both"/>
        <w:rPr>
          <w:rFonts w:ascii="Calibri" w:eastAsia="Calibri" w:hAnsi="Calibri"/>
          <w:rtl/>
        </w:rPr>
      </w:pPr>
    </w:p>
    <w:p w14:paraId="6B9E14AC" w14:textId="77777777" w:rsidR="000202CC" w:rsidRDefault="000202CC" w:rsidP="000202CC">
      <w:pPr>
        <w:spacing w:line="360" w:lineRule="auto"/>
        <w:ind w:left="714" w:hanging="720"/>
        <w:jc w:val="both"/>
        <w:rPr>
          <w:rFonts w:ascii="Calibri" w:eastAsia="Calibri" w:hAnsi="Calibri"/>
          <w:rtl/>
        </w:rPr>
      </w:pPr>
      <w:r>
        <w:rPr>
          <w:rFonts w:ascii="Calibri" w:eastAsia="Calibri" w:hAnsi="Calibri"/>
          <w:rtl/>
        </w:rPr>
        <w:t>18.</w:t>
      </w:r>
      <w:r>
        <w:rPr>
          <w:rFonts w:ascii="Calibri" w:eastAsia="Calibri" w:hAnsi="Calibri"/>
          <w:rtl/>
        </w:rPr>
        <w:tab/>
        <w:t xml:space="preserve">הנאשם לא נטל אחריות על מעשיו, והורשע לאחר שמיעת ראיות במיוחס לו בכתב-האישום. כידוע, אין בעצם ניהול המשפט כדי להוות שיקול להחמיר בעונשו של הנאשם, אך הנאשם לא יהיה זכאי להקלה של מי שמודה ולוקח אחריות על מעשיו, כשהדברים נכונים ביתר שאת על רקע העובדה שבמהלך שמיעת הראיות הנאשם לא בחל מלהשחיר את פניו של המתלונן במגוון דרכים. </w:t>
      </w:r>
    </w:p>
    <w:p w14:paraId="2A8C0D50" w14:textId="77777777" w:rsidR="000202CC" w:rsidRDefault="000202CC" w:rsidP="000202CC">
      <w:pPr>
        <w:spacing w:line="360" w:lineRule="auto"/>
        <w:ind w:left="714" w:hanging="720"/>
        <w:jc w:val="both"/>
        <w:rPr>
          <w:rFonts w:ascii="Calibri" w:eastAsia="Calibri" w:hAnsi="Calibri"/>
          <w:rtl/>
        </w:rPr>
      </w:pPr>
    </w:p>
    <w:p w14:paraId="59E76F3B" w14:textId="77777777" w:rsidR="000202CC" w:rsidRDefault="000202CC" w:rsidP="000202CC">
      <w:pPr>
        <w:spacing w:line="360" w:lineRule="auto"/>
        <w:ind w:left="713" w:hanging="720"/>
        <w:jc w:val="both"/>
        <w:rPr>
          <w:rFonts w:ascii="Calibri" w:eastAsia="Calibri" w:hAnsi="Calibri"/>
          <w:rtl/>
        </w:rPr>
      </w:pPr>
      <w:r>
        <w:rPr>
          <w:rFonts w:ascii="Calibri" w:eastAsia="Calibri" w:hAnsi="Calibri"/>
          <w:rtl/>
        </w:rPr>
        <w:t>19.</w:t>
      </w:r>
      <w:r>
        <w:rPr>
          <w:rFonts w:ascii="Calibri" w:eastAsia="Calibri" w:hAnsi="Calibri"/>
          <w:rtl/>
        </w:rPr>
        <w:tab/>
        <w:t>שמעתי אודות נסיבותיו האישיות והמשפחתיות הלא פשוטות של הנאשם, אך נראה שיש ליתן משקל בכורה לאינטרס הציבורי המחייב החמרה בענישה בעבירות המרכזיות בהן הורשע הנאשם ולצורך הממשי בהרתעת הנאשם, אשר קיומם של הליכים משפטיים ומאסרים חוזרים לא הרתיעו מלפגוע במתלונן באופן מתמשך במילים, במעשים אלימים ובהפחדה באמצעות שימוש בנשק. על כן, יש לגזור על הנאשם עונש המתקרב לרף העליון של המתחם שנקבע לצד פיצוי ממשי למתלונן וענישה מרתיעה.</w:t>
      </w:r>
    </w:p>
    <w:p w14:paraId="1EA31AFA" w14:textId="77777777" w:rsidR="000202CC" w:rsidRDefault="000202CC" w:rsidP="000202CC">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Calibri" w:eastAsia="Calibri" w:hAnsi="Calibri"/>
          <w:b/>
          <w:bCs/>
          <w:rtl/>
        </w:rPr>
      </w:pPr>
    </w:p>
    <w:p w14:paraId="724EBBEA" w14:textId="77777777" w:rsidR="000202CC" w:rsidRDefault="000202CC" w:rsidP="000202CC">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Symbol" w:hAnsi="Symbol"/>
          <w:rtl/>
        </w:rPr>
      </w:pPr>
      <w:r>
        <w:rPr>
          <w:rFonts w:ascii="Calibri" w:eastAsia="Calibri" w:hAnsi="Calibri"/>
          <w:rtl/>
        </w:rPr>
        <w:t>20.</w:t>
      </w:r>
      <w:r>
        <w:rPr>
          <w:rFonts w:ascii="Calibri" w:eastAsia="Calibri" w:hAnsi="Calibri"/>
          <w:rtl/>
        </w:rPr>
        <w:tab/>
      </w:r>
      <w:r>
        <w:rPr>
          <w:rFonts w:ascii="Calibri" w:eastAsia="Calibri" w:hAnsi="Calibri"/>
          <w:rtl/>
        </w:rPr>
        <w:tab/>
      </w:r>
      <w:r>
        <w:rPr>
          <w:rFonts w:ascii="Symbol" w:hAnsi="Symbol"/>
          <w:rtl/>
        </w:rPr>
        <w:t>לאור כל האמור לעיל, גוזרת על הנאשם את עונשים הבאים:</w:t>
      </w:r>
    </w:p>
    <w:p w14:paraId="518BEAB4" w14:textId="77777777" w:rsidR="000202CC" w:rsidRDefault="000202CC" w:rsidP="000202CC">
      <w:pPr>
        <w:spacing w:line="360" w:lineRule="auto"/>
        <w:ind w:left="-7"/>
        <w:jc w:val="center"/>
        <w:rPr>
          <w:rFonts w:ascii="David" w:hAnsi="David"/>
          <w:rtl/>
        </w:rPr>
      </w:pPr>
    </w:p>
    <w:p w14:paraId="7FB7EE67" w14:textId="77777777" w:rsidR="000202CC" w:rsidRDefault="000202CC" w:rsidP="000202CC">
      <w:pPr>
        <w:spacing w:line="360" w:lineRule="auto"/>
        <w:ind w:left="702"/>
        <w:jc w:val="both"/>
        <w:rPr>
          <w:rFonts w:ascii="David" w:hAnsi="David"/>
          <w:rtl/>
        </w:rPr>
      </w:pPr>
      <w:r>
        <w:rPr>
          <w:rFonts w:ascii="David" w:hAnsi="David"/>
          <w:rtl/>
        </w:rPr>
        <w:t xml:space="preserve">50 חודשי מאסר בפועל אשר יימנו מיום מעצרו: 30.9.18; </w:t>
      </w:r>
    </w:p>
    <w:p w14:paraId="4E41DEA7" w14:textId="77777777" w:rsidR="000202CC" w:rsidRDefault="000202CC" w:rsidP="000202CC">
      <w:pPr>
        <w:spacing w:line="360" w:lineRule="auto"/>
        <w:ind w:left="702"/>
        <w:jc w:val="both"/>
        <w:rPr>
          <w:rFonts w:ascii="David" w:hAnsi="David"/>
          <w:rtl/>
        </w:rPr>
      </w:pPr>
    </w:p>
    <w:p w14:paraId="5007829C" w14:textId="77777777" w:rsidR="000202CC" w:rsidRDefault="000202CC" w:rsidP="000202CC">
      <w:pPr>
        <w:spacing w:line="360" w:lineRule="auto"/>
        <w:ind w:left="713"/>
        <w:jc w:val="both"/>
        <w:rPr>
          <w:rFonts w:ascii="David" w:hAnsi="David"/>
          <w:rtl/>
        </w:rPr>
      </w:pPr>
      <w:r>
        <w:rPr>
          <w:rFonts w:ascii="Calibri" w:eastAsia="Calibri" w:hAnsi="Calibri"/>
          <w:rtl/>
        </w:rPr>
        <w:t>12 חודשי מאסר על תנאי שלא יעבור בתוך 3 שנים מיום שחרורו עבירות בנשק ו/או עבירות אלימות מסוג פשע</w:t>
      </w:r>
      <w:r>
        <w:rPr>
          <w:rFonts w:ascii="David" w:hAnsi="David"/>
          <w:rtl/>
        </w:rPr>
        <w:t>.</w:t>
      </w:r>
    </w:p>
    <w:p w14:paraId="4B2A819F" w14:textId="77777777" w:rsidR="000202CC" w:rsidRDefault="000202CC" w:rsidP="000202CC">
      <w:pPr>
        <w:spacing w:line="360" w:lineRule="auto"/>
        <w:ind w:left="713"/>
        <w:jc w:val="both"/>
        <w:rPr>
          <w:rFonts w:ascii="David" w:hAnsi="David"/>
          <w:rtl/>
        </w:rPr>
      </w:pPr>
    </w:p>
    <w:p w14:paraId="38BBA0A1" w14:textId="77777777" w:rsidR="000202CC" w:rsidRDefault="000202CC" w:rsidP="000202CC">
      <w:pPr>
        <w:spacing w:line="360" w:lineRule="auto"/>
        <w:ind w:left="713"/>
        <w:jc w:val="both"/>
        <w:rPr>
          <w:rFonts w:ascii="David" w:hAnsi="David"/>
          <w:rtl/>
        </w:rPr>
      </w:pPr>
      <w:r>
        <w:rPr>
          <w:rFonts w:ascii="David" w:hAnsi="David"/>
          <w:rtl/>
        </w:rPr>
        <w:t xml:space="preserve">מורה על תשלום פיצוי על סך 20000 ₪ למתלונן, ע.ת. 1, עד ליום 1.2.21. ב"כ המאשימה תיידע את המתלונן בדבר הפיצוי שנפסק, ותמסור פרטיו למזכירות בית-המשפט תוך 14 ימים. </w:t>
      </w:r>
    </w:p>
    <w:p w14:paraId="110E2199" w14:textId="77777777" w:rsidR="000202CC" w:rsidRDefault="000202CC" w:rsidP="000202CC">
      <w:pPr>
        <w:spacing w:line="360" w:lineRule="auto"/>
        <w:ind w:left="713"/>
        <w:jc w:val="both"/>
        <w:rPr>
          <w:rFonts w:ascii="David" w:hAnsi="David"/>
          <w:rtl/>
        </w:rPr>
      </w:pPr>
    </w:p>
    <w:p w14:paraId="662BADA4" w14:textId="77777777" w:rsidR="000202CC" w:rsidRDefault="000202CC" w:rsidP="000202CC">
      <w:pPr>
        <w:spacing w:line="360" w:lineRule="auto"/>
        <w:ind w:left="713"/>
        <w:jc w:val="both"/>
        <w:rPr>
          <w:rFonts w:ascii="David" w:hAnsi="David"/>
          <w:rtl/>
        </w:rPr>
      </w:pPr>
    </w:p>
    <w:p w14:paraId="34B15C39" w14:textId="77777777" w:rsidR="000202CC" w:rsidRDefault="000202CC" w:rsidP="000202CC">
      <w:pPr>
        <w:spacing w:line="360" w:lineRule="auto"/>
        <w:ind w:left="-7"/>
        <w:jc w:val="both"/>
        <w:rPr>
          <w:rFonts w:ascii="David" w:hAnsi="David"/>
          <w:b/>
          <w:bCs/>
          <w:u w:val="single"/>
          <w:rtl/>
        </w:rPr>
      </w:pPr>
      <w:r>
        <w:rPr>
          <w:rFonts w:ascii="David" w:hAnsi="David"/>
          <w:b/>
          <w:bCs/>
          <w:u w:val="single"/>
          <w:rtl/>
        </w:rPr>
        <w:t xml:space="preserve">הודעה זכות ערעור לבית-המשפט העליון תוך 45 יום. </w:t>
      </w:r>
    </w:p>
    <w:p w14:paraId="132BC2EA" w14:textId="77777777" w:rsidR="000202CC" w:rsidRPr="00B05847" w:rsidRDefault="000202CC" w:rsidP="000202CC">
      <w:pPr>
        <w:rPr>
          <w:rFonts w:ascii="Arial" w:hAnsi="Arial"/>
          <w:rtl/>
        </w:rPr>
      </w:pPr>
    </w:p>
    <w:p w14:paraId="10E13412" w14:textId="77777777" w:rsidR="000202CC" w:rsidRPr="00F115F8" w:rsidRDefault="00F115F8" w:rsidP="000202CC">
      <w:pPr>
        <w:spacing w:line="360" w:lineRule="auto"/>
        <w:jc w:val="both"/>
        <w:rPr>
          <w:rFonts w:ascii="Arial" w:hAnsi="Arial"/>
          <w:color w:val="FFFFFF"/>
          <w:sz w:val="2"/>
          <w:szCs w:val="2"/>
          <w:rtl/>
        </w:rPr>
      </w:pPr>
      <w:r w:rsidRPr="00F115F8">
        <w:rPr>
          <w:rFonts w:ascii="Arial" w:hAnsi="Arial"/>
          <w:color w:val="FFFFFF"/>
          <w:sz w:val="2"/>
          <w:szCs w:val="2"/>
          <w:rtl/>
        </w:rPr>
        <w:t>5129371</w:t>
      </w:r>
    </w:p>
    <w:p w14:paraId="2A975EB2" w14:textId="77777777" w:rsidR="000202CC" w:rsidRDefault="00F115F8" w:rsidP="000202CC">
      <w:pPr>
        <w:rPr>
          <w:rFonts w:cs="FrankRuehl"/>
          <w:sz w:val="28"/>
          <w:szCs w:val="28"/>
          <w:rtl/>
        </w:rPr>
      </w:pPr>
      <w:bookmarkStart w:id="9" w:name="Nitan"/>
      <w:r w:rsidRPr="00F115F8">
        <w:rPr>
          <w:rFonts w:ascii="Arial" w:hAnsi="Arial"/>
          <w:color w:val="FFFFFF"/>
          <w:sz w:val="2"/>
          <w:szCs w:val="2"/>
          <w:rtl/>
        </w:rPr>
        <w:t>54678313</w:t>
      </w:r>
      <w:r>
        <w:rPr>
          <w:rFonts w:ascii="Arial" w:hAnsi="Arial"/>
          <w:rtl/>
        </w:rPr>
        <w:t xml:space="preserve">ניתן היום,  ט"ז אב תש"פ, 06 אוגוסט 2020, במעמד ב"כ הצדדים והנאשם. </w:t>
      </w:r>
      <w:bookmarkEnd w:id="9"/>
    </w:p>
    <w:p w14:paraId="0C18A96F" w14:textId="77777777" w:rsidR="000202CC" w:rsidRDefault="000202CC" w:rsidP="00F115F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928C7D7" w14:textId="77777777" w:rsidR="000202CC" w:rsidRDefault="000202CC" w:rsidP="000202CC">
      <w:pPr>
        <w:jc w:val="center"/>
        <w:rPr>
          <w:rFonts w:ascii="Arial" w:hAnsi="Arial" w:cs="FrankRuehl"/>
          <w:sz w:val="28"/>
          <w:szCs w:val="28"/>
          <w:rtl/>
        </w:rPr>
      </w:pPr>
    </w:p>
    <w:p w14:paraId="1C8745A5" w14:textId="77777777" w:rsidR="00F115F8" w:rsidRDefault="00F115F8" w:rsidP="00F115F8">
      <w:pPr>
        <w:rPr>
          <w:rtl/>
        </w:rPr>
      </w:pPr>
    </w:p>
    <w:p w14:paraId="0C8789CF" w14:textId="77777777" w:rsidR="00F115F8" w:rsidRDefault="00F115F8" w:rsidP="00F115F8">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46BE8CE3" w14:textId="77777777" w:rsidR="00801A26" w:rsidRPr="00801A26" w:rsidRDefault="00801A26" w:rsidP="00801A26">
      <w:pPr>
        <w:keepNext/>
        <w:rPr>
          <w:rFonts w:ascii="David" w:hAnsi="David"/>
          <w:color w:val="000000"/>
          <w:sz w:val="22"/>
          <w:szCs w:val="22"/>
          <w:rtl/>
        </w:rPr>
      </w:pPr>
    </w:p>
    <w:p w14:paraId="172FAD45" w14:textId="77777777" w:rsidR="00801A26" w:rsidRPr="00801A26" w:rsidRDefault="00801A26" w:rsidP="00801A26">
      <w:pPr>
        <w:keepNext/>
        <w:rPr>
          <w:rFonts w:ascii="David" w:hAnsi="David"/>
          <w:color w:val="000000"/>
          <w:sz w:val="22"/>
          <w:szCs w:val="22"/>
          <w:rtl/>
        </w:rPr>
      </w:pPr>
      <w:r w:rsidRPr="00801A26">
        <w:rPr>
          <w:rFonts w:ascii="David" w:hAnsi="David"/>
          <w:color w:val="000000"/>
          <w:sz w:val="22"/>
          <w:szCs w:val="22"/>
          <w:rtl/>
        </w:rPr>
        <w:t>דנה מרשק מרום 54678313-/</w:t>
      </w:r>
      <w:r w:rsidR="00045972">
        <w:rPr>
          <w:rFonts w:ascii="David" w:hAnsi="David" w:hint="cs"/>
          <w:color w:val="000000"/>
          <w:sz w:val="22"/>
          <w:szCs w:val="22"/>
          <w:rtl/>
        </w:rPr>
        <w:t xml:space="preserve">            </w:t>
      </w:r>
    </w:p>
    <w:p w14:paraId="1B16EA83" w14:textId="77777777" w:rsidR="00F115F8" w:rsidRPr="00F115F8" w:rsidRDefault="00801A26" w:rsidP="00801A26">
      <w:pPr>
        <w:rPr>
          <w:color w:val="0000FF"/>
          <w:u w:val="single"/>
        </w:rPr>
      </w:pPr>
      <w:r w:rsidRPr="00801A26">
        <w:rPr>
          <w:color w:val="000000"/>
          <w:u w:val="single"/>
          <w:rtl/>
        </w:rPr>
        <w:t>נוסח מסמך זה כפוף לשינויי ניסוח ועריכה</w:t>
      </w:r>
    </w:p>
    <w:sectPr w:rsidR="00F115F8" w:rsidRPr="00F115F8" w:rsidSect="00801A26">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11631" w14:textId="77777777" w:rsidR="00365C55" w:rsidRDefault="00365C55" w:rsidP="002C6DF6">
      <w:r>
        <w:separator/>
      </w:r>
    </w:p>
  </w:endnote>
  <w:endnote w:type="continuationSeparator" w:id="0">
    <w:p w14:paraId="4FF0A9FA" w14:textId="77777777" w:rsidR="00365C55" w:rsidRDefault="00365C55" w:rsidP="002C6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9EE93" w14:textId="77777777" w:rsidR="00801A26" w:rsidRDefault="00801A26" w:rsidP="00801A2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AF24E7B" w14:textId="77777777" w:rsidR="000C1A32" w:rsidRPr="00801A26" w:rsidRDefault="00801A26" w:rsidP="00801A26">
    <w:pPr>
      <w:pStyle w:val="a5"/>
      <w:pBdr>
        <w:top w:val="single" w:sz="4" w:space="1" w:color="auto"/>
        <w:between w:val="single" w:sz="4" w:space="0" w:color="auto"/>
      </w:pBdr>
      <w:spacing w:after="60"/>
      <w:jc w:val="center"/>
      <w:rPr>
        <w:rFonts w:ascii="FrankRuehl" w:hAnsi="FrankRuehl" w:cs="FrankRuehl"/>
        <w:color w:val="000000"/>
      </w:rPr>
    </w:pPr>
    <w:r w:rsidRPr="00801A2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F398F" w14:textId="77777777" w:rsidR="00801A26" w:rsidRDefault="00801A26" w:rsidP="00801A2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6061D">
      <w:rPr>
        <w:rFonts w:ascii="FrankRuehl" w:hAnsi="FrankRuehl" w:cs="FrankRuehl"/>
        <w:noProof/>
        <w:rtl/>
      </w:rPr>
      <w:t>1</w:t>
    </w:r>
    <w:r>
      <w:rPr>
        <w:rFonts w:ascii="FrankRuehl" w:hAnsi="FrankRuehl" w:cs="FrankRuehl"/>
        <w:rtl/>
      </w:rPr>
      <w:fldChar w:fldCharType="end"/>
    </w:r>
  </w:p>
  <w:p w14:paraId="1760015D" w14:textId="77777777" w:rsidR="000C1A32" w:rsidRPr="00801A26" w:rsidRDefault="00801A26" w:rsidP="00801A26">
    <w:pPr>
      <w:pStyle w:val="a5"/>
      <w:pBdr>
        <w:top w:val="single" w:sz="4" w:space="1" w:color="auto"/>
        <w:between w:val="single" w:sz="4" w:space="0" w:color="auto"/>
      </w:pBdr>
      <w:spacing w:after="60"/>
      <w:jc w:val="center"/>
      <w:rPr>
        <w:rFonts w:ascii="FrankRuehl" w:hAnsi="FrankRuehl" w:cs="FrankRuehl"/>
        <w:color w:val="000000"/>
      </w:rPr>
    </w:pPr>
    <w:r w:rsidRPr="00801A26">
      <w:rPr>
        <w:rFonts w:ascii="FrankRuehl" w:hAnsi="FrankRuehl" w:cs="FrankRuehl"/>
        <w:color w:val="000000"/>
      </w:rPr>
      <w:pict w14:anchorId="643817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44BD9" w14:textId="77777777" w:rsidR="00365C55" w:rsidRDefault="00365C55" w:rsidP="002C6DF6">
      <w:r>
        <w:separator/>
      </w:r>
    </w:p>
  </w:footnote>
  <w:footnote w:type="continuationSeparator" w:id="0">
    <w:p w14:paraId="1ADF3D7F" w14:textId="77777777" w:rsidR="00365C55" w:rsidRDefault="00365C55" w:rsidP="002C6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1F9B8" w14:textId="77777777" w:rsidR="00F115F8" w:rsidRPr="00801A26" w:rsidRDefault="00801A26" w:rsidP="00801A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12376-10-18</w:t>
    </w:r>
    <w:r>
      <w:rPr>
        <w:rFonts w:ascii="David" w:hAnsi="David"/>
        <w:color w:val="000000"/>
        <w:sz w:val="22"/>
        <w:szCs w:val="22"/>
        <w:rtl/>
      </w:rPr>
      <w:tab/>
      <w:t xml:space="preserve"> מדינת ישראל נ' קנאו היילי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13127" w14:textId="77777777" w:rsidR="00F115F8" w:rsidRPr="00801A26" w:rsidRDefault="00801A26" w:rsidP="00801A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12376-10-18</w:t>
    </w:r>
    <w:r>
      <w:rPr>
        <w:rFonts w:ascii="David" w:hAnsi="David"/>
        <w:color w:val="000000"/>
        <w:sz w:val="22"/>
        <w:szCs w:val="22"/>
        <w:rtl/>
      </w:rPr>
      <w:tab/>
      <w:t xml:space="preserve"> מדינת ישראל נ' קנאו היילי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202CC"/>
    <w:rsid w:val="000202CC"/>
    <w:rsid w:val="00045972"/>
    <w:rsid w:val="000C1A32"/>
    <w:rsid w:val="00117ED8"/>
    <w:rsid w:val="0016061D"/>
    <w:rsid w:val="001B5A3B"/>
    <w:rsid w:val="002C6DF6"/>
    <w:rsid w:val="00365C55"/>
    <w:rsid w:val="005312D9"/>
    <w:rsid w:val="00801A26"/>
    <w:rsid w:val="009966FE"/>
    <w:rsid w:val="009A1C56"/>
    <w:rsid w:val="00CF39FB"/>
    <w:rsid w:val="00DE156D"/>
    <w:rsid w:val="00F115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87454E"/>
  <w15:chartTrackingRefBased/>
  <w15:docId w15:val="{96EFE1DF-573F-410E-9DFC-147CCDA5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202C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202CC"/>
    <w:pPr>
      <w:tabs>
        <w:tab w:val="center" w:pos="4153"/>
        <w:tab w:val="right" w:pos="8306"/>
      </w:tabs>
    </w:pPr>
  </w:style>
  <w:style w:type="character" w:customStyle="1" w:styleId="a4">
    <w:name w:val="כותרת עליונה תו"/>
    <w:link w:val="a3"/>
    <w:rsid w:val="000202CC"/>
    <w:rPr>
      <w:rFonts w:ascii="Times New Roman" w:eastAsia="Times New Roman" w:hAnsi="Times New Roman" w:cs="David"/>
      <w:sz w:val="24"/>
      <w:szCs w:val="24"/>
    </w:rPr>
  </w:style>
  <w:style w:type="paragraph" w:styleId="a5">
    <w:name w:val="footer"/>
    <w:basedOn w:val="a"/>
    <w:link w:val="a6"/>
    <w:rsid w:val="000202CC"/>
    <w:pPr>
      <w:tabs>
        <w:tab w:val="center" w:pos="4153"/>
        <w:tab w:val="right" w:pos="8306"/>
      </w:tabs>
    </w:pPr>
  </w:style>
  <w:style w:type="character" w:customStyle="1" w:styleId="a6">
    <w:name w:val="כותרת תחתונה תו"/>
    <w:link w:val="a5"/>
    <w:rsid w:val="000202CC"/>
    <w:rPr>
      <w:rFonts w:ascii="Times New Roman" w:eastAsia="Times New Roman" w:hAnsi="Times New Roman" w:cs="David"/>
      <w:sz w:val="24"/>
      <w:szCs w:val="24"/>
    </w:rPr>
  </w:style>
  <w:style w:type="table" w:styleId="a7">
    <w:name w:val="Table Grid"/>
    <w:basedOn w:val="a1"/>
    <w:rsid w:val="000202C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202CC"/>
  </w:style>
  <w:style w:type="paragraph" w:styleId="a9">
    <w:name w:val="List Paragraph"/>
    <w:basedOn w:val="a"/>
    <w:qFormat/>
    <w:rsid w:val="000202CC"/>
    <w:pPr>
      <w:spacing w:after="160" w:line="256" w:lineRule="auto"/>
      <w:ind w:left="720"/>
      <w:contextualSpacing/>
    </w:pPr>
    <w:rPr>
      <w:rFonts w:ascii="Calibri" w:eastAsia="Calibri" w:hAnsi="Calibri" w:cs="Arial"/>
      <w:sz w:val="22"/>
      <w:szCs w:val="22"/>
    </w:rPr>
  </w:style>
  <w:style w:type="character" w:styleId="Hyperlink">
    <w:name w:val="Hyperlink"/>
    <w:rsid w:val="00F115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5"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1474922" TargetMode="External"/><Relationship Id="rId39" Type="http://schemas.openxmlformats.org/officeDocument/2006/relationships/hyperlink" Target="http://www.nevo.co.il/case/25127246" TargetMode="External"/><Relationship Id="rId21" Type="http://schemas.openxmlformats.org/officeDocument/2006/relationships/hyperlink" Target="http://www.nevo.co.il/law/70301/249" TargetMode="External"/><Relationship Id="rId34" Type="http://schemas.openxmlformats.org/officeDocument/2006/relationships/hyperlink" Target="http://www.nevo.co.il/case/5578534"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40c.a" TargetMode="External"/><Relationship Id="rId2" Type="http://schemas.openxmlformats.org/officeDocument/2006/relationships/settings" Target="settings.xml"/><Relationship Id="rId16" Type="http://schemas.openxmlformats.org/officeDocument/2006/relationships/hyperlink" Target="http://www.nevo.co.il/law/70301/40ja" TargetMode="External"/><Relationship Id="rId29" Type="http://schemas.openxmlformats.org/officeDocument/2006/relationships/hyperlink" Target="http://www.nevo.co.il/case/25824863"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49" TargetMode="External"/><Relationship Id="rId24" Type="http://schemas.openxmlformats.org/officeDocument/2006/relationships/hyperlink" Target="http://www.nevo.co.il/law/70301/40c.a" TargetMode="External"/><Relationship Id="rId32" Type="http://schemas.openxmlformats.org/officeDocument/2006/relationships/hyperlink" Target="http://www.nevo.co.il/case/7697292"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40ja" TargetMode="External"/><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380"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333;335"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144.b" TargetMode="External"/><Relationship Id="rId31" Type="http://schemas.openxmlformats.org/officeDocument/2006/relationships/hyperlink" Target="http://www.nevo.co.il/case/26492590" TargetMode="External"/><Relationship Id="rId44"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340a.b.1"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i.a" TargetMode="External"/><Relationship Id="rId30" Type="http://schemas.openxmlformats.org/officeDocument/2006/relationships/hyperlink" Target="http://www.nevo.co.il/case/16968075" TargetMode="External"/><Relationship Id="rId35" Type="http://schemas.openxmlformats.org/officeDocument/2006/relationships/hyperlink" Target="http://www.nevo.co.il/case/17948201"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40i.a" TargetMode="External"/><Relationship Id="rId3" Type="http://schemas.openxmlformats.org/officeDocument/2006/relationships/webSettings" Target="webSettings.xml"/><Relationship Id="rId12" Type="http://schemas.openxmlformats.org/officeDocument/2006/relationships/hyperlink" Target="http://www.nevo.co.il/law/70301/333" TargetMode="External"/><Relationship Id="rId17" Type="http://schemas.openxmlformats.org/officeDocument/2006/relationships/hyperlink" Target="http://www.nevo.co.il/law/70301/380" TargetMode="External"/><Relationship Id="rId25" Type="http://schemas.openxmlformats.org/officeDocument/2006/relationships/hyperlink" Target="http://www.nevo.co.il/case/5594376" TargetMode="External"/><Relationship Id="rId33" Type="http://schemas.openxmlformats.org/officeDocument/2006/relationships/hyperlink" Target="http://www.nevo.co.il/case/5575978" TargetMode="External"/><Relationship Id="rId38" Type="http://schemas.openxmlformats.org/officeDocument/2006/relationships/hyperlink" Target="http://www.nevo.co.il/law/70301/144.a.;144.b" TargetMode="External"/><Relationship Id="rId46" Type="http://schemas.openxmlformats.org/officeDocument/2006/relationships/footer" Target="footer2.xml"/><Relationship Id="rId20" Type="http://schemas.openxmlformats.org/officeDocument/2006/relationships/hyperlink" Target="http://www.nevo.co.il/law/70301/340a.b.1" TargetMode="External"/><Relationship Id="rId41"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3789</Words>
  <Characters>18948</Characters>
  <Application>Microsoft Office Word</Application>
  <DocSecurity>0</DocSecurity>
  <Lines>157</Lines>
  <Paragraphs>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22692</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7995492</vt:i4>
      </vt:variant>
      <vt:variant>
        <vt:i4>105</vt:i4>
      </vt:variant>
      <vt:variant>
        <vt:i4>0</vt:i4>
      </vt:variant>
      <vt:variant>
        <vt:i4>5</vt:i4>
      </vt:variant>
      <vt:variant>
        <vt:lpwstr>http://www.nevo.co.il/law/70301</vt:lpwstr>
      </vt:variant>
      <vt:variant>
        <vt:lpwstr/>
      </vt:variant>
      <vt:variant>
        <vt:i4>262155</vt:i4>
      </vt:variant>
      <vt:variant>
        <vt:i4>102</vt:i4>
      </vt:variant>
      <vt:variant>
        <vt:i4>0</vt:i4>
      </vt:variant>
      <vt:variant>
        <vt:i4>5</vt:i4>
      </vt:variant>
      <vt:variant>
        <vt:lpwstr>http://www.nevo.co.il/law/70301/40ja</vt:lpwstr>
      </vt:variant>
      <vt:variant>
        <vt:lpwstr/>
      </vt:variant>
      <vt:variant>
        <vt:i4>3145841</vt:i4>
      </vt:variant>
      <vt:variant>
        <vt:i4>99</vt:i4>
      </vt:variant>
      <vt:variant>
        <vt:i4>0</vt:i4>
      </vt:variant>
      <vt:variant>
        <vt:i4>5</vt:i4>
      </vt:variant>
      <vt:variant>
        <vt:lpwstr>http://www.nevo.co.il/case/25127246</vt:lpwstr>
      </vt:variant>
      <vt:variant>
        <vt:lpwstr/>
      </vt:variant>
      <vt:variant>
        <vt:i4>393232</vt:i4>
      </vt:variant>
      <vt:variant>
        <vt:i4>96</vt:i4>
      </vt:variant>
      <vt:variant>
        <vt:i4>0</vt:i4>
      </vt:variant>
      <vt:variant>
        <vt:i4>5</vt:i4>
      </vt:variant>
      <vt:variant>
        <vt:lpwstr>http://www.nevo.co.il/law/70301/144.a.;144.b</vt:lpwstr>
      </vt:variant>
      <vt:variant>
        <vt:lpwstr/>
      </vt:variant>
      <vt:variant>
        <vt:i4>7995492</vt:i4>
      </vt:variant>
      <vt:variant>
        <vt:i4>93</vt:i4>
      </vt:variant>
      <vt:variant>
        <vt:i4>0</vt:i4>
      </vt:variant>
      <vt:variant>
        <vt:i4>5</vt:i4>
      </vt:variant>
      <vt:variant>
        <vt:lpwstr>http://www.nevo.co.il/law/70301</vt:lpwstr>
      </vt:variant>
      <vt:variant>
        <vt:lpwstr/>
      </vt:variant>
      <vt:variant>
        <vt:i4>7209062</vt:i4>
      </vt:variant>
      <vt:variant>
        <vt:i4>90</vt:i4>
      </vt:variant>
      <vt:variant>
        <vt:i4>0</vt:i4>
      </vt:variant>
      <vt:variant>
        <vt:i4>5</vt:i4>
      </vt:variant>
      <vt:variant>
        <vt:lpwstr>http://www.nevo.co.il/law/70301/333;335</vt:lpwstr>
      </vt:variant>
      <vt:variant>
        <vt:lpwstr/>
      </vt:variant>
      <vt:variant>
        <vt:i4>3145845</vt:i4>
      </vt:variant>
      <vt:variant>
        <vt:i4>87</vt:i4>
      </vt:variant>
      <vt:variant>
        <vt:i4>0</vt:i4>
      </vt:variant>
      <vt:variant>
        <vt:i4>5</vt:i4>
      </vt:variant>
      <vt:variant>
        <vt:lpwstr>http://www.nevo.co.il/case/17948201</vt:lpwstr>
      </vt:variant>
      <vt:variant>
        <vt:lpwstr/>
      </vt:variant>
      <vt:variant>
        <vt:i4>3342458</vt:i4>
      </vt:variant>
      <vt:variant>
        <vt:i4>84</vt:i4>
      </vt:variant>
      <vt:variant>
        <vt:i4>0</vt:i4>
      </vt:variant>
      <vt:variant>
        <vt:i4>5</vt:i4>
      </vt:variant>
      <vt:variant>
        <vt:lpwstr>http://www.nevo.co.il/case/5578534</vt:lpwstr>
      </vt:variant>
      <vt:variant>
        <vt:lpwstr/>
      </vt:variant>
      <vt:variant>
        <vt:i4>3342451</vt:i4>
      </vt:variant>
      <vt:variant>
        <vt:i4>81</vt:i4>
      </vt:variant>
      <vt:variant>
        <vt:i4>0</vt:i4>
      </vt:variant>
      <vt:variant>
        <vt:i4>5</vt:i4>
      </vt:variant>
      <vt:variant>
        <vt:lpwstr>http://www.nevo.co.il/case/5575978</vt:lpwstr>
      </vt:variant>
      <vt:variant>
        <vt:lpwstr/>
      </vt:variant>
      <vt:variant>
        <vt:i4>4063356</vt:i4>
      </vt:variant>
      <vt:variant>
        <vt:i4>78</vt:i4>
      </vt:variant>
      <vt:variant>
        <vt:i4>0</vt:i4>
      </vt:variant>
      <vt:variant>
        <vt:i4>5</vt:i4>
      </vt:variant>
      <vt:variant>
        <vt:lpwstr>http://www.nevo.co.il/case/7697292</vt:lpwstr>
      </vt:variant>
      <vt:variant>
        <vt:lpwstr/>
      </vt:variant>
      <vt:variant>
        <vt:i4>3997822</vt:i4>
      </vt:variant>
      <vt:variant>
        <vt:i4>75</vt:i4>
      </vt:variant>
      <vt:variant>
        <vt:i4>0</vt:i4>
      </vt:variant>
      <vt:variant>
        <vt:i4>5</vt:i4>
      </vt:variant>
      <vt:variant>
        <vt:lpwstr>http://www.nevo.co.il/case/26492590</vt:lpwstr>
      </vt:variant>
      <vt:variant>
        <vt:lpwstr/>
      </vt:variant>
      <vt:variant>
        <vt:i4>3604596</vt:i4>
      </vt:variant>
      <vt:variant>
        <vt:i4>72</vt:i4>
      </vt:variant>
      <vt:variant>
        <vt:i4>0</vt:i4>
      </vt:variant>
      <vt:variant>
        <vt:i4>5</vt:i4>
      </vt:variant>
      <vt:variant>
        <vt:lpwstr>http://www.nevo.co.il/case/16968075</vt:lpwstr>
      </vt:variant>
      <vt:variant>
        <vt:lpwstr/>
      </vt:variant>
      <vt:variant>
        <vt:i4>3670139</vt:i4>
      </vt:variant>
      <vt:variant>
        <vt:i4>69</vt:i4>
      </vt:variant>
      <vt:variant>
        <vt:i4>0</vt:i4>
      </vt:variant>
      <vt:variant>
        <vt:i4>5</vt:i4>
      </vt:variant>
      <vt:variant>
        <vt:lpwstr>http://www.nevo.co.il/case/25824863</vt:lpwstr>
      </vt:variant>
      <vt:variant>
        <vt:lpwstr/>
      </vt:variant>
      <vt:variant>
        <vt:i4>7995492</vt:i4>
      </vt:variant>
      <vt:variant>
        <vt:i4>66</vt:i4>
      </vt:variant>
      <vt:variant>
        <vt:i4>0</vt:i4>
      </vt:variant>
      <vt:variant>
        <vt:i4>5</vt:i4>
      </vt:variant>
      <vt:variant>
        <vt:lpwstr>http://www.nevo.co.il/law/70301</vt:lpwstr>
      </vt:variant>
      <vt:variant>
        <vt:lpwstr/>
      </vt:variant>
      <vt:variant>
        <vt:i4>4915208</vt:i4>
      </vt:variant>
      <vt:variant>
        <vt:i4>63</vt:i4>
      </vt:variant>
      <vt:variant>
        <vt:i4>0</vt:i4>
      </vt:variant>
      <vt:variant>
        <vt:i4>5</vt:i4>
      </vt:variant>
      <vt:variant>
        <vt:lpwstr>http://www.nevo.co.il/law/70301/40i.a</vt:lpwstr>
      </vt:variant>
      <vt:variant>
        <vt:lpwstr/>
      </vt:variant>
      <vt:variant>
        <vt:i4>3145851</vt:i4>
      </vt:variant>
      <vt:variant>
        <vt:i4>60</vt:i4>
      </vt:variant>
      <vt:variant>
        <vt:i4>0</vt:i4>
      </vt:variant>
      <vt:variant>
        <vt:i4>5</vt:i4>
      </vt:variant>
      <vt:variant>
        <vt:lpwstr>http://www.nevo.co.il/case/21474922</vt:lpwstr>
      </vt:variant>
      <vt:variant>
        <vt:lpwstr/>
      </vt:variant>
      <vt:variant>
        <vt:i4>3735666</vt:i4>
      </vt:variant>
      <vt:variant>
        <vt:i4>57</vt:i4>
      </vt:variant>
      <vt:variant>
        <vt:i4>0</vt:i4>
      </vt:variant>
      <vt:variant>
        <vt:i4>5</vt:i4>
      </vt:variant>
      <vt:variant>
        <vt:lpwstr>http://www.nevo.co.il/case/5594376</vt:lpwstr>
      </vt:variant>
      <vt:variant>
        <vt:lpwstr/>
      </vt:variant>
      <vt:variant>
        <vt:i4>4915202</vt:i4>
      </vt:variant>
      <vt:variant>
        <vt:i4>54</vt:i4>
      </vt:variant>
      <vt:variant>
        <vt:i4>0</vt:i4>
      </vt:variant>
      <vt:variant>
        <vt:i4>5</vt:i4>
      </vt:variant>
      <vt:variant>
        <vt:lpwstr>http://www.nevo.co.il/law/70301/40c.a</vt:lpwstr>
      </vt:variant>
      <vt:variant>
        <vt:lpwstr/>
      </vt:variant>
      <vt:variant>
        <vt:i4>7995492</vt:i4>
      </vt:variant>
      <vt:variant>
        <vt:i4>51</vt:i4>
      </vt:variant>
      <vt:variant>
        <vt:i4>0</vt:i4>
      </vt:variant>
      <vt:variant>
        <vt:i4>5</vt:i4>
      </vt:variant>
      <vt:variant>
        <vt:lpwstr>http://www.nevo.co.il/law/70301</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6357095</vt:i4>
      </vt:variant>
      <vt:variant>
        <vt:i4>45</vt:i4>
      </vt:variant>
      <vt:variant>
        <vt:i4>0</vt:i4>
      </vt:variant>
      <vt:variant>
        <vt:i4>5</vt:i4>
      </vt:variant>
      <vt:variant>
        <vt:lpwstr>http://www.nevo.co.il/law/70301/249</vt:lpwstr>
      </vt:variant>
      <vt:variant>
        <vt:lpwstr/>
      </vt:variant>
      <vt:variant>
        <vt:i4>5439574</vt:i4>
      </vt:variant>
      <vt:variant>
        <vt:i4>42</vt:i4>
      </vt:variant>
      <vt:variant>
        <vt:i4>0</vt:i4>
      </vt:variant>
      <vt:variant>
        <vt:i4>5</vt:i4>
      </vt:variant>
      <vt:variant>
        <vt:lpwstr>http://www.nevo.co.il/law/70301/340a.b.1</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7995492</vt:i4>
      </vt:variant>
      <vt:variant>
        <vt:i4>36</vt:i4>
      </vt:variant>
      <vt:variant>
        <vt:i4>0</vt:i4>
      </vt:variant>
      <vt:variant>
        <vt:i4>5</vt:i4>
      </vt:variant>
      <vt:variant>
        <vt:lpwstr>http://www.nevo.co.il/law/70301</vt:lpwstr>
      </vt:variant>
      <vt:variant>
        <vt:lpwstr/>
      </vt:variant>
      <vt:variant>
        <vt:i4>7143526</vt:i4>
      </vt:variant>
      <vt:variant>
        <vt:i4>33</vt:i4>
      </vt:variant>
      <vt:variant>
        <vt:i4>0</vt:i4>
      </vt:variant>
      <vt:variant>
        <vt:i4>5</vt:i4>
      </vt:variant>
      <vt:variant>
        <vt:lpwstr>http://www.nevo.co.il/law/70301/380</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7143526</vt:i4>
      </vt:variant>
      <vt:variant>
        <vt:i4>27</vt:i4>
      </vt:variant>
      <vt:variant>
        <vt:i4>0</vt:i4>
      </vt:variant>
      <vt:variant>
        <vt:i4>5</vt:i4>
      </vt:variant>
      <vt:variant>
        <vt:lpwstr>http://www.nevo.co.il/law/70301/380</vt:lpwstr>
      </vt:variant>
      <vt:variant>
        <vt:lpwstr/>
      </vt:variant>
      <vt:variant>
        <vt:i4>5439574</vt:i4>
      </vt:variant>
      <vt:variant>
        <vt:i4>24</vt:i4>
      </vt:variant>
      <vt:variant>
        <vt:i4>0</vt:i4>
      </vt:variant>
      <vt:variant>
        <vt:i4>5</vt:i4>
      </vt:variant>
      <vt:variant>
        <vt:lpwstr>http://www.nevo.co.il/law/70301/340a.b.1</vt:lpwstr>
      </vt:variant>
      <vt:variant>
        <vt:lpwstr/>
      </vt:variant>
      <vt:variant>
        <vt:i4>6684774</vt:i4>
      </vt:variant>
      <vt:variant>
        <vt:i4>21</vt:i4>
      </vt:variant>
      <vt:variant>
        <vt:i4>0</vt:i4>
      </vt:variant>
      <vt:variant>
        <vt:i4>5</vt:i4>
      </vt:variant>
      <vt:variant>
        <vt:lpwstr>http://www.nevo.co.il/law/70301/335</vt:lpwstr>
      </vt:variant>
      <vt:variant>
        <vt:lpwstr/>
      </vt:variant>
      <vt:variant>
        <vt:i4>6684774</vt:i4>
      </vt:variant>
      <vt:variant>
        <vt:i4>18</vt:i4>
      </vt:variant>
      <vt:variant>
        <vt:i4>0</vt:i4>
      </vt:variant>
      <vt:variant>
        <vt:i4>5</vt:i4>
      </vt:variant>
      <vt:variant>
        <vt:lpwstr>http://www.nevo.co.il/law/70301/333</vt:lpwstr>
      </vt:variant>
      <vt:variant>
        <vt:lpwstr/>
      </vt:variant>
      <vt:variant>
        <vt:i4>6357095</vt:i4>
      </vt:variant>
      <vt:variant>
        <vt:i4>15</vt:i4>
      </vt:variant>
      <vt:variant>
        <vt:i4>0</vt:i4>
      </vt:variant>
      <vt:variant>
        <vt:i4>5</vt:i4>
      </vt:variant>
      <vt:variant>
        <vt:lpwstr>http://www.nevo.co.il/law/70301/249</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6357041</vt:i4>
      </vt:variant>
      <vt:variant>
        <vt:i4>9</vt:i4>
      </vt:variant>
      <vt:variant>
        <vt:i4>0</vt:i4>
      </vt:variant>
      <vt:variant>
        <vt:i4>5</vt:i4>
      </vt:variant>
      <vt:variant>
        <vt:lpwstr>http://www.nevo.co.il/law/70301/144.a.</vt:lpwstr>
      </vt:variant>
      <vt:variant>
        <vt:lpwstr/>
      </vt:variant>
      <vt:variant>
        <vt:i4>4915208</vt:i4>
      </vt:variant>
      <vt:variant>
        <vt:i4>6</vt:i4>
      </vt:variant>
      <vt:variant>
        <vt:i4>0</vt:i4>
      </vt:variant>
      <vt:variant>
        <vt:i4>5</vt:i4>
      </vt:variant>
      <vt:variant>
        <vt:lpwstr>http://www.nevo.co.il/law/70301/40i.a</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2023-12-07T12:18:00Z</dcterms:created>
  <dcterms:modified xsi:type="dcterms:W3CDTF">2023-12-07T12:18:00Z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12376</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קנאו היילי  </vt:lpwstr>
  </property>
  <property fmtid="{D5CDD505-2E9C-101B-9397-08002B2CF9AE}" pid="10" name="LAWYER">
    <vt:lpwstr>יעל תרם;יניב דניאל</vt:lpwstr>
  </property>
  <property fmtid="{D5CDD505-2E9C-101B-9397-08002B2CF9AE}" pid="11" name="JUDGE">
    <vt:lpwstr>דנה מרשק מרום</vt:lpwstr>
  </property>
  <property fmtid="{D5CDD505-2E9C-101B-9397-08002B2CF9AE}" pid="12" name="CITY">
    <vt:lpwstr>מרכז</vt:lpwstr>
  </property>
  <property fmtid="{D5CDD505-2E9C-101B-9397-08002B2CF9AE}" pid="13" name="DATE">
    <vt:lpwstr>20200806</vt:lpwstr>
  </property>
  <property fmtid="{D5CDD505-2E9C-101B-9397-08002B2CF9AE}" pid="14" name="TYPE_N_DATE">
    <vt:lpwstr>39020200806</vt:lpwstr>
  </property>
  <property fmtid="{D5CDD505-2E9C-101B-9397-08002B2CF9AE}" pid="15" name="WORDNUMPAGES">
    <vt:lpwstr>11</vt:lpwstr>
  </property>
  <property fmtid="{D5CDD505-2E9C-101B-9397-08002B2CF9AE}" pid="16" name="TYPE_ABS_DATE">
    <vt:lpwstr>390020200806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5594376;21474922;25824863;16968075;26492590;7697292;5575978;5578534;17948201;25127246</vt:lpwstr>
  </property>
  <property fmtid="{D5CDD505-2E9C-101B-9397-08002B2CF9AE}" pid="36" name="LAWLISTTMP1">
    <vt:lpwstr>70301/380;144.b:2;340a.b.1;249;040c.a;040i.a;333;335;144.a;40ja</vt:lpwstr>
  </property>
</Properties>
</file>